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83BE0">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bookmarkStart w:id="1761" w:name="_GoBack"/>
      <w:bookmarkEnd w:id="1761"/>
      <w:r>
        <w:rPr>
          <w:rFonts w:hint="eastAsia" w:ascii="仿宋" w:hAnsi="仿宋" w:eastAsia="仿宋" w:cs="仿宋"/>
          <w:color w:val="auto"/>
          <w:sz w:val="30"/>
          <w:szCs w:val="30"/>
          <w:highlight w:val="none"/>
          <w:lang w:val="en-US" w:bidi="ar-SA"/>
        </w:rPr>
        <w:drawing>
          <wp:anchor distT="0" distB="0" distL="114300" distR="114300" simplePos="0" relativeHeight="251660288" behindDoc="1" locked="0" layoutInCell="1" allowOverlap="1">
            <wp:simplePos x="0" y="0"/>
            <wp:positionH relativeFrom="page">
              <wp:posOffset>5539740</wp:posOffset>
            </wp:positionH>
            <wp:positionV relativeFrom="page">
              <wp:posOffset>1003935</wp:posOffset>
            </wp:positionV>
            <wp:extent cx="715010" cy="664845"/>
            <wp:effectExtent l="0" t="0" r="8890" b="1905"/>
            <wp:wrapNone/>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12"/>
                    <a:stretch>
                      <a:fillRect/>
                    </a:stretch>
                  </pic:blipFill>
                  <pic:spPr>
                    <a:xfrm>
                      <a:off x="0" y="0"/>
                      <a:ext cx="715010" cy="664845"/>
                    </a:xfrm>
                    <a:prstGeom prst="rect">
                      <a:avLst/>
                    </a:prstGeom>
                    <a:noFill/>
                    <a:ln>
                      <a:noFill/>
                    </a:ln>
                  </pic:spPr>
                </pic:pic>
              </a:graphicData>
            </a:graphic>
          </wp:anchor>
        </w:drawing>
      </w:r>
    </w:p>
    <w:p w14:paraId="33997E09">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6C21F81C">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173990</wp:posOffset>
                </wp:positionH>
                <wp:positionV relativeFrom="paragraph">
                  <wp:posOffset>309880</wp:posOffset>
                </wp:positionV>
                <wp:extent cx="5467985" cy="2252980"/>
                <wp:effectExtent l="0" t="0" r="0" b="0"/>
                <wp:wrapNone/>
                <wp:docPr id="3" name="矩形 3" descr="7b0a20202020227461726765744d6f64756c65223a202270726f636573734f6e6c696e65466f6e7473220a7d0a"/>
                <wp:cNvGraphicFramePr/>
                <a:graphic xmlns:a="http://schemas.openxmlformats.org/drawingml/2006/main">
                  <a:graphicData uri="http://schemas.microsoft.com/office/word/2010/wordprocessingShape">
                    <wps:wsp>
                      <wps:cNvSpPr/>
                      <wps:spPr>
                        <a:xfrm>
                          <a:off x="0" y="0"/>
                          <a:ext cx="5035550" cy="2252980"/>
                        </a:xfrm>
                        <a:prstGeom prst="rect">
                          <a:avLst/>
                        </a:prstGeom>
                        <a:noFill/>
                        <a:ln>
                          <a:noFill/>
                        </a:ln>
                        <a:effectLst/>
                      </wps:spPr>
                      <wps:txbx>
                        <w:txbxContent>
                          <w:p w14:paraId="4897928C">
                            <w:pPr>
                              <w:keepNext w:val="0"/>
                              <w:keepLines w:val="0"/>
                              <w:pageBreakBefore w:val="0"/>
                              <w:widowControl w:val="0"/>
                              <w:kinsoku/>
                              <w:wordWrap w:val="0"/>
                              <w:overflowPunct/>
                              <w:topLinePunct/>
                              <w:bidi w:val="0"/>
                              <w:adjustRightInd/>
                              <w:snapToGrid w:val="0"/>
                              <w:spacing w:line="240" w:lineRule="auto"/>
                              <w:ind w:firstLine="0" w:firstLineChars="0"/>
                              <w:jc w:val="center"/>
                              <w:textAlignment w:val="auto"/>
                              <w:rPr>
                                <w:rFonts w:hint="eastAsia" w:ascii="微软雅黑" w:hAnsi="微软雅黑" w:eastAsia="微软雅黑" w:cs="微软雅黑"/>
                                <w:b w:val="0"/>
                                <w:bCs/>
                                <w:color w:val="auto"/>
                                <w:kern w:val="2"/>
                                <w:sz w:val="44"/>
                                <w:szCs w:val="44"/>
                                <w:lang w:eastAsia="zh-CN"/>
                              </w:rPr>
                            </w:pPr>
                            <w:r>
                              <w:rPr>
                                <w:rFonts w:hint="eastAsia" w:ascii="微软雅黑" w:hAnsi="微软雅黑" w:eastAsia="微软雅黑" w:cs="微软雅黑"/>
                                <w:b w:val="0"/>
                                <w:bCs/>
                                <w:color w:val="auto"/>
                                <w:kern w:val="2"/>
                                <w:sz w:val="44"/>
                                <w:szCs w:val="44"/>
                                <w:lang w:eastAsia="zh-CN"/>
                              </w:rPr>
                              <w:t>2025年普通国省道穿村过镇平交路口治理项目(湖滨区、开发区、示范区)</w:t>
                            </w:r>
                          </w:p>
                          <w:p w14:paraId="369EECF9">
                            <w:pPr>
                              <w:pStyle w:val="137"/>
                              <w:keepNext w:val="0"/>
                              <w:keepLines w:val="0"/>
                              <w:pageBreakBefore w:val="0"/>
                              <w:widowControl w:val="0"/>
                              <w:kinsoku/>
                              <w:overflowPunct/>
                              <w:bidi w:val="0"/>
                              <w:adjustRightInd/>
                              <w:ind w:firstLine="0" w:firstLineChars="0"/>
                              <w:textAlignment w:val="auto"/>
                              <w:rPr>
                                <w:rFonts w:hint="eastAsia" w:ascii="微软雅黑" w:hAnsi="微软雅黑" w:eastAsia="微软雅黑" w:cs="微软雅黑"/>
                                <w:b w:val="0"/>
                                <w:bCs/>
                                <w:color w:val="auto"/>
                                <w:kern w:val="2"/>
                                <w:sz w:val="20"/>
                                <w:szCs w:val="20"/>
                                <w:lang w:eastAsia="zh-CN"/>
                              </w:rPr>
                            </w:pPr>
                          </w:p>
                          <w:p w14:paraId="2667D425">
                            <w:pPr>
                              <w:pStyle w:val="4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kern w:val="2"/>
                                <w:sz w:val="56"/>
                                <w:szCs w:val="56"/>
                                <w:lang w:val="en-US" w:eastAsia="zh-CN"/>
                              </w:rPr>
                              <w:t>竞争性磋商文件</w:t>
                            </w:r>
                          </w:p>
                          <w:p w14:paraId="16C8109B">
                            <w:pPr>
                              <w:pStyle w:val="137"/>
                              <w:rPr>
                                <w:rFonts w:hint="eastAsia" w:ascii="微软雅黑" w:hAnsi="微软雅黑" w:eastAsia="微软雅黑" w:cs="微软雅黑"/>
                                <w:b w:val="0"/>
                                <w:bCs/>
                                <w:color w:val="auto"/>
                                <w:kern w:val="2"/>
                                <w:sz w:val="40"/>
                                <w:szCs w:val="40"/>
                                <w:lang w:val="en-US" w:eastAsia="zh-CN"/>
                              </w:rPr>
                            </w:pPr>
                          </w:p>
                        </w:txbxContent>
                      </wps:txbx>
                      <wps:bodyPr vert="horz" wrap="square" anchor="t" anchorCtr="0" upright="0"/>
                    </wps:wsp>
                  </a:graphicData>
                </a:graphic>
              </wp:anchor>
            </w:drawing>
          </mc:Choice>
          <mc:Fallback>
            <w:pict>
              <v:rect id="_x0000_s1026" o:spid="_x0000_s1026" o:spt="1" alt="7b0a20202020227461726765744d6f64756c65223a202270726f636573734f6e6c696e65466f6e7473220a7d0a" style="position:absolute;left:0pt;margin-left:13.7pt;margin-top:24.4pt;height:177.4pt;width:430.55pt;z-index:251661312;mso-width-relative:page;mso-height-relative:page;" filled="f" stroked="f" coordsize="21600,21600" o:gfxdata="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63KHvaAAAACQEAAA8AAAAAAAAAAQAgAAAA&#10;IgAAAGRycy9kb3ducmV2LnhtbFBLAQIUABQAAAAIAIdO4kCu2sUoCQIAAOYDAAAOAAAAAAAAAAEA&#10;IAAAACkBAABkcnMvZTJvRG9jLnhtbFBLBQYAAAAABgAGAFkBAACkBQAAAAA=&#10;">
                <v:fill on="f" focussize="0,0"/>
                <v:stroke on="f"/>
                <v:imagedata o:title=""/>
                <o:lock v:ext="edit" aspectratio="f"/>
                <v:textbox>
                  <w:txbxContent>
                    <w:p w14:paraId="4897928C">
                      <w:pPr>
                        <w:keepNext w:val="0"/>
                        <w:keepLines w:val="0"/>
                        <w:pageBreakBefore w:val="0"/>
                        <w:widowControl w:val="0"/>
                        <w:kinsoku/>
                        <w:wordWrap w:val="0"/>
                        <w:overflowPunct/>
                        <w:topLinePunct/>
                        <w:bidi w:val="0"/>
                        <w:adjustRightInd/>
                        <w:snapToGrid w:val="0"/>
                        <w:spacing w:line="240" w:lineRule="auto"/>
                        <w:ind w:firstLine="0" w:firstLineChars="0"/>
                        <w:jc w:val="center"/>
                        <w:textAlignment w:val="auto"/>
                        <w:rPr>
                          <w:rFonts w:hint="eastAsia" w:ascii="微软雅黑" w:hAnsi="微软雅黑" w:eastAsia="微软雅黑" w:cs="微软雅黑"/>
                          <w:b w:val="0"/>
                          <w:bCs/>
                          <w:color w:val="auto"/>
                          <w:kern w:val="2"/>
                          <w:sz w:val="44"/>
                          <w:szCs w:val="44"/>
                          <w:lang w:eastAsia="zh-CN"/>
                        </w:rPr>
                      </w:pPr>
                      <w:r>
                        <w:rPr>
                          <w:rFonts w:hint="eastAsia" w:ascii="微软雅黑" w:hAnsi="微软雅黑" w:eastAsia="微软雅黑" w:cs="微软雅黑"/>
                          <w:b w:val="0"/>
                          <w:bCs/>
                          <w:color w:val="auto"/>
                          <w:kern w:val="2"/>
                          <w:sz w:val="44"/>
                          <w:szCs w:val="44"/>
                          <w:lang w:eastAsia="zh-CN"/>
                        </w:rPr>
                        <w:t>2025年普通国省道穿村过镇平交路口治理项目(湖滨区、开发区、示范区)</w:t>
                      </w:r>
                    </w:p>
                    <w:p w14:paraId="369EECF9">
                      <w:pPr>
                        <w:pStyle w:val="137"/>
                        <w:keepNext w:val="0"/>
                        <w:keepLines w:val="0"/>
                        <w:pageBreakBefore w:val="0"/>
                        <w:widowControl w:val="0"/>
                        <w:kinsoku/>
                        <w:overflowPunct/>
                        <w:bidi w:val="0"/>
                        <w:adjustRightInd/>
                        <w:ind w:firstLine="0" w:firstLineChars="0"/>
                        <w:textAlignment w:val="auto"/>
                        <w:rPr>
                          <w:rFonts w:hint="eastAsia" w:ascii="微软雅黑" w:hAnsi="微软雅黑" w:eastAsia="微软雅黑" w:cs="微软雅黑"/>
                          <w:b w:val="0"/>
                          <w:bCs/>
                          <w:color w:val="auto"/>
                          <w:kern w:val="2"/>
                          <w:sz w:val="20"/>
                          <w:szCs w:val="20"/>
                          <w:lang w:eastAsia="zh-CN"/>
                        </w:rPr>
                      </w:pPr>
                    </w:p>
                    <w:p w14:paraId="2667D425">
                      <w:pPr>
                        <w:pStyle w:val="4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kern w:val="2"/>
                          <w:sz w:val="56"/>
                          <w:szCs w:val="56"/>
                          <w:lang w:val="en-US" w:eastAsia="zh-CN"/>
                        </w:rPr>
                        <w:t>竞争性磋商文件</w:t>
                      </w:r>
                    </w:p>
                    <w:p w14:paraId="16C8109B">
                      <w:pPr>
                        <w:pStyle w:val="137"/>
                        <w:rPr>
                          <w:rFonts w:hint="eastAsia" w:ascii="微软雅黑" w:hAnsi="微软雅黑" w:eastAsia="微软雅黑" w:cs="微软雅黑"/>
                          <w:b w:val="0"/>
                          <w:bCs/>
                          <w:color w:val="auto"/>
                          <w:kern w:val="2"/>
                          <w:sz w:val="40"/>
                          <w:szCs w:val="40"/>
                          <w:lang w:val="en-US" w:eastAsia="zh-CN"/>
                        </w:rPr>
                      </w:pPr>
                    </w:p>
                  </w:txbxContent>
                </v:textbox>
              </v:rect>
            </w:pict>
          </mc:Fallback>
        </mc:AlternateContent>
      </w:r>
    </w:p>
    <w:p w14:paraId="5CD523C8">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2266B1F3">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11A709EC">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37F41375">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40A49E0F">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198744D6">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1544FE51">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10A9B220">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4088CC73">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tbl>
      <w:tblPr>
        <w:tblStyle w:val="48"/>
        <w:tblpPr w:leftFromText="180" w:rightFromText="180" w:vertAnchor="page" w:horzAnchor="page" w:tblpX="1982" w:tblpY="10725"/>
        <w:tblOverlap w:val="never"/>
        <w:tblW w:w="7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486"/>
        <w:gridCol w:w="5457"/>
      </w:tblGrid>
      <w:tr w14:paraId="46D8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632" w:type="dxa"/>
            <w:tcBorders>
              <w:top w:val="nil"/>
              <w:left w:val="nil"/>
              <w:bottom w:val="nil"/>
              <w:right w:val="nil"/>
            </w:tcBorders>
            <w:noWrap w:val="0"/>
            <w:vAlign w:val="bottom"/>
          </w:tcPr>
          <w:p w14:paraId="278691D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distribute"/>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eastAsia="zh-CN"/>
              </w:rPr>
              <w:t>采购</w:t>
            </w:r>
            <w:r>
              <w:rPr>
                <w:rFonts w:hint="eastAsia" w:ascii="微软雅黑" w:hAnsi="微软雅黑" w:eastAsia="微软雅黑" w:cs="微软雅黑"/>
                <w:b w:val="0"/>
                <w:bCs w:val="0"/>
                <w:color w:val="auto"/>
                <w:sz w:val="28"/>
                <w:szCs w:val="28"/>
                <w:highlight w:val="none"/>
                <w:lang w:val="en-US"/>
              </w:rPr>
              <w:t>单位</w:t>
            </w:r>
          </w:p>
        </w:tc>
        <w:tc>
          <w:tcPr>
            <w:tcW w:w="486" w:type="dxa"/>
            <w:tcBorders>
              <w:top w:val="nil"/>
              <w:left w:val="nil"/>
              <w:bottom w:val="nil"/>
              <w:right w:val="nil"/>
            </w:tcBorders>
            <w:noWrap w:val="0"/>
            <w:vAlign w:val="bottom"/>
          </w:tcPr>
          <w:p w14:paraId="7D95B7F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rPr>
            </w:pPr>
            <w:r>
              <w:rPr>
                <w:rFonts w:hint="eastAsia" w:ascii="微软雅黑" w:hAnsi="微软雅黑" w:eastAsia="微软雅黑" w:cs="微软雅黑"/>
                <w:b w:val="0"/>
                <w:bCs w:val="0"/>
                <w:color w:val="auto"/>
                <w:sz w:val="28"/>
                <w:szCs w:val="28"/>
                <w:highlight w:val="none"/>
              </w:rPr>
              <w:t>：</w:t>
            </w:r>
          </w:p>
        </w:tc>
        <w:tc>
          <w:tcPr>
            <w:tcW w:w="5457" w:type="dxa"/>
            <w:tcBorders>
              <w:top w:val="nil"/>
              <w:left w:val="nil"/>
              <w:bottom w:val="single" w:color="auto" w:sz="4" w:space="0"/>
              <w:right w:val="nil"/>
            </w:tcBorders>
            <w:noWrap w:val="0"/>
            <w:vAlign w:val="bottom"/>
          </w:tcPr>
          <w:p w14:paraId="702BFAB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rPr>
              <w:t>三门峡市公路事业发展中心</w:t>
            </w:r>
          </w:p>
        </w:tc>
      </w:tr>
      <w:tr w14:paraId="6D03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632" w:type="dxa"/>
            <w:tcBorders>
              <w:top w:val="nil"/>
              <w:left w:val="nil"/>
              <w:bottom w:val="nil"/>
              <w:right w:val="nil"/>
            </w:tcBorders>
            <w:noWrap w:val="0"/>
            <w:vAlign w:val="bottom"/>
          </w:tcPr>
          <w:p w14:paraId="2DE45A9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distribute"/>
              <w:textAlignment w:val="baseline"/>
              <w:rPr>
                <w:rFonts w:hint="eastAsia" w:ascii="微软雅黑" w:hAnsi="微软雅黑" w:eastAsia="微软雅黑" w:cs="微软雅黑"/>
                <w:b w:val="0"/>
                <w:bCs w:val="0"/>
                <w:color w:val="auto"/>
                <w:sz w:val="28"/>
                <w:szCs w:val="28"/>
                <w:highlight w:val="none"/>
                <w:lang w:val="en-US" w:eastAsia="zh-CN"/>
              </w:rPr>
            </w:pPr>
            <w:r>
              <w:rPr>
                <w:rFonts w:hint="eastAsia" w:ascii="微软雅黑" w:hAnsi="微软雅黑" w:eastAsia="微软雅黑" w:cs="微软雅黑"/>
                <w:b w:val="0"/>
                <w:bCs w:val="0"/>
                <w:color w:val="auto"/>
                <w:sz w:val="28"/>
                <w:szCs w:val="28"/>
                <w:highlight w:val="none"/>
                <w:lang w:val="en-US" w:eastAsia="zh-CN"/>
              </w:rPr>
              <w:t>采购编号</w:t>
            </w:r>
          </w:p>
        </w:tc>
        <w:tc>
          <w:tcPr>
            <w:tcW w:w="486" w:type="dxa"/>
            <w:tcBorders>
              <w:top w:val="nil"/>
              <w:left w:val="nil"/>
              <w:bottom w:val="nil"/>
              <w:right w:val="nil"/>
            </w:tcBorders>
            <w:noWrap w:val="0"/>
            <w:vAlign w:val="bottom"/>
          </w:tcPr>
          <w:p w14:paraId="7C7432A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rPr>
            </w:pPr>
            <w:r>
              <w:rPr>
                <w:rFonts w:hint="eastAsia" w:ascii="微软雅黑" w:hAnsi="微软雅黑" w:eastAsia="微软雅黑" w:cs="微软雅黑"/>
                <w:b w:val="0"/>
                <w:bCs w:val="0"/>
                <w:color w:val="auto"/>
                <w:sz w:val="28"/>
                <w:szCs w:val="28"/>
                <w:highlight w:val="none"/>
              </w:rPr>
              <w:t>：</w:t>
            </w:r>
          </w:p>
        </w:tc>
        <w:tc>
          <w:tcPr>
            <w:tcW w:w="5457" w:type="dxa"/>
            <w:tcBorders>
              <w:top w:val="single" w:color="auto" w:sz="4" w:space="0"/>
              <w:left w:val="nil"/>
              <w:bottom w:val="single" w:color="auto" w:sz="4" w:space="0"/>
              <w:right w:val="nil"/>
            </w:tcBorders>
            <w:noWrap w:val="0"/>
            <w:vAlign w:val="bottom"/>
          </w:tcPr>
          <w:p w14:paraId="56C3976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baseline"/>
              <w:rPr>
                <w:rFonts w:hint="eastAsia" w:ascii="微软雅黑" w:hAnsi="微软雅黑" w:eastAsia="微软雅黑" w:cs="微软雅黑"/>
                <w:b w:val="0"/>
                <w:bCs w:val="0"/>
                <w:color w:val="auto"/>
                <w:sz w:val="28"/>
                <w:szCs w:val="28"/>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三财竞磋采购-2025-64、SGZ[2025]394-ZC270</w:t>
            </w:r>
          </w:p>
        </w:tc>
      </w:tr>
      <w:tr w14:paraId="1994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632" w:type="dxa"/>
            <w:tcBorders>
              <w:top w:val="nil"/>
              <w:left w:val="nil"/>
              <w:bottom w:val="nil"/>
              <w:right w:val="nil"/>
            </w:tcBorders>
            <w:noWrap w:val="0"/>
            <w:vAlign w:val="bottom"/>
          </w:tcPr>
          <w:p w14:paraId="6B30836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distribute"/>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rPr>
              <w:t>代理机构</w:t>
            </w:r>
          </w:p>
        </w:tc>
        <w:tc>
          <w:tcPr>
            <w:tcW w:w="486" w:type="dxa"/>
            <w:tcBorders>
              <w:top w:val="nil"/>
              <w:left w:val="nil"/>
              <w:bottom w:val="nil"/>
              <w:right w:val="nil"/>
            </w:tcBorders>
            <w:noWrap w:val="0"/>
            <w:vAlign w:val="bottom"/>
          </w:tcPr>
          <w:p w14:paraId="60E0714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rPr>
            </w:pPr>
            <w:r>
              <w:rPr>
                <w:rFonts w:hint="eastAsia" w:ascii="微软雅黑" w:hAnsi="微软雅黑" w:eastAsia="微软雅黑" w:cs="微软雅黑"/>
                <w:b w:val="0"/>
                <w:bCs w:val="0"/>
                <w:color w:val="auto"/>
                <w:sz w:val="28"/>
                <w:szCs w:val="28"/>
                <w:highlight w:val="none"/>
              </w:rPr>
              <w:t>：</w:t>
            </w:r>
          </w:p>
        </w:tc>
        <w:tc>
          <w:tcPr>
            <w:tcW w:w="5457" w:type="dxa"/>
            <w:tcBorders>
              <w:top w:val="single" w:color="auto" w:sz="4" w:space="0"/>
              <w:left w:val="nil"/>
              <w:bottom w:val="single" w:color="auto" w:sz="4" w:space="0"/>
              <w:right w:val="nil"/>
            </w:tcBorders>
            <w:noWrap w:val="0"/>
            <w:vAlign w:val="bottom"/>
          </w:tcPr>
          <w:p w14:paraId="147AC7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rPr>
              <w:t>河南省亿达工程管理咨询有限公司</w:t>
            </w:r>
          </w:p>
        </w:tc>
      </w:tr>
      <w:tr w14:paraId="3C2C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632" w:type="dxa"/>
            <w:tcBorders>
              <w:top w:val="nil"/>
              <w:left w:val="nil"/>
              <w:bottom w:val="nil"/>
              <w:right w:val="nil"/>
            </w:tcBorders>
            <w:noWrap w:val="0"/>
            <w:vAlign w:val="bottom"/>
          </w:tcPr>
          <w:p w14:paraId="60B1654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distribute"/>
              <w:textAlignment w:val="baseline"/>
              <w:rPr>
                <w:rFonts w:hint="eastAsia"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rPr>
              <w:t>日期</w:t>
            </w:r>
          </w:p>
        </w:tc>
        <w:tc>
          <w:tcPr>
            <w:tcW w:w="486" w:type="dxa"/>
            <w:tcBorders>
              <w:top w:val="nil"/>
              <w:left w:val="nil"/>
              <w:bottom w:val="nil"/>
              <w:right w:val="nil"/>
            </w:tcBorders>
            <w:noWrap w:val="0"/>
            <w:vAlign w:val="bottom"/>
          </w:tcPr>
          <w:p w14:paraId="7DCD3A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微软雅黑" w:hAnsi="微软雅黑" w:eastAsia="微软雅黑" w:cs="微软雅黑"/>
                <w:b w:val="0"/>
                <w:bCs w:val="0"/>
                <w:color w:val="auto"/>
                <w:sz w:val="28"/>
                <w:szCs w:val="28"/>
                <w:highlight w:val="none"/>
              </w:rPr>
            </w:pPr>
            <w:r>
              <w:rPr>
                <w:rFonts w:hint="eastAsia" w:ascii="微软雅黑" w:hAnsi="微软雅黑" w:eastAsia="微软雅黑" w:cs="微软雅黑"/>
                <w:b w:val="0"/>
                <w:bCs w:val="0"/>
                <w:color w:val="auto"/>
                <w:sz w:val="28"/>
                <w:szCs w:val="28"/>
                <w:highlight w:val="none"/>
              </w:rPr>
              <w:t>：</w:t>
            </w:r>
          </w:p>
        </w:tc>
        <w:tc>
          <w:tcPr>
            <w:tcW w:w="5457" w:type="dxa"/>
            <w:tcBorders>
              <w:top w:val="single" w:color="auto" w:sz="4" w:space="0"/>
              <w:left w:val="nil"/>
              <w:bottom w:val="single" w:color="auto" w:sz="4" w:space="0"/>
              <w:right w:val="nil"/>
            </w:tcBorders>
            <w:noWrap w:val="0"/>
            <w:vAlign w:val="bottom"/>
          </w:tcPr>
          <w:p w14:paraId="5CCF445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微软雅黑" w:hAnsi="微软雅黑" w:eastAsia="微软雅黑" w:cs="微软雅黑"/>
                <w:b w:val="0"/>
                <w:bCs w:val="0"/>
                <w:color w:val="auto"/>
                <w:sz w:val="28"/>
                <w:szCs w:val="28"/>
                <w:highlight w:val="none"/>
                <w:lang w:val="en-US"/>
              </w:rPr>
            </w:pPr>
            <w:r>
              <w:rPr>
                <w:rFonts w:hint="eastAsia" w:ascii="微软雅黑" w:hAnsi="微软雅黑" w:eastAsia="微软雅黑" w:cs="微软雅黑"/>
                <w:b w:val="0"/>
                <w:bCs w:val="0"/>
                <w:color w:val="auto"/>
                <w:sz w:val="28"/>
                <w:szCs w:val="28"/>
                <w:highlight w:val="none"/>
                <w:lang w:val="en-US" w:eastAsia="zh-CN"/>
              </w:rPr>
              <w:t>二零二五年九月</w:t>
            </w:r>
          </w:p>
        </w:tc>
      </w:tr>
    </w:tbl>
    <w:p w14:paraId="0AEC3C55">
      <w:pPr>
        <w:keepNext w:val="0"/>
        <w:keepLines w:val="0"/>
        <w:pageBreakBefore w:val="0"/>
        <w:widowControl w:val="0"/>
        <w:kinsoku/>
        <w:wordWrap/>
        <w:overflowPunct/>
        <w:topLinePunct w:val="0"/>
        <w:bidi w:val="0"/>
        <w:spacing w:line="360" w:lineRule="auto"/>
        <w:jc w:val="center"/>
        <w:rPr>
          <w:rFonts w:hint="eastAsia" w:ascii="仿宋" w:hAnsi="仿宋" w:eastAsia="仿宋" w:cs="仿宋"/>
          <w:b/>
          <w:bCs/>
          <w:color w:val="auto"/>
          <w:sz w:val="36"/>
          <w:szCs w:val="36"/>
          <w:highlight w:val="none"/>
        </w:rPr>
      </w:pPr>
    </w:p>
    <w:p w14:paraId="4B39D9A1">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p>
    <w:p w14:paraId="0943DEBB">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p>
    <w:p w14:paraId="17E8B385">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r>
        <w:rPr>
          <w:rFonts w:hint="eastAsia" w:ascii="仿宋" w:hAnsi="仿宋" w:eastAsia="仿宋" w:cs="仿宋"/>
          <w:color w:val="auto"/>
          <w:highlight w:val="none"/>
          <w:lang w:val="en-US" w:bidi="ar-SA"/>
        </w:rPr>
        <w:drawing>
          <wp:anchor distT="0" distB="0" distL="114300" distR="114300" simplePos="0" relativeHeight="251659264" behindDoc="1" locked="0" layoutInCell="1" allowOverlap="1">
            <wp:simplePos x="0" y="0"/>
            <wp:positionH relativeFrom="column">
              <wp:posOffset>-6650355</wp:posOffset>
            </wp:positionH>
            <wp:positionV relativeFrom="paragraph">
              <wp:posOffset>433705</wp:posOffset>
            </wp:positionV>
            <wp:extent cx="8367395" cy="3027680"/>
            <wp:effectExtent l="0" t="0" r="14605"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8367395" cy="3027680"/>
                    </a:xfrm>
                    <a:prstGeom prst="rect">
                      <a:avLst/>
                    </a:prstGeom>
                    <a:noFill/>
                    <a:ln>
                      <a:noFill/>
                    </a:ln>
                  </pic:spPr>
                </pic:pic>
              </a:graphicData>
            </a:graphic>
          </wp:anchor>
        </w:drawing>
      </w:r>
    </w:p>
    <w:p w14:paraId="08317097">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p>
    <w:p w14:paraId="226E6F66">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pPr>
    </w:p>
    <w:p w14:paraId="7A44A940">
      <w:pPr>
        <w:pStyle w:val="20"/>
        <w:keepNext w:val="0"/>
        <w:keepLines w:val="0"/>
        <w:pageBreakBefore w:val="0"/>
        <w:widowControl w:val="0"/>
        <w:kinsoku/>
        <w:wordWrap/>
        <w:overflowPunct/>
        <w:topLinePunct w:val="0"/>
        <w:bidi w:val="0"/>
        <w:spacing w:before="312" w:beforeLines="100" w:after="312" w:afterLines="100" w:line="600" w:lineRule="exact"/>
        <w:jc w:val="center"/>
        <w:rPr>
          <w:rFonts w:hint="eastAsia" w:ascii="仿宋" w:hAnsi="仿宋" w:eastAsia="仿宋" w:cs="仿宋"/>
          <w:b/>
          <w:bCs/>
          <w:color w:val="auto"/>
          <w:sz w:val="36"/>
          <w:szCs w:val="36"/>
          <w:highlight w:val="none"/>
        </w:rPr>
        <w:sectPr>
          <w:headerReference r:id="rId4" w:type="first"/>
          <w:headerReference r:id="rId3" w:type="default"/>
          <w:pgSz w:w="11905" w:h="16838"/>
          <w:pgMar w:top="1440" w:right="1587" w:bottom="1440" w:left="1587" w:header="850" w:footer="850" w:gutter="0"/>
          <w:pgBorders>
            <w:top w:val="none" w:sz="0" w:space="0"/>
            <w:left w:val="none" w:sz="0" w:space="0"/>
            <w:bottom w:val="none" w:sz="0" w:space="0"/>
            <w:right w:val="none" w:sz="0" w:space="0"/>
          </w:pgBorders>
          <w:pgNumType w:fmt="decimal" w:start="1"/>
          <w:cols w:space="720" w:num="1"/>
          <w:titlePg/>
          <w:rtlGutter w:val="0"/>
          <w:docGrid w:type="linesAndChars" w:linePitch="317" w:charSpace="0"/>
        </w:sectPr>
      </w:pPr>
    </w:p>
    <w:p w14:paraId="048D9069">
      <w:pPr>
        <w:jc w:val="center"/>
        <w:rPr>
          <w:rFonts w:hint="eastAsia"/>
          <w:b/>
          <w:bCs/>
          <w:color w:val="auto"/>
          <w:sz w:val="36"/>
          <w:szCs w:val="36"/>
          <w:highlight w:val="none"/>
        </w:rPr>
      </w:pPr>
      <w:r>
        <w:rPr>
          <w:rFonts w:hint="eastAsia"/>
          <w:b/>
          <w:bCs/>
          <w:color w:val="auto"/>
          <w:sz w:val="36"/>
          <w:szCs w:val="36"/>
          <w:highlight w:val="none"/>
        </w:rPr>
        <w:t>目 录</w:t>
      </w:r>
    </w:p>
    <w:p w14:paraId="527FE1BE">
      <w:pPr>
        <w:jc w:val="center"/>
        <w:rPr>
          <w:rFonts w:hint="eastAsia"/>
          <w:b/>
          <w:bCs/>
          <w:color w:val="auto"/>
          <w:sz w:val="32"/>
          <w:szCs w:val="32"/>
          <w:highlight w:val="none"/>
        </w:rPr>
      </w:pPr>
    </w:p>
    <w:p w14:paraId="3E6752A6">
      <w:pPr>
        <w:pStyle w:val="34"/>
        <w:tabs>
          <w:tab w:val="right" w:leader="dot" w:pos="9076"/>
        </w:tabs>
      </w:pPr>
      <w:bookmarkStart w:id="0" w:name="_Toc15390"/>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TOC \o "1-1" \h \u </w:instrText>
      </w:r>
      <w:r>
        <w:rPr>
          <w:rFonts w:hint="eastAsia" w:ascii="宋体" w:hAnsi="宋体" w:eastAsia="宋体" w:cs="宋体"/>
          <w:sz w:val="24"/>
          <w:szCs w:val="24"/>
          <w:highlight w:val="none"/>
        </w:rPr>
        <w:fldChar w:fldCharType="separate"/>
      </w: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_Toc13065 </w:instrText>
      </w:r>
      <w:r>
        <w:rPr>
          <w:rFonts w:hint="eastAsia" w:ascii="宋体" w:hAnsi="宋体" w:eastAsia="宋体" w:cs="宋体"/>
          <w:szCs w:val="24"/>
          <w:highlight w:val="none"/>
        </w:rPr>
        <w:fldChar w:fldCharType="separate"/>
      </w:r>
      <w:r>
        <w:rPr>
          <w:rFonts w:hint="eastAsia"/>
          <w:bCs/>
          <w:szCs w:val="32"/>
          <w:highlight w:val="none"/>
          <w:lang w:val="en-US" w:eastAsia="zh-CN"/>
        </w:rPr>
        <w:t>第一章 竞争性磋商公告</w:t>
      </w:r>
      <w:r>
        <w:tab/>
      </w:r>
      <w:r>
        <w:fldChar w:fldCharType="begin"/>
      </w:r>
      <w:r>
        <w:instrText xml:space="preserve"> PAGEREF _Toc13065 \h </w:instrText>
      </w:r>
      <w:r>
        <w:fldChar w:fldCharType="separate"/>
      </w:r>
      <w:r>
        <w:t>2</w:t>
      </w:r>
      <w:r>
        <w:fldChar w:fldCharType="end"/>
      </w:r>
      <w:r>
        <w:rPr>
          <w:rFonts w:hint="eastAsia" w:ascii="宋体" w:hAnsi="宋体" w:eastAsia="宋体" w:cs="宋体"/>
          <w:szCs w:val="24"/>
          <w:highlight w:val="none"/>
        </w:rPr>
        <w:fldChar w:fldCharType="end"/>
      </w:r>
    </w:p>
    <w:p w14:paraId="229CAA37">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_Toc30346 </w:instrText>
      </w:r>
      <w:r>
        <w:rPr>
          <w:rFonts w:hint="eastAsia" w:ascii="宋体" w:hAnsi="宋体" w:eastAsia="宋体" w:cs="宋体"/>
          <w:szCs w:val="24"/>
          <w:highlight w:val="none"/>
        </w:rPr>
        <w:fldChar w:fldCharType="separate"/>
      </w:r>
      <w:r>
        <w:rPr>
          <w:rFonts w:hint="eastAsia"/>
          <w:bCs/>
          <w:szCs w:val="32"/>
          <w:highlight w:val="none"/>
          <w:lang w:val="en-US" w:eastAsia="zh-CN"/>
        </w:rPr>
        <w:t xml:space="preserve">第二章 </w:t>
      </w:r>
      <w:r>
        <w:rPr>
          <w:rFonts w:hint="eastAsia" w:hAnsi="Courier New" w:cs="Courier New"/>
          <w:bCs/>
          <w:szCs w:val="32"/>
          <w:highlight w:val="none"/>
          <w:lang w:eastAsia="zh-CN"/>
        </w:rPr>
        <w:t>供应商</w:t>
      </w:r>
      <w:r>
        <w:rPr>
          <w:rFonts w:hint="eastAsia" w:hAnsi="Courier New" w:cs="Courier New"/>
          <w:bCs/>
          <w:szCs w:val="32"/>
          <w:highlight w:val="none"/>
        </w:rPr>
        <w:t>须知</w:t>
      </w:r>
      <w:r>
        <w:tab/>
      </w:r>
      <w:r>
        <w:fldChar w:fldCharType="begin"/>
      </w:r>
      <w:r>
        <w:instrText xml:space="preserve"> PAGEREF _Toc30346 \h </w:instrText>
      </w:r>
      <w:r>
        <w:fldChar w:fldCharType="separate"/>
      </w:r>
      <w:r>
        <w:t>6</w:t>
      </w:r>
      <w:r>
        <w:fldChar w:fldCharType="end"/>
      </w:r>
      <w:r>
        <w:rPr>
          <w:rFonts w:hint="eastAsia" w:ascii="宋体" w:hAnsi="宋体" w:eastAsia="宋体" w:cs="宋体"/>
          <w:szCs w:val="24"/>
          <w:highlight w:val="none"/>
        </w:rPr>
        <w:fldChar w:fldCharType="end"/>
      </w:r>
    </w:p>
    <w:p w14:paraId="242C3B0C">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_Toc29959 </w:instrText>
      </w:r>
      <w:r>
        <w:rPr>
          <w:rFonts w:hint="eastAsia" w:ascii="宋体" w:hAnsi="宋体" w:eastAsia="宋体" w:cs="宋体"/>
          <w:szCs w:val="24"/>
          <w:highlight w:val="none"/>
        </w:rPr>
        <w:fldChar w:fldCharType="separate"/>
      </w:r>
      <w:r>
        <w:rPr>
          <w:rFonts w:hint="eastAsia" w:ascii="宋体" w:hAnsi="Courier New" w:eastAsia="宋体" w:cs="Courier New"/>
          <w:bCs/>
          <w:kern w:val="2"/>
          <w:szCs w:val="32"/>
          <w:lang w:val="en-US" w:eastAsia="zh-CN" w:bidi="ar-SA"/>
        </w:rPr>
        <w:t xml:space="preserve">第三章 </w:t>
      </w:r>
      <w:r>
        <w:rPr>
          <w:rFonts w:hint="eastAsia" w:ascii="宋体" w:hAnsi="Courier New" w:eastAsia="宋体" w:cs="Courier New"/>
          <w:bCs/>
          <w:kern w:val="2"/>
          <w:szCs w:val="32"/>
          <w:highlight w:val="none"/>
          <w:lang w:val="en-US" w:eastAsia="zh-CN" w:bidi="ar-SA"/>
        </w:rPr>
        <w:t>评审办法（综合评分法）</w:t>
      </w:r>
      <w:r>
        <w:tab/>
      </w:r>
      <w:r>
        <w:fldChar w:fldCharType="begin"/>
      </w:r>
      <w:r>
        <w:instrText xml:space="preserve"> PAGEREF _Toc29959 \h </w:instrText>
      </w:r>
      <w:r>
        <w:fldChar w:fldCharType="separate"/>
      </w:r>
      <w:r>
        <w:t>29</w:t>
      </w:r>
      <w:r>
        <w:fldChar w:fldCharType="end"/>
      </w:r>
      <w:r>
        <w:rPr>
          <w:rFonts w:hint="eastAsia" w:ascii="宋体" w:hAnsi="宋体" w:eastAsia="宋体" w:cs="宋体"/>
          <w:szCs w:val="24"/>
          <w:highlight w:val="none"/>
        </w:rPr>
        <w:fldChar w:fldCharType="end"/>
      </w:r>
    </w:p>
    <w:p w14:paraId="4FE7D60B">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_Toc9853 </w:instrText>
      </w:r>
      <w:r>
        <w:rPr>
          <w:rFonts w:hint="eastAsia" w:ascii="宋体" w:hAnsi="宋体" w:eastAsia="宋体" w:cs="宋体"/>
          <w:szCs w:val="24"/>
          <w:highlight w:val="none"/>
        </w:rPr>
        <w:fldChar w:fldCharType="separate"/>
      </w:r>
      <w:r>
        <w:rPr>
          <w:rFonts w:hint="eastAsia" w:hAnsi="Courier New" w:cs="Courier New"/>
          <w:bCs/>
          <w:szCs w:val="32"/>
          <w:lang w:val="en-US" w:eastAsia="zh-CN"/>
        </w:rPr>
        <w:t xml:space="preserve">第四章 </w:t>
      </w:r>
      <w:r>
        <w:rPr>
          <w:rFonts w:hint="eastAsia" w:hAnsi="Courier New" w:cs="Courier New"/>
          <w:bCs/>
          <w:szCs w:val="32"/>
          <w:highlight w:val="none"/>
          <w:lang w:val="en-US" w:eastAsia="zh-CN"/>
        </w:rPr>
        <w:t>合同条款及格式</w:t>
      </w:r>
      <w:r>
        <w:tab/>
      </w:r>
      <w:r>
        <w:fldChar w:fldCharType="begin"/>
      </w:r>
      <w:r>
        <w:instrText xml:space="preserve"> PAGEREF _Toc9853 \h </w:instrText>
      </w:r>
      <w:r>
        <w:fldChar w:fldCharType="separate"/>
      </w:r>
      <w:r>
        <w:t>37</w:t>
      </w:r>
      <w:r>
        <w:fldChar w:fldCharType="end"/>
      </w:r>
      <w:r>
        <w:rPr>
          <w:rFonts w:hint="eastAsia" w:ascii="宋体" w:hAnsi="宋体" w:eastAsia="宋体" w:cs="宋体"/>
          <w:szCs w:val="24"/>
          <w:highlight w:val="none"/>
        </w:rPr>
        <w:fldChar w:fldCharType="end"/>
      </w:r>
    </w:p>
    <w:p w14:paraId="4B923235">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_Toc13191 </w:instrText>
      </w:r>
      <w:r>
        <w:rPr>
          <w:rFonts w:hint="eastAsia" w:ascii="宋体" w:hAnsi="宋体" w:eastAsia="宋体" w:cs="宋体"/>
          <w:szCs w:val="24"/>
          <w:highlight w:val="none"/>
        </w:rPr>
        <w:fldChar w:fldCharType="separate"/>
      </w:r>
      <w:r>
        <w:rPr>
          <w:rFonts w:hint="eastAsia" w:hAnsi="Courier New" w:cs="Courier New"/>
          <w:bCs/>
          <w:szCs w:val="32"/>
          <w:highlight w:val="none"/>
          <w:lang w:val="en-US" w:eastAsia="zh-CN"/>
        </w:rPr>
        <w:t>第五章 控制价编制依据</w:t>
      </w:r>
      <w:r>
        <w:tab/>
      </w:r>
      <w:r>
        <w:fldChar w:fldCharType="begin"/>
      </w:r>
      <w:r>
        <w:instrText xml:space="preserve"> PAGEREF _Toc13191 \h </w:instrText>
      </w:r>
      <w:r>
        <w:fldChar w:fldCharType="separate"/>
      </w:r>
      <w:r>
        <w:t>81</w:t>
      </w:r>
      <w:r>
        <w:fldChar w:fldCharType="end"/>
      </w:r>
      <w:r>
        <w:rPr>
          <w:rFonts w:hint="eastAsia" w:ascii="宋体" w:hAnsi="宋体" w:eastAsia="宋体" w:cs="宋体"/>
          <w:szCs w:val="24"/>
          <w:highlight w:val="none"/>
        </w:rPr>
        <w:fldChar w:fldCharType="end"/>
      </w:r>
    </w:p>
    <w:p w14:paraId="4462C751">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_Toc28568 </w:instrText>
      </w:r>
      <w:r>
        <w:rPr>
          <w:rFonts w:hint="eastAsia" w:ascii="宋体" w:hAnsi="宋体" w:eastAsia="宋体" w:cs="宋体"/>
          <w:szCs w:val="24"/>
          <w:highlight w:val="none"/>
        </w:rPr>
        <w:fldChar w:fldCharType="separate"/>
      </w:r>
      <w:r>
        <w:rPr>
          <w:rFonts w:hint="eastAsia" w:hAnsi="Courier New" w:cs="Courier New"/>
          <w:bCs/>
          <w:szCs w:val="32"/>
          <w:highlight w:val="none"/>
          <w:lang w:val="en-US" w:eastAsia="zh-CN"/>
        </w:rPr>
        <w:t>第六章 工程量清单（另附）</w:t>
      </w:r>
      <w:r>
        <w:tab/>
      </w:r>
      <w:r>
        <w:fldChar w:fldCharType="begin"/>
      </w:r>
      <w:r>
        <w:instrText xml:space="preserve"> PAGEREF _Toc28568 \h </w:instrText>
      </w:r>
      <w:r>
        <w:fldChar w:fldCharType="separate"/>
      </w:r>
      <w:r>
        <w:t>82</w:t>
      </w:r>
      <w:r>
        <w:fldChar w:fldCharType="end"/>
      </w:r>
      <w:r>
        <w:rPr>
          <w:rFonts w:hint="eastAsia" w:ascii="宋体" w:hAnsi="宋体" w:eastAsia="宋体" w:cs="宋体"/>
          <w:szCs w:val="24"/>
          <w:highlight w:val="none"/>
        </w:rPr>
        <w:fldChar w:fldCharType="end"/>
      </w:r>
    </w:p>
    <w:p w14:paraId="1EB8DAC5">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_Toc31624 </w:instrText>
      </w:r>
      <w:r>
        <w:rPr>
          <w:rFonts w:hint="eastAsia" w:ascii="宋体" w:hAnsi="宋体" w:eastAsia="宋体" w:cs="宋体"/>
          <w:szCs w:val="24"/>
          <w:highlight w:val="none"/>
        </w:rPr>
        <w:fldChar w:fldCharType="separate"/>
      </w:r>
      <w:r>
        <w:rPr>
          <w:rFonts w:hint="eastAsia" w:hAnsi="Courier New" w:cs="Courier New"/>
          <w:bCs/>
          <w:szCs w:val="32"/>
          <w:highlight w:val="none"/>
          <w:lang w:val="en-US" w:eastAsia="zh-CN"/>
        </w:rPr>
        <w:t>第七章 图纸（另附）</w:t>
      </w:r>
      <w:r>
        <w:tab/>
      </w:r>
      <w:r>
        <w:fldChar w:fldCharType="begin"/>
      </w:r>
      <w:r>
        <w:instrText xml:space="preserve"> PAGEREF _Toc31624 \h </w:instrText>
      </w:r>
      <w:r>
        <w:fldChar w:fldCharType="separate"/>
      </w:r>
      <w:r>
        <w:t>84</w:t>
      </w:r>
      <w:r>
        <w:fldChar w:fldCharType="end"/>
      </w:r>
      <w:r>
        <w:rPr>
          <w:rFonts w:hint="eastAsia" w:ascii="宋体" w:hAnsi="宋体" w:eastAsia="宋体" w:cs="宋体"/>
          <w:szCs w:val="24"/>
          <w:highlight w:val="none"/>
        </w:rPr>
        <w:fldChar w:fldCharType="end"/>
      </w:r>
    </w:p>
    <w:p w14:paraId="54549016">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_Toc6717 </w:instrText>
      </w:r>
      <w:r>
        <w:rPr>
          <w:rFonts w:hint="eastAsia" w:ascii="宋体" w:hAnsi="宋体" w:eastAsia="宋体" w:cs="宋体"/>
          <w:szCs w:val="24"/>
          <w:highlight w:val="none"/>
        </w:rPr>
        <w:fldChar w:fldCharType="separate"/>
      </w:r>
      <w:r>
        <w:rPr>
          <w:rFonts w:hint="eastAsia" w:hAnsi="Courier New" w:cs="Courier New"/>
          <w:bCs/>
          <w:szCs w:val="32"/>
          <w:highlight w:val="none"/>
          <w:lang w:val="en-US" w:eastAsia="zh-CN"/>
        </w:rPr>
        <w:t>第八章 技术标准和要求</w:t>
      </w:r>
      <w:r>
        <w:tab/>
      </w:r>
      <w:r>
        <w:fldChar w:fldCharType="begin"/>
      </w:r>
      <w:r>
        <w:instrText xml:space="preserve"> PAGEREF _Toc6717 \h </w:instrText>
      </w:r>
      <w:r>
        <w:fldChar w:fldCharType="separate"/>
      </w:r>
      <w:r>
        <w:t>85</w:t>
      </w:r>
      <w:r>
        <w:fldChar w:fldCharType="end"/>
      </w:r>
      <w:r>
        <w:rPr>
          <w:rFonts w:hint="eastAsia" w:ascii="宋体" w:hAnsi="宋体" w:eastAsia="宋体" w:cs="宋体"/>
          <w:szCs w:val="24"/>
          <w:highlight w:val="none"/>
        </w:rPr>
        <w:fldChar w:fldCharType="end"/>
      </w:r>
    </w:p>
    <w:p w14:paraId="1CA6C50D">
      <w:pPr>
        <w:pStyle w:val="34"/>
        <w:tabs>
          <w:tab w:val="right" w:leader="dot" w:pos="9076"/>
        </w:tabs>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_Toc11715 </w:instrText>
      </w:r>
      <w:r>
        <w:rPr>
          <w:rFonts w:hint="eastAsia" w:ascii="宋体" w:hAnsi="宋体" w:eastAsia="宋体" w:cs="宋体"/>
          <w:szCs w:val="24"/>
          <w:highlight w:val="none"/>
        </w:rPr>
        <w:fldChar w:fldCharType="separate"/>
      </w:r>
      <w:r>
        <w:rPr>
          <w:rFonts w:hint="eastAsia" w:ascii="宋体" w:hAnsi="Courier New" w:eastAsia="宋体" w:cs="Courier New"/>
          <w:bCs/>
          <w:szCs w:val="32"/>
          <w:highlight w:val="none"/>
          <w:lang w:val="en-US" w:eastAsia="zh-CN"/>
        </w:rPr>
        <w:t xml:space="preserve">第九章 </w:t>
      </w:r>
      <w:r>
        <w:rPr>
          <w:rFonts w:hint="eastAsia" w:ascii="宋体" w:hAnsi="Courier New" w:eastAsia="宋体" w:cs="Courier New"/>
          <w:bCs/>
          <w:szCs w:val="32"/>
          <w:highlight w:val="none"/>
          <w:lang w:eastAsia="zh-CN"/>
        </w:rPr>
        <w:t>响应文件</w:t>
      </w:r>
      <w:r>
        <w:rPr>
          <w:rFonts w:hint="eastAsia" w:hAnsi="Courier New" w:cs="Courier New"/>
          <w:bCs/>
          <w:szCs w:val="32"/>
          <w:highlight w:val="none"/>
        </w:rPr>
        <w:t>格式</w:t>
      </w:r>
      <w:r>
        <w:tab/>
      </w:r>
      <w:r>
        <w:fldChar w:fldCharType="begin"/>
      </w:r>
      <w:r>
        <w:instrText xml:space="preserve"> PAGEREF _Toc11715 \h </w:instrText>
      </w:r>
      <w:r>
        <w:fldChar w:fldCharType="separate"/>
      </w:r>
      <w:r>
        <w:t>86</w:t>
      </w:r>
      <w:r>
        <w:fldChar w:fldCharType="end"/>
      </w:r>
      <w:r>
        <w:rPr>
          <w:rFonts w:hint="eastAsia" w:ascii="宋体" w:hAnsi="宋体" w:eastAsia="宋体" w:cs="宋体"/>
          <w:szCs w:val="24"/>
          <w:highlight w:val="none"/>
        </w:rPr>
        <w:fldChar w:fldCharType="end"/>
      </w:r>
    </w:p>
    <w:p w14:paraId="759305C2">
      <w:pPr>
        <w:keepNext w:val="0"/>
        <w:keepLines w:val="0"/>
        <w:pageBreakBefore w:val="0"/>
        <w:widowControl w:val="0"/>
        <w:kinsoku/>
        <w:wordWrap w:val="0"/>
        <w:overflowPunct/>
        <w:topLinePunct/>
        <w:autoSpaceDE/>
        <w:autoSpaceDN/>
        <w:bidi w:val="0"/>
        <w:adjustRightInd/>
        <w:snapToGrid/>
        <w:spacing w:line="480" w:lineRule="auto"/>
        <w:textAlignment w:val="auto"/>
        <w:outlineLvl w:val="9"/>
        <w:rPr>
          <w:highlight w:val="none"/>
        </w:rPr>
      </w:pPr>
      <w:r>
        <w:rPr>
          <w:rFonts w:hint="eastAsia" w:ascii="宋体" w:hAnsi="宋体" w:eastAsia="宋体" w:cs="宋体"/>
          <w:szCs w:val="24"/>
          <w:highlight w:val="none"/>
        </w:rPr>
        <w:fldChar w:fldCharType="end"/>
      </w:r>
    </w:p>
    <w:bookmarkEnd w:id="0"/>
    <w:p w14:paraId="42D323B0">
      <w:pPr>
        <w:pStyle w:val="20"/>
        <w:numPr>
          <w:ilvl w:val="0"/>
          <w:numId w:val="0"/>
        </w:numPr>
        <w:spacing w:before="312" w:beforeLines="100" w:after="312" w:afterLines="100" w:line="600" w:lineRule="exact"/>
        <w:jc w:val="left"/>
        <w:outlineLvl w:val="0"/>
        <w:rPr>
          <w:rFonts w:hint="eastAsia"/>
          <w:b/>
          <w:bCs/>
          <w:color w:val="auto"/>
          <w:sz w:val="32"/>
          <w:szCs w:val="32"/>
          <w:highlight w:val="none"/>
          <w:lang w:val="en-US" w:eastAsia="zh-CN"/>
        </w:rPr>
      </w:pPr>
      <w:bookmarkStart w:id="1" w:name="_Toc410126998"/>
    </w:p>
    <w:p w14:paraId="55C78DD0">
      <w:pPr>
        <w:pStyle w:val="20"/>
        <w:numPr>
          <w:ilvl w:val="0"/>
          <w:numId w:val="0"/>
        </w:numPr>
        <w:spacing w:before="312" w:beforeLines="100" w:after="312" w:afterLines="100" w:line="600" w:lineRule="exact"/>
        <w:jc w:val="center"/>
        <w:outlineLvl w:val="0"/>
        <w:rPr>
          <w:color w:val="auto"/>
          <w:highlight w:val="none"/>
        </w:rPr>
      </w:pPr>
      <w:r>
        <w:rPr>
          <w:rFonts w:hint="eastAsia"/>
          <w:b/>
          <w:bCs/>
          <w:color w:val="auto"/>
          <w:sz w:val="32"/>
          <w:szCs w:val="32"/>
          <w:highlight w:val="none"/>
          <w:lang w:val="en-US" w:eastAsia="zh-CN"/>
        </w:rPr>
        <w:br w:type="page"/>
      </w:r>
      <w:bookmarkStart w:id="2" w:name="_Toc13065"/>
      <w:bookmarkStart w:id="3" w:name="_Toc992"/>
      <w:r>
        <w:rPr>
          <w:rFonts w:hint="eastAsia"/>
          <w:b/>
          <w:bCs/>
          <w:color w:val="auto"/>
          <w:sz w:val="32"/>
          <w:szCs w:val="32"/>
          <w:highlight w:val="none"/>
          <w:lang w:val="en-US" w:eastAsia="zh-CN"/>
        </w:rPr>
        <w:t>第一章 竞争性磋商公告</w:t>
      </w:r>
      <w:bookmarkEnd w:id="2"/>
      <w:bookmarkEnd w:id="3"/>
    </w:p>
    <w:p w14:paraId="3A1F5E66">
      <w:pPr>
        <w:spacing w:line="360" w:lineRule="auto"/>
        <w:ind w:firstLine="480" w:firstLineChars="200"/>
        <w:rPr>
          <w:rFonts w:hint="eastAsia" w:ascii="宋体" w:hAnsi="宋体" w:eastAsia="宋体" w:cs="宋体"/>
          <w:sz w:val="24"/>
          <w:szCs w:val="24"/>
          <w:lang w:val="en-US" w:eastAsia="zh-CN"/>
        </w:rPr>
      </w:pPr>
      <w:bookmarkStart w:id="4" w:name="_Toc1254"/>
      <w:bookmarkStart w:id="5" w:name="_Toc270604573"/>
      <w:r>
        <w:rPr>
          <w:rFonts w:hint="eastAsia" w:ascii="宋体" w:hAnsi="宋体" w:eastAsia="宋体" w:cs="宋体"/>
          <w:sz w:val="24"/>
          <w:szCs w:val="24"/>
          <w:lang w:val="en-US" w:eastAsia="zh-CN"/>
        </w:rPr>
        <w:t>项目概况</w:t>
      </w:r>
    </w:p>
    <w:p w14:paraId="72FF0F9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年普通国省道穿村过镇平交路口治理项目(湖滨区、开发区、示范区)招标项目的潜在投标人应在三门峡市公共资源交易中心网（网址：http://gzjy.smx.gov.cn）获取竞争性磋商文件，并于2025年9月30日08时20分（北京时间）前递交响应文件。</w:t>
      </w:r>
    </w:p>
    <w:p w14:paraId="15FADCA9">
      <w:pPr>
        <w:numPr>
          <w:ilvl w:val="0"/>
          <w:numId w:val="2"/>
        </w:num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项目基本情况</w:t>
      </w:r>
    </w:p>
    <w:p w14:paraId="460830C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color w:val="auto"/>
          <w:sz w:val="24"/>
          <w:szCs w:val="24"/>
          <w:lang w:val="en-US" w:eastAsia="zh-CN"/>
        </w:rPr>
        <w:t>项目编号：</w:t>
      </w:r>
      <w:r>
        <w:rPr>
          <w:rFonts w:hint="eastAsia" w:ascii="宋体" w:hAnsi="宋体" w:eastAsia="宋体" w:cs="宋体"/>
          <w:color w:val="auto"/>
          <w:sz w:val="24"/>
          <w:szCs w:val="24"/>
          <w:highlight w:val="none"/>
          <w:lang w:val="en-US" w:eastAsia="zh-CN"/>
        </w:rPr>
        <w:t>三财竞磋采购-2025-64</w:t>
      </w:r>
      <w:r>
        <w:rPr>
          <w:rFonts w:hint="eastAsia" w:cs="宋体"/>
          <w:color w:val="auto"/>
          <w:sz w:val="24"/>
          <w:szCs w:val="24"/>
          <w:highlight w:val="none"/>
          <w:lang w:val="en-US" w:eastAsia="zh-CN"/>
        </w:rPr>
        <w:t>、SGZ[2025]394-ZC270</w:t>
      </w:r>
      <w:r>
        <w:rPr>
          <w:rFonts w:hint="eastAsia" w:ascii="宋体" w:hAnsi="宋体" w:eastAsia="宋体" w:cs="宋体"/>
          <w:color w:val="auto"/>
          <w:sz w:val="24"/>
          <w:szCs w:val="24"/>
          <w:highlight w:val="none"/>
          <w:lang w:val="en-US" w:eastAsia="zh-CN"/>
        </w:rPr>
        <w:t xml:space="preserve"> </w:t>
      </w:r>
    </w:p>
    <w:p w14:paraId="4428052D">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2、项目名称</w:t>
      </w:r>
      <w:r>
        <w:rPr>
          <w:rFonts w:hint="eastAsia" w:ascii="宋体" w:hAnsi="宋体" w:eastAsia="宋体" w:cs="宋体"/>
          <w:sz w:val="24"/>
          <w:szCs w:val="24"/>
          <w:highlight w:val="none"/>
          <w:lang w:val="en-US" w:eastAsia="zh-CN"/>
        </w:rPr>
        <w:t>：</w:t>
      </w:r>
      <w:r>
        <w:rPr>
          <w:rFonts w:hint="eastAsia" w:ascii="宋体" w:hAnsi="宋体" w:eastAsia="宋体" w:cs="宋体"/>
          <w:strike w:val="0"/>
          <w:dstrike w:val="0"/>
          <w:sz w:val="24"/>
          <w:szCs w:val="24"/>
          <w:highlight w:val="none"/>
          <w:lang w:val="en-US" w:eastAsia="zh-CN"/>
        </w:rPr>
        <w:t>2025年普通国省道穿村过镇平交路口治理项目(湖滨区、开发区、示范区)</w:t>
      </w:r>
    </w:p>
    <w:p w14:paraId="4213263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3、采购方式：竞争性磋商</w:t>
      </w:r>
    </w:p>
    <w:p w14:paraId="3DEAC3CA">
      <w:pPr>
        <w:spacing w:line="360" w:lineRule="auto"/>
        <w:ind w:firstLine="480" w:firstLineChars="200"/>
        <w:rPr>
          <w:rFonts w:hint="default" w:ascii="宋体" w:hAnsi="宋体" w:eastAsia="宋体" w:cs="宋体"/>
          <w:sz w:val="24"/>
          <w:szCs w:val="24"/>
          <w:u w:val="single"/>
          <w:lang w:val="en-US" w:eastAsia="zh-CN"/>
        </w:rPr>
      </w:pPr>
      <w:r>
        <w:rPr>
          <w:rFonts w:hint="eastAsia" w:ascii="宋体" w:hAnsi="宋体" w:eastAsia="宋体" w:cs="宋体"/>
          <w:sz w:val="24"/>
          <w:szCs w:val="24"/>
          <w:lang w:val="en-US" w:eastAsia="zh-CN"/>
        </w:rPr>
        <w:t>4、预算金额：</w:t>
      </w:r>
      <w:r>
        <w:rPr>
          <w:rFonts w:hint="eastAsia" w:ascii="宋体" w:hAnsi="宋体" w:eastAsia="宋体" w:cs="宋体"/>
          <w:sz w:val="24"/>
          <w:szCs w:val="24"/>
          <w:u w:val="single"/>
          <w:lang w:val="en-US" w:eastAsia="zh-CN"/>
        </w:rPr>
        <w:t>3033987.54</w:t>
      </w:r>
      <w:r>
        <w:rPr>
          <w:rFonts w:hint="eastAsia" w:ascii="宋体" w:hAnsi="宋体" w:eastAsia="宋体" w:cs="宋体"/>
          <w:sz w:val="24"/>
          <w:szCs w:val="24"/>
          <w:highlight w:val="none"/>
          <w:u w:val="single"/>
          <w:lang w:val="en-US" w:eastAsia="zh-CN"/>
        </w:rPr>
        <w:t>元</w:t>
      </w:r>
    </w:p>
    <w:p w14:paraId="7D78C8FA">
      <w:pPr>
        <w:spacing w:line="360" w:lineRule="auto"/>
        <w:ind w:firstLine="960" w:firstLineChars="4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最高限价：</w:t>
      </w:r>
      <w:r>
        <w:rPr>
          <w:rFonts w:hint="eastAsia" w:cs="宋体"/>
          <w:sz w:val="24"/>
          <w:szCs w:val="24"/>
          <w:u w:val="single"/>
          <w:lang w:val="en-US" w:eastAsia="zh-CN"/>
        </w:rPr>
        <w:t>3033987.54元</w:t>
      </w:r>
    </w:p>
    <w:tbl>
      <w:tblPr>
        <w:tblStyle w:val="48"/>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630"/>
        <w:gridCol w:w="2819"/>
        <w:gridCol w:w="1812"/>
        <w:gridCol w:w="2006"/>
      </w:tblGrid>
      <w:tr w14:paraId="3EE2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2" w:type="dxa"/>
            <w:noWrap/>
            <w:vAlign w:val="center"/>
          </w:tcPr>
          <w:p w14:paraId="4847ADEA">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序号</w:t>
            </w:r>
          </w:p>
        </w:tc>
        <w:tc>
          <w:tcPr>
            <w:tcW w:w="1630" w:type="dxa"/>
            <w:noWrap/>
            <w:vAlign w:val="center"/>
          </w:tcPr>
          <w:p w14:paraId="448C7CCB">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包号</w:t>
            </w:r>
          </w:p>
        </w:tc>
        <w:tc>
          <w:tcPr>
            <w:tcW w:w="2819" w:type="dxa"/>
            <w:noWrap/>
            <w:vAlign w:val="center"/>
          </w:tcPr>
          <w:p w14:paraId="6E73FEF1">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包名称</w:t>
            </w:r>
          </w:p>
        </w:tc>
        <w:tc>
          <w:tcPr>
            <w:tcW w:w="1812" w:type="dxa"/>
            <w:noWrap/>
            <w:vAlign w:val="center"/>
          </w:tcPr>
          <w:p w14:paraId="22B65630">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包预算（元）</w:t>
            </w:r>
          </w:p>
        </w:tc>
        <w:tc>
          <w:tcPr>
            <w:tcW w:w="2006" w:type="dxa"/>
            <w:noWrap/>
            <w:vAlign w:val="center"/>
          </w:tcPr>
          <w:p w14:paraId="7E25AA7F">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包最高限价（元）</w:t>
            </w:r>
          </w:p>
        </w:tc>
      </w:tr>
      <w:tr w14:paraId="3D8F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722" w:type="dxa"/>
            <w:noWrap/>
            <w:vAlign w:val="center"/>
          </w:tcPr>
          <w:p w14:paraId="44220532">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1630" w:type="dxa"/>
            <w:noWrap/>
            <w:vAlign w:val="center"/>
          </w:tcPr>
          <w:p w14:paraId="3874195A">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jc w:val="center"/>
              <w:rPr>
                <w:rFonts w:hint="default" w:ascii="宋体" w:hAnsi="宋体" w:eastAsia="宋体" w:cs="宋体"/>
                <w:color w:val="auto"/>
                <w:kern w:val="0"/>
                <w:sz w:val="22"/>
                <w:szCs w:val="22"/>
                <w:highlight w:val="none"/>
                <w:lang w:val="en-US" w:eastAsia="zh-CN"/>
              </w:rPr>
            </w:pPr>
            <w:r>
              <w:rPr>
                <w:rFonts w:hint="default" w:ascii="宋体" w:hAnsi="宋体" w:eastAsia="宋体" w:cs="宋体"/>
                <w:color w:val="auto"/>
                <w:kern w:val="0"/>
                <w:sz w:val="22"/>
                <w:szCs w:val="22"/>
                <w:highlight w:val="none"/>
                <w:lang w:val="en-US" w:eastAsia="zh-CN"/>
              </w:rPr>
              <w:t>SGZ[2025]394-ZC270</w:t>
            </w:r>
            <w:r>
              <w:rPr>
                <w:rFonts w:hint="eastAsia" w:cs="宋体"/>
                <w:color w:val="auto"/>
                <w:kern w:val="0"/>
                <w:sz w:val="22"/>
                <w:szCs w:val="22"/>
                <w:highlight w:val="none"/>
                <w:lang w:val="en-US" w:eastAsia="zh-CN"/>
              </w:rPr>
              <w:t>-1</w:t>
            </w:r>
          </w:p>
        </w:tc>
        <w:tc>
          <w:tcPr>
            <w:tcW w:w="2819" w:type="dxa"/>
            <w:noWrap/>
            <w:vAlign w:val="center"/>
          </w:tcPr>
          <w:p w14:paraId="58932A74">
            <w:pPr>
              <w:spacing w:line="480" w:lineRule="exact"/>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strike w:val="0"/>
                <w:dstrike w:val="0"/>
                <w:sz w:val="22"/>
                <w:szCs w:val="22"/>
                <w:highlight w:val="none"/>
                <w:lang w:val="en-US" w:eastAsia="zh-CN"/>
              </w:rPr>
              <w:t>2025年普通国省道穿村过镇平交路口治理项目(湖滨区、开发区、示范区)</w:t>
            </w:r>
          </w:p>
        </w:tc>
        <w:tc>
          <w:tcPr>
            <w:tcW w:w="1812" w:type="dxa"/>
            <w:noWrap/>
            <w:vAlign w:val="center"/>
          </w:tcPr>
          <w:p w14:paraId="0552F023">
            <w:pPr>
              <w:spacing w:line="48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3033987.54</w:t>
            </w:r>
          </w:p>
        </w:tc>
        <w:tc>
          <w:tcPr>
            <w:tcW w:w="2006" w:type="dxa"/>
            <w:noWrap/>
            <w:vAlign w:val="center"/>
          </w:tcPr>
          <w:p w14:paraId="7E0D6129">
            <w:pPr>
              <w:spacing w:line="480" w:lineRule="exact"/>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3033987.54</w:t>
            </w:r>
          </w:p>
        </w:tc>
      </w:tr>
    </w:tbl>
    <w:p w14:paraId="6BC05A0F">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5、采购需求（包括但不限于标的的名称、数量、简要技术需求或服务要求等）：</w:t>
      </w:r>
    </w:p>
    <w:p w14:paraId="4E9E937E">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5.1项目概况：</w:t>
      </w:r>
      <w:r>
        <w:rPr>
          <w:rFonts w:hint="eastAsia" w:ascii="宋体" w:hAnsi="宋体" w:eastAsia="宋体" w:cs="宋体"/>
          <w:sz w:val="24"/>
          <w:szCs w:val="24"/>
          <w:highlight w:val="none"/>
          <w:lang w:val="en-US" w:eastAsia="zh-CN"/>
        </w:rPr>
        <w:t>2025年普通国省道穿村过镇平交路口治理项目(湖滨区、开发区、示范区)，隐患处理共计68处，其中一般路口62处，伤亡路口6处。主要包含设置标志牌、标线、黄闪灯、LED爆闪灯、道口标柱、橡胶减速丘、凸面镜、线形诱导标、SB级波形护栏、道路安全预警设施等</w:t>
      </w:r>
      <w:r>
        <w:rPr>
          <w:rFonts w:hint="eastAsia" w:ascii="宋体" w:hAnsi="宋体" w:eastAsia="宋体" w:cs="宋体"/>
          <w:sz w:val="24"/>
          <w:szCs w:val="24"/>
          <w:lang w:val="en-US" w:eastAsia="zh-CN"/>
        </w:rPr>
        <w:t>。（具体详见竞争性磋商文件及工程量清单）。</w:t>
      </w:r>
    </w:p>
    <w:p w14:paraId="1C59927B">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5.2磋商范围：</w:t>
      </w:r>
      <w:r>
        <w:rPr>
          <w:rFonts w:hint="eastAsia" w:ascii="宋体" w:hAnsi="宋体" w:eastAsia="宋体" w:cs="宋体"/>
          <w:color w:val="auto"/>
          <w:sz w:val="24"/>
          <w:szCs w:val="24"/>
          <w:highlight w:val="none"/>
          <w:lang w:eastAsia="zh-CN"/>
        </w:rPr>
        <w:t>本项目竞争性磋商文件、工程量清单、补充文件及答疑文件（如有）等列明的所有内容。</w:t>
      </w:r>
    </w:p>
    <w:p w14:paraId="5898DF83">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lang w:val="en-US" w:eastAsia="zh-CN"/>
        </w:rPr>
        <w:t>5.3资金来源：省补资金和地方自筹</w:t>
      </w:r>
    </w:p>
    <w:p w14:paraId="3DABF2E8">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5.4计划工期：50日历天</w:t>
      </w:r>
    </w:p>
    <w:p w14:paraId="41B6D4DF">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5.5质量要求：工程交工验收的质量评定：合格；</w:t>
      </w:r>
    </w:p>
    <w:p w14:paraId="153B5D65">
      <w:pPr>
        <w:keepNext w:val="0"/>
        <w:keepLines w:val="0"/>
        <w:pageBreakBefore w:val="0"/>
        <w:widowControl w:val="0"/>
        <w:kinsoku/>
        <w:overflowPunct/>
        <w:autoSpaceDE/>
        <w:autoSpaceDN/>
        <w:bidi w:val="0"/>
        <w:adjustRightInd/>
        <w:snapToGrid/>
        <w:spacing w:line="360" w:lineRule="auto"/>
        <w:ind w:firstLine="2160" w:firstLineChars="9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竣工验收的质量评定：优良。</w:t>
      </w:r>
    </w:p>
    <w:p w14:paraId="04C889E4">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5.6标段划分：本项目共1个标段。</w:t>
      </w:r>
    </w:p>
    <w:p w14:paraId="0F2AB03C">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6、本项目是否接受联合体投标：否；</w:t>
      </w:r>
    </w:p>
    <w:p w14:paraId="62787D5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7、是否接受进口产品：否；</w:t>
      </w:r>
    </w:p>
    <w:p w14:paraId="61F6E6B6">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8、是否专门面向中小企业：否。</w:t>
      </w:r>
    </w:p>
    <w:p w14:paraId="1C9DC8D0">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二、申请人资格要求：</w:t>
      </w:r>
    </w:p>
    <w:p w14:paraId="5EB043E4">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1、满足《中华人民共和国政府采购法》第二十二条规定；</w:t>
      </w:r>
    </w:p>
    <w:p w14:paraId="4FB3CC93">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2、落实政府采购政策满足的资格要求：</w:t>
      </w:r>
    </w:p>
    <w:p w14:paraId="7A8F4EE1">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本项目执行促进中小型企业发展政策（监狱企业、残疾人福利性企业视同小微企业）、强制采购节能产品、优先采购节能环保产品等政府采购政策。</w:t>
      </w:r>
    </w:p>
    <w:p w14:paraId="00E506D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3、本项目的特定资格要求：</w:t>
      </w:r>
    </w:p>
    <w:p w14:paraId="1963CF9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3.1提供有效的营业执照；</w:t>
      </w:r>
    </w:p>
    <w:p w14:paraId="04387222">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3.2</w:t>
      </w:r>
      <w:r>
        <w:rPr>
          <w:rFonts w:hint="eastAsia" w:ascii="宋体" w:hAnsi="宋体" w:eastAsia="宋体" w:cs="宋体"/>
          <w:sz w:val="24"/>
          <w:szCs w:val="24"/>
          <w:highlight w:val="none"/>
          <w:lang w:val="en-US" w:eastAsia="zh-CN"/>
        </w:rPr>
        <w:t>具有交通安全设施养护资质，具有有效的安全生产许可证，并在人员、设备、资金等方面具有相应的施工能力；</w:t>
      </w:r>
    </w:p>
    <w:p w14:paraId="1F064E0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3.3拟派项目经理须具备公路工程专业贰级及以上注册建造师资格、具备有效的安全生产考核合格证书并出具项目经理无在建工程承诺书；项目总工应具备相关专业的中级及以上技术职称；</w:t>
      </w:r>
    </w:p>
    <w:p w14:paraId="4F0FDE8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3.4供应商须自行承诺本企业无商业贿赂和不正当竞争行为；</w:t>
      </w:r>
    </w:p>
    <w:p w14:paraId="30B7C37E">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3.5供应商出具无行贿犯罪记录，在中国裁判文书网自行查询或自行承诺(查询/承诺对象：企业、法定代表人、拟派项目经理)；</w:t>
      </w:r>
    </w:p>
    <w:p w14:paraId="36710F0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根据《关于在政府采购活动中查询及使用信用记录有关问题的通知》(财库[2016]125号)的规定，对列入“中国执行信息公开网”网站（http://zxgk.court.gov.cn/shixin/）的“失信被执行人”、“信用中国”网站（www.creditchina.gov.cn）的“重大税收违法失信主体”、“政府采购严重违法失信行为记录名单”及“中国政府采购网”www.ccgp.gov.cn网站的“政府采购严重违法失信行为记录名单”的供应商，将被拒绝参与本项目政府采购活动；供应商须提供查询截图并加盖公章（查询时间为自公告发布之日起至响应文件提交截止时间，在规定的查询时间之后，网站信息发生的任何变更均不再作为评标依据。供应商自行提供的与网站信息不一致的其他证明材料亦不作为资格审查的依据）；</w:t>
      </w:r>
    </w:p>
    <w:p w14:paraId="0FA1D58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3.7单位负责人为同一人或者存在直接控股、管理关系的不同供应商，不得参加同一合同项下的政府采购活动；</w:t>
      </w:r>
    </w:p>
    <w:p w14:paraId="6884A49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3.8本项目不接受联合体投标；</w:t>
      </w:r>
    </w:p>
    <w:p w14:paraId="072E462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3.9本次招标实行资格后审，资格审查的具体要求见竞争性磋商文件。</w:t>
      </w:r>
    </w:p>
    <w:p w14:paraId="388AD69B">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三、获取磋商文件：</w:t>
      </w:r>
    </w:p>
    <w:p w14:paraId="63BBFB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1、时间：</w:t>
      </w:r>
      <w:r>
        <w:rPr>
          <w:rFonts w:hint="eastAsia" w:ascii="宋体" w:hAnsi="宋体" w:eastAsia="宋体" w:cs="宋体"/>
          <w:color w:val="auto"/>
          <w:kern w:val="0"/>
          <w:sz w:val="24"/>
          <w:szCs w:val="24"/>
          <w:highlight w:val="none"/>
          <w:lang w:eastAsia="zh-CN"/>
        </w:rPr>
        <w:t>202</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年</w:t>
      </w:r>
      <w:r>
        <w:rPr>
          <w:rStyle w:val="59"/>
          <w:rFonts w:hint="eastAsia" w:ascii="宋体" w:hAnsi="宋体" w:eastAsia="宋体" w:cs="宋体"/>
          <w:color w:val="auto"/>
          <w:kern w:val="0"/>
          <w:sz w:val="24"/>
          <w:szCs w:val="24"/>
          <w:highlight w:val="none"/>
          <w:lang w:val="en-US" w:eastAsia="zh-CN"/>
        </w:rPr>
        <w:t>9</w:t>
      </w:r>
      <w:r>
        <w:rPr>
          <w:rStyle w:val="59"/>
          <w:rFonts w:hint="eastAsia" w:ascii="宋体" w:hAnsi="宋体" w:eastAsia="宋体" w:cs="宋体"/>
          <w:color w:val="auto"/>
          <w:kern w:val="0"/>
          <w:sz w:val="24"/>
          <w:szCs w:val="24"/>
          <w:highlight w:val="none"/>
        </w:rPr>
        <w:t>月</w:t>
      </w:r>
      <w:r>
        <w:rPr>
          <w:rStyle w:val="59"/>
          <w:rFonts w:hint="eastAsia" w:cs="宋体"/>
          <w:color w:val="auto"/>
          <w:kern w:val="0"/>
          <w:sz w:val="24"/>
          <w:szCs w:val="24"/>
          <w:highlight w:val="none"/>
          <w:lang w:val="en-US" w:eastAsia="zh-CN"/>
        </w:rPr>
        <w:t>19</w:t>
      </w:r>
      <w:r>
        <w:rPr>
          <w:rStyle w:val="59"/>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rPr>
        <w:t xml:space="preserve">至 </w:t>
      </w:r>
      <w:r>
        <w:rPr>
          <w:rFonts w:hint="eastAsia" w:ascii="宋体" w:hAnsi="宋体" w:eastAsia="宋体" w:cs="宋体"/>
          <w:color w:val="auto"/>
          <w:kern w:val="0"/>
          <w:sz w:val="24"/>
          <w:szCs w:val="24"/>
          <w:highlight w:val="none"/>
          <w:lang w:eastAsia="zh-CN"/>
        </w:rPr>
        <w:t>202</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9月</w:t>
      </w:r>
      <w:r>
        <w:rPr>
          <w:rFonts w:hint="eastAsia" w:cs="宋体"/>
          <w:color w:val="auto"/>
          <w:kern w:val="0"/>
          <w:sz w:val="24"/>
          <w:szCs w:val="24"/>
          <w:highlight w:val="none"/>
          <w:lang w:val="en-US" w:eastAsia="zh-CN"/>
        </w:rPr>
        <w:t>29</w:t>
      </w:r>
      <w:r>
        <w:rPr>
          <w:rFonts w:hint="eastAsia" w:ascii="宋体" w:hAnsi="宋体" w:eastAsia="宋体" w:cs="宋体"/>
          <w:color w:val="auto"/>
          <w:kern w:val="0"/>
          <w:sz w:val="24"/>
          <w:szCs w:val="24"/>
          <w:highlight w:val="none"/>
          <w:lang w:val="en-US" w:eastAsia="zh-CN"/>
        </w:rPr>
        <w:t>日</w:t>
      </w:r>
      <w:r>
        <w:rPr>
          <w:rFonts w:hint="eastAsia" w:ascii="宋体" w:hAnsi="宋体" w:eastAsia="宋体" w:cs="宋体"/>
          <w:color w:val="auto"/>
          <w:kern w:val="0"/>
          <w:sz w:val="24"/>
          <w:szCs w:val="24"/>
          <w:highlight w:val="none"/>
        </w:rPr>
        <w:t>，每天上午</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:00至12:00，下午12:00至</w:t>
      </w:r>
      <w:r>
        <w:rPr>
          <w:rFonts w:hint="eastAsia" w:ascii="宋体" w:hAnsi="宋体" w:eastAsia="宋体" w:cs="宋体"/>
          <w:color w:val="auto"/>
          <w:kern w:val="0"/>
          <w:sz w:val="24"/>
          <w:szCs w:val="24"/>
          <w:highlight w:val="none"/>
          <w:lang w:val="en-US" w:eastAsia="zh-CN"/>
        </w:rPr>
        <w:t>23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59（北京时间）</w:t>
      </w:r>
      <w:r>
        <w:rPr>
          <w:rFonts w:hint="eastAsia" w:ascii="宋体" w:hAnsi="宋体" w:eastAsia="宋体" w:cs="宋体"/>
          <w:color w:val="auto"/>
          <w:sz w:val="24"/>
          <w:szCs w:val="24"/>
          <w:highlight w:val="none"/>
        </w:rPr>
        <w:t>。</w:t>
      </w:r>
    </w:p>
    <w:p w14:paraId="699207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2、地点：三门峡市公共资源交易中心网</w:t>
      </w:r>
      <w:r>
        <w:rPr>
          <w:rFonts w:hint="eastAsia" w:ascii="宋体" w:hAnsi="宋体" w:eastAsia="宋体" w:cs="宋体"/>
          <w:color w:val="auto"/>
          <w:kern w:val="0"/>
          <w:sz w:val="24"/>
          <w:szCs w:val="24"/>
          <w:highlight w:val="none"/>
          <w:lang w:val="en-US" w:eastAsia="zh-CN"/>
        </w:rPr>
        <w:t>（网址：http://gzjy.smx.gov.cn）</w:t>
      </w:r>
    </w:p>
    <w:p w14:paraId="09566E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3、方式：</w:t>
      </w:r>
      <w:r>
        <w:rPr>
          <w:rFonts w:hint="eastAsia" w:ascii="宋体" w:hAnsi="宋体" w:eastAsia="宋体" w:cs="宋体"/>
          <w:color w:val="auto"/>
          <w:kern w:val="0"/>
          <w:sz w:val="24"/>
          <w:szCs w:val="24"/>
          <w:highlight w:val="none"/>
          <w:lang w:eastAsia="zh-CN"/>
        </w:rPr>
        <w:t>供应商凭CA数字证书通过三门峡市公共资源交易中心网（网址：</w:t>
      </w:r>
      <w:r>
        <w:rPr>
          <w:rFonts w:hint="eastAsia" w:ascii="宋体" w:hAnsi="宋体" w:eastAsia="宋体" w:cs="宋体"/>
          <w:color w:val="auto"/>
          <w:kern w:val="0"/>
          <w:sz w:val="24"/>
          <w:szCs w:val="24"/>
          <w:highlight w:val="none"/>
          <w:u w:val="none"/>
          <w:lang w:eastAsia="zh-CN"/>
        </w:rPr>
        <w:t>http://gzjy.smx.gov.cn/），点击交易平台选择“市场主体登录”，登陆系统后，点击采购业务-业务管理-竞争性磋商文件领取菜单-点击领取按钮-领取.smxzf格式的电子竞争性磋商文件。</w:t>
      </w:r>
    </w:p>
    <w:p w14:paraId="343DFAED">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办理CA证书：</w:t>
      </w:r>
    </w:p>
    <w:p w14:paraId="1589A61C">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http://gzjy.smx.gov.cn/bzzx/008001/20231102/4defc9b5-408e-47f2-9e9f-1f376a06ee1f.html</w:t>
      </w:r>
    </w:p>
    <w:p w14:paraId="08C877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4、售价：0元</w:t>
      </w:r>
    </w:p>
    <w:p w14:paraId="2507057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四、响应文件提交</w:t>
      </w:r>
    </w:p>
    <w:p w14:paraId="1875DB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1、截止时间：</w:t>
      </w:r>
      <w:r>
        <w:rPr>
          <w:rStyle w:val="59"/>
          <w:rFonts w:hint="eastAsia" w:cs="宋体"/>
          <w:color w:val="auto"/>
          <w:kern w:val="0"/>
          <w:sz w:val="24"/>
          <w:szCs w:val="24"/>
          <w:highlight w:val="none"/>
          <w:lang w:eastAsia="zh-CN"/>
        </w:rPr>
        <w:t>2025年9月30日08时20分</w:t>
      </w:r>
      <w:r>
        <w:rPr>
          <w:rFonts w:hint="eastAsia" w:ascii="宋体" w:hAnsi="宋体" w:eastAsia="宋体" w:cs="宋体"/>
          <w:color w:val="auto"/>
          <w:kern w:val="0"/>
          <w:sz w:val="24"/>
          <w:szCs w:val="24"/>
          <w:highlight w:val="none"/>
        </w:rPr>
        <w:t>（北京时间）</w:t>
      </w:r>
    </w:p>
    <w:p w14:paraId="0ACA83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2、地点：在三门峡市公共资源交易中心网站上传加密响应文件</w:t>
      </w:r>
    </w:p>
    <w:p w14:paraId="4B6D2FAF">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五、响应文件开启</w:t>
      </w:r>
    </w:p>
    <w:p w14:paraId="3B1EE88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1、时间：</w:t>
      </w:r>
      <w:r>
        <w:rPr>
          <w:rFonts w:hint="eastAsia" w:cs="宋体"/>
          <w:sz w:val="24"/>
          <w:szCs w:val="24"/>
          <w:lang w:val="en-US" w:eastAsia="zh-CN"/>
        </w:rPr>
        <w:t>2025年9月30日08时20分</w:t>
      </w:r>
      <w:r>
        <w:rPr>
          <w:rFonts w:hint="eastAsia" w:ascii="宋体" w:hAnsi="宋体" w:eastAsia="宋体" w:cs="宋体"/>
          <w:sz w:val="24"/>
          <w:szCs w:val="24"/>
          <w:lang w:val="en-US" w:eastAsia="zh-CN"/>
        </w:rPr>
        <w:t>（北京时间）</w:t>
      </w:r>
    </w:p>
    <w:p w14:paraId="0F11677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2、地点：三门峡市公共资源交易中心五楼开标区</w:t>
      </w:r>
    </w:p>
    <w:p w14:paraId="11D7CC5F">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六、发布公告的媒介及公告期限</w:t>
      </w:r>
    </w:p>
    <w:p w14:paraId="635C8D3E">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本次竞争性磋商公告同时在《中国招标投标公共服务平台》、《河南省政府采购网》、《三门峡市公共资源交易中心》、《三门峡市交通运输局》上发布</w:t>
      </w:r>
      <w:r>
        <w:rPr>
          <w:rFonts w:hint="eastAsia" w:ascii="宋体" w:hAnsi="宋体" w:eastAsia="宋体" w:cs="宋体"/>
          <w:bCs/>
          <w:color w:val="auto"/>
          <w:sz w:val="24"/>
          <w:szCs w:val="24"/>
          <w:highlight w:val="none"/>
        </w:rPr>
        <w:t>，公告期限为三个工作日</w:t>
      </w:r>
      <w:r>
        <w:rPr>
          <w:rFonts w:hint="eastAsia" w:ascii="宋体" w:hAnsi="宋体" w:eastAsia="宋体" w:cs="宋体"/>
          <w:sz w:val="24"/>
          <w:szCs w:val="24"/>
          <w:lang w:val="en-US" w:eastAsia="zh-CN"/>
        </w:rPr>
        <w:t xml:space="preserve">。 </w:t>
      </w:r>
    </w:p>
    <w:p w14:paraId="5F0A3AA7">
      <w:pPr>
        <w:keepNext w:val="0"/>
        <w:keepLines w:val="0"/>
        <w:pageBreakBefore w:val="0"/>
        <w:widowControl w:val="0"/>
        <w:kinsoku/>
        <w:overflowPunct/>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七、其他事项</w:t>
      </w:r>
    </w:p>
    <w:p w14:paraId="4C7D5DA4">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1、根据《河南省财政厅关于优化政府采购营商环境有关问题的通知》（豫财购【2019】4号）第6条的规定，本项目不收取磋商保证金。</w:t>
      </w:r>
    </w:p>
    <w:p w14:paraId="1396F35D">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2、本项目资格评审和业绩以响应文件为准，投标人可使用电子营业执照：</w:t>
      </w:r>
    </w:p>
    <w:p w14:paraId="359EABA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highlight w:val="none"/>
          <w:lang w:val="en-US" w:eastAsia="zh-CN"/>
        </w:rPr>
        <w:t>资格评（预）审部分：资格评（预）以响应文件为准，其上传资料真实性由供应商自</w:t>
      </w:r>
      <w:r>
        <w:rPr>
          <w:rFonts w:hint="eastAsia" w:ascii="宋体" w:hAnsi="宋体" w:eastAsia="宋体" w:cs="宋体"/>
          <w:strike w:val="0"/>
          <w:dstrike w:val="0"/>
          <w:sz w:val="24"/>
          <w:szCs w:val="24"/>
          <w:highlight w:val="none"/>
          <w:lang w:val="en-US" w:eastAsia="zh-CN"/>
        </w:rPr>
        <w:t>行承担。</w:t>
      </w:r>
    </w:p>
    <w:p w14:paraId="71EADFCC">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（2）评审打分部分：评审打分部分仍按照100分制原则进行，涉及到资格审查、企业荣誉、人员业绩、企业业绩等计分部分时，以投标单位自行上传到响应文件中的相应内容为准。</w:t>
      </w:r>
    </w:p>
    <w:p w14:paraId="262D1CEA">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响应文件编制部分：供应商按照响应文件格式进行响应文件编制，在响应文件编制时，应明确将投标单位企业基本情况、资质情况、人员情况、财务情况、业绩情况编入响应文件，便于进行资格审查及评审打分。</w:t>
      </w:r>
    </w:p>
    <w:p w14:paraId="771B3A0B">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项目为资格后审，资格审查由采购人依法组建的磋商小组负责。审查内容以磋商截止时间前在三门峡市公共资源交易平台“响应文件”上传的信息为准。规定时间外上传或更改的信息不作为评审依据。响应文件中上传的信息真实有效，扫描件清晰可辨。否则，由此造成应得分而未得分或资格审查不合格等情况的，由供应商承担责任。</w:t>
      </w:r>
    </w:p>
    <w:p w14:paraId="614F261A">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4、本项目为电子化、无纸化交易项目，开标时不再接受任何纸质资料，为保证您能投标成功，请需仔细阅读磋商文件和三门峡市公共资源交易中心官网业务办理指南。</w:t>
      </w:r>
    </w:p>
    <w:p w14:paraId="15068F24">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5、我单位（采购人）严格按三财购（2021）9 号文要求的时限发布结果公告，发出成交通知书，签订采购合同，上传采购合同。</w:t>
      </w:r>
    </w:p>
    <w:p w14:paraId="1165B512">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6、监督部门：三门峡市交通运输局建设管理科</w:t>
      </w:r>
    </w:p>
    <w:p w14:paraId="04384077">
      <w:pPr>
        <w:keepNext w:val="0"/>
        <w:keepLines w:val="0"/>
        <w:pageBreakBefore w:val="0"/>
        <w:widowControl w:val="0"/>
        <w:kinsoku/>
        <w:wordWrap w:val="0"/>
        <w:overflowPunct/>
        <w:topLinePunct/>
        <w:autoSpaceDE/>
        <w:autoSpaceDN/>
        <w:bidi w:val="0"/>
        <w:adjustRightInd/>
        <w:snapToGrid/>
        <w:spacing w:line="360" w:lineRule="auto"/>
        <w:ind w:firstLine="840" w:firstLineChars="35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址：三门峡市崤山路中段</w:t>
      </w:r>
    </w:p>
    <w:p w14:paraId="74E40B21">
      <w:pPr>
        <w:keepNext w:val="0"/>
        <w:keepLines w:val="0"/>
        <w:pageBreakBefore w:val="0"/>
        <w:widowControl w:val="0"/>
        <w:kinsoku/>
        <w:wordWrap w:val="0"/>
        <w:overflowPunct/>
        <w:topLinePunct/>
        <w:autoSpaceDE/>
        <w:autoSpaceDN/>
        <w:bidi w:val="0"/>
        <w:adjustRightInd/>
        <w:snapToGrid/>
        <w:spacing w:line="360" w:lineRule="auto"/>
        <w:ind w:firstLine="840" w:firstLineChars="35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联系电话：0398-2817693</w:t>
      </w:r>
    </w:p>
    <w:p w14:paraId="4F6FF5B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八、</w:t>
      </w:r>
      <w:r>
        <w:rPr>
          <w:rFonts w:hint="eastAsia" w:ascii="宋体" w:hAnsi="宋体" w:eastAsia="宋体" w:cs="宋体"/>
          <w:b/>
          <w:bCs/>
          <w:color w:val="auto"/>
          <w:kern w:val="0"/>
          <w:sz w:val="24"/>
          <w:szCs w:val="24"/>
          <w:highlight w:val="none"/>
        </w:rPr>
        <w:t>凡对本次磋商提出询问，请按照以下方式联系：</w:t>
      </w:r>
    </w:p>
    <w:p w14:paraId="577A3D97">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07329649">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名称：三门峡市公路事业发展中心</w:t>
      </w:r>
    </w:p>
    <w:p w14:paraId="6D110CD9">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地址：三门峡市虢国路东段</w:t>
      </w:r>
    </w:p>
    <w:p w14:paraId="41CAD783">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联系人：岳女士</w:t>
      </w:r>
    </w:p>
    <w:p w14:paraId="32334F92">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联系方式：0398-2817007</w:t>
      </w:r>
    </w:p>
    <w:p w14:paraId="4EDC77B6">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2、采购代理机构信息（如有）</w:t>
      </w:r>
    </w:p>
    <w:p w14:paraId="44B03F0C">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名称：河南省亿达工程管理咨询有限公司</w:t>
      </w:r>
    </w:p>
    <w:p w14:paraId="4890962A">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地址：郑州市青年路与玉凤路交叉口升龙环球大厦C座26楼</w:t>
      </w:r>
    </w:p>
    <w:p w14:paraId="780DFB07">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联系人：姚女士</w:t>
      </w:r>
    </w:p>
    <w:p w14:paraId="7D1367D8">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联系方式：13373967077</w:t>
      </w:r>
    </w:p>
    <w:p w14:paraId="4D8FEC24">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3.项目联系方式</w:t>
      </w:r>
    </w:p>
    <w:p w14:paraId="1E1519D7">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项目联系人：</w:t>
      </w:r>
      <w:r>
        <w:rPr>
          <w:rFonts w:hint="eastAsia" w:ascii="宋体" w:hAnsi="宋体" w:eastAsia="宋体" w:cs="宋体"/>
          <w:sz w:val="24"/>
          <w:szCs w:val="24"/>
          <w:lang w:val="en-US" w:eastAsia="zh-CN"/>
        </w:rPr>
        <w:t>姚女士</w:t>
      </w:r>
    </w:p>
    <w:p w14:paraId="188B1137">
      <w:pPr>
        <w:keepNext w:val="0"/>
        <w:keepLines w:val="0"/>
        <w:pageBreakBefore w:val="0"/>
        <w:widowControl w:val="0"/>
        <w:kinsoku/>
        <w:overflowPunct/>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sz w:val="24"/>
          <w:szCs w:val="24"/>
          <w:lang w:val="en-US" w:eastAsia="zh-CN"/>
        </w:rPr>
        <w:t>13373967077</w:t>
      </w:r>
    </w:p>
    <w:p w14:paraId="2502A01F">
      <w:pPr>
        <w:pStyle w:val="2"/>
        <w:bidi w:val="0"/>
        <w:rPr>
          <w:rFonts w:hint="eastAsia"/>
          <w:color w:val="auto"/>
          <w:highlight w:val="none"/>
        </w:rPr>
      </w:pPr>
      <w:r>
        <w:rPr>
          <w:rFonts w:hint="eastAsia"/>
          <w:b/>
          <w:bCs/>
          <w:color w:val="auto"/>
          <w:sz w:val="32"/>
          <w:szCs w:val="32"/>
          <w:highlight w:val="none"/>
          <w:lang w:val="en-US" w:eastAsia="zh-CN"/>
        </w:rPr>
        <w:br w:type="page"/>
      </w:r>
      <w:bookmarkStart w:id="6" w:name="_Toc287"/>
      <w:bookmarkStart w:id="7" w:name="_Toc30346"/>
      <w:r>
        <w:rPr>
          <w:rFonts w:hint="eastAsia"/>
          <w:b/>
          <w:bCs/>
          <w:color w:val="auto"/>
          <w:sz w:val="32"/>
          <w:szCs w:val="32"/>
          <w:highlight w:val="none"/>
          <w:lang w:val="en-US" w:eastAsia="zh-CN"/>
        </w:rPr>
        <w:t xml:space="preserve">第二章 </w:t>
      </w:r>
      <w:r>
        <w:rPr>
          <w:rFonts w:hint="eastAsia" w:hAnsi="Courier New" w:cs="Courier New"/>
          <w:b/>
          <w:bCs/>
          <w:color w:val="auto"/>
          <w:sz w:val="32"/>
          <w:szCs w:val="32"/>
          <w:highlight w:val="none"/>
          <w:lang w:eastAsia="zh-CN"/>
        </w:rPr>
        <w:t>供应商</w:t>
      </w:r>
      <w:r>
        <w:rPr>
          <w:rFonts w:hint="eastAsia" w:hAnsi="Courier New" w:cs="Courier New"/>
          <w:b/>
          <w:bCs/>
          <w:color w:val="auto"/>
          <w:sz w:val="32"/>
          <w:szCs w:val="32"/>
          <w:highlight w:val="none"/>
        </w:rPr>
        <w:t>须知</w:t>
      </w:r>
      <w:bookmarkEnd w:id="1"/>
      <w:bookmarkEnd w:id="4"/>
      <w:bookmarkEnd w:id="5"/>
      <w:bookmarkEnd w:id="6"/>
      <w:bookmarkEnd w:id="7"/>
    </w:p>
    <w:p w14:paraId="6B3ED0C9">
      <w:pPr>
        <w:pStyle w:val="3"/>
        <w:bidi w:val="0"/>
        <w:rPr>
          <w:rFonts w:hint="eastAsia"/>
        </w:rPr>
      </w:pPr>
      <w:bookmarkStart w:id="8" w:name="_Toc4540"/>
      <w:bookmarkStart w:id="9" w:name="_Toc13329"/>
      <w:bookmarkStart w:id="10" w:name="_Toc18978"/>
      <w:bookmarkStart w:id="11" w:name="_Toc17884"/>
      <w:r>
        <w:rPr>
          <w:rFonts w:hint="eastAsia"/>
          <w:lang w:eastAsia="zh-CN"/>
        </w:rPr>
        <w:t>供应商须知前附表</w:t>
      </w:r>
      <w:bookmarkEnd w:id="8"/>
      <w:bookmarkEnd w:id="9"/>
      <w:bookmarkEnd w:id="10"/>
      <w:bookmarkEnd w:id="11"/>
    </w:p>
    <w:tbl>
      <w:tblPr>
        <w:tblStyle w:val="48"/>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549"/>
        <w:gridCol w:w="5970"/>
      </w:tblGrid>
      <w:tr w14:paraId="60E6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74" w:type="dxa"/>
            <w:noWrap w:val="0"/>
            <w:vAlign w:val="center"/>
          </w:tcPr>
          <w:p w14:paraId="5A105C8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549" w:type="dxa"/>
            <w:noWrap w:val="0"/>
            <w:vAlign w:val="center"/>
          </w:tcPr>
          <w:p w14:paraId="198F4A1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 款 名 称</w:t>
            </w:r>
          </w:p>
        </w:tc>
        <w:tc>
          <w:tcPr>
            <w:tcW w:w="5970" w:type="dxa"/>
            <w:noWrap w:val="0"/>
            <w:vAlign w:val="center"/>
          </w:tcPr>
          <w:p w14:paraId="643512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编 列 内 容</w:t>
            </w:r>
          </w:p>
        </w:tc>
      </w:tr>
      <w:tr w14:paraId="0CC7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247EEC9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2</w:t>
            </w:r>
          </w:p>
        </w:tc>
        <w:tc>
          <w:tcPr>
            <w:tcW w:w="2549" w:type="dxa"/>
            <w:noWrap w:val="0"/>
            <w:vAlign w:val="center"/>
          </w:tcPr>
          <w:p w14:paraId="347DA7C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5970" w:type="dxa"/>
            <w:noWrap w:val="0"/>
            <w:vAlign w:val="center"/>
          </w:tcPr>
          <w:p w14:paraId="0DBFCF8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名称：三门峡市公路事业发展中心</w:t>
            </w:r>
          </w:p>
          <w:p w14:paraId="39F3137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地址：三门峡市虢国路东段</w:t>
            </w:r>
          </w:p>
          <w:p w14:paraId="1B747319">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联系人：岳女士</w:t>
            </w:r>
            <w:r>
              <w:rPr>
                <w:rFonts w:hint="eastAsia" w:ascii="宋体" w:hAnsi="宋体" w:eastAsia="宋体" w:cs="宋体"/>
                <w:color w:val="auto"/>
                <w:sz w:val="24"/>
                <w:szCs w:val="24"/>
                <w:highlight w:val="none"/>
                <w:lang w:val="en-US" w:eastAsia="zh-CN"/>
              </w:rPr>
              <w:t xml:space="preserve">   </w:t>
            </w:r>
          </w:p>
          <w:p w14:paraId="258B55E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联系方式</w:t>
            </w:r>
            <w:r>
              <w:rPr>
                <w:rFonts w:hint="eastAsia" w:ascii="宋体" w:hAnsi="宋体" w:eastAsia="宋体" w:cs="宋体"/>
                <w:color w:val="auto"/>
                <w:sz w:val="24"/>
                <w:szCs w:val="24"/>
                <w:highlight w:val="none"/>
              </w:rPr>
              <w:t>：0398-2817007</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tc>
      </w:tr>
      <w:tr w14:paraId="6D9A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49D740A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3</w:t>
            </w:r>
          </w:p>
        </w:tc>
        <w:tc>
          <w:tcPr>
            <w:tcW w:w="2549" w:type="dxa"/>
            <w:noWrap w:val="0"/>
            <w:vAlign w:val="center"/>
          </w:tcPr>
          <w:p w14:paraId="2A9402B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5970" w:type="dxa"/>
            <w:noWrap w:val="0"/>
            <w:vAlign w:val="center"/>
          </w:tcPr>
          <w:p w14:paraId="03133CD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河南省亿达工程管理咨询有限公司</w:t>
            </w:r>
          </w:p>
          <w:p w14:paraId="7AA8B4A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eastAsia="宋体" w:cs="宋体"/>
                <w:sz w:val="24"/>
                <w:szCs w:val="24"/>
                <w:lang w:eastAsia="zh-CN"/>
              </w:rPr>
              <w:t>郑州市青年路与玉凤路交叉口升龙环球大厦C座26楼</w:t>
            </w:r>
          </w:p>
          <w:p w14:paraId="22E7825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eastAsia="zh-CN"/>
              </w:rPr>
              <w:t>姚女士</w:t>
            </w:r>
            <w:r>
              <w:rPr>
                <w:rFonts w:hint="eastAsia" w:ascii="宋体" w:hAnsi="宋体" w:eastAsia="宋体" w:cs="宋体"/>
                <w:color w:val="auto"/>
                <w:sz w:val="24"/>
                <w:szCs w:val="24"/>
                <w:highlight w:val="none"/>
                <w:lang w:val="en-US" w:eastAsia="zh-CN"/>
              </w:rPr>
              <w:t xml:space="preserve">   </w:t>
            </w:r>
          </w:p>
          <w:p w14:paraId="00F2A7D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联系方式</w:t>
            </w:r>
            <w:r>
              <w:rPr>
                <w:rFonts w:hint="eastAsia" w:ascii="宋体" w:hAnsi="宋体" w:eastAsia="宋体" w:cs="宋体"/>
                <w:color w:val="auto"/>
                <w:sz w:val="24"/>
                <w:szCs w:val="24"/>
                <w:highlight w:val="none"/>
              </w:rPr>
              <w:t>：</w:t>
            </w:r>
            <w:r>
              <w:rPr>
                <w:rFonts w:hint="eastAsia" w:cs="宋体"/>
                <w:color w:val="auto"/>
                <w:sz w:val="24"/>
                <w:szCs w:val="24"/>
                <w:highlight w:val="none"/>
                <w:lang w:eastAsia="zh-CN"/>
              </w:rPr>
              <w:t>13373967077</w:t>
            </w:r>
          </w:p>
        </w:tc>
      </w:tr>
      <w:tr w14:paraId="71BE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3BBC770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4</w:t>
            </w:r>
          </w:p>
        </w:tc>
        <w:tc>
          <w:tcPr>
            <w:tcW w:w="2549" w:type="dxa"/>
            <w:noWrap w:val="0"/>
            <w:vAlign w:val="center"/>
          </w:tcPr>
          <w:p w14:paraId="03708A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p>
        </w:tc>
        <w:tc>
          <w:tcPr>
            <w:tcW w:w="5970" w:type="dxa"/>
            <w:noWrap w:val="0"/>
            <w:vAlign w:val="center"/>
          </w:tcPr>
          <w:p w14:paraId="5EA4A07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竞争性磋商</w:t>
            </w:r>
          </w:p>
        </w:tc>
      </w:tr>
      <w:tr w14:paraId="363F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74" w:type="dxa"/>
            <w:noWrap w:val="0"/>
            <w:vAlign w:val="center"/>
          </w:tcPr>
          <w:p w14:paraId="77D3B67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5</w:t>
            </w:r>
          </w:p>
        </w:tc>
        <w:tc>
          <w:tcPr>
            <w:tcW w:w="2549" w:type="dxa"/>
            <w:noWrap w:val="0"/>
            <w:vAlign w:val="center"/>
          </w:tcPr>
          <w:p w14:paraId="29F2A26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eastAsia="zh-CN"/>
              </w:rPr>
              <w:t>及采购编号</w:t>
            </w:r>
          </w:p>
        </w:tc>
        <w:tc>
          <w:tcPr>
            <w:tcW w:w="5970" w:type="dxa"/>
            <w:noWrap w:val="0"/>
            <w:vAlign w:val="center"/>
          </w:tcPr>
          <w:p w14:paraId="0F185B07">
            <w:pPr>
              <w:tabs>
                <w:tab w:val="left" w:pos="1737"/>
                <w:tab w:val="left" w:pos="2217"/>
                <w:tab w:val="left" w:pos="3478"/>
                <w:tab w:val="left" w:pos="4535"/>
                <w:tab w:val="left" w:pos="4771"/>
                <w:tab w:val="left" w:pos="5990"/>
                <w:tab w:val="left" w:pos="6903"/>
              </w:tabs>
              <w:spacing w:line="360" w:lineRule="auto"/>
              <w:ind w:right="-45"/>
              <w:rPr>
                <w:rFonts w:hint="eastAsia" w:ascii="宋体" w:hAnsi="宋体" w:eastAsia="宋体" w:cs="宋体"/>
                <w:sz w:val="24"/>
                <w:szCs w:val="24"/>
                <w:lang w:eastAsia="zh-CN"/>
              </w:rPr>
            </w:pPr>
            <w:r>
              <w:rPr>
                <w:rFonts w:hint="eastAsia" w:ascii="宋体" w:hAnsi="宋体" w:eastAsia="宋体" w:cs="宋体"/>
                <w:color w:val="auto"/>
                <w:sz w:val="24"/>
                <w:szCs w:val="24"/>
                <w:highlight w:val="none"/>
              </w:rPr>
              <w:t>项目名称：</w:t>
            </w:r>
            <w:r>
              <w:rPr>
                <w:rFonts w:hint="eastAsia" w:ascii="宋体" w:hAnsi="宋体" w:eastAsia="宋体" w:cs="宋体"/>
                <w:sz w:val="24"/>
                <w:szCs w:val="24"/>
                <w:lang w:eastAsia="zh-CN"/>
              </w:rPr>
              <w:t>2025年普通国省道穿村过镇平交路口治理项目(湖滨区、</w:t>
            </w:r>
            <w:r>
              <w:rPr>
                <w:rFonts w:hint="eastAsia" w:cs="宋体"/>
                <w:sz w:val="24"/>
                <w:szCs w:val="24"/>
                <w:lang w:eastAsia="zh-CN"/>
              </w:rPr>
              <w:t>开发区</w:t>
            </w:r>
            <w:r>
              <w:rPr>
                <w:rFonts w:hint="eastAsia" w:ascii="宋体" w:hAnsi="宋体" w:eastAsia="宋体" w:cs="宋体"/>
                <w:sz w:val="24"/>
                <w:szCs w:val="24"/>
                <w:lang w:eastAsia="zh-CN"/>
              </w:rPr>
              <w:t>、示范区)</w:t>
            </w:r>
          </w:p>
          <w:p w14:paraId="7E7AFF2D">
            <w:pPr>
              <w:tabs>
                <w:tab w:val="left" w:pos="1737"/>
                <w:tab w:val="left" w:pos="2217"/>
                <w:tab w:val="left" w:pos="3478"/>
                <w:tab w:val="left" w:pos="4535"/>
                <w:tab w:val="left" w:pos="4771"/>
                <w:tab w:val="left" w:pos="5990"/>
                <w:tab w:val="left" w:pos="6903"/>
              </w:tabs>
              <w:spacing w:line="360" w:lineRule="auto"/>
              <w:ind w:right="-4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采购编号：</w:t>
            </w:r>
            <w:r>
              <w:rPr>
                <w:rFonts w:hint="eastAsia" w:ascii="宋体" w:hAnsi="宋体" w:eastAsia="宋体" w:cs="宋体"/>
                <w:sz w:val="24"/>
                <w:szCs w:val="24"/>
                <w:highlight w:val="none"/>
                <w:lang w:val="en-US" w:eastAsia="zh-CN"/>
              </w:rPr>
              <w:t>三财竞磋采购-2025-64</w:t>
            </w:r>
            <w:r>
              <w:rPr>
                <w:rFonts w:hint="eastAsia" w:cs="宋体"/>
                <w:sz w:val="24"/>
                <w:szCs w:val="24"/>
                <w:highlight w:val="none"/>
                <w:lang w:val="en-US" w:eastAsia="zh-CN"/>
              </w:rPr>
              <w:t>、</w:t>
            </w:r>
            <w:r>
              <w:rPr>
                <w:rFonts w:hint="eastAsia" w:cs="宋体"/>
                <w:color w:val="auto"/>
                <w:sz w:val="24"/>
                <w:szCs w:val="24"/>
                <w:highlight w:val="none"/>
                <w:lang w:val="en-US" w:eastAsia="zh-CN"/>
              </w:rPr>
              <w:t>、SGZ[2025]394-ZC270</w:t>
            </w:r>
          </w:p>
        </w:tc>
      </w:tr>
      <w:tr w14:paraId="6B0D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6927357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6</w:t>
            </w:r>
          </w:p>
        </w:tc>
        <w:tc>
          <w:tcPr>
            <w:tcW w:w="2549" w:type="dxa"/>
            <w:noWrap w:val="0"/>
            <w:vAlign w:val="center"/>
          </w:tcPr>
          <w:p w14:paraId="149976B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rPr>
              <w:t>地点</w:t>
            </w:r>
          </w:p>
        </w:tc>
        <w:tc>
          <w:tcPr>
            <w:tcW w:w="5970" w:type="dxa"/>
            <w:noWrap w:val="0"/>
            <w:vAlign w:val="center"/>
          </w:tcPr>
          <w:p w14:paraId="5227A41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lang w:eastAsia="zh-CN"/>
              </w:rPr>
              <w:t>本项目位于</w:t>
            </w:r>
            <w:r>
              <w:rPr>
                <w:rFonts w:hint="eastAsia" w:ascii="宋体" w:hAnsi="宋体" w:eastAsia="宋体" w:cs="宋体"/>
                <w:sz w:val="24"/>
                <w:szCs w:val="24"/>
                <w:highlight w:val="none"/>
                <w:lang w:val="en-US" w:eastAsia="zh-CN"/>
              </w:rPr>
              <w:t>湖滨区、开发区、示范区普通国省道穿村过镇平交路口</w:t>
            </w:r>
          </w:p>
        </w:tc>
      </w:tr>
      <w:tr w14:paraId="3E7B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212D28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w:t>
            </w:r>
          </w:p>
        </w:tc>
        <w:tc>
          <w:tcPr>
            <w:tcW w:w="2549" w:type="dxa"/>
            <w:noWrap w:val="0"/>
            <w:vAlign w:val="center"/>
          </w:tcPr>
          <w:p w14:paraId="44C2A0D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w:t>
            </w:r>
          </w:p>
        </w:tc>
        <w:tc>
          <w:tcPr>
            <w:tcW w:w="5970" w:type="dxa"/>
            <w:noWrap w:val="0"/>
            <w:vAlign w:val="center"/>
          </w:tcPr>
          <w:p w14:paraId="1FCD036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rPr>
            </w:pPr>
            <w:r>
              <w:rPr>
                <w:rFonts w:hint="eastAsia" w:cs="宋体"/>
                <w:sz w:val="24"/>
                <w:szCs w:val="24"/>
                <w:highlight w:val="none"/>
                <w:lang w:val="en-US" w:eastAsia="zh-CN"/>
              </w:rPr>
              <w:t>省补资金和地方自筹</w:t>
            </w:r>
          </w:p>
        </w:tc>
      </w:tr>
      <w:tr w14:paraId="7AA3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5C7D31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w:t>
            </w:r>
          </w:p>
        </w:tc>
        <w:tc>
          <w:tcPr>
            <w:tcW w:w="2549" w:type="dxa"/>
            <w:noWrap w:val="0"/>
            <w:vAlign w:val="center"/>
          </w:tcPr>
          <w:p w14:paraId="5EC9FA6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资金落实情况</w:t>
            </w:r>
          </w:p>
        </w:tc>
        <w:tc>
          <w:tcPr>
            <w:tcW w:w="5970" w:type="dxa"/>
            <w:noWrap w:val="0"/>
            <w:vAlign w:val="center"/>
          </w:tcPr>
          <w:p w14:paraId="22663ED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资金已落实</w:t>
            </w:r>
          </w:p>
        </w:tc>
      </w:tr>
      <w:tr w14:paraId="6B80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084178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1.2.3</w:t>
            </w:r>
          </w:p>
        </w:tc>
        <w:tc>
          <w:tcPr>
            <w:tcW w:w="2549" w:type="dxa"/>
            <w:noWrap w:val="0"/>
            <w:vAlign w:val="center"/>
          </w:tcPr>
          <w:p w14:paraId="5EE8755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采购预算金额</w:t>
            </w:r>
          </w:p>
        </w:tc>
        <w:tc>
          <w:tcPr>
            <w:tcW w:w="5970" w:type="dxa"/>
            <w:noWrap w:val="0"/>
            <w:vAlign w:val="center"/>
          </w:tcPr>
          <w:p w14:paraId="333C8B7A">
            <w:pPr>
              <w:keepNext w:val="0"/>
              <w:keepLines w:val="0"/>
              <w:pageBreakBefore w:val="0"/>
              <w:widowControl w:val="0"/>
              <w:tabs>
                <w:tab w:val="left" w:pos="1737"/>
                <w:tab w:val="left" w:pos="2217"/>
                <w:tab w:val="left" w:pos="3478"/>
                <w:tab w:val="left" w:pos="4535"/>
                <w:tab w:val="left" w:pos="4771"/>
                <w:tab w:val="left" w:pos="5990"/>
                <w:tab w:val="left" w:pos="6903"/>
              </w:tabs>
              <w:kinsoku/>
              <w:overflowPunct/>
              <w:autoSpaceDE/>
              <w:autoSpaceDN/>
              <w:bidi w:val="0"/>
              <w:adjustRightInd/>
              <w:snapToGrid/>
              <w:spacing w:line="240" w:lineRule="auto"/>
              <w:ind w:right="-45"/>
              <w:jc w:val="both"/>
              <w:textAlignment w:val="auto"/>
              <w:rPr>
                <w:rFonts w:hint="eastAsia" w:ascii="宋体" w:hAnsi="宋体" w:eastAsia="宋体" w:cs="宋体"/>
                <w:color w:val="auto"/>
                <w:sz w:val="24"/>
                <w:szCs w:val="24"/>
                <w:highlight w:val="none"/>
              </w:rPr>
            </w:pPr>
            <w:r>
              <w:rPr>
                <w:rFonts w:hint="eastAsia" w:cs="宋体"/>
                <w:kern w:val="0"/>
                <w:sz w:val="24"/>
                <w:szCs w:val="24"/>
                <w:highlight w:val="none"/>
                <w:u w:val="none"/>
                <w:lang w:eastAsia="zh-CN"/>
              </w:rPr>
              <w:t>3033987.54</w:t>
            </w:r>
            <w:r>
              <w:rPr>
                <w:rFonts w:hint="eastAsia" w:ascii="宋体" w:hAnsi="宋体" w:eastAsia="宋体" w:cs="宋体"/>
                <w:kern w:val="0"/>
                <w:sz w:val="24"/>
                <w:szCs w:val="24"/>
                <w:highlight w:val="none"/>
                <w:u w:val="none"/>
                <w:lang w:eastAsia="zh-CN"/>
              </w:rPr>
              <w:t>元</w:t>
            </w:r>
          </w:p>
        </w:tc>
      </w:tr>
      <w:tr w14:paraId="6C2B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7897053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1.2.4</w:t>
            </w:r>
          </w:p>
        </w:tc>
        <w:tc>
          <w:tcPr>
            <w:tcW w:w="2549" w:type="dxa"/>
            <w:noWrap w:val="0"/>
            <w:vAlign w:val="center"/>
          </w:tcPr>
          <w:p w14:paraId="33D90EC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采购项目性质</w:t>
            </w:r>
          </w:p>
        </w:tc>
        <w:tc>
          <w:tcPr>
            <w:tcW w:w="5970" w:type="dxa"/>
            <w:noWrap w:val="0"/>
            <w:vAlign w:val="center"/>
          </w:tcPr>
          <w:p w14:paraId="2D588CA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工程</w:t>
            </w:r>
          </w:p>
        </w:tc>
      </w:tr>
      <w:tr w14:paraId="2920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12C2E1C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2549" w:type="dxa"/>
            <w:noWrap w:val="0"/>
            <w:vAlign w:val="center"/>
          </w:tcPr>
          <w:p w14:paraId="4E0D394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采购范围</w:t>
            </w:r>
          </w:p>
        </w:tc>
        <w:tc>
          <w:tcPr>
            <w:tcW w:w="5970" w:type="dxa"/>
            <w:noWrap w:val="0"/>
            <w:vAlign w:val="top"/>
          </w:tcPr>
          <w:p w14:paraId="3E316BDD">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本项目竞争性磋商文件、工程量清单、补充文件及答疑文件（如有）等列明的所有内容</w:t>
            </w:r>
            <w:r>
              <w:rPr>
                <w:rFonts w:hint="eastAsia" w:ascii="宋体" w:hAnsi="宋体" w:eastAsia="宋体" w:cs="宋体"/>
                <w:color w:val="auto"/>
                <w:sz w:val="24"/>
                <w:szCs w:val="24"/>
                <w:highlight w:val="none"/>
                <w:lang w:eastAsia="zh-CN"/>
              </w:rPr>
              <w:t>。</w:t>
            </w:r>
          </w:p>
        </w:tc>
      </w:tr>
      <w:tr w14:paraId="490F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1A7EC4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lang w:val="en-US" w:eastAsia="zh-CN"/>
              </w:rPr>
              <w:t>2</w:t>
            </w:r>
          </w:p>
        </w:tc>
        <w:tc>
          <w:tcPr>
            <w:tcW w:w="2549" w:type="dxa"/>
            <w:noWrap w:val="0"/>
            <w:vAlign w:val="center"/>
          </w:tcPr>
          <w:p w14:paraId="138A52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计划工期</w:t>
            </w:r>
          </w:p>
        </w:tc>
        <w:tc>
          <w:tcPr>
            <w:tcW w:w="5970" w:type="dxa"/>
            <w:noWrap w:val="0"/>
            <w:vAlign w:val="center"/>
          </w:tcPr>
          <w:p w14:paraId="21A0855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50日历天</w:t>
            </w:r>
          </w:p>
        </w:tc>
      </w:tr>
      <w:tr w14:paraId="181B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01E8E6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lang w:val="en-US" w:eastAsia="zh-CN"/>
              </w:rPr>
              <w:t>3</w:t>
            </w:r>
          </w:p>
        </w:tc>
        <w:tc>
          <w:tcPr>
            <w:tcW w:w="2549" w:type="dxa"/>
            <w:noWrap w:val="0"/>
            <w:vAlign w:val="center"/>
          </w:tcPr>
          <w:p w14:paraId="1E3DE91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eastAsia="zh-CN"/>
              </w:rPr>
              <w:t>标准</w:t>
            </w:r>
          </w:p>
        </w:tc>
        <w:tc>
          <w:tcPr>
            <w:tcW w:w="5970" w:type="dxa"/>
            <w:noWrap w:val="0"/>
            <w:vAlign w:val="bottom"/>
          </w:tcPr>
          <w:p w14:paraId="368BB48C">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工程交工验收的质量评定：合格；</w:t>
            </w:r>
          </w:p>
          <w:p w14:paraId="2264C04F">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竣工验收的质量评定：优良。</w:t>
            </w:r>
          </w:p>
        </w:tc>
      </w:tr>
      <w:tr w14:paraId="72A0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05BF5D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lang w:val="en-US" w:eastAsia="zh-CN"/>
              </w:rPr>
              <w:t>.1</w:t>
            </w:r>
          </w:p>
        </w:tc>
        <w:tc>
          <w:tcPr>
            <w:tcW w:w="2549" w:type="dxa"/>
            <w:noWrap w:val="0"/>
            <w:vAlign w:val="center"/>
          </w:tcPr>
          <w:p w14:paraId="38612A4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资质条件</w:t>
            </w:r>
          </w:p>
        </w:tc>
        <w:tc>
          <w:tcPr>
            <w:tcW w:w="5970" w:type="dxa"/>
            <w:noWrap w:val="0"/>
            <w:vAlign w:val="top"/>
          </w:tcPr>
          <w:p w14:paraId="749FC02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见竞争性磋商公告 二、申请人资格要求</w:t>
            </w:r>
          </w:p>
          <w:p w14:paraId="46C09130">
            <w:pPr>
              <w:pStyle w:val="137"/>
              <w:rPr>
                <w:rFonts w:hint="eastAsia" w:ascii="宋体" w:hAnsi="宋体" w:eastAsia="宋体" w:cs="宋体"/>
                <w:sz w:val="24"/>
                <w:szCs w:val="24"/>
                <w:lang w:val="en-US" w:eastAsia="zh-CN"/>
              </w:rPr>
            </w:pPr>
            <w:r>
              <w:rPr>
                <w:rFonts w:hint="eastAsia" w:ascii="宋体" w:hAnsi="宋体" w:eastAsia="宋体" w:cs="宋体"/>
                <w:b/>
                <w:bCs/>
                <w:color w:val="auto"/>
                <w:kern w:val="2"/>
                <w:sz w:val="24"/>
                <w:szCs w:val="24"/>
                <w:highlight w:val="none"/>
                <w:lang w:val="en-US" w:eastAsia="zh-CN" w:bidi="ar-SA"/>
              </w:rPr>
              <w:t>注：本项目实行资格后审，资格评审以响应文件为准，其资料真实性由供应商自行承担。</w:t>
            </w:r>
          </w:p>
        </w:tc>
      </w:tr>
      <w:tr w14:paraId="24EB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3872CB8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1.4.2</w:t>
            </w:r>
          </w:p>
        </w:tc>
        <w:tc>
          <w:tcPr>
            <w:tcW w:w="2549" w:type="dxa"/>
            <w:noWrap w:val="0"/>
            <w:vAlign w:val="center"/>
          </w:tcPr>
          <w:p w14:paraId="25F7469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是否接受联合体参加磋商</w:t>
            </w:r>
          </w:p>
        </w:tc>
        <w:tc>
          <w:tcPr>
            <w:tcW w:w="5970" w:type="dxa"/>
            <w:noWrap w:val="0"/>
            <w:vAlign w:val="center"/>
          </w:tcPr>
          <w:p w14:paraId="486265E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不接受</w:t>
            </w:r>
          </w:p>
        </w:tc>
      </w:tr>
      <w:tr w14:paraId="583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00A5CE2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w:t>
            </w:r>
          </w:p>
        </w:tc>
        <w:tc>
          <w:tcPr>
            <w:tcW w:w="2549" w:type="dxa"/>
            <w:noWrap w:val="0"/>
            <w:vAlign w:val="center"/>
          </w:tcPr>
          <w:p w14:paraId="0AE805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w:t>
            </w:r>
          </w:p>
        </w:tc>
        <w:tc>
          <w:tcPr>
            <w:tcW w:w="5970" w:type="dxa"/>
            <w:noWrap w:val="0"/>
            <w:vAlign w:val="center"/>
          </w:tcPr>
          <w:p w14:paraId="494EFE8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不组织</w:t>
            </w:r>
          </w:p>
        </w:tc>
      </w:tr>
      <w:tr w14:paraId="7A2E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167E2FF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1.9.5</w:t>
            </w:r>
          </w:p>
        </w:tc>
        <w:tc>
          <w:tcPr>
            <w:tcW w:w="2549" w:type="dxa"/>
            <w:noWrap w:val="0"/>
            <w:vAlign w:val="center"/>
          </w:tcPr>
          <w:p w14:paraId="2F2F0AB3">
            <w:pPr>
              <w:keepNext w:val="0"/>
              <w:keepLines w:val="0"/>
              <w:pageBreakBefore w:val="0"/>
              <w:widowControl w:val="0"/>
              <w:kinsoku/>
              <w:wordWrap/>
              <w:overflowPunct/>
              <w:topLinePunct w:val="0"/>
              <w:autoSpaceDE/>
              <w:autoSpaceDN/>
              <w:bidi w:val="0"/>
              <w:adjustRightInd/>
              <w:snapToGrid/>
              <w:spacing w:line="240" w:lineRule="auto"/>
              <w:ind w:left="43" w:leftChars="18"/>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shd w:val="clear" w:color="auto" w:fill="auto"/>
              </w:rPr>
              <w:t>答 疑 会</w:t>
            </w:r>
          </w:p>
        </w:tc>
        <w:tc>
          <w:tcPr>
            <w:tcW w:w="5970" w:type="dxa"/>
            <w:noWrap w:val="0"/>
            <w:vAlign w:val="center"/>
          </w:tcPr>
          <w:p w14:paraId="2CA8206E">
            <w:pPr>
              <w:keepNext w:val="0"/>
              <w:keepLines w:val="0"/>
              <w:pageBreakBefore w:val="0"/>
              <w:widowControl w:val="0"/>
              <w:tabs>
                <w:tab w:val="left" w:pos="720"/>
                <w:tab w:val="left" w:pos="1904"/>
              </w:tabs>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shd w:val="clear" w:color="auto" w:fill="auto"/>
              </w:rPr>
              <w:t>不召开</w:t>
            </w:r>
          </w:p>
        </w:tc>
      </w:tr>
      <w:tr w14:paraId="021F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1B3BFFB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10</w:t>
            </w:r>
          </w:p>
        </w:tc>
        <w:tc>
          <w:tcPr>
            <w:tcW w:w="2549" w:type="dxa"/>
            <w:noWrap w:val="0"/>
            <w:vAlign w:val="center"/>
          </w:tcPr>
          <w:p w14:paraId="5A7BE1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w:t>
            </w:r>
          </w:p>
        </w:tc>
        <w:tc>
          <w:tcPr>
            <w:tcW w:w="5970" w:type="dxa"/>
            <w:noWrap w:val="0"/>
            <w:vAlign w:val="center"/>
          </w:tcPr>
          <w:p w14:paraId="79EB357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不允许</w:t>
            </w:r>
          </w:p>
        </w:tc>
      </w:tr>
      <w:tr w14:paraId="6AFD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760CA76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1.1</w:t>
            </w:r>
          </w:p>
        </w:tc>
        <w:tc>
          <w:tcPr>
            <w:tcW w:w="2549" w:type="dxa"/>
            <w:noWrap w:val="0"/>
            <w:vAlign w:val="center"/>
          </w:tcPr>
          <w:p w14:paraId="4727FBB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lang w:eastAsia="zh-CN"/>
              </w:rPr>
              <w:t>实质性</w:t>
            </w:r>
            <w:r>
              <w:rPr>
                <w:rFonts w:hint="eastAsia" w:ascii="宋体" w:hAnsi="宋体" w:eastAsia="宋体" w:cs="宋体"/>
                <w:kern w:val="0"/>
                <w:sz w:val="24"/>
                <w:szCs w:val="24"/>
                <w:highlight w:val="none"/>
              </w:rPr>
              <w:t>偏差</w:t>
            </w:r>
          </w:p>
        </w:tc>
        <w:tc>
          <w:tcPr>
            <w:tcW w:w="5970" w:type="dxa"/>
            <w:noWrap w:val="0"/>
            <w:vAlign w:val="center"/>
          </w:tcPr>
          <w:p w14:paraId="1304B65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不允许</w:t>
            </w:r>
          </w:p>
        </w:tc>
      </w:tr>
      <w:tr w14:paraId="15CE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1C3E38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12</w:t>
            </w:r>
          </w:p>
        </w:tc>
        <w:tc>
          <w:tcPr>
            <w:tcW w:w="2549" w:type="dxa"/>
            <w:noWrap w:val="0"/>
            <w:vAlign w:val="center"/>
          </w:tcPr>
          <w:p w14:paraId="551876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是否接受选择性报价方案</w:t>
            </w:r>
          </w:p>
        </w:tc>
        <w:tc>
          <w:tcPr>
            <w:tcW w:w="5970" w:type="dxa"/>
            <w:noWrap w:val="0"/>
            <w:vAlign w:val="center"/>
          </w:tcPr>
          <w:p w14:paraId="4BFBF22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不接受：首次响应文件只允许一个报价方案</w:t>
            </w:r>
          </w:p>
        </w:tc>
      </w:tr>
      <w:tr w14:paraId="6F32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5C528C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2549" w:type="dxa"/>
            <w:noWrap w:val="0"/>
            <w:vAlign w:val="center"/>
          </w:tcPr>
          <w:p w14:paraId="34A0F81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构成竞争性磋商文件的其他材料</w:t>
            </w:r>
          </w:p>
        </w:tc>
        <w:tc>
          <w:tcPr>
            <w:tcW w:w="5970" w:type="dxa"/>
            <w:noWrap w:val="0"/>
            <w:vAlign w:val="center"/>
          </w:tcPr>
          <w:p w14:paraId="2CA46DF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14:paraId="4FE2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2929632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p>
        </w:tc>
        <w:tc>
          <w:tcPr>
            <w:tcW w:w="2549" w:type="dxa"/>
            <w:vMerge w:val="restart"/>
            <w:noWrap w:val="0"/>
            <w:vAlign w:val="center"/>
          </w:tcPr>
          <w:p w14:paraId="1C508C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要求澄清</w:t>
            </w:r>
            <w:r>
              <w:rPr>
                <w:rFonts w:hint="eastAsia" w:ascii="宋体" w:hAnsi="宋体" w:eastAsia="宋体" w:cs="宋体"/>
                <w:color w:val="auto"/>
                <w:sz w:val="24"/>
                <w:szCs w:val="24"/>
                <w:highlight w:val="none"/>
                <w:lang w:eastAsia="zh-CN"/>
              </w:rPr>
              <w:t>竞争性磋商文件</w:t>
            </w:r>
          </w:p>
        </w:tc>
        <w:tc>
          <w:tcPr>
            <w:tcW w:w="5970" w:type="dxa"/>
            <w:noWrap w:val="0"/>
            <w:vAlign w:val="center"/>
          </w:tcPr>
          <w:p w14:paraId="10C3B2B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eastAsia="zh-CN"/>
              </w:rPr>
              <w:t>提交首次响应文件截止时间前</w:t>
            </w:r>
            <w:r>
              <w:rPr>
                <w:rFonts w:hint="eastAsia" w:ascii="宋体" w:hAnsi="宋体" w:eastAsia="宋体" w:cs="宋体"/>
                <w:color w:val="auto"/>
                <w:sz w:val="24"/>
                <w:szCs w:val="24"/>
                <w:highlight w:val="none"/>
                <w:u w:val="single"/>
                <w:lang w:val="en-US" w:eastAsia="zh-CN"/>
              </w:rPr>
              <w:t xml:space="preserve"> 5 </w:t>
            </w:r>
            <w:r>
              <w:rPr>
                <w:rFonts w:hint="eastAsia" w:ascii="宋体" w:hAnsi="宋体" w:eastAsia="宋体" w:cs="宋体"/>
                <w:color w:val="auto"/>
                <w:sz w:val="24"/>
                <w:szCs w:val="24"/>
                <w:highlight w:val="none"/>
                <w:lang w:val="en-US" w:eastAsia="zh-CN"/>
              </w:rPr>
              <w:t>日</w:t>
            </w:r>
          </w:p>
        </w:tc>
      </w:tr>
      <w:tr w14:paraId="4CEB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26B3ED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p>
        </w:tc>
        <w:tc>
          <w:tcPr>
            <w:tcW w:w="2549" w:type="dxa"/>
            <w:vMerge w:val="continue"/>
            <w:noWrap w:val="0"/>
            <w:vAlign w:val="center"/>
          </w:tcPr>
          <w:p w14:paraId="0725B49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en-US" w:eastAsia="zh-CN"/>
              </w:rPr>
            </w:pPr>
          </w:p>
        </w:tc>
        <w:tc>
          <w:tcPr>
            <w:tcW w:w="5970" w:type="dxa"/>
            <w:noWrap w:val="0"/>
            <w:vAlign w:val="center"/>
          </w:tcPr>
          <w:p w14:paraId="6990CE6C">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w:t>
            </w:r>
            <w:r>
              <w:rPr>
                <w:rFonts w:hint="eastAsia" w:ascii="宋体" w:hAnsi="宋体" w:eastAsia="宋体" w:cs="宋体"/>
                <w:sz w:val="24"/>
                <w:szCs w:val="24"/>
              </w:rPr>
              <w:t>在三门峡市公共资源交易中心系统内提出</w:t>
            </w:r>
          </w:p>
        </w:tc>
      </w:tr>
      <w:tr w14:paraId="4B2C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47AB46D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2.2.2</w:t>
            </w:r>
          </w:p>
        </w:tc>
        <w:tc>
          <w:tcPr>
            <w:tcW w:w="2549" w:type="dxa"/>
            <w:noWrap w:val="0"/>
            <w:vAlign w:val="center"/>
          </w:tcPr>
          <w:p w14:paraId="7EB3992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澄清发出的形式</w:t>
            </w:r>
          </w:p>
        </w:tc>
        <w:tc>
          <w:tcPr>
            <w:tcW w:w="5970" w:type="dxa"/>
            <w:noWrap w:val="0"/>
            <w:vAlign w:val="center"/>
          </w:tcPr>
          <w:p w14:paraId="26BA2A48">
            <w:pPr>
              <w:spacing w:line="288" w:lineRule="auto"/>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rPr>
              <w:t>在三门峡市公共资源交易中心系统内回复</w:t>
            </w:r>
          </w:p>
        </w:tc>
      </w:tr>
      <w:tr w14:paraId="003D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4945B29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w:t>
            </w:r>
          </w:p>
        </w:tc>
        <w:tc>
          <w:tcPr>
            <w:tcW w:w="2549" w:type="dxa"/>
            <w:vMerge w:val="restart"/>
            <w:noWrap w:val="0"/>
            <w:vAlign w:val="center"/>
          </w:tcPr>
          <w:p w14:paraId="0E77FC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确认收到</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澄清</w:t>
            </w:r>
          </w:p>
        </w:tc>
        <w:tc>
          <w:tcPr>
            <w:tcW w:w="5970" w:type="dxa"/>
            <w:noWrap w:val="0"/>
            <w:vAlign w:val="center"/>
          </w:tcPr>
          <w:p w14:paraId="6199FF1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时间：在收到相应澄清文件后 24 小时内</w:t>
            </w:r>
          </w:p>
        </w:tc>
      </w:tr>
      <w:tr w14:paraId="26A2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2C3D49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p>
        </w:tc>
        <w:tc>
          <w:tcPr>
            <w:tcW w:w="2549" w:type="dxa"/>
            <w:vMerge w:val="continue"/>
            <w:noWrap w:val="0"/>
            <w:vAlign w:val="center"/>
          </w:tcPr>
          <w:p w14:paraId="0679E65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en-US" w:eastAsia="zh-CN"/>
              </w:rPr>
            </w:pPr>
          </w:p>
        </w:tc>
        <w:tc>
          <w:tcPr>
            <w:tcW w:w="5970" w:type="dxa"/>
            <w:noWrap w:val="0"/>
            <w:vAlign w:val="center"/>
          </w:tcPr>
          <w:p w14:paraId="527921F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w:t>
            </w:r>
            <w:r>
              <w:rPr>
                <w:rFonts w:hint="eastAsia" w:ascii="宋体" w:hAnsi="宋体" w:eastAsia="宋体" w:cs="宋体"/>
                <w:sz w:val="24"/>
                <w:szCs w:val="24"/>
              </w:rPr>
              <w:t>在三门峡市公共资源交易中心系统内回复</w:t>
            </w:r>
          </w:p>
        </w:tc>
      </w:tr>
      <w:tr w14:paraId="50FF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22F7C2D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2.3.2</w:t>
            </w:r>
          </w:p>
        </w:tc>
        <w:tc>
          <w:tcPr>
            <w:tcW w:w="2549" w:type="dxa"/>
            <w:noWrap w:val="0"/>
            <w:vAlign w:val="center"/>
          </w:tcPr>
          <w:p w14:paraId="2E7818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修改发出的形式</w:t>
            </w:r>
          </w:p>
        </w:tc>
        <w:tc>
          <w:tcPr>
            <w:tcW w:w="5970" w:type="dxa"/>
            <w:noWrap w:val="0"/>
            <w:vAlign w:val="center"/>
          </w:tcPr>
          <w:p w14:paraId="3F574C6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rPr>
              <w:t>在三门峡市公共资源交易中心系统内</w:t>
            </w:r>
            <w:r>
              <w:rPr>
                <w:rFonts w:hint="eastAsia" w:ascii="宋体" w:hAnsi="宋体" w:eastAsia="宋体" w:cs="宋体"/>
                <w:sz w:val="24"/>
                <w:szCs w:val="24"/>
                <w:lang w:val="en-US" w:eastAsia="zh-CN"/>
              </w:rPr>
              <w:t>发出</w:t>
            </w:r>
          </w:p>
        </w:tc>
      </w:tr>
      <w:tr w14:paraId="20D5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6307160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w:t>
            </w:r>
          </w:p>
        </w:tc>
        <w:tc>
          <w:tcPr>
            <w:tcW w:w="2549" w:type="dxa"/>
            <w:vMerge w:val="restart"/>
            <w:noWrap w:val="0"/>
            <w:vAlign w:val="center"/>
          </w:tcPr>
          <w:p w14:paraId="3E59CC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确认收到</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修改</w:t>
            </w:r>
          </w:p>
        </w:tc>
        <w:tc>
          <w:tcPr>
            <w:tcW w:w="5970" w:type="dxa"/>
            <w:noWrap w:val="0"/>
            <w:vAlign w:val="center"/>
          </w:tcPr>
          <w:p w14:paraId="7FA940A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时间：在收到相应修改文件后 24 小时内</w:t>
            </w:r>
          </w:p>
        </w:tc>
      </w:tr>
      <w:tr w14:paraId="3296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5D92E3E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p>
        </w:tc>
        <w:tc>
          <w:tcPr>
            <w:tcW w:w="2549" w:type="dxa"/>
            <w:vMerge w:val="continue"/>
            <w:noWrap w:val="0"/>
            <w:vAlign w:val="center"/>
          </w:tcPr>
          <w:p w14:paraId="3D41F5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en-US" w:eastAsia="zh-CN"/>
              </w:rPr>
            </w:pPr>
          </w:p>
        </w:tc>
        <w:tc>
          <w:tcPr>
            <w:tcW w:w="5970" w:type="dxa"/>
            <w:noWrap w:val="0"/>
            <w:vAlign w:val="center"/>
          </w:tcPr>
          <w:p w14:paraId="02A5FF3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w:t>
            </w:r>
            <w:r>
              <w:rPr>
                <w:rFonts w:hint="eastAsia" w:ascii="宋体" w:hAnsi="宋体" w:eastAsia="宋体" w:cs="宋体"/>
                <w:sz w:val="24"/>
                <w:szCs w:val="24"/>
              </w:rPr>
              <w:t>在三门峡市公共资源交易中心系统内回复</w:t>
            </w:r>
          </w:p>
        </w:tc>
      </w:tr>
      <w:tr w14:paraId="4D8A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07B30EA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3.2.3</w:t>
            </w:r>
          </w:p>
        </w:tc>
        <w:tc>
          <w:tcPr>
            <w:tcW w:w="2549" w:type="dxa"/>
            <w:noWrap w:val="0"/>
            <w:vAlign w:val="center"/>
          </w:tcPr>
          <w:p w14:paraId="4566F15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报价方式</w:t>
            </w:r>
          </w:p>
        </w:tc>
        <w:tc>
          <w:tcPr>
            <w:tcW w:w="5970" w:type="dxa"/>
            <w:noWrap w:val="0"/>
            <w:vAlign w:val="center"/>
          </w:tcPr>
          <w:p w14:paraId="21BC6CAC">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sz w:val="24"/>
                <w:szCs w:val="24"/>
              </w:rPr>
              <w:t>√固定单价</w:t>
            </w:r>
          </w:p>
        </w:tc>
      </w:tr>
      <w:tr w14:paraId="68F3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4C05D3F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lang w:val="en-US" w:eastAsia="zh-CN"/>
              </w:rPr>
              <w:t>.1</w:t>
            </w:r>
          </w:p>
        </w:tc>
        <w:tc>
          <w:tcPr>
            <w:tcW w:w="2549" w:type="dxa"/>
            <w:noWrap w:val="0"/>
            <w:vAlign w:val="center"/>
          </w:tcPr>
          <w:p w14:paraId="5250E6D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磋商有效期</w:t>
            </w:r>
          </w:p>
        </w:tc>
        <w:tc>
          <w:tcPr>
            <w:tcW w:w="5970" w:type="dxa"/>
            <w:noWrap w:val="0"/>
            <w:vAlign w:val="center"/>
          </w:tcPr>
          <w:p w14:paraId="3BF0D515">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提交首次响应文件的截止之日起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val="en-US" w:eastAsia="zh-CN"/>
              </w:rPr>
              <w:t>60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日历天</w:t>
            </w:r>
          </w:p>
        </w:tc>
      </w:tr>
      <w:tr w14:paraId="3E8D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noWrap w:val="0"/>
            <w:vAlign w:val="center"/>
          </w:tcPr>
          <w:p w14:paraId="2E4936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lang w:val="en-US" w:eastAsia="zh-CN"/>
              </w:rPr>
              <w:t>.1</w:t>
            </w:r>
          </w:p>
        </w:tc>
        <w:tc>
          <w:tcPr>
            <w:tcW w:w="2549" w:type="dxa"/>
            <w:noWrap w:val="0"/>
            <w:vAlign w:val="center"/>
          </w:tcPr>
          <w:p w14:paraId="273303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磋商保证金</w:t>
            </w:r>
          </w:p>
        </w:tc>
        <w:tc>
          <w:tcPr>
            <w:tcW w:w="5970" w:type="dxa"/>
            <w:noWrap w:val="0"/>
            <w:vAlign w:val="top"/>
          </w:tcPr>
          <w:p w14:paraId="6F40982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根据豫财购</w:t>
            </w:r>
            <w:r>
              <w:rPr>
                <w:rFonts w:hint="eastAsia" w:ascii="宋体" w:hAnsi="宋体" w:eastAsia="宋体" w:cs="宋体"/>
                <w:color w:val="auto"/>
                <w:sz w:val="24"/>
                <w:szCs w:val="24"/>
                <w:highlight w:val="none"/>
                <w:lang w:val="en-US" w:eastAsia="zh-CN"/>
              </w:rPr>
              <w:t>[2019]4号文件的相关规定，本次磋商不收取磋商保证金。</w:t>
            </w:r>
          </w:p>
        </w:tc>
      </w:tr>
      <w:tr w14:paraId="02A2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noWrap w:val="0"/>
            <w:vAlign w:val="center"/>
          </w:tcPr>
          <w:p w14:paraId="6B43C2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3.4.2</w:t>
            </w:r>
          </w:p>
        </w:tc>
        <w:tc>
          <w:tcPr>
            <w:tcW w:w="2549" w:type="dxa"/>
            <w:noWrap w:val="0"/>
            <w:vAlign w:val="center"/>
          </w:tcPr>
          <w:p w14:paraId="0394B12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近年财务状况的年份要求</w:t>
            </w:r>
          </w:p>
        </w:tc>
        <w:tc>
          <w:tcPr>
            <w:tcW w:w="5970" w:type="dxa"/>
            <w:noWrap w:val="0"/>
            <w:vAlign w:val="center"/>
          </w:tcPr>
          <w:p w14:paraId="270CE5FD">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2023年或2024年的财务状况表，</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的成立时间少于</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须知前附表规定年份的，应提供成立以来的财务状况表。</w:t>
            </w:r>
          </w:p>
        </w:tc>
      </w:tr>
      <w:tr w14:paraId="0EF7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6DC5357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2549" w:type="dxa"/>
            <w:noWrap w:val="0"/>
            <w:vAlign w:val="center"/>
          </w:tcPr>
          <w:p w14:paraId="4B09D1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签字或盖章要求</w:t>
            </w:r>
          </w:p>
        </w:tc>
        <w:tc>
          <w:tcPr>
            <w:tcW w:w="5970" w:type="dxa"/>
            <w:noWrap w:val="0"/>
            <w:vAlign w:val="center"/>
          </w:tcPr>
          <w:p w14:paraId="0CBF559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在生成电子化</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后，应对电子化</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进行签章。</w:t>
            </w:r>
          </w:p>
          <w:p w14:paraId="14DBBAB9">
            <w:pPr>
              <w:spacing w:line="360" w:lineRule="auto"/>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2、竞争性磋商文件中要求</w:t>
            </w:r>
            <w:r>
              <w:rPr>
                <w:rFonts w:hint="eastAsia" w:ascii="宋体" w:hAnsi="宋体" w:eastAsia="宋体" w:cs="宋体"/>
                <w:b/>
                <w:bCs/>
                <w:color w:val="auto"/>
                <w:sz w:val="24"/>
                <w:szCs w:val="24"/>
              </w:rPr>
              <w:t>法定代表人或授权委托人签字或盖章的，</w:t>
            </w:r>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在进行电子化</w:t>
            </w:r>
            <w:r>
              <w:rPr>
                <w:rFonts w:hint="eastAsia" w:ascii="宋体" w:hAnsi="宋体" w:eastAsia="宋体" w:cs="宋体"/>
                <w:b/>
                <w:bCs/>
                <w:color w:val="auto"/>
                <w:sz w:val="24"/>
                <w:szCs w:val="24"/>
                <w:lang w:eastAsia="zh-CN"/>
              </w:rPr>
              <w:t>响应文件</w:t>
            </w:r>
            <w:r>
              <w:rPr>
                <w:rFonts w:hint="eastAsia" w:ascii="宋体" w:hAnsi="宋体" w:eastAsia="宋体" w:cs="宋体"/>
                <w:b/>
                <w:bCs/>
                <w:color w:val="auto"/>
                <w:sz w:val="24"/>
                <w:szCs w:val="24"/>
              </w:rPr>
              <w:t>签章时，以签盖法定代表人签章为准</w:t>
            </w:r>
            <w:r>
              <w:rPr>
                <w:rFonts w:hint="eastAsia" w:ascii="宋体" w:hAnsi="宋体" w:eastAsia="宋体" w:cs="宋体"/>
                <w:color w:val="auto"/>
                <w:sz w:val="24"/>
                <w:szCs w:val="24"/>
              </w:rPr>
              <w:t>。电子化</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具体制作教材请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通过CA证书登录三门峡市公共资源电子化交易系统在右上角“组建下载”中查看。</w:t>
            </w:r>
          </w:p>
        </w:tc>
      </w:tr>
      <w:tr w14:paraId="1FCF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08BBF9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w:t>
            </w:r>
          </w:p>
        </w:tc>
        <w:tc>
          <w:tcPr>
            <w:tcW w:w="2549" w:type="dxa"/>
            <w:noWrap w:val="0"/>
            <w:vAlign w:val="center"/>
          </w:tcPr>
          <w:p w14:paraId="015931E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首次</w:t>
            </w:r>
            <w:r>
              <w:rPr>
                <w:rFonts w:hint="eastAsia" w:ascii="宋体" w:hAnsi="宋体" w:eastAsia="宋体" w:cs="宋体"/>
                <w:color w:val="auto"/>
                <w:sz w:val="24"/>
                <w:szCs w:val="24"/>
                <w:highlight w:val="none"/>
                <w:lang w:eastAsia="zh-CN"/>
              </w:rPr>
              <w:t>提交</w:t>
            </w:r>
            <w:r>
              <w:rPr>
                <w:rFonts w:hint="eastAsia" w:ascii="宋体" w:hAnsi="宋体" w:eastAsia="宋体" w:cs="宋体"/>
                <w:color w:val="auto"/>
                <w:sz w:val="24"/>
                <w:szCs w:val="24"/>
                <w:highlight w:val="none"/>
              </w:rPr>
              <w:t>响应文件截止时间</w:t>
            </w:r>
          </w:p>
        </w:tc>
        <w:tc>
          <w:tcPr>
            <w:tcW w:w="5970" w:type="dxa"/>
            <w:noWrap w:val="0"/>
            <w:vAlign w:val="center"/>
          </w:tcPr>
          <w:p w14:paraId="6613CCDC">
            <w:pPr>
              <w:spacing w:line="360" w:lineRule="auto"/>
              <w:jc w:val="both"/>
              <w:rPr>
                <w:rFonts w:hint="eastAsia" w:ascii="宋体" w:hAnsi="宋体" w:eastAsia="宋体" w:cs="宋体"/>
                <w:color w:val="auto"/>
                <w:sz w:val="24"/>
                <w:szCs w:val="24"/>
                <w:highlight w:val="none"/>
              </w:rPr>
            </w:pPr>
            <w:r>
              <w:rPr>
                <w:rFonts w:hint="eastAsia" w:cs="宋体"/>
                <w:color w:val="auto"/>
                <w:sz w:val="24"/>
                <w:szCs w:val="24"/>
                <w:lang w:val="en-US" w:eastAsia="zh-CN"/>
              </w:rPr>
              <w:t>2025年9月30日08时20分</w:t>
            </w:r>
            <w:r>
              <w:rPr>
                <w:rFonts w:hint="eastAsia" w:ascii="宋体" w:hAnsi="宋体" w:eastAsia="宋体" w:cs="宋体"/>
                <w:color w:val="auto"/>
                <w:sz w:val="24"/>
                <w:szCs w:val="24"/>
                <w:lang w:val="en-US" w:eastAsia="zh-CN"/>
              </w:rPr>
              <w:t>（北京时间）</w:t>
            </w:r>
          </w:p>
        </w:tc>
      </w:tr>
      <w:tr w14:paraId="1977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4E2412E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4.2.2</w:t>
            </w:r>
          </w:p>
        </w:tc>
        <w:tc>
          <w:tcPr>
            <w:tcW w:w="2549" w:type="dxa"/>
            <w:noWrap w:val="0"/>
            <w:vAlign w:val="center"/>
          </w:tcPr>
          <w:p w14:paraId="2CA1426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首次</w:t>
            </w:r>
            <w:r>
              <w:rPr>
                <w:rFonts w:hint="eastAsia" w:ascii="宋体" w:hAnsi="宋体" w:eastAsia="宋体" w:cs="宋体"/>
                <w:color w:val="auto"/>
                <w:sz w:val="24"/>
                <w:szCs w:val="24"/>
                <w:highlight w:val="none"/>
                <w:lang w:eastAsia="zh-CN"/>
              </w:rPr>
              <w:t>提交</w:t>
            </w:r>
            <w:r>
              <w:rPr>
                <w:rFonts w:hint="eastAsia" w:ascii="宋体" w:hAnsi="宋体" w:eastAsia="宋体" w:cs="宋体"/>
                <w:color w:val="auto"/>
                <w:sz w:val="24"/>
                <w:szCs w:val="24"/>
                <w:highlight w:val="none"/>
              </w:rPr>
              <w:t>响应文件地点</w:t>
            </w:r>
          </w:p>
        </w:tc>
        <w:tc>
          <w:tcPr>
            <w:tcW w:w="5970" w:type="dxa"/>
            <w:noWrap w:val="0"/>
            <w:vAlign w:val="center"/>
          </w:tcPr>
          <w:p w14:paraId="294300E0">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rPr>
              <w:t>三门峡市公共资源电子化交易系统</w:t>
            </w:r>
          </w:p>
        </w:tc>
      </w:tr>
      <w:tr w14:paraId="5792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31D3B6A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lang w:val="en-US" w:eastAsia="zh-CN"/>
              </w:rPr>
              <w:t>3</w:t>
            </w:r>
          </w:p>
        </w:tc>
        <w:tc>
          <w:tcPr>
            <w:tcW w:w="2549" w:type="dxa"/>
            <w:noWrap w:val="0"/>
            <w:vAlign w:val="center"/>
          </w:tcPr>
          <w:p w14:paraId="6702F10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是否退还</w:t>
            </w:r>
            <w:r>
              <w:rPr>
                <w:rFonts w:hint="eastAsia" w:ascii="宋体" w:hAnsi="宋体" w:eastAsia="宋体" w:cs="宋体"/>
                <w:color w:val="auto"/>
                <w:sz w:val="24"/>
                <w:szCs w:val="24"/>
                <w:highlight w:val="none"/>
                <w:lang w:eastAsia="zh-CN"/>
              </w:rPr>
              <w:t>响应文件</w:t>
            </w:r>
          </w:p>
        </w:tc>
        <w:tc>
          <w:tcPr>
            <w:tcW w:w="5970" w:type="dxa"/>
            <w:noWrap w:val="0"/>
            <w:vAlign w:val="center"/>
          </w:tcPr>
          <w:p w14:paraId="6E354B0C">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7167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52FB728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5.1</w:t>
            </w:r>
          </w:p>
        </w:tc>
        <w:tc>
          <w:tcPr>
            <w:tcW w:w="2549" w:type="dxa"/>
            <w:noWrap w:val="0"/>
            <w:vAlign w:val="center"/>
          </w:tcPr>
          <w:p w14:paraId="268111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开启</w:t>
            </w:r>
            <w:r>
              <w:rPr>
                <w:rFonts w:hint="eastAsia" w:ascii="宋体" w:hAnsi="宋体" w:eastAsia="宋体" w:cs="宋体"/>
                <w:color w:val="auto"/>
                <w:sz w:val="24"/>
                <w:szCs w:val="24"/>
                <w:highlight w:val="none"/>
              </w:rPr>
              <w:t>时间和地点</w:t>
            </w:r>
          </w:p>
        </w:tc>
        <w:tc>
          <w:tcPr>
            <w:tcW w:w="5970" w:type="dxa"/>
            <w:noWrap w:val="0"/>
            <w:vAlign w:val="top"/>
          </w:tcPr>
          <w:p w14:paraId="526A5E2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开启</w:t>
            </w:r>
            <w:r>
              <w:rPr>
                <w:rFonts w:hint="eastAsia" w:ascii="宋体" w:hAnsi="宋体" w:eastAsia="宋体" w:cs="宋体"/>
                <w:color w:val="auto"/>
                <w:sz w:val="24"/>
                <w:szCs w:val="24"/>
                <w:highlight w:val="none"/>
              </w:rPr>
              <w:t>时间：同</w:t>
            </w:r>
            <w:r>
              <w:rPr>
                <w:rFonts w:hint="eastAsia" w:ascii="宋体" w:hAnsi="宋体" w:eastAsia="宋体" w:cs="宋体"/>
                <w:color w:val="auto"/>
                <w:sz w:val="24"/>
                <w:szCs w:val="24"/>
                <w:highlight w:val="none"/>
                <w:lang w:eastAsia="zh-CN"/>
              </w:rPr>
              <w:t>提交</w:t>
            </w:r>
            <w:r>
              <w:rPr>
                <w:rFonts w:hint="eastAsia" w:ascii="宋体" w:hAnsi="宋体" w:eastAsia="宋体" w:cs="宋体"/>
                <w:color w:val="auto"/>
                <w:sz w:val="24"/>
                <w:szCs w:val="24"/>
                <w:highlight w:val="none"/>
              </w:rPr>
              <w:t>首次响应文件截止时间</w:t>
            </w:r>
          </w:p>
          <w:p w14:paraId="746E125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开启</w:t>
            </w:r>
            <w:r>
              <w:rPr>
                <w:rFonts w:hint="eastAsia" w:ascii="宋体" w:hAnsi="宋体" w:eastAsia="宋体" w:cs="宋体"/>
                <w:color w:val="auto"/>
                <w:sz w:val="24"/>
                <w:szCs w:val="24"/>
                <w:highlight w:val="none"/>
              </w:rPr>
              <w:t>地点：同</w:t>
            </w:r>
            <w:r>
              <w:rPr>
                <w:rFonts w:hint="eastAsia" w:ascii="宋体" w:hAnsi="宋体" w:eastAsia="宋体" w:cs="宋体"/>
                <w:color w:val="auto"/>
                <w:sz w:val="24"/>
                <w:szCs w:val="24"/>
                <w:highlight w:val="none"/>
                <w:lang w:eastAsia="zh-CN"/>
              </w:rPr>
              <w:t>提交</w:t>
            </w:r>
            <w:r>
              <w:rPr>
                <w:rFonts w:hint="eastAsia" w:ascii="宋体" w:hAnsi="宋体" w:eastAsia="宋体" w:cs="宋体"/>
                <w:color w:val="auto"/>
                <w:sz w:val="24"/>
                <w:szCs w:val="24"/>
                <w:highlight w:val="none"/>
              </w:rPr>
              <w:t>首次响应文件地点</w:t>
            </w:r>
          </w:p>
        </w:tc>
      </w:tr>
      <w:tr w14:paraId="3653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5471615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5.3.1</w:t>
            </w:r>
          </w:p>
        </w:tc>
        <w:tc>
          <w:tcPr>
            <w:tcW w:w="2549" w:type="dxa"/>
            <w:noWrap w:val="0"/>
            <w:vAlign w:val="center"/>
          </w:tcPr>
          <w:p w14:paraId="4A06908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磋商小组的组建</w:t>
            </w:r>
          </w:p>
        </w:tc>
        <w:tc>
          <w:tcPr>
            <w:tcW w:w="5970" w:type="dxa"/>
            <w:noWrap w:val="0"/>
            <w:vAlign w:val="top"/>
          </w:tcPr>
          <w:p w14:paraId="04E795C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磋商小组构成:磋商小组由</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代表1人和有关技术、经济方面的专家2人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共3人组成；</w:t>
            </w:r>
          </w:p>
          <w:p w14:paraId="13DF222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磋商小组确定方式：依据相关规定依法组建磋商小组，相关技术、经济方面专于开标前在</w:t>
            </w:r>
            <w:r>
              <w:rPr>
                <w:rFonts w:hint="eastAsia" w:cs="宋体"/>
                <w:color w:val="auto"/>
                <w:sz w:val="24"/>
                <w:szCs w:val="24"/>
                <w:lang w:val="en-US" w:eastAsia="zh-CN"/>
              </w:rPr>
              <w:t>相关</w:t>
            </w:r>
            <w:r>
              <w:rPr>
                <w:rFonts w:hint="eastAsia" w:ascii="宋体" w:hAnsi="宋体" w:eastAsia="宋体" w:cs="宋体"/>
                <w:color w:val="auto"/>
                <w:sz w:val="24"/>
                <w:szCs w:val="24"/>
                <w:lang w:eastAsia="zh-CN"/>
              </w:rPr>
              <w:t>评审</w:t>
            </w:r>
            <w:r>
              <w:rPr>
                <w:rFonts w:hint="eastAsia" w:ascii="宋体" w:hAnsi="宋体" w:eastAsia="宋体" w:cs="宋体"/>
                <w:color w:val="auto"/>
                <w:sz w:val="24"/>
                <w:szCs w:val="24"/>
              </w:rPr>
              <w:t>专家库中随机抽取</w:t>
            </w:r>
            <w:r>
              <w:rPr>
                <w:rFonts w:hint="eastAsia" w:ascii="宋体" w:hAnsi="宋体" w:eastAsia="宋体" w:cs="宋体"/>
                <w:color w:val="auto"/>
                <w:sz w:val="24"/>
                <w:szCs w:val="24"/>
                <w:lang w:eastAsia="zh-CN"/>
              </w:rPr>
              <w:t>。</w:t>
            </w:r>
          </w:p>
        </w:tc>
      </w:tr>
      <w:tr w14:paraId="5F99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1EC485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5.3.</w:t>
            </w:r>
            <w:r>
              <w:rPr>
                <w:rFonts w:hint="eastAsia" w:ascii="宋体" w:hAnsi="宋体" w:eastAsia="宋体" w:cs="宋体"/>
                <w:color w:val="auto"/>
                <w:sz w:val="24"/>
                <w:szCs w:val="24"/>
                <w:highlight w:val="none"/>
                <w:lang w:val="en-US" w:eastAsia="zh-CN"/>
              </w:rPr>
              <w:t>3</w:t>
            </w:r>
          </w:p>
        </w:tc>
        <w:tc>
          <w:tcPr>
            <w:tcW w:w="2549" w:type="dxa"/>
            <w:noWrap w:val="0"/>
            <w:vAlign w:val="center"/>
          </w:tcPr>
          <w:p w14:paraId="0E4B24F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是否授权磋商小组确定成交人</w:t>
            </w:r>
          </w:p>
        </w:tc>
        <w:tc>
          <w:tcPr>
            <w:tcW w:w="5970" w:type="dxa"/>
            <w:noWrap w:val="0"/>
            <w:vAlign w:val="center"/>
          </w:tcPr>
          <w:p w14:paraId="548A066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否，按顺序推荐的成交候选人数：</w:t>
            </w:r>
            <w:r>
              <w:rPr>
                <w:rFonts w:hint="eastAsia" w:ascii="宋体" w:hAnsi="宋体" w:eastAsia="宋体" w:cs="宋体"/>
                <w:color w:val="auto"/>
                <w:sz w:val="24"/>
                <w:szCs w:val="24"/>
                <w:u w:val="single"/>
                <w:lang w:val="en-US" w:eastAsia="zh-CN"/>
              </w:rPr>
              <w:t>1-</w:t>
            </w:r>
            <w:r>
              <w:rPr>
                <w:rFonts w:hint="eastAsia" w:ascii="宋体" w:hAnsi="宋体" w:eastAsia="宋体" w:cs="宋体"/>
                <w:color w:val="auto"/>
                <w:sz w:val="24"/>
                <w:szCs w:val="24"/>
                <w:u w:val="single"/>
              </w:rPr>
              <w:t>3名，并排序</w:t>
            </w:r>
          </w:p>
        </w:tc>
      </w:tr>
      <w:tr w14:paraId="0AA8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038DC18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p>
        </w:tc>
        <w:tc>
          <w:tcPr>
            <w:tcW w:w="2549" w:type="dxa"/>
            <w:noWrap w:val="0"/>
            <w:vAlign w:val="center"/>
          </w:tcPr>
          <w:p w14:paraId="0C21A62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5970" w:type="dxa"/>
            <w:noWrap w:val="0"/>
            <w:vAlign w:val="center"/>
          </w:tcPr>
          <w:p w14:paraId="1914290E">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履约保证金：不要求</w:t>
            </w:r>
          </w:p>
        </w:tc>
      </w:tr>
      <w:tr w14:paraId="2C05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14EB84D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519" w:type="dxa"/>
            <w:gridSpan w:val="2"/>
            <w:noWrap w:val="0"/>
            <w:vAlign w:val="center"/>
          </w:tcPr>
          <w:p w14:paraId="37C966EC">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需要补充的其他内容</w:t>
            </w:r>
          </w:p>
        </w:tc>
      </w:tr>
      <w:tr w14:paraId="79FF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noWrap w:val="0"/>
            <w:vAlign w:val="center"/>
          </w:tcPr>
          <w:p w14:paraId="397AC30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p>
        </w:tc>
        <w:tc>
          <w:tcPr>
            <w:tcW w:w="2549" w:type="dxa"/>
            <w:noWrap w:val="0"/>
            <w:vAlign w:val="center"/>
          </w:tcPr>
          <w:p w14:paraId="223458F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招标控制价</w:t>
            </w:r>
          </w:p>
        </w:tc>
        <w:tc>
          <w:tcPr>
            <w:tcW w:w="5970" w:type="dxa"/>
            <w:noWrap w:val="0"/>
            <w:vAlign w:val="center"/>
          </w:tcPr>
          <w:p w14:paraId="5F2104F7">
            <w:pPr>
              <w:spacing w:line="360" w:lineRule="auto"/>
              <w:rPr>
                <w:rFonts w:hint="default"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rPr>
              <w:t>招标控制价</w:t>
            </w:r>
            <w:r>
              <w:rPr>
                <w:rFonts w:hint="eastAsia" w:ascii="宋体" w:hAnsi="宋体" w:eastAsia="宋体" w:cs="宋体"/>
                <w:b/>
                <w:bCs/>
                <w:color w:val="auto"/>
                <w:sz w:val="24"/>
                <w:szCs w:val="24"/>
                <w:highlight w:val="none"/>
                <w:lang w:eastAsia="zh-CN"/>
              </w:rPr>
              <w:t>：</w:t>
            </w:r>
            <w:r>
              <w:rPr>
                <w:rFonts w:hint="eastAsia" w:cs="宋体"/>
                <w:b/>
                <w:bCs/>
                <w:color w:val="auto"/>
                <w:kern w:val="0"/>
                <w:sz w:val="24"/>
                <w:szCs w:val="24"/>
                <w:highlight w:val="none"/>
                <w:u w:val="single"/>
                <w:lang w:val="en-US" w:eastAsia="zh-CN"/>
              </w:rPr>
              <w:t>3033987.54元</w:t>
            </w:r>
          </w:p>
          <w:p w14:paraId="06F99CE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招标控制价是</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公布</w:t>
            </w:r>
            <w:r>
              <w:rPr>
                <w:rFonts w:hint="eastAsia" w:ascii="宋体" w:hAnsi="宋体" w:eastAsia="宋体" w:cs="宋体"/>
                <w:color w:val="auto"/>
                <w:sz w:val="24"/>
                <w:szCs w:val="24"/>
                <w:highlight w:val="none"/>
              </w:rPr>
              <w:t>的最高限价，大于招标控制价的报价视为无效报价，其投标将予否决。</w:t>
            </w:r>
          </w:p>
        </w:tc>
      </w:tr>
      <w:tr w14:paraId="3BC4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noWrap w:val="0"/>
            <w:vAlign w:val="center"/>
          </w:tcPr>
          <w:p w14:paraId="5CF96EF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w:t>
            </w:r>
          </w:p>
        </w:tc>
        <w:tc>
          <w:tcPr>
            <w:tcW w:w="2549" w:type="dxa"/>
            <w:noWrap w:val="0"/>
            <w:vAlign w:val="center"/>
          </w:tcPr>
          <w:p w14:paraId="0F6BE9B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采购程序</w:t>
            </w:r>
          </w:p>
        </w:tc>
        <w:tc>
          <w:tcPr>
            <w:tcW w:w="5970" w:type="dxa"/>
            <w:noWrap w:val="0"/>
            <w:vAlign w:val="center"/>
          </w:tcPr>
          <w:p w14:paraId="67EECA16">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制定磋商文件</w:t>
            </w:r>
          </w:p>
          <w:p w14:paraId="07659E78">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确定不少于3家的供应商参加磋商</w:t>
            </w:r>
          </w:p>
          <w:p w14:paraId="41C97EFC">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成立磋商小组</w:t>
            </w:r>
          </w:p>
          <w:p w14:paraId="6A98D30F">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w:t>
            </w:r>
          </w:p>
          <w:p w14:paraId="7C1ADEBE">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确定供应商</w:t>
            </w:r>
          </w:p>
          <w:p w14:paraId="1F55284D">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在指定媒体公布结果</w:t>
            </w:r>
          </w:p>
        </w:tc>
      </w:tr>
      <w:tr w14:paraId="5340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noWrap w:val="0"/>
            <w:vAlign w:val="center"/>
          </w:tcPr>
          <w:p w14:paraId="240E12B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10.3</w:t>
            </w:r>
          </w:p>
        </w:tc>
        <w:tc>
          <w:tcPr>
            <w:tcW w:w="2549" w:type="dxa"/>
            <w:noWrap w:val="0"/>
            <w:vAlign w:val="center"/>
          </w:tcPr>
          <w:p w14:paraId="3910DD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kern w:val="0"/>
                <w:sz w:val="24"/>
                <w:szCs w:val="24"/>
              </w:rPr>
              <w:t>是否</w:t>
            </w:r>
            <w:r>
              <w:rPr>
                <w:rFonts w:hint="eastAsia" w:ascii="宋体" w:hAnsi="宋体" w:eastAsia="宋体" w:cs="宋体"/>
                <w:spacing w:val="-2"/>
                <w:kern w:val="0"/>
                <w:sz w:val="24"/>
                <w:szCs w:val="24"/>
              </w:rPr>
              <w:t>采</w:t>
            </w:r>
            <w:r>
              <w:rPr>
                <w:rFonts w:hint="eastAsia" w:ascii="宋体" w:hAnsi="宋体" w:eastAsia="宋体" w:cs="宋体"/>
                <w:kern w:val="0"/>
                <w:sz w:val="24"/>
                <w:szCs w:val="24"/>
              </w:rPr>
              <w:t>用</w:t>
            </w:r>
            <w:r>
              <w:rPr>
                <w:rFonts w:hint="eastAsia" w:ascii="宋体" w:hAnsi="宋体" w:eastAsia="宋体" w:cs="宋体"/>
                <w:spacing w:val="-2"/>
                <w:kern w:val="0"/>
                <w:sz w:val="24"/>
                <w:szCs w:val="24"/>
              </w:rPr>
              <w:t>电</w:t>
            </w:r>
            <w:r>
              <w:rPr>
                <w:rFonts w:hint="eastAsia" w:ascii="宋体" w:hAnsi="宋体" w:eastAsia="宋体" w:cs="宋体"/>
                <w:kern w:val="0"/>
                <w:sz w:val="24"/>
                <w:szCs w:val="24"/>
              </w:rPr>
              <w:t>子</w:t>
            </w:r>
            <w:r>
              <w:rPr>
                <w:rFonts w:hint="eastAsia" w:ascii="宋体" w:hAnsi="宋体" w:eastAsia="宋体" w:cs="宋体"/>
                <w:spacing w:val="-2"/>
                <w:kern w:val="0"/>
                <w:sz w:val="24"/>
                <w:szCs w:val="24"/>
              </w:rPr>
              <w:t>招</w:t>
            </w:r>
            <w:r>
              <w:rPr>
                <w:rFonts w:hint="eastAsia" w:ascii="宋体" w:hAnsi="宋体" w:eastAsia="宋体" w:cs="宋体"/>
                <w:kern w:val="0"/>
                <w:sz w:val="24"/>
                <w:szCs w:val="24"/>
              </w:rPr>
              <w:t>标</w:t>
            </w:r>
            <w:r>
              <w:rPr>
                <w:rFonts w:hint="eastAsia" w:ascii="宋体" w:hAnsi="宋体" w:eastAsia="宋体" w:cs="宋体"/>
                <w:spacing w:val="-2"/>
                <w:kern w:val="0"/>
                <w:sz w:val="24"/>
                <w:szCs w:val="24"/>
              </w:rPr>
              <w:t>投</w:t>
            </w:r>
            <w:r>
              <w:rPr>
                <w:rFonts w:hint="eastAsia" w:ascii="宋体" w:hAnsi="宋体" w:eastAsia="宋体" w:cs="宋体"/>
                <w:kern w:val="0"/>
                <w:sz w:val="24"/>
                <w:szCs w:val="24"/>
              </w:rPr>
              <w:t>标</w:t>
            </w:r>
          </w:p>
        </w:tc>
        <w:tc>
          <w:tcPr>
            <w:tcW w:w="5970" w:type="dxa"/>
            <w:noWrap w:val="0"/>
            <w:vAlign w:val="center"/>
          </w:tcPr>
          <w:p w14:paraId="1335880F">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本项目为电子化交易项目，投标文件是投标人、投标人（以下简称“投标人”）通过中心投标文件制作系统制作，并经过电子签章和加密后生成的电子版投标文件。投标人投标时，不须提交纸质文件资料。电子化投标文件具体制作教材请投标人通过CA证书登录三门峡市公共资源电子化交易系统在 “交易智库”中下载操作流程</w:t>
            </w:r>
          </w:p>
          <w:p w14:paraId="75FCA4DF">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温馨提示：本项目为电子化、无纸化交易项目，投标人时不接受任何纸质资料，为保证您能投标成功，请需仔细阅读以下条款。</w:t>
            </w:r>
          </w:p>
          <w:p w14:paraId="535D7CBC">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一、电子化投标</w:t>
            </w:r>
          </w:p>
          <w:p w14:paraId="1F2B4928">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（一）电子化投标文件的签章</w:t>
            </w:r>
          </w:p>
          <w:p w14:paraId="51AC3E13">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1、投标人在生成电子化投标文件后，</w:t>
            </w:r>
            <w:r>
              <w:rPr>
                <w:rFonts w:hint="eastAsia" w:ascii="宋体" w:hAnsi="宋体" w:eastAsia="宋体" w:cs="宋体"/>
                <w:kern w:val="2"/>
                <w:sz w:val="24"/>
                <w:szCs w:val="24"/>
                <w:lang w:eastAsia="zh-CN"/>
              </w:rPr>
              <w:t>按投标文件格式，</w:t>
            </w:r>
            <w:r>
              <w:rPr>
                <w:rFonts w:hint="eastAsia" w:ascii="宋体" w:hAnsi="宋体" w:eastAsia="宋体" w:cs="宋体"/>
                <w:kern w:val="2"/>
                <w:sz w:val="24"/>
                <w:szCs w:val="24"/>
              </w:rPr>
              <w:t>对电子化投标文件进行签章。</w:t>
            </w:r>
          </w:p>
          <w:p w14:paraId="542697D2">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2、招标文件中要求法定代表人或授权委托人签字或盖章的，投标人在进行电子化投标文件签章时，以签盖法定代表人签章为准。电子化投标文件具体制作教材请投标人通过CA证书登录三门峡市公共资源电子化交易系统在右上角“交易智库”中查看。电子化投标文件工具请点击http://t.cn/A6ZvtVob进行下载。</w:t>
            </w:r>
          </w:p>
          <w:p w14:paraId="5D19093C">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（二）电子化投标文件的格式及上传投标</w:t>
            </w:r>
          </w:p>
          <w:p w14:paraId="2876D1D0">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1、投标人所上传的电子化投标文件，应是通过中心投标文件制作系统制作的（投标文件制作工具下载地址：http://t.cn/A6ZvtVob），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14:paraId="5BAA9EC6">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2、电子化投标文件应在投标截止时间前成功上传至三门峡市公共资源电子化交易系统。至投标截止时间止，仍未上传成功的电子化投标文件将不予接收。</w:t>
            </w:r>
          </w:p>
          <w:p w14:paraId="08307B3B">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321AC47B">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技术联系电话：4009980000</w:t>
            </w:r>
          </w:p>
          <w:p w14:paraId="1ABA7569">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（三）电子化项目开标、解密、唱标、</w:t>
            </w:r>
            <w:r>
              <w:rPr>
                <w:rFonts w:hint="eastAsia" w:ascii="宋体" w:hAnsi="宋体" w:eastAsia="宋体" w:cs="宋体"/>
                <w:kern w:val="2"/>
                <w:sz w:val="24"/>
                <w:szCs w:val="24"/>
                <w:lang w:eastAsia="zh-CN"/>
              </w:rPr>
              <w:t>评审</w:t>
            </w:r>
          </w:p>
          <w:p w14:paraId="6D619CA0">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"http://120.194.249.36:10094/BidOpening/bidopeninghallaction/hall/login）,在线准时参加开标活动并进行投标文件解密等。每位投标人的解密时间为开标时间起30分钟内完成。" </w:instrText>
            </w:r>
            <w:r>
              <w:rPr>
                <w:rFonts w:hint="eastAsia" w:ascii="宋体" w:hAnsi="宋体" w:eastAsia="宋体" w:cs="宋体"/>
                <w:sz w:val="24"/>
                <w:szCs w:val="24"/>
              </w:rPr>
              <w:fldChar w:fldCharType="separate"/>
            </w:r>
            <w:r>
              <w:rPr>
                <w:rFonts w:hint="eastAsia" w:ascii="宋体" w:hAnsi="宋体" w:eastAsia="宋体" w:cs="宋体"/>
                <w:kern w:val="2"/>
                <w:sz w:val="24"/>
                <w:szCs w:val="24"/>
              </w:rPr>
              <w:t>http://120.194.249.36:10094/BidOpening/bidopeninghallaction/hall/login</w:t>
            </w:r>
            <w:r>
              <w:rPr>
                <w:rFonts w:hint="eastAsia" w:ascii="宋体" w:hAnsi="宋体" w:eastAsia="宋体" w:cs="宋体"/>
                <w:kern w:val="2"/>
                <w:sz w:val="24"/>
                <w:szCs w:val="24"/>
              </w:rPr>
              <w:fldChar w:fldCharType="end"/>
            </w:r>
            <w:r>
              <w:rPr>
                <w:rFonts w:hint="eastAsia" w:ascii="宋体" w:hAnsi="宋体" w:eastAsia="宋体" w:cs="宋体"/>
                <w:kern w:val="2"/>
                <w:sz w:val="24"/>
                <w:szCs w:val="24"/>
              </w:rPr>
              <w:t>）,在线准时参加开标活动并进行投标文件解密等。</w:t>
            </w:r>
          </w:p>
          <w:p w14:paraId="6C2106BA">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2、电子化投标文件采用一次加密方式。开标时，由投标人使用CA 证书，在规定时间内对其电子化投标文件进行解密。每位投标人的解密时间为开标时间起30 分钟内，如在规定时间内未完成解密的，其投标文件不予开标、唱标。</w:t>
            </w:r>
          </w:p>
          <w:p w14:paraId="2A293C8F">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3、电子化投标文件解密异常的处理</w:t>
            </w:r>
          </w:p>
          <w:p w14:paraId="0C7850C1">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如出现投标人的电子投标文件无法解密等异常情况，投标人应及时致电中介服务机构说明。投标文件异常，按以下步骤进行处理：</w:t>
            </w:r>
          </w:p>
          <w:p w14:paraId="39D08079">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（1）首先由技术人员进行问题排查。</w:t>
            </w:r>
          </w:p>
          <w:p w14:paraId="5CE34A86">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（2）经技术人员排查后，是投标人文件自身问题导致投标文件无法解密的，该投标文件将不予接收、解密和唱标。开标会议继续进行。</w:t>
            </w:r>
          </w:p>
          <w:p w14:paraId="4E194FA3">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66DDBECF">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4、待所有投标人投标文件解密完成后，由中介服务机构操作，对所有已解密投标文件进行唱标。</w:t>
            </w:r>
          </w:p>
          <w:p w14:paraId="31631288">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投标人应保证在开标期间电话、电脑、网络能够正常工作，投标人因停电、电脑病毒、网络堵塞等原因，未在规定的解密时间内对投标文件进行解密的，其投标文件不予接收、唱标。</w:t>
            </w:r>
          </w:p>
          <w:p w14:paraId="2D8E8D73">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5、开标时投标人可登录到交易系统中在开标解密栏中点击报价一览表查看自己的投标报价。如对自己的唱标内容有异议的，应在投标人解密成功后10分钟内向中介服务机构电话质疑。中介服务机构应在监督人员的监督下进行免提通话接受投标人的质疑并做好书面记录。投标人未在规定时间内提出质疑的，视为认可唱标内容。</w:t>
            </w:r>
          </w:p>
          <w:p w14:paraId="66628CEC">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6、</w:t>
            </w:r>
            <w:r>
              <w:rPr>
                <w:rFonts w:hint="eastAsia" w:ascii="宋体" w:hAnsi="宋体" w:eastAsia="宋体" w:cs="宋体"/>
                <w:kern w:val="2"/>
                <w:sz w:val="24"/>
                <w:szCs w:val="24"/>
                <w:lang w:eastAsia="zh-CN"/>
              </w:rPr>
              <w:t>评审</w:t>
            </w:r>
            <w:r>
              <w:rPr>
                <w:rFonts w:hint="eastAsia" w:ascii="宋体" w:hAnsi="宋体" w:eastAsia="宋体" w:cs="宋体"/>
                <w:kern w:val="2"/>
                <w:sz w:val="24"/>
                <w:szCs w:val="24"/>
              </w:rPr>
              <w:t>时，</w:t>
            </w:r>
            <w:r>
              <w:rPr>
                <w:rFonts w:hint="eastAsia" w:ascii="宋体" w:hAnsi="宋体" w:eastAsia="宋体" w:cs="宋体"/>
                <w:kern w:val="2"/>
                <w:sz w:val="24"/>
                <w:szCs w:val="24"/>
                <w:lang w:eastAsia="zh-CN"/>
              </w:rPr>
              <w:t>评审</w:t>
            </w:r>
            <w:r>
              <w:rPr>
                <w:rFonts w:hint="eastAsia" w:ascii="宋体" w:hAnsi="宋体" w:eastAsia="宋体" w:cs="宋体"/>
                <w:kern w:val="2"/>
                <w:sz w:val="24"/>
                <w:szCs w:val="24"/>
              </w:rPr>
              <w:t>委员会对电子化投标文件有质疑的，将通过电子化交易系统对投标人发起质疑，并在监督人员的监督下，用免提模式致电需要答复的投标人对质疑进行回复。投标人的回复文件必须以经过投标人和其法定代表人签章的PDF格式文件为准，并通过电子化交易系统提交至</w:t>
            </w:r>
            <w:r>
              <w:rPr>
                <w:rFonts w:hint="eastAsia" w:ascii="宋体" w:hAnsi="宋体" w:eastAsia="宋体" w:cs="宋体"/>
                <w:kern w:val="2"/>
                <w:sz w:val="24"/>
                <w:szCs w:val="24"/>
                <w:lang w:eastAsia="zh-CN"/>
              </w:rPr>
              <w:t>评审</w:t>
            </w:r>
            <w:r>
              <w:rPr>
                <w:rFonts w:hint="eastAsia" w:ascii="宋体" w:hAnsi="宋体" w:eastAsia="宋体" w:cs="宋体"/>
                <w:kern w:val="2"/>
                <w:sz w:val="24"/>
                <w:szCs w:val="24"/>
              </w:rPr>
              <w:t>委员会。</w:t>
            </w:r>
          </w:p>
          <w:p w14:paraId="71A4F032">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7、如</w:t>
            </w:r>
            <w:r>
              <w:rPr>
                <w:rFonts w:hint="eastAsia" w:ascii="宋体" w:hAnsi="宋体" w:eastAsia="宋体" w:cs="宋体"/>
                <w:kern w:val="2"/>
                <w:sz w:val="24"/>
                <w:szCs w:val="24"/>
                <w:lang w:eastAsia="zh-CN"/>
              </w:rPr>
              <w:t>评审</w:t>
            </w:r>
            <w:r>
              <w:rPr>
                <w:rFonts w:hint="eastAsia" w:ascii="宋体" w:hAnsi="宋体" w:eastAsia="宋体" w:cs="宋体"/>
                <w:kern w:val="2"/>
                <w:sz w:val="24"/>
                <w:szCs w:val="24"/>
              </w:rPr>
              <w:t>委员会对需要回复的投标人连续三次致电未接通的，视为投标人放弃回复，</w:t>
            </w:r>
            <w:r>
              <w:rPr>
                <w:rFonts w:hint="eastAsia" w:ascii="宋体" w:hAnsi="宋体" w:eastAsia="宋体" w:cs="宋体"/>
                <w:kern w:val="2"/>
                <w:sz w:val="24"/>
                <w:szCs w:val="24"/>
                <w:lang w:eastAsia="zh-CN"/>
              </w:rPr>
              <w:t>评审</w:t>
            </w:r>
            <w:r>
              <w:rPr>
                <w:rFonts w:hint="eastAsia" w:ascii="宋体" w:hAnsi="宋体" w:eastAsia="宋体" w:cs="宋体"/>
                <w:kern w:val="2"/>
                <w:sz w:val="24"/>
                <w:szCs w:val="24"/>
              </w:rPr>
              <w:t>委员会将自行对需要回复的内容进行认定。</w:t>
            </w:r>
          </w:p>
          <w:p w14:paraId="1E24E1B2">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rPr>
              <w:t>二、相关证书的提交</w:t>
            </w:r>
          </w:p>
          <w:p w14:paraId="75FA0B6C">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1、</w:t>
            </w:r>
            <w:r>
              <w:rPr>
                <w:rFonts w:hint="eastAsia" w:ascii="宋体" w:hAnsi="宋体" w:eastAsia="宋体" w:cs="宋体"/>
                <w:kern w:val="2"/>
                <w:sz w:val="24"/>
                <w:szCs w:val="24"/>
              </w:rPr>
              <w:t>本项目实行资格后审，投标文件中要求投标人提交资质、业绩、荣誉及单位人员等相关资料原件的，投标人需将原件扫描件制作到电子投标文件中</w:t>
            </w:r>
            <w:r>
              <w:rPr>
                <w:rFonts w:hint="eastAsia" w:ascii="宋体" w:hAnsi="宋体" w:eastAsia="宋体" w:cs="宋体"/>
                <w:kern w:val="2"/>
                <w:sz w:val="24"/>
                <w:szCs w:val="24"/>
                <w:lang w:eastAsia="zh-CN"/>
              </w:rPr>
              <w:t>。</w:t>
            </w:r>
          </w:p>
          <w:p w14:paraId="17E0DB77">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2、根据优化营商环境的要求，评审时以投标文件为准：</w:t>
            </w:r>
          </w:p>
          <w:p w14:paraId="2DBE30D0">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（1）资格评（预）审部分：资格评（预）以投标文件为准，其上传资料真实性由投标人自行承担。</w:t>
            </w:r>
          </w:p>
          <w:p w14:paraId="19C66D00">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（2）评审打分部分：评审打分部分仍按照100分制原则进行，涉及到资格审查、企业荣誉、人员业绩、企业业绩等计分部分时，以投标单位自行上传到投标文件中的相应内容为准。</w:t>
            </w:r>
          </w:p>
          <w:p w14:paraId="575798DF">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3）投标文件编制部分：在招标文件中要求投标人按照投标文件格式进行投标文件编制，在投标文件编制时，应明确将投标单位企业基本情况、资质情况、人员情况、财务情况、业绩情况编入投标文件，便于进行资格审查及评审打分。</w:t>
            </w:r>
          </w:p>
          <w:p w14:paraId="6CB9F3FC">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3、投标人递交的资料和投标文件不论中标与否均不予退还。</w:t>
            </w:r>
          </w:p>
          <w:p w14:paraId="21BD47D6">
            <w:pPr>
              <w:keepNext w:val="0"/>
              <w:keepLines w:val="0"/>
              <w:pageBreakBefore w:val="0"/>
              <w:widowControl w:val="0"/>
              <w:kinsoku/>
              <w:wordWrap/>
              <w:overflowPunct/>
              <w:topLinePunct w:val="0"/>
              <w:autoSpaceDE/>
              <w:autoSpaceDN/>
              <w:bidi w:val="0"/>
              <w:adjustRightInd/>
              <w:snapToGrid/>
              <w:spacing w:after="0" w:line="400" w:lineRule="exact"/>
              <w:ind w:left="0" w:leftChars="0" w:firstLine="218" w:firstLineChars="91"/>
              <w:textAlignment w:val="auto"/>
              <w:rPr>
                <w:rFonts w:hint="eastAsia" w:ascii="宋体" w:hAnsi="宋体" w:eastAsia="宋体" w:cs="宋体"/>
                <w:kern w:val="2"/>
                <w:sz w:val="24"/>
                <w:szCs w:val="24"/>
              </w:rPr>
            </w:pPr>
            <w:r>
              <w:rPr>
                <w:rFonts w:hint="eastAsia" w:ascii="宋体" w:hAnsi="宋体" w:eastAsia="宋体" w:cs="宋体"/>
                <w:kern w:val="2"/>
                <w:sz w:val="24"/>
                <w:szCs w:val="24"/>
                <w:lang w:eastAsia="zh-CN"/>
              </w:rPr>
              <w:t>4、本项目评分业绩以投标文件业绩信息为准，可使用电子营业执照。</w:t>
            </w:r>
          </w:p>
          <w:p w14:paraId="1CB60EC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rPr>
              <w:t>提示：本项目为电子化、无纸化交易项目，投标时不再接受任何纸质资料，为保证您能投标成功，请需仔细阅读以上条款。</w:t>
            </w:r>
          </w:p>
        </w:tc>
      </w:tr>
      <w:tr w14:paraId="203D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974" w:type="dxa"/>
            <w:noWrap w:val="0"/>
            <w:vAlign w:val="center"/>
          </w:tcPr>
          <w:p w14:paraId="24E3B31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bookmarkStart w:id="12" w:name="_Toc269470294"/>
            <w:bookmarkStart w:id="13" w:name="_Toc270604575"/>
            <w:bookmarkStart w:id="14" w:name="_Toc30034"/>
            <w:r>
              <w:rPr>
                <w:rFonts w:hint="eastAsia" w:ascii="宋体" w:hAnsi="宋体" w:eastAsia="宋体" w:cs="宋体"/>
                <w:color w:val="auto"/>
                <w:sz w:val="24"/>
                <w:szCs w:val="24"/>
                <w:highlight w:val="none"/>
                <w:lang w:val="en-US" w:eastAsia="zh-CN"/>
              </w:rPr>
              <w:t>10.4</w:t>
            </w:r>
          </w:p>
        </w:tc>
        <w:tc>
          <w:tcPr>
            <w:tcW w:w="2549" w:type="dxa"/>
            <w:noWrap w:val="0"/>
            <w:vAlign w:val="center"/>
          </w:tcPr>
          <w:p w14:paraId="0A809E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竞争性磋商文件的解释</w:t>
            </w:r>
          </w:p>
        </w:tc>
        <w:tc>
          <w:tcPr>
            <w:tcW w:w="5970" w:type="dxa"/>
            <w:noWrap w:val="0"/>
            <w:vAlign w:val="center"/>
          </w:tcPr>
          <w:p w14:paraId="0AB0AB2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4"/>
              </w:rPr>
            </w:pPr>
            <w:r>
              <w:rPr>
                <w:rFonts w:hint="eastAsia" w:ascii="宋体" w:hAnsi="宋体" w:eastAsia="宋体" w:cs="宋体"/>
                <w:kern w:val="2"/>
                <w:sz w:val="24"/>
                <w:szCs w:val="24"/>
              </w:rPr>
              <w:t>本竞争性磋商文件中其他部分内容与</w:t>
            </w:r>
            <w:r>
              <w:rPr>
                <w:rFonts w:hint="eastAsia" w:ascii="宋体" w:hAnsi="宋体" w:eastAsia="宋体" w:cs="宋体"/>
                <w:kern w:val="2"/>
                <w:sz w:val="24"/>
                <w:szCs w:val="24"/>
                <w:lang w:val="en-US" w:eastAsia="zh-CN"/>
              </w:rPr>
              <w:t>供应商</w:t>
            </w:r>
            <w:r>
              <w:rPr>
                <w:rFonts w:hint="eastAsia" w:ascii="宋体" w:hAnsi="宋体" w:eastAsia="宋体" w:cs="宋体"/>
                <w:kern w:val="2"/>
                <w:sz w:val="24"/>
                <w:szCs w:val="24"/>
              </w:rPr>
              <w:t>须知前附表不一致的，以</w:t>
            </w:r>
            <w:r>
              <w:rPr>
                <w:rFonts w:hint="eastAsia" w:ascii="宋体" w:hAnsi="宋体" w:eastAsia="宋体" w:cs="宋体"/>
                <w:kern w:val="2"/>
                <w:sz w:val="24"/>
                <w:szCs w:val="24"/>
                <w:lang w:val="en-US" w:eastAsia="zh-CN"/>
              </w:rPr>
              <w:t>供应商</w:t>
            </w:r>
            <w:r>
              <w:rPr>
                <w:rFonts w:hint="eastAsia" w:ascii="宋体" w:hAnsi="宋体" w:eastAsia="宋体" w:cs="宋体"/>
                <w:kern w:val="2"/>
                <w:sz w:val="24"/>
                <w:szCs w:val="24"/>
              </w:rPr>
              <w:t>须知前附表为准。构成本竞争性磋商文件的各个组成文件应互为解释，互为说明，如有不明确或不一致构成合同文件组成内容的，以合同文件约定内容为准，且以专用合同条款约定的合同文件优先顺序解释</w:t>
            </w:r>
            <w:r>
              <w:rPr>
                <w:rFonts w:hint="eastAsia" w:ascii="宋体" w:hAnsi="宋体" w:eastAsia="宋体" w:cs="宋体"/>
                <w:kern w:val="2"/>
                <w:sz w:val="24"/>
                <w:szCs w:val="24"/>
                <w:lang w:eastAsia="zh-CN"/>
              </w:rPr>
              <w:t>；</w:t>
            </w:r>
            <w:r>
              <w:rPr>
                <w:rFonts w:hint="eastAsia" w:ascii="宋体" w:hAnsi="宋体" w:eastAsia="宋体" w:cs="宋体"/>
                <w:kern w:val="2"/>
                <w:sz w:val="24"/>
                <w:szCs w:val="24"/>
              </w:rPr>
              <w:t>除竞争性磋商文件中有特别规定外，仅适用于磋商投标阶段的规定，按竞争性磋商公告、</w:t>
            </w:r>
            <w:r>
              <w:rPr>
                <w:rFonts w:hint="eastAsia" w:ascii="宋体" w:hAnsi="宋体" w:eastAsia="宋体" w:cs="宋体"/>
                <w:kern w:val="2"/>
                <w:sz w:val="24"/>
                <w:szCs w:val="24"/>
                <w:lang w:val="en-US" w:eastAsia="zh-CN"/>
              </w:rPr>
              <w:t>供应商</w:t>
            </w:r>
            <w:r>
              <w:rPr>
                <w:rFonts w:hint="eastAsia" w:ascii="宋体" w:hAnsi="宋体" w:eastAsia="宋体" w:cs="宋体"/>
                <w:kern w:val="2"/>
                <w:sz w:val="24"/>
                <w:szCs w:val="24"/>
              </w:rPr>
              <w:t>须知、</w:t>
            </w:r>
            <w:r>
              <w:rPr>
                <w:rFonts w:hint="eastAsia" w:ascii="宋体" w:hAnsi="宋体" w:eastAsia="宋体" w:cs="宋体"/>
                <w:kern w:val="2"/>
                <w:sz w:val="24"/>
                <w:szCs w:val="24"/>
                <w:lang w:val="en-US" w:eastAsia="zh-CN"/>
              </w:rPr>
              <w:t>评审办法</w:t>
            </w:r>
            <w:r>
              <w:rPr>
                <w:rFonts w:hint="eastAsia" w:ascii="宋体" w:hAnsi="宋体" w:eastAsia="宋体" w:cs="宋体"/>
                <w:kern w:val="2"/>
                <w:sz w:val="24"/>
                <w:szCs w:val="24"/>
              </w:rPr>
              <w:t>、</w:t>
            </w:r>
            <w:r>
              <w:rPr>
                <w:rFonts w:hint="eastAsia" w:ascii="宋体" w:hAnsi="宋体" w:eastAsia="宋体" w:cs="宋体"/>
                <w:kern w:val="2"/>
                <w:sz w:val="24"/>
                <w:szCs w:val="24"/>
                <w:lang w:eastAsia="zh-CN"/>
              </w:rPr>
              <w:t>响应文件</w:t>
            </w:r>
            <w:r>
              <w:rPr>
                <w:rFonts w:hint="eastAsia" w:ascii="宋体" w:hAnsi="宋体" w:eastAsia="宋体" w:cs="宋体"/>
                <w:kern w:val="2"/>
                <w:sz w:val="24"/>
                <w:szCs w:val="24"/>
              </w:rPr>
              <w:t>格式的先后顺序解释</w:t>
            </w:r>
            <w:r>
              <w:rPr>
                <w:rFonts w:hint="eastAsia" w:ascii="宋体" w:hAnsi="宋体" w:eastAsia="宋体" w:cs="宋体"/>
                <w:kern w:val="2"/>
                <w:sz w:val="24"/>
                <w:szCs w:val="24"/>
                <w:lang w:eastAsia="zh-CN"/>
              </w:rPr>
              <w:t>；</w:t>
            </w:r>
            <w:r>
              <w:rPr>
                <w:rFonts w:hint="eastAsia" w:ascii="宋体" w:hAnsi="宋体" w:eastAsia="宋体" w:cs="宋体"/>
                <w:kern w:val="2"/>
                <w:sz w:val="24"/>
                <w:szCs w:val="24"/>
              </w:rPr>
              <w:t>同一组成文件中就同一事项的规定或约定不一致的，以编排顺序在后者为准</w:t>
            </w:r>
            <w:r>
              <w:rPr>
                <w:rFonts w:hint="eastAsia" w:ascii="宋体" w:hAnsi="宋体" w:eastAsia="宋体" w:cs="宋体"/>
                <w:kern w:val="2"/>
                <w:sz w:val="24"/>
                <w:szCs w:val="24"/>
                <w:lang w:eastAsia="zh-CN"/>
              </w:rPr>
              <w:t>；</w:t>
            </w:r>
            <w:r>
              <w:rPr>
                <w:rFonts w:hint="eastAsia" w:ascii="宋体" w:hAnsi="宋体" w:eastAsia="宋体" w:cs="宋体"/>
                <w:kern w:val="2"/>
                <w:sz w:val="24"/>
                <w:szCs w:val="24"/>
              </w:rPr>
              <w:t>同一组成文件不同版本之间有不致的，以形成时间在后者为准。在符合相关法律法规的前题下，竞争性磋商文件的解释权归</w:t>
            </w:r>
            <w:r>
              <w:rPr>
                <w:rFonts w:hint="eastAsia" w:ascii="宋体" w:hAnsi="宋体" w:eastAsia="宋体" w:cs="宋体"/>
                <w:kern w:val="2"/>
                <w:sz w:val="24"/>
                <w:szCs w:val="24"/>
                <w:lang w:val="en-US" w:eastAsia="zh-CN"/>
              </w:rPr>
              <w:t>采购</w:t>
            </w:r>
            <w:r>
              <w:rPr>
                <w:rFonts w:hint="eastAsia" w:ascii="宋体" w:hAnsi="宋体" w:eastAsia="宋体" w:cs="宋体"/>
                <w:kern w:val="2"/>
                <w:sz w:val="24"/>
                <w:szCs w:val="24"/>
              </w:rPr>
              <w:t>人所有。</w:t>
            </w:r>
          </w:p>
        </w:tc>
      </w:tr>
      <w:tr w14:paraId="209E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noWrap w:val="0"/>
            <w:vAlign w:val="center"/>
          </w:tcPr>
          <w:p w14:paraId="3FEF54A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10.5</w:t>
            </w:r>
          </w:p>
        </w:tc>
        <w:tc>
          <w:tcPr>
            <w:tcW w:w="8519" w:type="dxa"/>
            <w:gridSpan w:val="2"/>
            <w:noWrap w:val="0"/>
            <w:vAlign w:val="center"/>
          </w:tcPr>
          <w:p w14:paraId="366244F9">
            <w:pPr>
              <w:spacing w:line="360" w:lineRule="auto"/>
              <w:rPr>
                <w:rFonts w:hint="eastAsia" w:ascii="宋体" w:hAnsi="宋体" w:eastAsia="宋体" w:cs="宋体"/>
                <w:sz w:val="24"/>
                <w:szCs w:val="24"/>
              </w:rPr>
            </w:pPr>
            <w:r>
              <w:rPr>
                <w:rFonts w:hint="eastAsia" w:ascii="宋体" w:hAnsi="宋体" w:eastAsia="宋体" w:cs="宋体"/>
                <w:sz w:val="24"/>
                <w:szCs w:val="24"/>
              </w:rPr>
              <w:t>1.成交人与采购人签订合同后，将合同副本原件报采购代理机构备案。</w:t>
            </w:r>
          </w:p>
          <w:p w14:paraId="2EE198A7">
            <w:pPr>
              <w:spacing w:line="360" w:lineRule="auto"/>
              <w:rPr>
                <w:rFonts w:hint="eastAsia" w:ascii="宋体" w:hAnsi="宋体" w:eastAsia="宋体" w:cs="宋体"/>
                <w:sz w:val="24"/>
                <w:szCs w:val="24"/>
              </w:rPr>
            </w:pPr>
            <w:r>
              <w:rPr>
                <w:rFonts w:hint="eastAsia" w:ascii="宋体" w:hAnsi="宋体" w:eastAsia="宋体" w:cs="宋体"/>
                <w:sz w:val="24"/>
                <w:szCs w:val="24"/>
              </w:rPr>
              <w:t>2.供应商认为采购文件、采购过程和成交结果使自己的权益受到损害的, 可以在知道或者应知其权益受到损害之日起七个工作日内，按照政府采购质疑和投诉办法（中华人民共和国财政部令94号）以书面形式向采购人或采购代理机构提出质疑（邮寄件、传真件不予受理），逾期不再接收。</w:t>
            </w:r>
          </w:p>
          <w:p w14:paraId="162501A0">
            <w:pPr>
              <w:spacing w:line="360" w:lineRule="auto"/>
              <w:rPr>
                <w:rFonts w:hint="eastAsia" w:ascii="宋体" w:hAnsi="宋体" w:eastAsia="宋体" w:cs="宋体"/>
                <w:sz w:val="24"/>
                <w:szCs w:val="24"/>
              </w:rPr>
            </w:pPr>
            <w:r>
              <w:rPr>
                <w:rFonts w:hint="eastAsia" w:ascii="宋体" w:hAnsi="宋体" w:eastAsia="宋体" w:cs="宋体"/>
                <w:sz w:val="24"/>
                <w:szCs w:val="24"/>
              </w:rPr>
              <w:t>接收质疑函联系部门：</w:t>
            </w:r>
            <w:r>
              <w:rPr>
                <w:rFonts w:hint="eastAsia" w:ascii="宋体" w:hAnsi="宋体" w:eastAsia="宋体" w:cs="宋体"/>
                <w:sz w:val="24"/>
                <w:szCs w:val="24"/>
                <w:lang w:eastAsia="zh-CN"/>
              </w:rPr>
              <w:t>河南省亿达工程管理咨询有限公司</w:t>
            </w:r>
            <w:r>
              <w:rPr>
                <w:rFonts w:hint="eastAsia" w:ascii="宋体" w:hAnsi="宋体" w:eastAsia="宋体" w:cs="宋体"/>
                <w:sz w:val="24"/>
                <w:szCs w:val="24"/>
              </w:rPr>
              <w:t>,</w:t>
            </w:r>
          </w:p>
          <w:p w14:paraId="41E1F02C">
            <w:pPr>
              <w:spacing w:line="360" w:lineRule="auto"/>
              <w:rPr>
                <w:rFonts w:hint="eastAsia" w:ascii="宋体" w:hAnsi="宋体" w:eastAsia="宋体" w:cs="宋体"/>
                <w:sz w:val="24"/>
                <w:szCs w:val="24"/>
                <w:highlight w:val="none"/>
              </w:rPr>
            </w:pPr>
            <w:r>
              <w:rPr>
                <w:rFonts w:hint="eastAsia" w:ascii="宋体" w:hAnsi="宋体" w:eastAsia="宋体" w:cs="宋体"/>
                <w:sz w:val="24"/>
                <w:szCs w:val="24"/>
              </w:rPr>
              <w:t>联系</w:t>
            </w:r>
            <w:r>
              <w:rPr>
                <w:rFonts w:hint="eastAsia" w:ascii="宋体" w:hAnsi="宋体" w:eastAsia="宋体" w:cs="宋体"/>
                <w:sz w:val="24"/>
                <w:szCs w:val="24"/>
                <w:highlight w:val="none"/>
              </w:rPr>
              <w:t>电话：</w:t>
            </w:r>
            <w:r>
              <w:rPr>
                <w:rFonts w:hint="eastAsia" w:cs="宋体"/>
                <w:sz w:val="24"/>
                <w:szCs w:val="24"/>
                <w:highlight w:val="none"/>
                <w:lang w:val="en-US" w:eastAsia="zh-CN"/>
              </w:rPr>
              <w:t>13373967077</w:t>
            </w:r>
            <w:r>
              <w:rPr>
                <w:rFonts w:hint="eastAsia" w:ascii="宋体" w:hAnsi="宋体" w:eastAsia="宋体" w:cs="宋体"/>
                <w:sz w:val="24"/>
                <w:szCs w:val="24"/>
                <w:highlight w:val="none"/>
              </w:rPr>
              <w:t>，</w:t>
            </w:r>
          </w:p>
          <w:p w14:paraId="67A63F2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通讯地址：</w:t>
            </w:r>
            <w:r>
              <w:rPr>
                <w:rFonts w:hint="eastAsia" w:ascii="宋体" w:hAnsi="宋体" w:eastAsia="宋体" w:cs="宋体"/>
                <w:sz w:val="24"/>
                <w:szCs w:val="24"/>
                <w:highlight w:val="none"/>
                <w:lang w:eastAsia="zh-CN"/>
              </w:rPr>
              <w:t>郑州市青年路与玉凤路交叉口升龙环球大厦C座26楼</w:t>
            </w:r>
            <w:r>
              <w:rPr>
                <w:rFonts w:hint="eastAsia" w:ascii="宋体" w:hAnsi="宋体" w:eastAsia="宋体" w:cs="宋体"/>
                <w:sz w:val="24"/>
                <w:szCs w:val="24"/>
                <w:highlight w:val="none"/>
              </w:rPr>
              <w:t>。</w:t>
            </w:r>
          </w:p>
          <w:p w14:paraId="5E46312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在法定质疑期内供应商针对同一采购程序环节的质疑应当一次性提出。</w:t>
            </w:r>
          </w:p>
          <w:p w14:paraId="3DE93BA5">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3.采购资金的支付方式、时间（付款方式）：按工程进度支付。</w:t>
            </w:r>
          </w:p>
          <w:p w14:paraId="2CF6BEDE">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4.履约验收要求：合格，符合磋商文件及响应文件要求，满足采购人需求。</w:t>
            </w:r>
          </w:p>
          <w:p w14:paraId="56A26426">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5.为落实河南省财政厅关于印发深入推进政府采购合同融资工</w:t>
            </w:r>
            <w:r>
              <w:rPr>
                <w:rFonts w:hint="eastAsia" w:ascii="宋体" w:hAnsi="宋体" w:eastAsia="宋体" w:cs="宋体"/>
                <w:sz w:val="24"/>
                <w:szCs w:val="24"/>
                <w:lang w:val="en-US" w:eastAsia="zh-CN"/>
              </w:rPr>
              <w:t>作实施方案的通知（豫财办﹝2020﹞33号），成交供应商可以持政府采购合同向融资机构申请贷款，具体详见附件。</w:t>
            </w:r>
          </w:p>
        </w:tc>
      </w:tr>
      <w:tr w14:paraId="3D70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74" w:type="dxa"/>
            <w:noWrap w:val="0"/>
            <w:vAlign w:val="center"/>
          </w:tcPr>
          <w:p w14:paraId="3267B20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10.6</w:t>
            </w:r>
          </w:p>
        </w:tc>
        <w:tc>
          <w:tcPr>
            <w:tcW w:w="8519" w:type="dxa"/>
            <w:gridSpan w:val="2"/>
            <w:noWrap w:val="0"/>
            <w:vAlign w:val="center"/>
          </w:tcPr>
          <w:p w14:paraId="1BEDDDF7">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代理服务费：</w:t>
            </w:r>
          </w:p>
          <w:p w14:paraId="4FF0FEB3">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1.收取标准</w:t>
            </w:r>
            <w:r>
              <w:rPr>
                <w:rFonts w:hint="eastAsia" w:ascii="宋体" w:hAnsi="宋体" w:eastAsia="宋体" w:cs="宋体"/>
                <w:sz w:val="24"/>
                <w:szCs w:val="24"/>
                <w:highlight w:val="none"/>
                <w:lang w:val="en-US" w:eastAsia="zh-CN"/>
              </w:rPr>
              <w:t>：参考河南省普通公路养护工程预算编制办法招标代理服务费计费标准（豫交文[2021]76号）规定的收费标准计算。</w:t>
            </w:r>
          </w:p>
          <w:p w14:paraId="1F965C43">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2.收取方式：成交人在领取通知书时，以现金或转账的方式一次性向代理机构交纳代理服务费。</w:t>
            </w:r>
          </w:p>
        </w:tc>
      </w:tr>
      <w:tr w14:paraId="5837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03073F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10.7</w:t>
            </w:r>
          </w:p>
        </w:tc>
        <w:tc>
          <w:tcPr>
            <w:tcW w:w="8519" w:type="dxa"/>
            <w:gridSpan w:val="2"/>
            <w:noWrap w:val="0"/>
            <w:vAlign w:val="center"/>
          </w:tcPr>
          <w:p w14:paraId="2260ABD1">
            <w:pPr>
              <w:keepNext w:val="0"/>
              <w:keepLines w:val="0"/>
              <w:pageBreakBefore w:val="0"/>
              <w:widowControl w:val="0"/>
              <w:kinsoku/>
              <w:overflowPunct/>
              <w:autoSpaceDE/>
              <w:autoSpaceDN/>
              <w:bidi w:val="0"/>
              <w:adjustRightInd/>
              <w:snapToGrid/>
              <w:spacing w:line="24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农民工工资保证金：供应商应按照豫人社规｛2022｝4号文件。</w:t>
            </w:r>
          </w:p>
        </w:tc>
      </w:tr>
      <w:tr w14:paraId="1B4E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4" w:type="dxa"/>
            <w:noWrap w:val="0"/>
            <w:vAlign w:val="center"/>
          </w:tcPr>
          <w:p w14:paraId="4BE311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10.8</w:t>
            </w:r>
          </w:p>
        </w:tc>
        <w:tc>
          <w:tcPr>
            <w:tcW w:w="8519" w:type="dxa"/>
            <w:gridSpan w:val="2"/>
            <w:noWrap w:val="0"/>
            <w:vAlign w:val="center"/>
          </w:tcPr>
          <w:p w14:paraId="6946F87D">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中小企业划分标准所属行业：建筑业。</w:t>
            </w:r>
          </w:p>
        </w:tc>
      </w:tr>
    </w:tbl>
    <w:p w14:paraId="7A98C4C8">
      <w:pPr>
        <w:pStyle w:val="3"/>
        <w:numPr>
          <w:ilvl w:val="0"/>
          <w:numId w:val="4"/>
        </w:numPr>
        <w:bidi w:val="0"/>
        <w:jc w:val="center"/>
        <w:rPr>
          <w:rFonts w:hint="eastAsia" w:ascii="宋体" w:hAnsi="宋体" w:eastAsia="宋体" w:cs="宋体"/>
          <w:b/>
          <w:bCs w:val="0"/>
          <w:color w:val="auto"/>
          <w:kern w:val="2"/>
          <w:szCs w:val="24"/>
          <w:highlight w:val="none"/>
          <w:lang w:val="en-US" w:eastAsia="zh-CN" w:bidi="ar-SA"/>
        </w:rPr>
      </w:pPr>
      <w:r>
        <w:rPr>
          <w:rFonts w:hint="eastAsia" w:ascii="宋体" w:hAnsi="宋体" w:eastAsia="宋体" w:cs="Times New Roman"/>
          <w:b/>
          <w:bCs w:val="0"/>
          <w:color w:val="auto"/>
          <w:kern w:val="2"/>
          <w:szCs w:val="24"/>
          <w:highlight w:val="none"/>
          <w:lang w:val="en-US" w:eastAsia="zh-CN" w:bidi="ar-SA"/>
        </w:rPr>
        <w:br w:type="page"/>
      </w:r>
      <w:r>
        <w:rPr>
          <w:rFonts w:hint="eastAsia"/>
          <w:lang w:val="en-US" w:eastAsia="zh-CN"/>
        </w:rPr>
        <w:t xml:space="preserve"> </w:t>
      </w:r>
      <w:bookmarkStart w:id="15" w:name="_Toc9901"/>
      <w:bookmarkStart w:id="16" w:name="_Toc20924"/>
      <w:bookmarkStart w:id="17" w:name="_Toc29288"/>
      <w:bookmarkStart w:id="18" w:name="_Toc12193"/>
      <w:bookmarkStart w:id="19" w:name="_Toc32713"/>
      <w:r>
        <w:rPr>
          <w:rFonts w:hint="eastAsia"/>
          <w:lang w:val="en-US" w:eastAsia="zh-CN"/>
        </w:rPr>
        <w:t>总则</w:t>
      </w:r>
      <w:bookmarkEnd w:id="12"/>
      <w:bookmarkEnd w:id="13"/>
      <w:bookmarkEnd w:id="14"/>
      <w:bookmarkEnd w:id="15"/>
      <w:bookmarkEnd w:id="16"/>
      <w:bookmarkEnd w:id="17"/>
      <w:bookmarkEnd w:id="18"/>
      <w:bookmarkEnd w:id="19"/>
    </w:p>
    <w:p w14:paraId="05CAEFC1">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20" w:name="_Toc27089"/>
      <w:bookmarkStart w:id="21" w:name="_Toc25531"/>
      <w:bookmarkStart w:id="22" w:name="_Toc277149365"/>
      <w:bookmarkStart w:id="23" w:name="_Toc13394"/>
      <w:bookmarkStart w:id="24" w:name="_Toc428276569"/>
      <w:bookmarkStart w:id="25" w:name="_Toc462934274"/>
      <w:bookmarkStart w:id="26" w:name="_Toc428351629"/>
      <w:bookmarkStart w:id="27" w:name="_Toc455678100"/>
      <w:bookmarkStart w:id="28" w:name="_Toc463011253"/>
      <w:bookmarkStart w:id="29" w:name="_Toc454788009"/>
      <w:r>
        <w:rPr>
          <w:rFonts w:hint="eastAsia" w:ascii="宋体" w:hAnsi="宋体" w:eastAsia="宋体" w:cs="宋体"/>
          <w:b/>
          <w:bCs w:val="0"/>
          <w:color w:val="auto"/>
          <w:sz w:val="24"/>
          <w:szCs w:val="24"/>
          <w:highlight w:val="none"/>
        </w:rPr>
        <w:t>项目概况</w:t>
      </w:r>
      <w:bookmarkEnd w:id="20"/>
      <w:bookmarkEnd w:id="21"/>
      <w:bookmarkEnd w:id="22"/>
      <w:bookmarkEnd w:id="23"/>
      <w:bookmarkEnd w:id="24"/>
      <w:bookmarkEnd w:id="25"/>
      <w:bookmarkEnd w:id="26"/>
      <w:bookmarkEnd w:id="27"/>
      <w:bookmarkEnd w:id="28"/>
      <w:bookmarkEnd w:id="29"/>
    </w:p>
    <w:p w14:paraId="63569F90">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实施条例</w:t>
      </w:r>
      <w:r>
        <w:rPr>
          <w:rFonts w:hint="eastAsia" w:ascii="宋体" w:hAnsi="宋体" w:eastAsia="宋体" w:cs="宋体"/>
          <w:color w:val="auto"/>
          <w:sz w:val="24"/>
          <w:szCs w:val="24"/>
          <w:highlight w:val="none"/>
        </w:rPr>
        <w:t>》等有关法律、法规和规章的规定，本采购项目已具备竞争性磋商条件，现对本项目进行</w:t>
      </w:r>
      <w:r>
        <w:rPr>
          <w:rFonts w:hint="eastAsia" w:ascii="宋体" w:hAnsi="宋体" w:eastAsia="宋体" w:cs="宋体"/>
          <w:color w:val="auto"/>
          <w:sz w:val="24"/>
          <w:szCs w:val="24"/>
          <w:highlight w:val="none"/>
          <w:lang w:eastAsia="zh-CN"/>
        </w:rPr>
        <w:t>竞争性磋商</w:t>
      </w:r>
      <w:r>
        <w:rPr>
          <w:rFonts w:hint="eastAsia" w:ascii="宋体" w:hAnsi="宋体" w:eastAsia="宋体" w:cs="宋体"/>
          <w:color w:val="auto"/>
          <w:sz w:val="24"/>
          <w:szCs w:val="24"/>
          <w:highlight w:val="none"/>
        </w:rPr>
        <w:t>。</w:t>
      </w:r>
    </w:p>
    <w:p w14:paraId="5A29E764">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中所述的，依法进行政府采购的国家机关、事业单位、团体组织。</w:t>
      </w:r>
    </w:p>
    <w:p w14:paraId="561B13D5">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采购代理机构：受采购人委托组织采购活动，在采购过程中负有相应责任的社会中介组织。</w:t>
      </w:r>
    </w:p>
    <w:p w14:paraId="38BCC711">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3EB03660">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eastAsia="zh-CN"/>
        </w:rPr>
        <w:t>及采购编号</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791E25CE">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建设</w:t>
      </w:r>
      <w:r>
        <w:rPr>
          <w:rFonts w:hint="eastAsia" w:ascii="宋体" w:hAnsi="宋体" w:eastAsia="宋体" w:cs="宋体"/>
          <w:color w:val="auto"/>
          <w:sz w:val="24"/>
          <w:szCs w:val="24"/>
          <w:highlight w:val="none"/>
        </w:rPr>
        <w:t>地点：见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643B97AA">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30" w:name="_Toc454788010"/>
      <w:bookmarkStart w:id="31" w:name="_Toc269470296"/>
      <w:bookmarkStart w:id="32" w:name="_Toc462934275"/>
      <w:bookmarkStart w:id="33" w:name="_Toc29176"/>
      <w:bookmarkStart w:id="34" w:name="_Toc19738"/>
      <w:bookmarkStart w:id="35" w:name="_Toc270604577"/>
      <w:bookmarkStart w:id="36" w:name="_Toc455678101"/>
      <w:bookmarkStart w:id="37" w:name="_Toc428276570"/>
      <w:bookmarkStart w:id="38" w:name="_Toc463011254"/>
      <w:bookmarkStart w:id="39" w:name="_Toc277149366"/>
      <w:bookmarkStart w:id="40" w:name="_Toc13259"/>
      <w:bookmarkStart w:id="41" w:name="_Toc270604804"/>
      <w:bookmarkStart w:id="42" w:name="_Toc428351630"/>
      <w:r>
        <w:rPr>
          <w:rFonts w:hint="eastAsia" w:ascii="宋体" w:hAnsi="宋体" w:eastAsia="宋体" w:cs="宋体"/>
          <w:b/>
          <w:bCs w:val="0"/>
          <w:color w:val="auto"/>
          <w:sz w:val="24"/>
          <w:szCs w:val="24"/>
          <w:highlight w:val="none"/>
        </w:rPr>
        <w:t>资金来源和落实情况</w:t>
      </w:r>
      <w:bookmarkEnd w:id="30"/>
      <w:bookmarkEnd w:id="31"/>
      <w:bookmarkEnd w:id="32"/>
      <w:bookmarkEnd w:id="33"/>
      <w:bookmarkEnd w:id="34"/>
      <w:bookmarkEnd w:id="35"/>
      <w:bookmarkEnd w:id="36"/>
      <w:bookmarkEnd w:id="37"/>
      <w:bookmarkEnd w:id="38"/>
      <w:bookmarkEnd w:id="39"/>
      <w:bookmarkEnd w:id="40"/>
      <w:bookmarkEnd w:id="41"/>
      <w:bookmarkEnd w:id="42"/>
    </w:p>
    <w:p w14:paraId="005CDD95">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251DAAE0">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资金落实情况：见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303635D4">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采购预算金额：见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74A79FC2">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采购项目性质：见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02DF4AC6">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43" w:name="_Toc277149367"/>
      <w:bookmarkStart w:id="44" w:name="_Toc270604805"/>
      <w:bookmarkStart w:id="45" w:name="_Toc9637"/>
      <w:bookmarkStart w:id="46" w:name="_Toc74"/>
      <w:bookmarkStart w:id="47" w:name="_Toc454788011"/>
      <w:bookmarkStart w:id="48" w:name="_Toc269470297"/>
      <w:bookmarkStart w:id="49" w:name="_Toc462934276"/>
      <w:bookmarkStart w:id="50" w:name="_Toc428276571"/>
      <w:bookmarkStart w:id="51" w:name="_Toc428351631"/>
      <w:bookmarkStart w:id="52" w:name="_Toc455678102"/>
      <w:bookmarkStart w:id="53" w:name="_Toc463011255"/>
      <w:bookmarkStart w:id="54" w:name="_Toc270604578"/>
      <w:bookmarkStart w:id="55" w:name="_Toc20155"/>
      <w:r>
        <w:rPr>
          <w:rFonts w:hint="eastAsia" w:ascii="宋体" w:hAnsi="宋体" w:eastAsia="宋体" w:cs="宋体"/>
          <w:b/>
          <w:bCs w:val="0"/>
          <w:color w:val="auto"/>
          <w:sz w:val="24"/>
          <w:szCs w:val="24"/>
          <w:highlight w:val="none"/>
        </w:rPr>
        <w:t>采购范围、</w:t>
      </w:r>
      <w:r>
        <w:rPr>
          <w:rFonts w:hint="eastAsia" w:ascii="宋体" w:hAnsi="宋体" w:eastAsia="宋体" w:cs="宋体"/>
          <w:b/>
          <w:bCs w:val="0"/>
          <w:color w:val="auto"/>
          <w:sz w:val="24"/>
          <w:szCs w:val="24"/>
          <w:highlight w:val="none"/>
          <w:lang w:eastAsia="zh-CN"/>
        </w:rPr>
        <w:t>计划工</w:t>
      </w:r>
      <w:r>
        <w:rPr>
          <w:rFonts w:hint="eastAsia" w:ascii="宋体" w:hAnsi="宋体" w:eastAsia="宋体" w:cs="宋体"/>
          <w:b/>
          <w:bCs w:val="0"/>
          <w:color w:val="auto"/>
          <w:sz w:val="24"/>
          <w:szCs w:val="24"/>
          <w:highlight w:val="none"/>
        </w:rPr>
        <w:t>期和质量</w:t>
      </w:r>
      <w:bookmarkEnd w:id="43"/>
      <w:bookmarkEnd w:id="44"/>
      <w:bookmarkEnd w:id="45"/>
      <w:bookmarkEnd w:id="46"/>
      <w:bookmarkEnd w:id="47"/>
      <w:bookmarkEnd w:id="48"/>
      <w:bookmarkEnd w:id="49"/>
      <w:bookmarkEnd w:id="50"/>
      <w:bookmarkEnd w:id="51"/>
      <w:bookmarkEnd w:id="52"/>
      <w:bookmarkEnd w:id="53"/>
      <w:bookmarkEnd w:id="54"/>
      <w:bookmarkEnd w:id="55"/>
      <w:r>
        <w:rPr>
          <w:rFonts w:hint="eastAsia" w:ascii="宋体" w:hAnsi="宋体" w:eastAsia="宋体" w:cs="宋体"/>
          <w:b/>
          <w:bCs w:val="0"/>
          <w:color w:val="auto"/>
          <w:sz w:val="24"/>
          <w:szCs w:val="24"/>
          <w:highlight w:val="none"/>
          <w:lang w:eastAsia="zh-CN"/>
        </w:rPr>
        <w:t>标准</w:t>
      </w:r>
    </w:p>
    <w:p w14:paraId="62DF6F6F">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采购范围：见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0DF55CA0">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计划工期</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16661E68">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供应商须知前附表</w:t>
      </w:r>
      <w:r>
        <w:rPr>
          <w:rFonts w:hint="eastAsia" w:ascii="宋体" w:hAnsi="宋体" w:eastAsia="宋体" w:cs="宋体"/>
          <w:color w:val="auto"/>
          <w:sz w:val="24"/>
          <w:szCs w:val="24"/>
          <w:highlight w:val="none"/>
        </w:rPr>
        <w:t>。</w:t>
      </w:r>
    </w:p>
    <w:p w14:paraId="1F040976">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56" w:name="_Toc428276572"/>
      <w:bookmarkStart w:id="57" w:name="_Toc269470298"/>
      <w:bookmarkStart w:id="58" w:name="_Toc16958"/>
      <w:bookmarkStart w:id="59" w:name="_Toc462934277"/>
      <w:bookmarkStart w:id="60" w:name="_Toc463011256"/>
      <w:bookmarkStart w:id="61" w:name="_Toc428351632"/>
      <w:bookmarkStart w:id="62" w:name="_Toc454788012"/>
      <w:bookmarkStart w:id="63" w:name="_Toc11519"/>
      <w:bookmarkStart w:id="64" w:name="_Toc455678103"/>
      <w:bookmarkStart w:id="65" w:name="_Toc270604806"/>
      <w:bookmarkStart w:id="66" w:name="_Toc277149368"/>
      <w:bookmarkStart w:id="67" w:name="_Toc270604579"/>
      <w:bookmarkStart w:id="68" w:name="_Toc6648"/>
      <w:r>
        <w:rPr>
          <w:rFonts w:hint="eastAsia" w:ascii="宋体" w:hAnsi="宋体" w:eastAsia="宋体" w:cs="宋体"/>
          <w:b/>
          <w:bCs w:val="0"/>
          <w:color w:val="auto"/>
          <w:sz w:val="24"/>
          <w:szCs w:val="24"/>
          <w:highlight w:val="none"/>
          <w:lang w:eastAsia="zh-CN"/>
        </w:rPr>
        <w:t>供应商</w:t>
      </w:r>
      <w:r>
        <w:rPr>
          <w:rFonts w:hint="eastAsia" w:ascii="宋体" w:hAnsi="宋体" w:eastAsia="宋体" w:cs="宋体"/>
          <w:b/>
          <w:bCs w:val="0"/>
          <w:color w:val="auto"/>
          <w:sz w:val="24"/>
          <w:szCs w:val="24"/>
          <w:highlight w:val="none"/>
        </w:rPr>
        <w:t>资格要求</w:t>
      </w:r>
      <w:bookmarkEnd w:id="56"/>
      <w:bookmarkEnd w:id="57"/>
      <w:bookmarkEnd w:id="58"/>
      <w:bookmarkEnd w:id="59"/>
      <w:bookmarkEnd w:id="60"/>
      <w:bookmarkEnd w:id="61"/>
      <w:bookmarkEnd w:id="62"/>
      <w:bookmarkEnd w:id="63"/>
      <w:bookmarkEnd w:id="64"/>
      <w:bookmarkEnd w:id="65"/>
      <w:bookmarkEnd w:id="66"/>
      <w:bookmarkEnd w:id="67"/>
      <w:bookmarkEnd w:id="68"/>
    </w:p>
    <w:p w14:paraId="06CD11B9">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供应商应具备的资格条件</w:t>
      </w:r>
    </w:p>
    <w:p w14:paraId="7EAA709C">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right="40" w:rightChars="0" w:firstLine="240" w:firstLineChars="1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见</w:t>
      </w:r>
      <w:r>
        <w:rPr>
          <w:rFonts w:hint="eastAsia" w:ascii="宋体" w:hAnsi="宋体" w:eastAsia="宋体" w:cs="宋体"/>
          <w:color w:val="auto"/>
          <w:kern w:val="0"/>
          <w:sz w:val="24"/>
          <w:szCs w:val="24"/>
          <w:highlight w:val="none"/>
          <w:lang w:eastAsia="zh-CN"/>
        </w:rPr>
        <w:t>供应商须知前附表1.4.1。</w:t>
      </w:r>
    </w:p>
    <w:p w14:paraId="65FA365E">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本项目不接受联合体投标。</w:t>
      </w:r>
    </w:p>
    <w:p w14:paraId="6730C001">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不得存在下列情形之一：</w:t>
      </w:r>
    </w:p>
    <w:p w14:paraId="04D401F1">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与采购人存在利害关系且可能影响</w:t>
      </w:r>
      <w:r>
        <w:rPr>
          <w:rFonts w:hint="eastAsia" w:ascii="宋体" w:hAnsi="宋体" w:eastAsia="宋体" w:cs="宋体"/>
          <w:kern w:val="0"/>
          <w:sz w:val="24"/>
          <w:szCs w:val="24"/>
          <w:highlight w:val="none"/>
          <w:lang w:eastAsia="zh-CN"/>
        </w:rPr>
        <w:t>磋商</w:t>
      </w:r>
      <w:r>
        <w:rPr>
          <w:rFonts w:hint="eastAsia" w:ascii="宋体" w:hAnsi="宋体" w:eastAsia="宋体" w:cs="宋体"/>
          <w:kern w:val="0"/>
          <w:sz w:val="24"/>
          <w:szCs w:val="24"/>
          <w:highlight w:val="none"/>
        </w:rPr>
        <w:t>公正性；</w:t>
      </w:r>
    </w:p>
    <w:p w14:paraId="24619D6F">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与本</w:t>
      </w:r>
      <w:r>
        <w:rPr>
          <w:rFonts w:hint="eastAsia" w:ascii="宋体" w:hAnsi="宋体" w:eastAsia="宋体" w:cs="宋体"/>
          <w:kern w:val="0"/>
          <w:sz w:val="24"/>
          <w:szCs w:val="24"/>
          <w:highlight w:val="none"/>
          <w:lang w:eastAsia="zh-CN"/>
        </w:rPr>
        <w:t>磋商项目</w:t>
      </w:r>
      <w:r>
        <w:rPr>
          <w:rFonts w:hint="eastAsia" w:ascii="宋体" w:hAnsi="宋体" w:eastAsia="宋体" w:cs="宋体"/>
          <w:kern w:val="0"/>
          <w:sz w:val="24"/>
          <w:szCs w:val="24"/>
          <w:highlight w:val="none"/>
        </w:rPr>
        <w:t>的其他</w:t>
      </w:r>
      <w:r>
        <w:rPr>
          <w:rFonts w:hint="eastAsia" w:ascii="宋体" w:hAnsi="宋体" w:eastAsia="宋体" w:cs="宋体"/>
          <w:kern w:val="0"/>
          <w:sz w:val="24"/>
          <w:szCs w:val="24"/>
          <w:highlight w:val="none"/>
          <w:lang w:eastAsia="zh-CN"/>
        </w:rPr>
        <w:t>供应商</w:t>
      </w:r>
      <w:r>
        <w:rPr>
          <w:rFonts w:hint="eastAsia" w:ascii="宋体" w:hAnsi="宋体" w:eastAsia="宋体" w:cs="宋体"/>
          <w:kern w:val="0"/>
          <w:sz w:val="24"/>
          <w:szCs w:val="24"/>
          <w:highlight w:val="none"/>
        </w:rPr>
        <w:t>为同一个单位负责人；</w:t>
      </w:r>
    </w:p>
    <w:p w14:paraId="2104EF3B">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与本</w:t>
      </w:r>
      <w:r>
        <w:rPr>
          <w:rFonts w:hint="eastAsia" w:ascii="宋体" w:hAnsi="宋体" w:eastAsia="宋体" w:cs="宋体"/>
          <w:kern w:val="0"/>
          <w:sz w:val="24"/>
          <w:szCs w:val="24"/>
          <w:highlight w:val="none"/>
          <w:lang w:eastAsia="zh-CN"/>
        </w:rPr>
        <w:t>磋商项目</w:t>
      </w:r>
      <w:r>
        <w:rPr>
          <w:rFonts w:hint="eastAsia" w:ascii="宋体" w:hAnsi="宋体" w:eastAsia="宋体" w:cs="宋体"/>
          <w:kern w:val="0"/>
          <w:sz w:val="24"/>
          <w:szCs w:val="24"/>
          <w:highlight w:val="none"/>
        </w:rPr>
        <w:t>的其他</w:t>
      </w:r>
      <w:r>
        <w:rPr>
          <w:rFonts w:hint="eastAsia" w:ascii="宋体" w:hAnsi="宋体" w:eastAsia="宋体" w:cs="宋体"/>
          <w:kern w:val="0"/>
          <w:sz w:val="24"/>
          <w:szCs w:val="24"/>
          <w:highlight w:val="none"/>
          <w:lang w:eastAsia="zh-CN"/>
        </w:rPr>
        <w:t>供应商</w:t>
      </w:r>
      <w:r>
        <w:rPr>
          <w:rFonts w:hint="eastAsia" w:ascii="宋体" w:hAnsi="宋体" w:eastAsia="宋体" w:cs="宋体"/>
          <w:kern w:val="0"/>
          <w:sz w:val="24"/>
          <w:szCs w:val="24"/>
          <w:highlight w:val="none"/>
        </w:rPr>
        <w:t>存在控股、管理关系；</w:t>
      </w:r>
    </w:p>
    <w:p w14:paraId="721F0681">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为本</w:t>
      </w:r>
      <w:r>
        <w:rPr>
          <w:rFonts w:hint="eastAsia" w:ascii="宋体" w:hAnsi="宋体" w:eastAsia="宋体" w:cs="宋体"/>
          <w:kern w:val="0"/>
          <w:sz w:val="24"/>
          <w:szCs w:val="24"/>
          <w:highlight w:val="none"/>
          <w:lang w:eastAsia="zh-CN"/>
        </w:rPr>
        <w:t>磋商项目</w:t>
      </w:r>
      <w:r>
        <w:rPr>
          <w:rFonts w:hint="eastAsia" w:ascii="宋体" w:hAnsi="宋体" w:eastAsia="宋体" w:cs="宋体"/>
          <w:kern w:val="0"/>
          <w:sz w:val="24"/>
          <w:szCs w:val="24"/>
          <w:highlight w:val="none"/>
        </w:rPr>
        <w:t>提供过</w:t>
      </w:r>
      <w:r>
        <w:rPr>
          <w:rFonts w:hint="eastAsia" w:ascii="宋体" w:hAnsi="宋体" w:eastAsia="宋体" w:cs="宋体"/>
          <w:kern w:val="0"/>
          <w:sz w:val="24"/>
          <w:szCs w:val="24"/>
          <w:highlight w:val="none"/>
          <w:lang w:eastAsia="zh-CN"/>
        </w:rPr>
        <w:t>整体</w:t>
      </w:r>
      <w:r>
        <w:rPr>
          <w:rFonts w:hint="eastAsia" w:ascii="宋体" w:hAnsi="宋体" w:eastAsia="宋体" w:cs="宋体"/>
          <w:kern w:val="0"/>
          <w:sz w:val="24"/>
          <w:szCs w:val="24"/>
          <w:highlight w:val="none"/>
        </w:rPr>
        <w:t>设计、</w:t>
      </w:r>
      <w:r>
        <w:rPr>
          <w:rFonts w:hint="eastAsia" w:ascii="宋体" w:hAnsi="宋体" w:eastAsia="宋体" w:cs="宋体"/>
          <w:kern w:val="0"/>
          <w:sz w:val="24"/>
          <w:szCs w:val="24"/>
          <w:highlight w:val="none"/>
          <w:lang w:eastAsia="zh-CN"/>
        </w:rPr>
        <w:t>规范</w:t>
      </w:r>
      <w:r>
        <w:rPr>
          <w:rFonts w:hint="eastAsia" w:ascii="宋体" w:hAnsi="宋体" w:eastAsia="宋体" w:cs="宋体"/>
          <w:kern w:val="0"/>
          <w:sz w:val="24"/>
          <w:szCs w:val="24"/>
          <w:highlight w:val="none"/>
        </w:rPr>
        <w:t>编制</w:t>
      </w:r>
      <w:r>
        <w:rPr>
          <w:rFonts w:hint="eastAsia" w:ascii="宋体" w:hAnsi="宋体" w:eastAsia="宋体" w:cs="宋体"/>
          <w:kern w:val="0"/>
          <w:sz w:val="24"/>
          <w:szCs w:val="24"/>
          <w:highlight w:val="none"/>
          <w:lang w:eastAsia="zh-CN"/>
        </w:rPr>
        <w:t>或者项目管理、监理、检测等服务</w:t>
      </w:r>
      <w:r>
        <w:rPr>
          <w:rFonts w:hint="eastAsia" w:ascii="宋体" w:hAnsi="宋体" w:eastAsia="宋体" w:cs="宋体"/>
          <w:kern w:val="0"/>
          <w:sz w:val="24"/>
          <w:szCs w:val="24"/>
          <w:highlight w:val="none"/>
        </w:rPr>
        <w:t>；</w:t>
      </w:r>
    </w:p>
    <w:p w14:paraId="75541D91">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为本项目的监理人；</w:t>
      </w:r>
    </w:p>
    <w:p w14:paraId="0227F21F">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为本项目的代建人；</w:t>
      </w:r>
    </w:p>
    <w:p w14:paraId="30EAEA9D">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与本项目的</w:t>
      </w:r>
      <w:r>
        <w:rPr>
          <w:rFonts w:hint="eastAsia" w:ascii="宋体" w:hAnsi="宋体" w:eastAsia="宋体" w:cs="宋体"/>
          <w:kern w:val="0"/>
          <w:sz w:val="24"/>
          <w:szCs w:val="24"/>
          <w:highlight w:val="none"/>
          <w:lang w:eastAsia="zh-CN"/>
        </w:rPr>
        <w:t>监理人或</w:t>
      </w:r>
      <w:r>
        <w:rPr>
          <w:rFonts w:hint="eastAsia" w:ascii="宋体" w:hAnsi="宋体" w:eastAsia="宋体" w:cs="宋体"/>
          <w:kern w:val="0"/>
          <w:sz w:val="24"/>
          <w:szCs w:val="24"/>
          <w:highlight w:val="none"/>
        </w:rPr>
        <w:t>代建人或</w:t>
      </w:r>
      <w:r>
        <w:rPr>
          <w:rFonts w:hint="eastAsia" w:ascii="宋体" w:hAnsi="宋体" w:eastAsia="宋体" w:cs="宋体"/>
          <w:kern w:val="0"/>
          <w:sz w:val="24"/>
          <w:szCs w:val="24"/>
          <w:highlight w:val="none"/>
          <w:lang w:eastAsia="zh-CN"/>
        </w:rPr>
        <w:t>采购</w:t>
      </w:r>
      <w:r>
        <w:rPr>
          <w:rFonts w:hint="eastAsia" w:ascii="宋体" w:hAnsi="宋体" w:eastAsia="宋体" w:cs="宋体"/>
          <w:kern w:val="0"/>
          <w:sz w:val="24"/>
          <w:szCs w:val="24"/>
          <w:highlight w:val="none"/>
        </w:rPr>
        <w:t>代理机构同为一个法定代表人；</w:t>
      </w:r>
    </w:p>
    <w:p w14:paraId="1DD0E893">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与本项目的</w:t>
      </w:r>
      <w:r>
        <w:rPr>
          <w:rFonts w:hint="eastAsia" w:ascii="宋体" w:hAnsi="宋体" w:eastAsia="宋体" w:cs="宋体"/>
          <w:kern w:val="0"/>
          <w:sz w:val="24"/>
          <w:szCs w:val="24"/>
          <w:highlight w:val="none"/>
          <w:lang w:eastAsia="zh-CN"/>
        </w:rPr>
        <w:t>监理人或</w:t>
      </w:r>
      <w:r>
        <w:rPr>
          <w:rFonts w:hint="eastAsia" w:ascii="宋体" w:hAnsi="宋体" w:eastAsia="宋体" w:cs="宋体"/>
          <w:kern w:val="0"/>
          <w:sz w:val="24"/>
          <w:szCs w:val="24"/>
          <w:highlight w:val="none"/>
        </w:rPr>
        <w:t>代建人或</w:t>
      </w:r>
      <w:r>
        <w:rPr>
          <w:rFonts w:hint="eastAsia" w:ascii="宋体" w:hAnsi="宋体" w:eastAsia="宋体" w:cs="宋体"/>
          <w:kern w:val="0"/>
          <w:sz w:val="24"/>
          <w:szCs w:val="24"/>
          <w:highlight w:val="none"/>
          <w:lang w:eastAsia="zh-CN"/>
        </w:rPr>
        <w:t>采购</w:t>
      </w:r>
      <w:r>
        <w:rPr>
          <w:rFonts w:hint="eastAsia" w:ascii="宋体" w:hAnsi="宋体" w:eastAsia="宋体" w:cs="宋体"/>
          <w:kern w:val="0"/>
          <w:sz w:val="24"/>
          <w:szCs w:val="24"/>
          <w:highlight w:val="none"/>
        </w:rPr>
        <w:t>代理机构存在控股或参股关系；</w:t>
      </w:r>
    </w:p>
    <w:p w14:paraId="31683451">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为本</w:t>
      </w:r>
      <w:r>
        <w:rPr>
          <w:rFonts w:hint="eastAsia" w:ascii="宋体" w:hAnsi="宋体" w:eastAsia="宋体" w:cs="宋体"/>
          <w:kern w:val="0"/>
          <w:sz w:val="24"/>
          <w:szCs w:val="24"/>
          <w:highlight w:val="none"/>
          <w:lang w:eastAsia="zh-CN"/>
        </w:rPr>
        <w:t>磋商项目</w:t>
      </w:r>
      <w:r>
        <w:rPr>
          <w:rFonts w:hint="eastAsia" w:ascii="宋体" w:hAnsi="宋体" w:eastAsia="宋体" w:cs="宋体"/>
          <w:kern w:val="0"/>
          <w:sz w:val="24"/>
          <w:szCs w:val="24"/>
          <w:highlight w:val="none"/>
        </w:rPr>
        <w:t>的</w:t>
      </w:r>
      <w:r>
        <w:rPr>
          <w:rFonts w:hint="eastAsia" w:ascii="宋体" w:hAnsi="宋体" w:eastAsia="宋体" w:cs="宋体"/>
          <w:kern w:val="0"/>
          <w:sz w:val="24"/>
          <w:szCs w:val="24"/>
          <w:highlight w:val="none"/>
          <w:lang w:eastAsia="zh-CN"/>
        </w:rPr>
        <w:t>采购</w:t>
      </w:r>
      <w:r>
        <w:rPr>
          <w:rFonts w:hint="eastAsia" w:ascii="宋体" w:hAnsi="宋体" w:eastAsia="宋体" w:cs="宋体"/>
          <w:kern w:val="0"/>
          <w:sz w:val="24"/>
          <w:szCs w:val="24"/>
          <w:highlight w:val="none"/>
        </w:rPr>
        <w:t>代理机构；</w:t>
      </w:r>
    </w:p>
    <w:p w14:paraId="25B29720">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供应商</w:t>
      </w:r>
      <w:r>
        <w:rPr>
          <w:rFonts w:hint="eastAsia" w:ascii="宋体" w:hAnsi="宋体" w:eastAsia="宋体" w:cs="宋体"/>
          <w:kern w:val="0"/>
          <w:sz w:val="24"/>
          <w:szCs w:val="24"/>
          <w:highlight w:val="none"/>
        </w:rPr>
        <w:t>以他人名义投标、串通投标、以行贿手段牟取中标，或在投标中弄虚作假的；</w:t>
      </w:r>
    </w:p>
    <w:p w14:paraId="2FA17DDF">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法律法规规定的其他情形。</w:t>
      </w:r>
    </w:p>
    <w:p w14:paraId="5CE58E32">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69" w:name="_Toc277149369"/>
      <w:bookmarkStart w:id="70" w:name="_Toc428351633"/>
      <w:bookmarkStart w:id="71" w:name="_Toc14128"/>
      <w:bookmarkStart w:id="72" w:name="_Toc455678104"/>
      <w:bookmarkStart w:id="73" w:name="_Toc462934278"/>
      <w:bookmarkStart w:id="74" w:name="_Toc270604580"/>
      <w:bookmarkStart w:id="75" w:name="_Toc428276573"/>
      <w:bookmarkStart w:id="76" w:name="_Toc270604807"/>
      <w:bookmarkStart w:id="77" w:name="_Toc19948"/>
      <w:bookmarkStart w:id="78" w:name="_Toc269470299"/>
      <w:bookmarkStart w:id="79" w:name="_Toc454788013"/>
      <w:bookmarkStart w:id="80" w:name="_Toc28593"/>
      <w:bookmarkStart w:id="81" w:name="_Toc463011257"/>
      <w:r>
        <w:rPr>
          <w:rFonts w:hint="eastAsia" w:ascii="宋体" w:hAnsi="宋体" w:eastAsia="宋体" w:cs="宋体"/>
          <w:b/>
          <w:bCs w:val="0"/>
          <w:color w:val="auto"/>
          <w:sz w:val="24"/>
          <w:szCs w:val="24"/>
          <w:highlight w:val="none"/>
        </w:rPr>
        <w:t>费用承担</w:t>
      </w:r>
      <w:bookmarkEnd w:id="69"/>
      <w:bookmarkEnd w:id="70"/>
      <w:bookmarkEnd w:id="71"/>
      <w:bookmarkEnd w:id="72"/>
      <w:bookmarkEnd w:id="73"/>
      <w:bookmarkEnd w:id="74"/>
      <w:bookmarkEnd w:id="75"/>
      <w:bookmarkEnd w:id="76"/>
      <w:bookmarkEnd w:id="77"/>
      <w:bookmarkEnd w:id="78"/>
      <w:bookmarkEnd w:id="79"/>
      <w:bookmarkEnd w:id="80"/>
      <w:bookmarkEnd w:id="81"/>
    </w:p>
    <w:p w14:paraId="6887E1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rFonts w:hint="eastAsia" w:ascii="宋体" w:hAnsi="宋体" w:eastAsia="宋体" w:cs="宋体"/>
          <w:color w:val="auto"/>
          <w:sz w:val="24"/>
          <w:szCs w:val="24"/>
          <w:highlight w:val="none"/>
        </w:rPr>
      </w:pPr>
      <w:bookmarkStart w:id="82" w:name="_Toc454788014"/>
      <w:bookmarkStart w:id="83" w:name="_Toc270604808"/>
      <w:bookmarkStart w:id="84" w:name="_Toc29742"/>
      <w:bookmarkStart w:id="85" w:name="_Toc463011258"/>
      <w:bookmarkStart w:id="86" w:name="_Toc7854"/>
      <w:bookmarkStart w:id="87" w:name="_Toc428276574"/>
      <w:bookmarkStart w:id="88" w:name="_Toc455678105"/>
      <w:bookmarkStart w:id="89" w:name="_Toc269470300"/>
      <w:bookmarkStart w:id="90" w:name="_Toc428351634"/>
      <w:bookmarkStart w:id="91" w:name="_Toc462934279"/>
      <w:bookmarkStart w:id="92" w:name="_Toc277149370"/>
      <w:bookmarkStart w:id="93" w:name="_Toc270604581"/>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准备和参加</w:t>
      </w:r>
      <w:r>
        <w:rPr>
          <w:rFonts w:hint="eastAsia" w:ascii="宋体" w:hAnsi="宋体" w:eastAsia="宋体" w:cs="宋体"/>
          <w:color w:val="auto"/>
          <w:sz w:val="24"/>
          <w:szCs w:val="24"/>
          <w:highlight w:val="none"/>
          <w:lang w:eastAsia="zh-CN"/>
        </w:rPr>
        <w:t>竞争性磋商</w:t>
      </w:r>
      <w:r>
        <w:rPr>
          <w:rFonts w:hint="eastAsia" w:ascii="宋体" w:hAnsi="宋体" w:eastAsia="宋体" w:cs="宋体"/>
          <w:color w:val="auto"/>
          <w:sz w:val="24"/>
          <w:szCs w:val="24"/>
          <w:highlight w:val="none"/>
        </w:rPr>
        <w:t>活动发生的费用自理。</w:t>
      </w:r>
    </w:p>
    <w:p w14:paraId="476E0EF8">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94" w:name="_Toc32336"/>
      <w:r>
        <w:rPr>
          <w:rFonts w:hint="eastAsia" w:ascii="宋体" w:hAnsi="宋体" w:eastAsia="宋体" w:cs="宋体"/>
          <w:b/>
          <w:bCs w:val="0"/>
          <w:color w:val="auto"/>
          <w:sz w:val="24"/>
          <w:szCs w:val="24"/>
          <w:highlight w:val="none"/>
        </w:rPr>
        <w:t>保密</w:t>
      </w:r>
      <w:bookmarkEnd w:id="82"/>
      <w:bookmarkEnd w:id="83"/>
      <w:bookmarkEnd w:id="84"/>
      <w:bookmarkEnd w:id="85"/>
      <w:bookmarkEnd w:id="86"/>
      <w:bookmarkEnd w:id="87"/>
      <w:bookmarkEnd w:id="88"/>
      <w:bookmarkEnd w:id="89"/>
      <w:bookmarkEnd w:id="90"/>
      <w:bookmarkEnd w:id="91"/>
      <w:bookmarkEnd w:id="92"/>
      <w:bookmarkEnd w:id="93"/>
      <w:bookmarkEnd w:id="94"/>
    </w:p>
    <w:p w14:paraId="6D86F7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95" w:name="_Toc269470301"/>
      <w:bookmarkStart w:id="96" w:name="_Toc462934280"/>
      <w:bookmarkStart w:id="97" w:name="_Toc454788015"/>
      <w:bookmarkStart w:id="98" w:name="_Toc7606"/>
      <w:bookmarkStart w:id="99" w:name="_Toc277149371"/>
      <w:bookmarkStart w:id="100" w:name="_Toc428351635"/>
      <w:bookmarkStart w:id="101" w:name="_Toc463011259"/>
      <w:bookmarkStart w:id="102" w:name="_Toc455678106"/>
      <w:bookmarkStart w:id="103" w:name="_Toc270604582"/>
      <w:bookmarkStart w:id="104" w:name="_Toc270604809"/>
      <w:bookmarkStart w:id="105" w:name="_Toc428276575"/>
      <w:bookmarkStart w:id="106" w:name="_Toc19438"/>
      <w:r>
        <w:rPr>
          <w:rFonts w:hint="eastAsia" w:ascii="宋体" w:hAnsi="宋体" w:eastAsia="宋体" w:cs="宋体"/>
          <w:color w:val="auto"/>
          <w:sz w:val="24"/>
          <w:szCs w:val="24"/>
          <w:highlight w:val="none"/>
        </w:rPr>
        <w:t>参与</w:t>
      </w:r>
      <w:r>
        <w:rPr>
          <w:rFonts w:hint="eastAsia" w:ascii="宋体" w:hAnsi="宋体" w:eastAsia="宋体" w:cs="宋体"/>
          <w:color w:val="auto"/>
          <w:sz w:val="24"/>
          <w:szCs w:val="24"/>
          <w:highlight w:val="none"/>
          <w:lang w:eastAsia="zh-CN"/>
        </w:rPr>
        <w:t>竞争性磋商</w:t>
      </w:r>
      <w:r>
        <w:rPr>
          <w:rFonts w:hint="eastAsia" w:ascii="宋体" w:hAnsi="宋体" w:eastAsia="宋体" w:cs="宋体"/>
          <w:color w:val="auto"/>
          <w:sz w:val="24"/>
          <w:szCs w:val="24"/>
          <w:highlight w:val="none"/>
        </w:rPr>
        <w:t>活动的各方应对</w:t>
      </w:r>
      <w:r>
        <w:rPr>
          <w:rFonts w:hint="eastAsia" w:ascii="宋体" w:hAnsi="宋体" w:eastAsia="宋体" w:cs="宋体"/>
          <w:color w:val="auto"/>
          <w:sz w:val="24"/>
          <w:szCs w:val="24"/>
          <w:highlight w:val="none"/>
          <w:lang w:eastAsia="zh-CN"/>
        </w:rPr>
        <w:t>竞争性磋商</w:t>
      </w:r>
      <w:r>
        <w:rPr>
          <w:rFonts w:hint="eastAsia" w:ascii="宋体" w:hAnsi="宋体" w:eastAsia="宋体" w:cs="宋体"/>
          <w:color w:val="auto"/>
          <w:sz w:val="24"/>
          <w:szCs w:val="24"/>
          <w:highlight w:val="none"/>
        </w:rPr>
        <w:t>文件和</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文件中的商业和技术等秘密保密，否则应承担相应的法律责任。</w:t>
      </w:r>
    </w:p>
    <w:p w14:paraId="6DCFCEF0">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107" w:name="_Toc25734"/>
      <w:r>
        <w:rPr>
          <w:rFonts w:hint="eastAsia" w:ascii="宋体" w:hAnsi="宋体" w:eastAsia="宋体" w:cs="宋体"/>
          <w:b/>
          <w:bCs w:val="0"/>
          <w:color w:val="auto"/>
          <w:sz w:val="24"/>
          <w:szCs w:val="24"/>
          <w:highlight w:val="none"/>
        </w:rPr>
        <w:t>语言文字</w:t>
      </w:r>
      <w:bookmarkEnd w:id="95"/>
      <w:bookmarkEnd w:id="96"/>
      <w:bookmarkEnd w:id="97"/>
      <w:bookmarkEnd w:id="98"/>
      <w:bookmarkEnd w:id="99"/>
      <w:bookmarkEnd w:id="100"/>
      <w:bookmarkEnd w:id="101"/>
      <w:bookmarkEnd w:id="102"/>
      <w:bookmarkEnd w:id="103"/>
      <w:bookmarkEnd w:id="104"/>
      <w:bookmarkEnd w:id="105"/>
      <w:bookmarkEnd w:id="106"/>
      <w:bookmarkEnd w:id="107"/>
    </w:p>
    <w:p w14:paraId="4A224F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108" w:name="_Toc454788016"/>
      <w:bookmarkStart w:id="109" w:name="_Toc270604810"/>
      <w:bookmarkStart w:id="110" w:name="_Toc455678107"/>
      <w:bookmarkStart w:id="111" w:name="_Toc269470302"/>
      <w:bookmarkStart w:id="112" w:name="_Toc462934281"/>
      <w:bookmarkStart w:id="113" w:name="_Toc270604583"/>
      <w:bookmarkStart w:id="114" w:name="_Toc428351636"/>
      <w:bookmarkStart w:id="115" w:name="_Toc428276576"/>
      <w:bookmarkStart w:id="116" w:name="_Toc277149372"/>
      <w:bookmarkStart w:id="117" w:name="_Toc29299"/>
      <w:bookmarkStart w:id="118" w:name="_Toc9894"/>
      <w:bookmarkStart w:id="119" w:name="_Toc463011260"/>
      <w:r>
        <w:rPr>
          <w:rFonts w:hint="eastAsia" w:ascii="宋体" w:hAnsi="宋体" w:eastAsia="宋体" w:cs="宋体"/>
          <w:color w:val="auto"/>
          <w:kern w:val="0"/>
          <w:sz w:val="24"/>
          <w:szCs w:val="24"/>
          <w:highlight w:val="none"/>
          <w:lang w:eastAsia="zh-CN"/>
        </w:rPr>
        <w:t>竞争性磋商文件及响应文件</w:t>
      </w:r>
      <w:r>
        <w:rPr>
          <w:rFonts w:hint="eastAsia" w:ascii="宋体" w:hAnsi="宋体" w:eastAsia="宋体" w:cs="宋体"/>
          <w:color w:val="auto"/>
          <w:spacing w:val="-2"/>
          <w:kern w:val="0"/>
          <w:sz w:val="24"/>
          <w:szCs w:val="24"/>
          <w:highlight w:val="none"/>
        </w:rPr>
        <w:t>使</w:t>
      </w:r>
      <w:r>
        <w:rPr>
          <w:rFonts w:hint="eastAsia" w:ascii="宋体" w:hAnsi="宋体" w:eastAsia="宋体" w:cs="宋体"/>
          <w:color w:val="auto"/>
          <w:kern w:val="0"/>
          <w:sz w:val="24"/>
          <w:szCs w:val="24"/>
          <w:highlight w:val="none"/>
        </w:rPr>
        <w:t>用语</w:t>
      </w:r>
      <w:r>
        <w:rPr>
          <w:rFonts w:hint="eastAsia" w:ascii="宋体" w:hAnsi="宋体" w:eastAsia="宋体" w:cs="宋体"/>
          <w:color w:val="auto"/>
          <w:spacing w:val="-2"/>
          <w:kern w:val="0"/>
          <w:sz w:val="24"/>
          <w:szCs w:val="24"/>
          <w:highlight w:val="none"/>
        </w:rPr>
        <w:t>言</w:t>
      </w:r>
      <w:r>
        <w:rPr>
          <w:rFonts w:hint="eastAsia" w:ascii="宋体" w:hAnsi="宋体" w:eastAsia="宋体" w:cs="宋体"/>
          <w:color w:val="auto"/>
          <w:kern w:val="0"/>
          <w:sz w:val="24"/>
          <w:szCs w:val="24"/>
          <w:highlight w:val="none"/>
        </w:rPr>
        <w:t>文字</w:t>
      </w:r>
      <w:r>
        <w:rPr>
          <w:rFonts w:hint="eastAsia" w:ascii="宋体" w:hAnsi="宋体" w:eastAsia="宋体" w:cs="宋体"/>
          <w:color w:val="auto"/>
          <w:kern w:val="0"/>
          <w:sz w:val="24"/>
          <w:szCs w:val="24"/>
          <w:highlight w:val="none"/>
          <w:lang w:eastAsia="zh-CN"/>
        </w:rPr>
        <w:t>应</w:t>
      </w:r>
      <w:r>
        <w:rPr>
          <w:rFonts w:hint="eastAsia" w:ascii="宋体" w:hAnsi="宋体" w:eastAsia="宋体" w:cs="宋体"/>
          <w:color w:val="auto"/>
          <w:spacing w:val="-2"/>
          <w:kern w:val="0"/>
          <w:sz w:val="24"/>
          <w:szCs w:val="24"/>
          <w:highlight w:val="none"/>
        </w:rPr>
        <w:t>为</w:t>
      </w:r>
      <w:r>
        <w:rPr>
          <w:rFonts w:hint="eastAsia" w:ascii="宋体" w:hAnsi="宋体" w:eastAsia="宋体" w:cs="宋体"/>
          <w:color w:val="auto"/>
          <w:kern w:val="0"/>
          <w:sz w:val="24"/>
          <w:szCs w:val="24"/>
          <w:highlight w:val="none"/>
        </w:rPr>
        <w:t>中</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2"/>
          <w:kern w:val="0"/>
          <w:sz w:val="24"/>
          <w:szCs w:val="24"/>
          <w:highlight w:val="none"/>
        </w:rPr>
        <w:t>专</w:t>
      </w:r>
      <w:r>
        <w:rPr>
          <w:rFonts w:hint="eastAsia" w:ascii="宋体" w:hAnsi="宋体" w:eastAsia="宋体" w:cs="宋体"/>
          <w:color w:val="auto"/>
          <w:kern w:val="0"/>
          <w:sz w:val="24"/>
          <w:szCs w:val="24"/>
          <w:highlight w:val="none"/>
        </w:rPr>
        <w:t>用</w:t>
      </w:r>
      <w:r>
        <w:rPr>
          <w:rFonts w:hint="eastAsia" w:ascii="宋体" w:hAnsi="宋体" w:eastAsia="宋体" w:cs="宋体"/>
          <w:color w:val="auto"/>
          <w:spacing w:val="-2"/>
          <w:kern w:val="0"/>
          <w:sz w:val="24"/>
          <w:szCs w:val="24"/>
          <w:highlight w:val="none"/>
        </w:rPr>
        <w:t>术</w:t>
      </w:r>
      <w:r>
        <w:rPr>
          <w:rFonts w:hint="eastAsia" w:ascii="宋体" w:hAnsi="宋体" w:eastAsia="宋体" w:cs="宋体"/>
          <w:color w:val="auto"/>
          <w:kern w:val="0"/>
          <w:sz w:val="24"/>
          <w:szCs w:val="24"/>
          <w:highlight w:val="none"/>
        </w:rPr>
        <w:t>语</w:t>
      </w:r>
      <w:r>
        <w:rPr>
          <w:rFonts w:hint="eastAsia" w:ascii="宋体" w:hAnsi="宋体" w:eastAsia="宋体" w:cs="宋体"/>
          <w:color w:val="auto"/>
          <w:spacing w:val="-2"/>
          <w:kern w:val="0"/>
          <w:sz w:val="24"/>
          <w:szCs w:val="24"/>
          <w:highlight w:val="none"/>
        </w:rPr>
        <w:t>使</w:t>
      </w:r>
      <w:r>
        <w:rPr>
          <w:rFonts w:hint="eastAsia" w:ascii="宋体" w:hAnsi="宋体" w:eastAsia="宋体" w:cs="宋体"/>
          <w:color w:val="auto"/>
          <w:kern w:val="0"/>
          <w:sz w:val="24"/>
          <w:szCs w:val="24"/>
          <w:highlight w:val="none"/>
        </w:rPr>
        <w:t>用外</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的</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0"/>
          <w:sz w:val="24"/>
          <w:szCs w:val="24"/>
          <w:highlight w:val="none"/>
        </w:rPr>
        <w:t>应</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有</w:t>
      </w:r>
      <w:r>
        <w:rPr>
          <w:rFonts w:hint="eastAsia" w:ascii="宋体" w:hAnsi="宋体" w:eastAsia="宋体" w:cs="宋体"/>
          <w:color w:val="auto"/>
          <w:spacing w:val="-2"/>
          <w:kern w:val="0"/>
          <w:sz w:val="24"/>
          <w:szCs w:val="24"/>
          <w:highlight w:val="none"/>
        </w:rPr>
        <w:t>中</w:t>
      </w:r>
      <w:r>
        <w:rPr>
          <w:rFonts w:hint="eastAsia" w:ascii="宋体" w:hAnsi="宋体" w:eastAsia="宋体" w:cs="宋体"/>
          <w:color w:val="auto"/>
          <w:kern w:val="0"/>
          <w:sz w:val="24"/>
          <w:szCs w:val="24"/>
          <w:highlight w:val="none"/>
        </w:rPr>
        <w:t>文</w:t>
      </w:r>
      <w:r>
        <w:rPr>
          <w:rFonts w:hint="eastAsia" w:ascii="宋体" w:hAnsi="宋体" w:eastAsia="宋体" w:cs="宋体"/>
          <w:color w:val="auto"/>
          <w:spacing w:val="-2"/>
          <w:kern w:val="0"/>
          <w:sz w:val="24"/>
          <w:szCs w:val="24"/>
          <w:highlight w:val="none"/>
        </w:rPr>
        <w:t>注</w:t>
      </w:r>
      <w:r>
        <w:rPr>
          <w:rFonts w:hint="eastAsia" w:ascii="宋体" w:hAnsi="宋体" w:eastAsia="宋体" w:cs="宋体"/>
          <w:color w:val="auto"/>
          <w:kern w:val="0"/>
          <w:sz w:val="24"/>
          <w:szCs w:val="24"/>
          <w:highlight w:val="none"/>
        </w:rPr>
        <w:t>释</w:t>
      </w:r>
      <w:r>
        <w:rPr>
          <w:rFonts w:hint="eastAsia" w:ascii="宋体" w:hAnsi="宋体" w:eastAsia="宋体" w:cs="宋体"/>
          <w:color w:val="auto"/>
          <w:sz w:val="24"/>
          <w:szCs w:val="24"/>
          <w:highlight w:val="none"/>
        </w:rPr>
        <w:t>。</w:t>
      </w:r>
    </w:p>
    <w:p w14:paraId="272E2F5C">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120" w:name="_Toc30996"/>
      <w:r>
        <w:rPr>
          <w:rFonts w:hint="eastAsia" w:ascii="宋体" w:hAnsi="宋体" w:eastAsia="宋体" w:cs="宋体"/>
          <w:b/>
          <w:bCs w:val="0"/>
          <w:color w:val="auto"/>
          <w:sz w:val="24"/>
          <w:szCs w:val="24"/>
          <w:highlight w:val="none"/>
        </w:rPr>
        <w:t>计量单位</w:t>
      </w:r>
      <w:bookmarkEnd w:id="108"/>
      <w:bookmarkEnd w:id="109"/>
      <w:bookmarkEnd w:id="110"/>
      <w:bookmarkEnd w:id="111"/>
      <w:bookmarkEnd w:id="112"/>
      <w:bookmarkEnd w:id="113"/>
      <w:bookmarkEnd w:id="114"/>
      <w:bookmarkEnd w:id="115"/>
      <w:bookmarkEnd w:id="116"/>
      <w:bookmarkEnd w:id="117"/>
      <w:bookmarkEnd w:id="118"/>
      <w:bookmarkEnd w:id="119"/>
      <w:bookmarkEnd w:id="120"/>
    </w:p>
    <w:p w14:paraId="3A9C3202">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所有计量均采用中华人民共和国法定计量标准单位。</w:t>
      </w:r>
    </w:p>
    <w:p w14:paraId="2B731E05">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bookmarkStart w:id="121" w:name="_Toc269470303"/>
      <w:bookmarkStart w:id="122" w:name="_Toc462934282"/>
      <w:bookmarkStart w:id="123" w:name="_Toc277149373"/>
      <w:bookmarkStart w:id="124" w:name="_Toc455678108"/>
      <w:bookmarkStart w:id="125" w:name="_Toc270604811"/>
      <w:bookmarkStart w:id="126" w:name="_Toc11248"/>
      <w:bookmarkStart w:id="127" w:name="_Toc454788017"/>
      <w:bookmarkStart w:id="128" w:name="_Toc428276577"/>
      <w:bookmarkStart w:id="129" w:name="_Toc428351637"/>
      <w:bookmarkStart w:id="130" w:name="_Toc7491"/>
      <w:bookmarkStart w:id="131" w:name="_Toc463011261"/>
      <w:bookmarkStart w:id="132" w:name="_Toc270604584"/>
      <w:bookmarkStart w:id="133" w:name="_Toc14349"/>
      <w:r>
        <w:rPr>
          <w:rFonts w:hint="eastAsia" w:ascii="宋体" w:hAnsi="宋体" w:eastAsia="宋体" w:cs="宋体"/>
          <w:b/>
          <w:bCs w:val="0"/>
          <w:color w:val="auto"/>
          <w:sz w:val="24"/>
          <w:szCs w:val="24"/>
          <w:highlight w:val="none"/>
        </w:rPr>
        <w:t>现场</w:t>
      </w:r>
      <w:bookmarkEnd w:id="121"/>
      <w:bookmarkEnd w:id="122"/>
      <w:bookmarkEnd w:id="123"/>
      <w:bookmarkEnd w:id="124"/>
      <w:bookmarkEnd w:id="125"/>
      <w:bookmarkEnd w:id="126"/>
      <w:bookmarkEnd w:id="127"/>
      <w:bookmarkEnd w:id="128"/>
      <w:bookmarkEnd w:id="129"/>
      <w:bookmarkEnd w:id="130"/>
      <w:bookmarkEnd w:id="131"/>
      <w:bookmarkEnd w:id="132"/>
      <w:r>
        <w:rPr>
          <w:rFonts w:hint="eastAsia" w:ascii="宋体" w:hAnsi="宋体" w:eastAsia="宋体" w:cs="宋体"/>
          <w:b/>
          <w:bCs w:val="0"/>
          <w:color w:val="auto"/>
          <w:sz w:val="24"/>
          <w:szCs w:val="24"/>
          <w:highlight w:val="none"/>
          <w:lang w:eastAsia="zh-CN"/>
        </w:rPr>
        <w:t>考察</w:t>
      </w:r>
      <w:bookmarkEnd w:id="133"/>
      <w:r>
        <w:rPr>
          <w:rFonts w:hint="eastAsia" w:ascii="宋体" w:hAnsi="宋体" w:eastAsia="宋体" w:cs="宋体"/>
          <w:b/>
          <w:bCs w:val="0"/>
          <w:color w:val="auto"/>
          <w:sz w:val="24"/>
          <w:szCs w:val="24"/>
          <w:highlight w:val="none"/>
          <w:lang w:eastAsia="zh-CN"/>
        </w:rPr>
        <w:t>或答疑会</w:t>
      </w:r>
    </w:p>
    <w:p w14:paraId="6F2E4485">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现场考察：供应商须知前附表规定组织现场考察的，采购人按供应商须知前附表规定的时间、地点组织供应商考察项目现场。部分供应商未按时参加现场考察的，不影响现场考察的正常进行。</w:t>
      </w:r>
    </w:p>
    <w:p w14:paraId="5C939396">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供应商现场考察发生的费用自理。</w:t>
      </w:r>
    </w:p>
    <w:p w14:paraId="51409852">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除采购人的原因外，供应商自行负责在现场考察中所发生的人员伤亡和财产损失。</w:t>
      </w:r>
    </w:p>
    <w:p w14:paraId="38077C2D">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采购人在现场考察中介绍的项目场地和相关的周边环境情况，供供应商在编制响应文件时参考，采购人不对供应商据此作出的判断和决策负责。</w:t>
      </w:r>
    </w:p>
    <w:p w14:paraId="5A21F07D">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答疑会：见供应商须知前附表。</w:t>
      </w:r>
    </w:p>
    <w:p w14:paraId="7EB84AC0">
      <w:pPr>
        <w:pStyle w:val="4"/>
        <w:keepNext/>
        <w:keepLines/>
        <w:pageBreakBefore w:val="0"/>
        <w:widowControl w:val="0"/>
        <w:numPr>
          <w:ilvl w:val="1"/>
          <w:numId w:val="5"/>
        </w:numPr>
        <w:kinsoku/>
        <w:wordWrap w:val="0"/>
        <w:overflowPunct/>
        <w:topLinePunct/>
        <w:autoSpaceDE/>
        <w:autoSpaceDN/>
        <w:bidi w:val="0"/>
        <w:adjustRightInd/>
        <w:snapToGrid/>
        <w:spacing w:before="0" w:after="0" w:line="360" w:lineRule="auto"/>
        <w:ind w:firstLineChars="0"/>
        <w:jc w:val="left"/>
        <w:textAlignment w:val="auto"/>
        <w:rPr>
          <w:rFonts w:hint="eastAsia" w:ascii="宋体" w:hAnsi="宋体" w:eastAsia="宋体" w:cs="宋体"/>
          <w:b/>
          <w:bCs w:val="0"/>
          <w:color w:val="auto"/>
          <w:sz w:val="24"/>
          <w:szCs w:val="24"/>
          <w:highlight w:val="none"/>
        </w:rPr>
      </w:pPr>
      <w:bookmarkStart w:id="134" w:name="_Toc269470305"/>
      <w:bookmarkStart w:id="135" w:name="_Toc455678110"/>
      <w:bookmarkStart w:id="136" w:name="_Toc8646"/>
      <w:bookmarkStart w:id="137" w:name="_Toc454788019"/>
      <w:bookmarkStart w:id="138" w:name="_Toc277149375"/>
      <w:bookmarkStart w:id="139" w:name="_Toc20135"/>
      <w:bookmarkStart w:id="140" w:name="_Toc24091"/>
      <w:bookmarkStart w:id="141" w:name="_Toc428276579"/>
      <w:bookmarkStart w:id="142" w:name="_Toc270604586"/>
      <w:bookmarkStart w:id="143" w:name="_Toc463011263"/>
      <w:bookmarkStart w:id="144" w:name="_Toc428351639"/>
      <w:bookmarkStart w:id="145" w:name="_Toc462934284"/>
      <w:bookmarkStart w:id="146" w:name="_Toc270604813"/>
      <w:r>
        <w:rPr>
          <w:rFonts w:hint="eastAsia" w:ascii="宋体" w:hAnsi="宋体" w:eastAsia="宋体" w:cs="宋体"/>
          <w:b/>
          <w:bCs w:val="0"/>
          <w:color w:val="auto"/>
          <w:sz w:val="24"/>
          <w:szCs w:val="24"/>
          <w:highlight w:val="none"/>
        </w:rPr>
        <w:t>分包</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7BCBC65E">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000000"/>
          <w:sz w:val="24"/>
          <w:szCs w:val="24"/>
          <w:highlight w:val="none"/>
        </w:rPr>
      </w:pPr>
      <w:bookmarkStart w:id="147" w:name="_Toc29688"/>
      <w:bookmarkStart w:id="148" w:name="_Toc10220"/>
      <w:bookmarkStart w:id="149" w:name="_Toc277149376"/>
      <w:bookmarkStart w:id="150" w:name="_Toc269470306"/>
      <w:bookmarkStart w:id="151" w:name="_Toc428351640"/>
      <w:bookmarkStart w:id="152" w:name="_Toc462934285"/>
      <w:bookmarkStart w:id="153" w:name="_Toc270604814"/>
      <w:bookmarkStart w:id="154" w:name="_Toc463011264"/>
      <w:bookmarkStart w:id="155" w:name="_Toc454788020"/>
      <w:bookmarkStart w:id="156" w:name="_Toc270604587"/>
      <w:bookmarkStart w:id="157" w:name="_Toc8513"/>
      <w:bookmarkStart w:id="158" w:name="_Toc455678111"/>
      <w:bookmarkStart w:id="159" w:name="_Toc428276580"/>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拟在</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后将</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项目的非主体、非关键性工作进行分包的，应符合</w:t>
      </w: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须知前附表规定的分包内容、分包金额和资质要求等限制性条件，除</w:t>
      </w: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须知前附表规定的非主体、非关键性工作外，其他工作不得分包。</w:t>
      </w:r>
    </w:p>
    <w:p w14:paraId="0D121508">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成交人</w:t>
      </w:r>
      <w:r>
        <w:rPr>
          <w:rFonts w:hint="eastAsia" w:ascii="宋体" w:hAnsi="宋体" w:eastAsia="宋体" w:cs="宋体"/>
          <w:color w:val="000000"/>
          <w:sz w:val="24"/>
          <w:szCs w:val="24"/>
          <w:highlight w:val="none"/>
        </w:rPr>
        <w:t>不得向他人转让</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项目，接受分包的人不得再次分包。</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人应当就分包项目向</w:t>
      </w:r>
      <w:r>
        <w:rPr>
          <w:rFonts w:hint="eastAsia" w:ascii="宋体" w:hAnsi="宋体" w:eastAsia="宋体" w:cs="宋体"/>
          <w:color w:val="000000"/>
          <w:sz w:val="24"/>
          <w:szCs w:val="24"/>
          <w:highlight w:val="none"/>
          <w:lang w:eastAsia="zh-CN"/>
        </w:rPr>
        <w:t>采购人</w:t>
      </w:r>
      <w:r>
        <w:rPr>
          <w:rFonts w:hint="eastAsia" w:ascii="宋体" w:hAnsi="宋体" w:eastAsia="宋体" w:cs="宋体"/>
          <w:color w:val="000000"/>
          <w:sz w:val="24"/>
          <w:szCs w:val="24"/>
          <w:highlight w:val="none"/>
        </w:rPr>
        <w:t>负责，接受分包的人就分包项目承担连带责任。</w:t>
      </w:r>
      <w:r>
        <w:rPr>
          <w:rFonts w:hint="eastAsia" w:ascii="宋体" w:hAnsi="宋体" w:eastAsia="宋体" w:cs="宋体"/>
          <w:color w:val="000000"/>
          <w:sz w:val="24"/>
          <w:szCs w:val="24"/>
          <w:highlight w:val="none"/>
          <w:lang w:val="en-US" w:eastAsia="zh-CN"/>
        </w:rPr>
        <w:t xml:space="preserve"> </w:t>
      </w:r>
    </w:p>
    <w:p w14:paraId="2DCAA43C">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依据《政府采购促进中小企业发展管理办法》规定享受扶持政策获得政府采购合同的小微企业不得将合同分包给大中型企业，中型企业不得将合同分包给大型企业。</w:t>
      </w:r>
    </w:p>
    <w:bookmarkEnd w:id="147"/>
    <w:bookmarkEnd w:id="148"/>
    <w:bookmarkEnd w:id="149"/>
    <w:bookmarkEnd w:id="150"/>
    <w:bookmarkEnd w:id="151"/>
    <w:bookmarkEnd w:id="152"/>
    <w:bookmarkEnd w:id="153"/>
    <w:bookmarkEnd w:id="154"/>
    <w:bookmarkEnd w:id="155"/>
    <w:bookmarkEnd w:id="156"/>
    <w:bookmarkEnd w:id="157"/>
    <w:bookmarkEnd w:id="158"/>
    <w:bookmarkEnd w:id="159"/>
    <w:p w14:paraId="6ADE6F7E">
      <w:pPr>
        <w:pStyle w:val="4"/>
        <w:numPr>
          <w:ilvl w:val="1"/>
          <w:numId w:val="5"/>
        </w:numPr>
        <w:spacing w:before="0" w:after="0" w:line="360" w:lineRule="auto"/>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响应和偏差</w:t>
      </w:r>
    </w:p>
    <w:p w14:paraId="5288CDA8">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响应文件应当对竞争性磋商文件的实质性要求和条件作出满足性或更有利于采购人的响应，否则，供应商的响应文件将被否决。实质性要求和条件见供应商须知前附表。</w:t>
      </w:r>
    </w:p>
    <w:p w14:paraId="6064571C">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允许响应文件偏离竞争性磋商文件某些要求的，偏差应当符合竞争性磋商文件规定的偏差范围和幅度。</w:t>
      </w:r>
    </w:p>
    <w:p w14:paraId="723FBF94">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响应文件对竞争性磋商文件的全部偏差，均应在响应文件的商务和技术偏差表中列明，除列明的内容外，视为供应商响应竞争性磋商文件的全部要求。</w:t>
      </w:r>
    </w:p>
    <w:p w14:paraId="52183BAC">
      <w:pPr>
        <w:pStyle w:val="4"/>
        <w:keepNext/>
        <w:keepLines/>
        <w:pageBreakBefore w:val="0"/>
        <w:widowControl w:val="0"/>
        <w:numPr>
          <w:ilvl w:val="1"/>
          <w:numId w:val="5"/>
        </w:numPr>
        <w:kinsoku/>
        <w:wordWrap w:val="0"/>
        <w:overflowPunct/>
        <w:topLinePunct/>
        <w:autoSpaceDE/>
        <w:autoSpaceDN/>
        <w:bidi w:val="0"/>
        <w:adjustRightInd/>
        <w:snapToGrid/>
        <w:spacing w:before="0" w:after="0" w:line="360" w:lineRule="auto"/>
        <w:ind w:left="0" w:leftChars="0" w:firstLine="0" w:firstLineChars="0"/>
        <w:jc w:val="left"/>
        <w:textAlignment w:val="auto"/>
        <w:rPr>
          <w:rFonts w:hint="eastAsia" w:ascii="宋体" w:hAnsi="宋体" w:eastAsia="宋体" w:cs="宋体"/>
          <w:b/>
          <w:bCs w:val="0"/>
          <w:color w:val="auto"/>
          <w:sz w:val="24"/>
          <w:szCs w:val="24"/>
          <w:highlight w:val="none"/>
        </w:rPr>
      </w:pPr>
      <w:bookmarkStart w:id="160" w:name="_Toc17145"/>
      <w:bookmarkStart w:id="161" w:name="_Toc463011265"/>
      <w:bookmarkStart w:id="162" w:name="_Toc455678112"/>
      <w:bookmarkStart w:id="163" w:name="_Toc23956"/>
      <w:bookmarkStart w:id="164" w:name="_Toc11809"/>
      <w:bookmarkStart w:id="165" w:name="_Toc462934286"/>
      <w:r>
        <w:rPr>
          <w:rFonts w:hint="eastAsia" w:ascii="宋体" w:hAnsi="宋体" w:eastAsia="宋体" w:cs="宋体"/>
          <w:b/>
          <w:bCs w:val="0"/>
          <w:color w:val="auto"/>
          <w:sz w:val="24"/>
          <w:szCs w:val="24"/>
          <w:highlight w:val="none"/>
        </w:rPr>
        <w:t>选择性报价方案</w:t>
      </w:r>
      <w:bookmarkEnd w:id="160"/>
      <w:bookmarkEnd w:id="161"/>
      <w:bookmarkEnd w:id="162"/>
      <w:bookmarkEnd w:id="163"/>
      <w:bookmarkEnd w:id="164"/>
      <w:bookmarkEnd w:id="165"/>
    </w:p>
    <w:p w14:paraId="1D189F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选择性报价方案：见供应商须知前附表。</w:t>
      </w:r>
    </w:p>
    <w:p w14:paraId="68965767">
      <w:pPr>
        <w:pStyle w:val="3"/>
        <w:numPr>
          <w:ilvl w:val="0"/>
          <w:numId w:val="4"/>
        </w:numPr>
        <w:bidi w:val="0"/>
        <w:jc w:val="center"/>
        <w:rPr>
          <w:rStyle w:val="66"/>
          <w:rFonts w:hint="eastAsia" w:ascii="宋体" w:hAnsi="宋体" w:eastAsia="宋体" w:cs="宋体"/>
          <w:b/>
          <w:bCs/>
          <w:color w:val="auto"/>
          <w:sz w:val="24"/>
          <w:szCs w:val="24"/>
          <w:highlight w:val="none"/>
          <w:lang w:val="en-US" w:eastAsia="zh-CN"/>
        </w:rPr>
      </w:pPr>
      <w:bookmarkStart w:id="166" w:name="_Toc6260"/>
      <w:bookmarkStart w:id="167" w:name="_Toc27430"/>
      <w:bookmarkStart w:id="168" w:name="_Toc270604588"/>
      <w:bookmarkStart w:id="169" w:name="_Toc5446"/>
      <w:bookmarkStart w:id="170" w:name="_Toc9954"/>
      <w:bookmarkStart w:id="171" w:name="_Toc26199"/>
      <w:bookmarkStart w:id="172" w:name="_Toc28671"/>
      <w:r>
        <w:rPr>
          <w:rStyle w:val="66"/>
          <w:rFonts w:hint="eastAsia" w:ascii="宋体" w:hAnsi="宋体" w:eastAsia="宋体" w:cs="宋体"/>
          <w:b/>
          <w:bCs/>
          <w:color w:val="auto"/>
          <w:sz w:val="24"/>
          <w:szCs w:val="24"/>
          <w:highlight w:val="none"/>
          <w:lang w:val="en-US" w:eastAsia="zh-CN"/>
        </w:rPr>
        <w:t>竞争性磋商文件</w:t>
      </w:r>
      <w:bookmarkEnd w:id="166"/>
      <w:bookmarkEnd w:id="167"/>
      <w:bookmarkEnd w:id="168"/>
      <w:bookmarkEnd w:id="169"/>
      <w:bookmarkEnd w:id="170"/>
      <w:bookmarkEnd w:id="171"/>
      <w:bookmarkEnd w:id="172"/>
    </w:p>
    <w:p w14:paraId="31BA7AEA">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0" w:leftChars="0" w:right="0" w:firstLine="0" w:firstLineChars="0"/>
        <w:jc w:val="left"/>
        <w:textAlignment w:val="auto"/>
        <w:rPr>
          <w:rFonts w:hint="eastAsia" w:ascii="宋体" w:hAnsi="宋体" w:eastAsia="宋体" w:cs="宋体"/>
          <w:color w:val="auto"/>
          <w:sz w:val="24"/>
          <w:szCs w:val="24"/>
          <w:highlight w:val="none"/>
        </w:rPr>
      </w:pPr>
      <w:bookmarkStart w:id="173" w:name="_Toc27664"/>
      <w:bookmarkStart w:id="174" w:name="_Toc277149378"/>
      <w:bookmarkStart w:id="175" w:name="_Toc19729"/>
      <w:bookmarkStart w:id="176" w:name="_Toc454788022"/>
      <w:bookmarkStart w:id="177" w:name="_Toc270604589"/>
      <w:bookmarkStart w:id="178" w:name="_Toc455678114"/>
      <w:bookmarkStart w:id="179" w:name="_Toc10962"/>
      <w:bookmarkStart w:id="180" w:name="_Toc462934288"/>
      <w:bookmarkStart w:id="181" w:name="_Toc463011267"/>
      <w:bookmarkStart w:id="182" w:name="_Toc270604816"/>
      <w:bookmarkStart w:id="183" w:name="_Toc428276582"/>
      <w:bookmarkStart w:id="184" w:name="_Toc269470308"/>
      <w:bookmarkStart w:id="185" w:name="_Toc428351642"/>
      <w:r>
        <w:rPr>
          <w:rFonts w:hint="eastAsia" w:ascii="宋体" w:hAnsi="宋体" w:eastAsia="宋体" w:cs="宋体"/>
          <w:b/>
          <w:bCs w:val="0"/>
          <w:color w:val="auto"/>
          <w:sz w:val="24"/>
          <w:szCs w:val="24"/>
          <w:highlight w:val="none"/>
        </w:rPr>
        <w:t>竞争性磋商文件的组成</w:t>
      </w:r>
      <w:bookmarkEnd w:id="173"/>
      <w:bookmarkEnd w:id="174"/>
      <w:bookmarkEnd w:id="175"/>
      <w:bookmarkEnd w:id="176"/>
      <w:bookmarkEnd w:id="177"/>
      <w:bookmarkEnd w:id="178"/>
      <w:bookmarkEnd w:id="179"/>
      <w:bookmarkEnd w:id="180"/>
      <w:bookmarkEnd w:id="181"/>
      <w:bookmarkEnd w:id="182"/>
      <w:bookmarkEnd w:id="183"/>
      <w:bookmarkEnd w:id="184"/>
      <w:bookmarkEnd w:id="185"/>
    </w:p>
    <w:p w14:paraId="56CECB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本竞争性磋商文件包括：</w:t>
      </w:r>
    </w:p>
    <w:p w14:paraId="0C752A94">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竞争性磋商公告</w:t>
      </w:r>
    </w:p>
    <w:p w14:paraId="223F98DE">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须知</w:t>
      </w:r>
    </w:p>
    <w:p w14:paraId="2893209D">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评审办法</w:t>
      </w:r>
    </w:p>
    <w:p w14:paraId="7662FA89">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合同</w:t>
      </w:r>
      <w:r>
        <w:rPr>
          <w:rFonts w:hint="eastAsia" w:ascii="宋体" w:hAnsi="宋体" w:eastAsia="宋体" w:cs="宋体"/>
          <w:color w:val="auto"/>
          <w:kern w:val="0"/>
          <w:sz w:val="24"/>
          <w:szCs w:val="24"/>
          <w:highlight w:val="none"/>
          <w:lang w:val="en-US" w:eastAsia="zh-CN"/>
        </w:rPr>
        <w:t>条款及格式</w:t>
      </w:r>
    </w:p>
    <w:p w14:paraId="0594CEB0">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控制价编制依据</w:t>
      </w:r>
    </w:p>
    <w:p w14:paraId="7577983C">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工程量清单</w:t>
      </w:r>
    </w:p>
    <w:p w14:paraId="201E038D">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cs="宋体"/>
          <w:color w:val="auto"/>
          <w:kern w:val="0"/>
          <w:sz w:val="24"/>
          <w:szCs w:val="24"/>
          <w:highlight w:val="none"/>
          <w:lang w:val="en-US" w:eastAsia="zh-CN"/>
        </w:rPr>
        <w:t>图纸</w:t>
      </w:r>
    </w:p>
    <w:p w14:paraId="66B2A9EB">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技术标准和要求</w:t>
      </w:r>
    </w:p>
    <w:p w14:paraId="5493DB79">
      <w:pPr>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left="0" w:leftChars="0"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响应文件格式</w:t>
      </w:r>
    </w:p>
    <w:p w14:paraId="0E8672AC">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firstLineChars="200"/>
        <w:jc w:val="lef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根据本章第1.</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lang w:eastAsia="zh-CN"/>
        </w:rPr>
        <w:t xml:space="preserve"> 款、第2.2 款和第2.3 款对竞争性磋商文件所作的澄清、修改，构成竞争性磋商文件的组成部分。</w:t>
      </w:r>
    </w:p>
    <w:p w14:paraId="01DED1B0">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186" w:name="_Toc454788023"/>
      <w:bookmarkStart w:id="187" w:name="_Toc428276583"/>
      <w:bookmarkStart w:id="188" w:name="_Toc462934289"/>
      <w:bookmarkStart w:id="189" w:name="_Toc269470309"/>
      <w:bookmarkStart w:id="190" w:name="_Toc277149379"/>
      <w:bookmarkStart w:id="191" w:name="_Toc13094"/>
      <w:bookmarkStart w:id="192" w:name="_Toc5047"/>
      <w:bookmarkStart w:id="193" w:name="_Toc455678115"/>
      <w:bookmarkStart w:id="194" w:name="_Toc11511"/>
      <w:bookmarkStart w:id="195" w:name="_Toc270604590"/>
      <w:bookmarkStart w:id="196" w:name="_Toc463011268"/>
      <w:bookmarkStart w:id="197" w:name="_Toc270604817"/>
      <w:bookmarkStart w:id="198" w:name="_Toc428351643"/>
      <w:r>
        <w:rPr>
          <w:rFonts w:hint="eastAsia" w:ascii="宋体" w:hAnsi="宋体" w:eastAsia="宋体" w:cs="宋体"/>
          <w:b/>
          <w:bCs w:val="0"/>
          <w:color w:val="auto"/>
          <w:sz w:val="24"/>
          <w:szCs w:val="24"/>
          <w:highlight w:val="none"/>
        </w:rPr>
        <w:t>竞争性磋商文件的澄清</w:t>
      </w:r>
      <w:bookmarkEnd w:id="186"/>
      <w:bookmarkEnd w:id="187"/>
      <w:bookmarkEnd w:id="188"/>
      <w:bookmarkEnd w:id="189"/>
      <w:bookmarkEnd w:id="190"/>
      <w:bookmarkEnd w:id="191"/>
      <w:bookmarkEnd w:id="192"/>
      <w:bookmarkEnd w:id="193"/>
      <w:bookmarkEnd w:id="194"/>
      <w:bookmarkEnd w:id="195"/>
      <w:bookmarkEnd w:id="196"/>
      <w:bookmarkEnd w:id="197"/>
      <w:bookmarkEnd w:id="198"/>
    </w:p>
    <w:p w14:paraId="435F1B7E">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bookmarkStart w:id="199" w:name="_Toc455678116"/>
      <w:bookmarkStart w:id="200" w:name="_Toc270604591"/>
      <w:bookmarkStart w:id="201" w:name="_Toc454788024"/>
      <w:bookmarkStart w:id="202" w:name="_Toc269470310"/>
      <w:bookmarkStart w:id="203" w:name="_Toc428276584"/>
      <w:bookmarkStart w:id="204" w:name="_Toc400"/>
      <w:bookmarkStart w:id="205" w:name="_Toc428351644"/>
      <w:bookmarkStart w:id="206" w:name="_Toc462934290"/>
      <w:bookmarkStart w:id="207" w:name="_Toc463011269"/>
      <w:bookmarkStart w:id="208" w:name="_Toc270604818"/>
      <w:bookmarkStart w:id="209" w:name="_Toc20316"/>
      <w:bookmarkStart w:id="210" w:name="_Toc277149380"/>
      <w:r>
        <w:rPr>
          <w:rFonts w:hint="eastAsia" w:ascii="宋体" w:hAnsi="宋体" w:eastAsia="宋体" w:cs="宋体"/>
          <w:color w:val="auto"/>
          <w:sz w:val="24"/>
          <w:szCs w:val="24"/>
          <w:highlight w:val="none"/>
          <w:lang w:eastAsia="zh-CN"/>
        </w:rPr>
        <w:t>供应商应仔细阅读和检查竞争性磋商文件的全部内容。如发现缺页或附件不全，应及时向采购人提出，以便补齐。如有疑问，应按供应商须知前附表规定的时间和形式将提出的问</w:t>
      </w:r>
      <w:r>
        <w:rPr>
          <w:rFonts w:hint="eastAsia" w:ascii="宋体" w:hAnsi="宋体" w:eastAsia="宋体" w:cs="宋体"/>
          <w:color w:val="auto"/>
          <w:sz w:val="24"/>
          <w:szCs w:val="24"/>
          <w:highlight w:val="none"/>
          <w:lang w:val="en-US" w:eastAsia="zh-CN"/>
        </w:rPr>
        <w:t>题送达采购人，要求采购人对竞争性磋商文件予以澄清。</w:t>
      </w:r>
    </w:p>
    <w:p w14:paraId="27A6F24C">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竞争性磋商文件的澄清以供应商须知前附表规定的形式发给所有购买竞争性磋商文件的供应商，同时在原公告媒体发布澄清公告，但不指明澄清问题的来源。澄清发出的时间距本章第4.2.1项规定的提交首次响应文件截止时间不足</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日的，并且澄清内容可能影响响应文件编制的，将相应延长提交首次响应文件截止时间。</w:t>
      </w:r>
    </w:p>
    <w:p w14:paraId="1948FB03">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供应商在收到澄清后，应按供应商须知前附表规定的时间和形式通知</w:t>
      </w:r>
      <w:r>
        <w:rPr>
          <w:rFonts w:hint="eastAsia" w:ascii="宋体" w:hAnsi="宋体" w:eastAsia="宋体" w:cs="宋体"/>
          <w:b w:val="0"/>
          <w:bCs w:val="0"/>
          <w:color w:val="000000"/>
          <w:sz w:val="24"/>
          <w:szCs w:val="24"/>
          <w:highlight w:val="none"/>
          <w:lang w:eastAsia="zh-CN"/>
        </w:rPr>
        <w:t>采购人</w:t>
      </w:r>
      <w:r>
        <w:rPr>
          <w:rFonts w:hint="eastAsia" w:ascii="宋体" w:hAnsi="宋体" w:eastAsia="宋体" w:cs="宋体"/>
          <w:color w:val="auto"/>
          <w:sz w:val="24"/>
          <w:szCs w:val="24"/>
          <w:highlight w:val="none"/>
          <w:lang w:eastAsia="zh-CN"/>
        </w:rPr>
        <w:t>，确认已收到该澄清。</w:t>
      </w:r>
    </w:p>
    <w:p w14:paraId="639560FB">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除非采购人认为确有必要答复，否则，采购人有权拒绝回复供应商在本章第2.2.1项规定的时间后的任何澄清要求。在规定的时间内未提出疑问的，将被视为对竞争性磋商文件完全认可。</w:t>
      </w:r>
    </w:p>
    <w:p w14:paraId="28B9CBEF">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11" w:name="_Toc5535"/>
      <w:r>
        <w:rPr>
          <w:rFonts w:hint="eastAsia" w:ascii="宋体" w:hAnsi="宋体" w:eastAsia="宋体" w:cs="宋体"/>
          <w:b/>
          <w:bCs w:val="0"/>
          <w:color w:val="auto"/>
          <w:sz w:val="24"/>
          <w:szCs w:val="24"/>
          <w:highlight w:val="none"/>
        </w:rPr>
        <w:t>竞争性磋商文件的修改</w:t>
      </w:r>
      <w:bookmarkEnd w:id="199"/>
      <w:bookmarkEnd w:id="200"/>
      <w:bookmarkEnd w:id="201"/>
      <w:bookmarkEnd w:id="202"/>
      <w:bookmarkEnd w:id="203"/>
      <w:bookmarkEnd w:id="204"/>
      <w:bookmarkEnd w:id="205"/>
      <w:bookmarkEnd w:id="206"/>
      <w:bookmarkEnd w:id="207"/>
      <w:bookmarkEnd w:id="208"/>
      <w:bookmarkEnd w:id="209"/>
      <w:bookmarkEnd w:id="210"/>
      <w:bookmarkEnd w:id="211"/>
    </w:p>
    <w:p w14:paraId="311712E3">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212" w:name="_Toc270604592"/>
      <w:bookmarkStart w:id="213" w:name="_Toc12045"/>
      <w:r>
        <w:rPr>
          <w:rFonts w:hint="eastAsia" w:ascii="宋体" w:hAnsi="宋体" w:eastAsia="宋体" w:cs="宋体"/>
          <w:color w:val="auto"/>
          <w:sz w:val="24"/>
          <w:szCs w:val="24"/>
          <w:highlight w:val="none"/>
          <w:lang w:eastAsia="zh-CN"/>
        </w:rPr>
        <w:t>采购人或者采购代理机构可以对已发出的竞争性磋商文件进行必要的修改，但不得改变采购标的和资格条件，修改的内容为竞争性磋商文件的组成部分。</w:t>
      </w:r>
    </w:p>
    <w:p w14:paraId="69A99072">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或采购代理机构以供应商须知前附表规定的形式修改竞争性磋商文件，并通知所有已购买竞争性磋商文件的供应商，同时在原公告媒体发布变更公告。修改竞争性磋商文件的时间距本章第4.2.1项规定的提交首次响应文件截止时间不足</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日的，并且修改内容可能影响响应文件编制的，将相应延长提交首次响应文件截止时间。</w:t>
      </w:r>
    </w:p>
    <w:p w14:paraId="402561D5">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供应商收到修改内容后，应按供应商须知前附表规定的时间和形式通知</w:t>
      </w:r>
      <w:r>
        <w:rPr>
          <w:rFonts w:hint="eastAsia" w:ascii="宋体" w:hAnsi="宋体" w:eastAsia="宋体" w:cs="宋体"/>
          <w:b w:val="0"/>
          <w:bCs w:val="0"/>
          <w:color w:val="000000"/>
          <w:sz w:val="24"/>
          <w:szCs w:val="24"/>
          <w:highlight w:val="none"/>
          <w:lang w:eastAsia="zh-CN"/>
        </w:rPr>
        <w:t>采购人</w:t>
      </w:r>
      <w:r>
        <w:rPr>
          <w:rFonts w:hint="eastAsia" w:ascii="宋体" w:hAnsi="宋体" w:eastAsia="宋体" w:cs="宋体"/>
          <w:color w:val="auto"/>
          <w:sz w:val="24"/>
          <w:szCs w:val="24"/>
          <w:highlight w:val="none"/>
          <w:lang w:eastAsia="zh-CN"/>
        </w:rPr>
        <w:t>，确认已收到该修改。</w:t>
      </w:r>
    </w:p>
    <w:bookmarkEnd w:id="212"/>
    <w:bookmarkEnd w:id="213"/>
    <w:p w14:paraId="38BEA7BF">
      <w:pPr>
        <w:pStyle w:val="3"/>
        <w:numPr>
          <w:ilvl w:val="0"/>
          <w:numId w:val="4"/>
        </w:numPr>
        <w:bidi w:val="0"/>
        <w:jc w:val="center"/>
        <w:rPr>
          <w:rStyle w:val="66"/>
          <w:rFonts w:hint="eastAsia" w:ascii="宋体" w:hAnsi="宋体" w:eastAsia="宋体" w:cs="宋体"/>
          <w:b/>
          <w:bCs/>
          <w:color w:val="auto"/>
          <w:sz w:val="24"/>
          <w:szCs w:val="24"/>
          <w:highlight w:val="none"/>
          <w:lang w:val="en-US" w:eastAsia="zh-CN"/>
        </w:rPr>
      </w:pPr>
      <w:bookmarkStart w:id="214" w:name="_Toc4968"/>
      <w:bookmarkStart w:id="215" w:name="_Toc11698"/>
      <w:bookmarkStart w:id="216" w:name="_Toc24067"/>
      <w:bookmarkStart w:id="217" w:name="_Toc2288"/>
      <w:bookmarkStart w:id="218" w:name="_Toc28297"/>
      <w:r>
        <w:rPr>
          <w:rStyle w:val="66"/>
          <w:rFonts w:hint="eastAsia" w:ascii="宋体" w:hAnsi="宋体" w:eastAsia="宋体" w:cs="宋体"/>
          <w:b/>
          <w:bCs/>
          <w:color w:val="auto"/>
          <w:sz w:val="24"/>
          <w:szCs w:val="24"/>
          <w:highlight w:val="none"/>
          <w:lang w:val="en-US" w:eastAsia="zh-CN"/>
        </w:rPr>
        <w:t>响应文件编写</w:t>
      </w:r>
      <w:bookmarkEnd w:id="214"/>
      <w:bookmarkEnd w:id="215"/>
      <w:bookmarkEnd w:id="216"/>
      <w:bookmarkEnd w:id="217"/>
      <w:bookmarkEnd w:id="218"/>
    </w:p>
    <w:p w14:paraId="26A4367C">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19" w:name="_Toc462934292"/>
      <w:bookmarkStart w:id="220" w:name="_Toc269470312"/>
      <w:bookmarkStart w:id="221" w:name="_Toc454788026"/>
      <w:bookmarkStart w:id="222" w:name="_Toc270604593"/>
      <w:bookmarkStart w:id="223" w:name="_Toc26455"/>
      <w:bookmarkStart w:id="224" w:name="_Toc455678118"/>
      <w:bookmarkStart w:id="225" w:name="_Toc270604820"/>
      <w:bookmarkStart w:id="226" w:name="_Toc428276586"/>
      <w:bookmarkStart w:id="227" w:name="_Toc20143"/>
      <w:bookmarkStart w:id="228" w:name="_Toc277149382"/>
      <w:bookmarkStart w:id="229" w:name="_Toc12181"/>
      <w:bookmarkStart w:id="230" w:name="_Toc428351646"/>
      <w:bookmarkStart w:id="231" w:name="_Toc463011271"/>
      <w:r>
        <w:rPr>
          <w:rFonts w:hint="eastAsia" w:ascii="宋体" w:hAnsi="宋体" w:eastAsia="宋体" w:cs="宋体"/>
          <w:b/>
          <w:bCs w:val="0"/>
          <w:color w:val="auto"/>
          <w:sz w:val="24"/>
          <w:szCs w:val="24"/>
          <w:highlight w:val="none"/>
          <w:lang w:eastAsia="zh-CN"/>
        </w:rPr>
        <w:t>响应文件</w:t>
      </w:r>
      <w:r>
        <w:rPr>
          <w:rFonts w:hint="eastAsia" w:ascii="宋体" w:hAnsi="宋体" w:eastAsia="宋体" w:cs="宋体"/>
          <w:b/>
          <w:bCs w:val="0"/>
          <w:color w:val="auto"/>
          <w:sz w:val="24"/>
          <w:szCs w:val="24"/>
          <w:highlight w:val="none"/>
        </w:rPr>
        <w:t>的组成</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55C1CF26">
      <w:pPr>
        <w:pStyle w:val="22"/>
        <w:snapToGrid w:val="0"/>
        <w:spacing w:line="360" w:lineRule="auto"/>
        <w:ind w:left="540"/>
        <w:contextualSpacing/>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应包括下列内容：</w:t>
      </w:r>
    </w:p>
    <w:p w14:paraId="3A0378E3">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bookmarkStart w:id="232" w:name="_Toc455678119"/>
      <w:bookmarkStart w:id="233" w:name="_Toc22898"/>
      <w:bookmarkStart w:id="234" w:name="_Toc463011272"/>
      <w:bookmarkStart w:id="235" w:name="_Toc4803"/>
      <w:bookmarkStart w:id="236" w:name="_Toc462934293"/>
      <w:bookmarkStart w:id="237" w:name="_Toc21496"/>
      <w:bookmarkStart w:id="238" w:name="_Toc270604822"/>
      <w:bookmarkStart w:id="239" w:name="_Toc270604595"/>
      <w:bookmarkStart w:id="240" w:name="_Toc269470314"/>
      <w:bookmarkStart w:id="241" w:name="_Toc277149384"/>
      <w:r>
        <w:rPr>
          <w:rFonts w:hint="eastAsia"/>
          <w:sz w:val="24"/>
          <w:szCs w:val="24"/>
        </w:rPr>
        <w:t>响应函及响应函附录</w:t>
      </w:r>
    </w:p>
    <w:p w14:paraId="4BA55814">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法定代表人身份证明及授权委托书</w:t>
      </w:r>
    </w:p>
    <w:p w14:paraId="2BABFDF6">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响应承诺函</w:t>
      </w:r>
    </w:p>
    <w:p w14:paraId="5235286A">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供应商资格证明文件</w:t>
      </w:r>
    </w:p>
    <w:p w14:paraId="4488756E">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已标价工程量清单</w:t>
      </w:r>
    </w:p>
    <w:p w14:paraId="7D8E971B">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施工组织设计</w:t>
      </w:r>
    </w:p>
    <w:p w14:paraId="3326E578">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项目管理机构</w:t>
      </w:r>
    </w:p>
    <w:p w14:paraId="15349241">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供应商基本情况资料</w:t>
      </w:r>
    </w:p>
    <w:p w14:paraId="233B15D0">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商务标证明文件</w:t>
      </w:r>
    </w:p>
    <w:p w14:paraId="0105230E">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中小企业证明</w:t>
      </w:r>
    </w:p>
    <w:p w14:paraId="064E550A">
      <w:pPr>
        <w:keepNext w:val="0"/>
        <w:keepLines w:val="0"/>
        <w:pageBreakBefore w:val="0"/>
        <w:widowControl w:val="0"/>
        <w:numPr>
          <w:ilvl w:val="0"/>
          <w:numId w:val="8"/>
        </w:numPr>
        <w:kinsoku/>
        <w:wordWrap w:val="0"/>
        <w:overflowPunct/>
        <w:topLinePunct/>
        <w:autoSpaceDE/>
        <w:autoSpaceDN/>
        <w:bidi w:val="0"/>
        <w:adjustRightInd/>
        <w:snapToGrid/>
        <w:spacing w:line="360" w:lineRule="auto"/>
        <w:ind w:left="1385" w:leftChars="0" w:hanging="425" w:firstLineChars="0"/>
        <w:textAlignment w:val="auto"/>
        <w:rPr>
          <w:rFonts w:hint="eastAsia"/>
          <w:sz w:val="24"/>
          <w:szCs w:val="24"/>
        </w:rPr>
      </w:pPr>
      <w:r>
        <w:rPr>
          <w:rFonts w:hint="eastAsia"/>
          <w:sz w:val="24"/>
          <w:szCs w:val="24"/>
        </w:rPr>
        <w:t>其他资料</w:t>
      </w:r>
    </w:p>
    <w:p w14:paraId="30F583BA">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磋商价格构成及报价要求</w:t>
      </w:r>
      <w:bookmarkEnd w:id="232"/>
      <w:bookmarkEnd w:id="233"/>
      <w:bookmarkEnd w:id="234"/>
      <w:bookmarkEnd w:id="235"/>
      <w:bookmarkEnd w:id="236"/>
      <w:bookmarkEnd w:id="237"/>
    </w:p>
    <w:p w14:paraId="0D7631B1">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bookmarkStart w:id="242" w:name="_Toc428351648"/>
      <w:bookmarkStart w:id="243" w:name="_Toc17969"/>
      <w:bookmarkStart w:id="244" w:name="_Toc463011273"/>
      <w:bookmarkStart w:id="245" w:name="_Toc455678120"/>
      <w:bookmarkStart w:id="246" w:name="_Toc462934294"/>
      <w:bookmarkStart w:id="247" w:name="_Toc454788028"/>
      <w:bookmarkStart w:id="248" w:name="_Toc58"/>
      <w:bookmarkStart w:id="249" w:name="_Toc9193"/>
      <w:bookmarkStart w:id="250" w:name="_Toc428276588"/>
      <w:r>
        <w:rPr>
          <w:rFonts w:hint="eastAsia" w:ascii="宋体" w:hAnsi="宋体" w:eastAsia="宋体" w:cs="宋体"/>
          <w:color w:val="auto"/>
          <w:sz w:val="24"/>
          <w:szCs w:val="24"/>
          <w:highlight w:val="none"/>
          <w:lang w:val="en-US" w:eastAsia="zh-CN"/>
        </w:rPr>
        <w:t>供应商应按“响应文件格式”的要求在</w:t>
      </w:r>
      <w:r>
        <w:rPr>
          <w:rFonts w:hint="eastAsia" w:cs="宋体"/>
          <w:color w:val="auto"/>
          <w:sz w:val="24"/>
          <w:szCs w:val="24"/>
          <w:highlight w:val="none"/>
          <w:lang w:val="en-US" w:eastAsia="zh-CN"/>
        </w:rPr>
        <w:t>响应函</w:t>
      </w:r>
      <w:r>
        <w:rPr>
          <w:rFonts w:hint="eastAsia" w:ascii="宋体" w:hAnsi="宋体" w:eastAsia="宋体" w:cs="宋体"/>
          <w:color w:val="auto"/>
          <w:sz w:val="24"/>
          <w:szCs w:val="24"/>
          <w:highlight w:val="none"/>
          <w:lang w:val="en-US" w:eastAsia="zh-CN"/>
        </w:rPr>
        <w:t>中进行报价并填写已标价工程量清单。</w:t>
      </w:r>
    </w:p>
    <w:p w14:paraId="7CFC3040">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供应商应充分了解该项目的总体情况以及影响</w:t>
      </w:r>
      <w:r>
        <w:rPr>
          <w:rFonts w:hint="eastAsia" w:cs="宋体"/>
          <w:color w:val="auto"/>
          <w:sz w:val="24"/>
          <w:szCs w:val="24"/>
          <w:highlight w:val="none"/>
          <w:lang w:val="en-US" w:eastAsia="zh-CN"/>
        </w:rPr>
        <w:t>响应报价</w:t>
      </w:r>
      <w:r>
        <w:rPr>
          <w:rFonts w:hint="eastAsia" w:ascii="宋体" w:hAnsi="宋体" w:eastAsia="宋体" w:cs="宋体"/>
          <w:color w:val="auto"/>
          <w:sz w:val="24"/>
          <w:szCs w:val="24"/>
          <w:highlight w:val="none"/>
          <w:lang w:val="en-US" w:eastAsia="zh-CN"/>
        </w:rPr>
        <w:t>的其他要素。</w:t>
      </w:r>
    </w:p>
    <w:p w14:paraId="195B4B26">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本项目的报价方式见供应商须知前附表。供应商在首次响应文件提交截止时间前修改</w:t>
      </w:r>
      <w:r>
        <w:rPr>
          <w:rFonts w:hint="eastAsia" w:cs="宋体"/>
          <w:color w:val="auto"/>
          <w:sz w:val="24"/>
          <w:szCs w:val="24"/>
          <w:highlight w:val="none"/>
          <w:lang w:val="en-US" w:eastAsia="zh-CN"/>
        </w:rPr>
        <w:t>响应函</w:t>
      </w:r>
      <w:r>
        <w:rPr>
          <w:rFonts w:hint="eastAsia" w:ascii="宋体" w:hAnsi="宋体" w:eastAsia="宋体" w:cs="宋体"/>
          <w:color w:val="auto"/>
          <w:sz w:val="24"/>
          <w:szCs w:val="24"/>
          <w:highlight w:val="none"/>
          <w:lang w:val="en-US" w:eastAsia="zh-CN"/>
        </w:rPr>
        <w:t>中的</w:t>
      </w:r>
      <w:r>
        <w:rPr>
          <w:rFonts w:hint="eastAsia" w:cs="宋体"/>
          <w:color w:val="auto"/>
          <w:sz w:val="24"/>
          <w:szCs w:val="24"/>
          <w:highlight w:val="none"/>
          <w:lang w:val="en-US" w:eastAsia="zh-CN"/>
        </w:rPr>
        <w:t>响应报价</w:t>
      </w:r>
      <w:r>
        <w:rPr>
          <w:rFonts w:hint="eastAsia" w:ascii="宋体" w:hAnsi="宋体" w:eastAsia="宋体" w:cs="宋体"/>
          <w:color w:val="auto"/>
          <w:sz w:val="24"/>
          <w:szCs w:val="24"/>
          <w:highlight w:val="none"/>
          <w:lang w:val="en-US" w:eastAsia="zh-CN"/>
        </w:rPr>
        <w:t>总额，应同时修改响应文件“已标价工程量清单”中的相应报价。采购人设有最高限价（采购预算金额）的，供应商的</w:t>
      </w:r>
      <w:r>
        <w:rPr>
          <w:rFonts w:hint="eastAsia" w:cs="宋体"/>
          <w:color w:val="auto"/>
          <w:sz w:val="24"/>
          <w:szCs w:val="24"/>
          <w:highlight w:val="none"/>
          <w:lang w:val="en-US" w:eastAsia="zh-CN"/>
        </w:rPr>
        <w:t>响应报价</w:t>
      </w:r>
      <w:r>
        <w:rPr>
          <w:rFonts w:hint="eastAsia" w:ascii="宋体" w:hAnsi="宋体" w:eastAsia="宋体" w:cs="宋体"/>
          <w:color w:val="auto"/>
          <w:sz w:val="24"/>
          <w:szCs w:val="24"/>
          <w:highlight w:val="none"/>
          <w:lang w:val="en-US" w:eastAsia="zh-CN"/>
        </w:rPr>
        <w:t>不得超过最高限价（采购预算金额）。</w:t>
      </w:r>
    </w:p>
    <w:p w14:paraId="79961BF5">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磋商有效期</w:t>
      </w:r>
      <w:bookmarkEnd w:id="238"/>
      <w:bookmarkEnd w:id="239"/>
      <w:bookmarkEnd w:id="240"/>
      <w:bookmarkEnd w:id="241"/>
      <w:bookmarkEnd w:id="242"/>
      <w:bookmarkEnd w:id="243"/>
      <w:bookmarkEnd w:id="244"/>
      <w:bookmarkEnd w:id="245"/>
      <w:bookmarkEnd w:id="246"/>
      <w:bookmarkEnd w:id="247"/>
      <w:bookmarkEnd w:id="248"/>
      <w:bookmarkEnd w:id="249"/>
      <w:bookmarkEnd w:id="250"/>
    </w:p>
    <w:p w14:paraId="01F5E3DB">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磋商有效期见供应商须知前附表，从提交首次响应文件的截止之日起算。</w:t>
      </w:r>
    </w:p>
    <w:p w14:paraId="288AAC5F">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000000"/>
          <w:sz w:val="24"/>
          <w:szCs w:val="24"/>
        </w:rPr>
        <w:t>在</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有效期内，</w:t>
      </w:r>
      <w:r>
        <w:rPr>
          <w:rFonts w:hint="eastAsia" w:ascii="宋体" w:hAnsi="宋体" w:eastAsia="宋体" w:cs="宋体"/>
          <w:color w:val="000000"/>
          <w:sz w:val="24"/>
          <w:szCs w:val="24"/>
          <w:lang w:val="en-US" w:eastAsia="zh-CN"/>
        </w:rPr>
        <w:t>响应</w:t>
      </w:r>
      <w:r>
        <w:rPr>
          <w:rFonts w:hint="eastAsia" w:ascii="宋体" w:hAnsi="宋体" w:eastAsia="宋体" w:cs="宋体"/>
          <w:color w:val="000000"/>
          <w:sz w:val="24"/>
          <w:szCs w:val="24"/>
        </w:rPr>
        <w:t>人撤销</w:t>
      </w:r>
      <w:r>
        <w:rPr>
          <w:rFonts w:hint="eastAsia" w:ascii="宋体" w:hAnsi="宋体" w:eastAsia="宋体" w:cs="宋体"/>
          <w:color w:val="000000"/>
          <w:sz w:val="24"/>
          <w:szCs w:val="24"/>
          <w:lang w:val="en-US" w:eastAsia="zh-CN"/>
        </w:rPr>
        <w:t>响应</w:t>
      </w:r>
      <w:r>
        <w:rPr>
          <w:rFonts w:hint="eastAsia" w:ascii="宋体" w:hAnsi="宋体" w:eastAsia="宋体" w:cs="宋体"/>
          <w:color w:val="000000"/>
          <w:sz w:val="24"/>
          <w:szCs w:val="24"/>
        </w:rPr>
        <w:t>文件的，应承担</w:t>
      </w:r>
      <w:r>
        <w:rPr>
          <w:rFonts w:hint="eastAsia" w:ascii="宋体" w:hAnsi="宋体" w:eastAsia="宋体" w:cs="宋体"/>
          <w:color w:val="000000"/>
          <w:sz w:val="24"/>
          <w:szCs w:val="24"/>
          <w:lang w:val="en-US" w:eastAsia="zh-CN"/>
        </w:rPr>
        <w:t>响应</w:t>
      </w:r>
      <w:r>
        <w:rPr>
          <w:rFonts w:hint="eastAsia" w:ascii="宋体" w:hAnsi="宋体" w:eastAsia="宋体" w:cs="宋体"/>
          <w:color w:val="000000"/>
          <w:sz w:val="24"/>
          <w:szCs w:val="24"/>
        </w:rPr>
        <w:t>文件和法律规定的责任</w:t>
      </w:r>
      <w:r>
        <w:rPr>
          <w:rFonts w:hint="eastAsia" w:ascii="宋体" w:hAnsi="宋体" w:eastAsia="宋体" w:cs="宋体"/>
          <w:color w:val="auto"/>
          <w:sz w:val="24"/>
          <w:szCs w:val="24"/>
          <w:highlight w:val="none"/>
          <w:lang w:eastAsia="zh-CN"/>
        </w:rPr>
        <w:t>。</w:t>
      </w:r>
    </w:p>
    <w:p w14:paraId="13EE61A2">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出现特殊情况需要延长磋商有效期的，采购人以书面形式通知所有供应商延长磋商有效期。供应商应予以书面答复，但不得要求或被允许修改其响应文件；供应商拒绝延长的，其磋商失效。</w:t>
      </w:r>
    </w:p>
    <w:p w14:paraId="38E859C2">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51" w:name="_Toc32308"/>
      <w:bookmarkStart w:id="252" w:name="_Toc463011275"/>
      <w:bookmarkStart w:id="253" w:name="_Toc269470318"/>
      <w:bookmarkStart w:id="254" w:name="_Toc4446"/>
      <w:bookmarkStart w:id="255" w:name="_Toc462934296"/>
      <w:bookmarkStart w:id="256" w:name="_Toc270604823"/>
      <w:bookmarkStart w:id="257" w:name="_Toc454788030"/>
      <w:bookmarkStart w:id="258" w:name="_Toc428276590"/>
      <w:bookmarkStart w:id="259" w:name="_Toc270604596"/>
      <w:bookmarkStart w:id="260" w:name="_Toc277149385"/>
      <w:bookmarkStart w:id="261" w:name="_Toc428351650"/>
      <w:bookmarkStart w:id="262" w:name="_Toc7919"/>
      <w:bookmarkStart w:id="263" w:name="_Toc455678122"/>
      <w:r>
        <w:rPr>
          <w:rFonts w:hint="eastAsia" w:ascii="宋体" w:hAnsi="宋体" w:eastAsia="宋体" w:cs="宋体"/>
          <w:b/>
          <w:bCs w:val="0"/>
          <w:color w:val="auto"/>
          <w:sz w:val="24"/>
          <w:szCs w:val="24"/>
          <w:highlight w:val="none"/>
          <w:lang w:eastAsia="zh-CN"/>
        </w:rPr>
        <w:t>响应文件</w:t>
      </w:r>
      <w:r>
        <w:rPr>
          <w:rFonts w:hint="eastAsia" w:ascii="宋体" w:hAnsi="宋体" w:eastAsia="宋体" w:cs="宋体"/>
          <w:b/>
          <w:bCs w:val="0"/>
          <w:color w:val="auto"/>
          <w:sz w:val="24"/>
          <w:szCs w:val="24"/>
          <w:highlight w:val="none"/>
        </w:rPr>
        <w:t>的编制</w:t>
      </w:r>
      <w:bookmarkEnd w:id="251"/>
      <w:bookmarkEnd w:id="252"/>
      <w:bookmarkEnd w:id="253"/>
      <w:bookmarkEnd w:id="254"/>
      <w:bookmarkEnd w:id="255"/>
      <w:bookmarkEnd w:id="256"/>
      <w:bookmarkEnd w:id="257"/>
      <w:bookmarkEnd w:id="258"/>
      <w:bookmarkEnd w:id="259"/>
      <w:bookmarkEnd w:id="260"/>
      <w:bookmarkEnd w:id="261"/>
      <w:bookmarkEnd w:id="262"/>
      <w:bookmarkEnd w:id="263"/>
    </w:p>
    <w:p w14:paraId="25230631">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响应文件应按响应文件格式进行编写，如有必要，可以增加附页，作为响应文件的组成部分。其中，</w:t>
      </w:r>
      <w:r>
        <w:rPr>
          <w:rFonts w:hint="eastAsia" w:cs="宋体"/>
          <w:color w:val="auto"/>
          <w:sz w:val="24"/>
          <w:szCs w:val="24"/>
          <w:highlight w:val="none"/>
          <w:lang w:eastAsia="zh-CN"/>
        </w:rPr>
        <w:t>响应函</w:t>
      </w:r>
      <w:r>
        <w:rPr>
          <w:rFonts w:hint="eastAsia" w:ascii="宋体" w:hAnsi="宋体" w:eastAsia="宋体" w:cs="宋体"/>
          <w:color w:val="auto"/>
          <w:sz w:val="24"/>
          <w:szCs w:val="24"/>
          <w:highlight w:val="none"/>
          <w:lang w:eastAsia="zh-CN"/>
        </w:rPr>
        <w:t>附录在满足竞争性磋商文件实质性要求的基础上，可以提出比竞争性磋商文件要求更有利于采购人的承诺。</w:t>
      </w:r>
    </w:p>
    <w:p w14:paraId="33E3F722">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响应文件应当对竞争性磋商文件有关</w:t>
      </w:r>
      <w:r>
        <w:rPr>
          <w:rFonts w:hint="eastAsia" w:cs="宋体"/>
          <w:color w:val="auto"/>
          <w:sz w:val="24"/>
          <w:szCs w:val="24"/>
          <w:highlight w:val="none"/>
          <w:lang w:eastAsia="zh-CN"/>
        </w:rPr>
        <w:t>响应报价</w:t>
      </w:r>
      <w:r>
        <w:rPr>
          <w:rFonts w:hint="eastAsia" w:ascii="宋体" w:hAnsi="宋体" w:eastAsia="宋体" w:cs="宋体"/>
          <w:color w:val="auto"/>
          <w:sz w:val="24"/>
          <w:szCs w:val="24"/>
          <w:highlight w:val="none"/>
          <w:lang w:eastAsia="zh-CN"/>
        </w:rPr>
        <w:t>、计划工期、磋商有效期、质量标准等实质性内容作出响应。</w:t>
      </w:r>
    </w:p>
    <w:p w14:paraId="6CA595DB">
      <w:pPr>
        <w:spacing w:line="360" w:lineRule="auto"/>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3.5.3</w:t>
      </w:r>
      <w:r>
        <w:rPr>
          <w:rFonts w:hint="eastAsia" w:ascii="宋体" w:hAnsi="宋体" w:eastAsia="宋体" w:cs="宋体"/>
          <w:color w:val="auto"/>
          <w:sz w:val="24"/>
          <w:szCs w:val="24"/>
          <w:highlight w:val="none"/>
          <w:lang w:val="en-US" w:eastAsia="zh-CN"/>
        </w:rPr>
        <w:t xml:space="preserve"> </w:t>
      </w:r>
      <w:bookmarkStart w:id="264" w:name="_Toc25506"/>
      <w:bookmarkStart w:id="265" w:name="_Toc416766865"/>
      <w:bookmarkStart w:id="266" w:name="_Toc256519677"/>
      <w:bookmarkStart w:id="267" w:name="_Toc416766227"/>
      <w:bookmarkStart w:id="268" w:name="_Toc365706563"/>
      <w:bookmarkStart w:id="269" w:name="_Toc366484887"/>
      <w:bookmarkStart w:id="270" w:name="_Toc391469608"/>
      <w:bookmarkStart w:id="271" w:name="_Toc427143490"/>
      <w:r>
        <w:rPr>
          <w:rFonts w:hint="eastAsia" w:ascii="宋体" w:hAnsi="宋体" w:eastAsia="宋体" w:cs="宋体"/>
          <w:sz w:val="24"/>
          <w:szCs w:val="24"/>
          <w:lang w:val="en-US" w:eastAsia="zh-CN"/>
        </w:rPr>
        <w:t>响应文件</w:t>
      </w:r>
      <w:r>
        <w:rPr>
          <w:rFonts w:hint="eastAsia" w:ascii="宋体" w:hAnsi="宋体" w:eastAsia="宋体" w:cs="宋体"/>
          <w:sz w:val="24"/>
          <w:szCs w:val="24"/>
        </w:rPr>
        <w:t>均应按</w:t>
      </w:r>
      <w:r>
        <w:rPr>
          <w:rFonts w:hint="eastAsia" w:ascii="宋体" w:hAnsi="宋体" w:eastAsia="宋体" w:cs="宋体"/>
          <w:sz w:val="24"/>
          <w:szCs w:val="24"/>
          <w:lang w:val="en-US" w:eastAsia="zh-CN"/>
        </w:rPr>
        <w:t>磋商</w:t>
      </w:r>
      <w:r>
        <w:rPr>
          <w:rFonts w:hint="eastAsia" w:ascii="宋体" w:hAnsi="宋体" w:eastAsia="宋体" w:cs="宋体"/>
          <w:sz w:val="24"/>
          <w:szCs w:val="24"/>
        </w:rPr>
        <w:t>文件要求加盖单位章和法定代表人（或其委托代理人）签章。委托代理人签章的，投标文件应附法定代表人签署的电子授权委托书。</w:t>
      </w:r>
      <w:bookmarkEnd w:id="264"/>
      <w:bookmarkEnd w:id="265"/>
      <w:bookmarkEnd w:id="266"/>
      <w:bookmarkEnd w:id="267"/>
      <w:bookmarkEnd w:id="268"/>
      <w:bookmarkEnd w:id="269"/>
      <w:bookmarkEnd w:id="270"/>
      <w:bookmarkEnd w:id="271"/>
      <w:r>
        <w:rPr>
          <w:rFonts w:hint="eastAsia" w:ascii="宋体" w:hAnsi="宋体" w:eastAsia="宋体" w:cs="宋体"/>
          <w:sz w:val="24"/>
          <w:szCs w:val="24"/>
        </w:rPr>
        <w:t xml:space="preserve"> </w:t>
      </w:r>
    </w:p>
    <w:p w14:paraId="6BA2BD7A">
      <w:pPr>
        <w:spacing w:line="360" w:lineRule="auto"/>
        <w:ind w:firstLine="480" w:firstLineChars="200"/>
        <w:rPr>
          <w:rFonts w:hint="eastAsia" w:ascii="宋体" w:hAnsi="宋体" w:eastAsia="宋体" w:cs="宋体"/>
          <w:b/>
          <w:sz w:val="24"/>
          <w:szCs w:val="24"/>
        </w:rPr>
      </w:pPr>
      <w:bookmarkStart w:id="272" w:name="_Toc6530"/>
      <w:r>
        <w:rPr>
          <w:rFonts w:hint="eastAsia" w:ascii="宋体" w:hAnsi="宋体" w:eastAsia="宋体" w:cs="宋体"/>
          <w:sz w:val="24"/>
          <w:szCs w:val="24"/>
          <w:lang w:val="en-US" w:eastAsia="zh-CN"/>
        </w:rPr>
        <w:t>响应文件</w:t>
      </w:r>
      <w:r>
        <w:rPr>
          <w:rFonts w:hint="eastAsia" w:ascii="宋体" w:hAnsi="宋体" w:eastAsia="宋体" w:cs="宋体"/>
          <w:sz w:val="24"/>
          <w:szCs w:val="24"/>
        </w:rPr>
        <w:t>应尽量避免涂改、行间插字或删除。如果出现上述情况，改动之处应加盖单位章或由</w:t>
      </w:r>
      <w:r>
        <w:rPr>
          <w:rFonts w:hint="eastAsia" w:ascii="宋体" w:hAnsi="宋体" w:eastAsia="宋体" w:cs="宋体"/>
          <w:sz w:val="24"/>
          <w:szCs w:val="24"/>
          <w:lang w:val="en-US" w:eastAsia="zh-CN"/>
        </w:rPr>
        <w:t>响应</w:t>
      </w:r>
      <w:r>
        <w:rPr>
          <w:rFonts w:hint="eastAsia" w:ascii="宋体" w:hAnsi="宋体" w:eastAsia="宋体" w:cs="宋体"/>
          <w:sz w:val="24"/>
          <w:szCs w:val="24"/>
        </w:rPr>
        <w:t>人的法定代表人或其授权的代理人签章确认。</w:t>
      </w:r>
      <w:r>
        <w:rPr>
          <w:rFonts w:hint="eastAsia" w:ascii="宋体" w:hAnsi="宋体" w:eastAsia="宋体" w:cs="宋体"/>
          <w:b/>
          <w:sz w:val="24"/>
          <w:szCs w:val="24"/>
        </w:rPr>
        <w:t>签字或盖章的其他要求见</w:t>
      </w:r>
      <w:r>
        <w:rPr>
          <w:rFonts w:hint="eastAsia" w:cs="宋体"/>
          <w:b/>
          <w:sz w:val="24"/>
          <w:szCs w:val="24"/>
          <w:lang w:eastAsia="zh-CN"/>
        </w:rPr>
        <w:t>供应商须知前附表</w:t>
      </w:r>
      <w:r>
        <w:rPr>
          <w:rFonts w:hint="eastAsia" w:ascii="宋体" w:hAnsi="宋体" w:eastAsia="宋体" w:cs="宋体"/>
          <w:b/>
          <w:sz w:val="24"/>
          <w:szCs w:val="24"/>
        </w:rPr>
        <w:t>及电子化交易注意事项。</w:t>
      </w:r>
    </w:p>
    <w:p w14:paraId="4261EA49">
      <w:pPr>
        <w:pStyle w:val="3"/>
        <w:numPr>
          <w:ilvl w:val="0"/>
          <w:numId w:val="4"/>
        </w:numPr>
        <w:bidi w:val="0"/>
        <w:jc w:val="center"/>
        <w:rPr>
          <w:rStyle w:val="66"/>
          <w:rFonts w:hint="eastAsia" w:ascii="宋体" w:hAnsi="宋体" w:eastAsia="宋体" w:cs="宋体"/>
          <w:b/>
          <w:bCs/>
          <w:color w:val="auto"/>
          <w:sz w:val="24"/>
          <w:szCs w:val="24"/>
          <w:highlight w:val="none"/>
          <w:lang w:val="en-US" w:eastAsia="zh-CN"/>
        </w:rPr>
      </w:pPr>
      <w:bookmarkStart w:id="273" w:name="_Toc4992"/>
      <w:bookmarkStart w:id="274" w:name="_Toc20131"/>
      <w:bookmarkStart w:id="275" w:name="_Toc12187"/>
      <w:bookmarkStart w:id="276" w:name="_Toc31747"/>
      <w:bookmarkStart w:id="277" w:name="_Toc21097"/>
      <w:r>
        <w:rPr>
          <w:rStyle w:val="66"/>
          <w:rFonts w:hint="eastAsia" w:ascii="宋体" w:hAnsi="宋体" w:eastAsia="宋体" w:cs="宋体"/>
          <w:b/>
          <w:bCs/>
          <w:color w:val="auto"/>
          <w:sz w:val="24"/>
          <w:szCs w:val="24"/>
          <w:highlight w:val="none"/>
          <w:lang w:val="en-US" w:eastAsia="zh-CN"/>
        </w:rPr>
        <w:t>响应文件的递交</w:t>
      </w:r>
      <w:bookmarkEnd w:id="272"/>
      <w:bookmarkEnd w:id="273"/>
      <w:bookmarkEnd w:id="274"/>
      <w:bookmarkEnd w:id="275"/>
      <w:bookmarkEnd w:id="276"/>
      <w:bookmarkEnd w:id="277"/>
    </w:p>
    <w:p w14:paraId="5628428B">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78" w:name="_Toc27477"/>
      <w:bookmarkStart w:id="279" w:name="_Toc428276592"/>
      <w:bookmarkStart w:id="280" w:name="_Toc428351652"/>
      <w:bookmarkStart w:id="281" w:name="_Toc270604825"/>
      <w:bookmarkStart w:id="282" w:name="_Toc31608"/>
      <w:bookmarkStart w:id="283" w:name="_Toc454788032"/>
      <w:bookmarkStart w:id="284" w:name="_Toc277149387"/>
      <w:bookmarkStart w:id="285" w:name="_Toc455678124"/>
      <w:bookmarkStart w:id="286" w:name="_Toc269470320"/>
      <w:bookmarkStart w:id="287" w:name="_Toc462934298"/>
      <w:bookmarkStart w:id="288" w:name="_Toc21528"/>
      <w:bookmarkStart w:id="289" w:name="_Toc463011277"/>
      <w:bookmarkStart w:id="290" w:name="_Toc270604598"/>
      <w:r>
        <w:rPr>
          <w:rFonts w:hint="eastAsia" w:ascii="宋体" w:hAnsi="宋体" w:eastAsia="宋体" w:cs="宋体"/>
          <w:b/>
          <w:bCs w:val="0"/>
          <w:color w:val="auto"/>
          <w:sz w:val="24"/>
          <w:szCs w:val="24"/>
          <w:highlight w:val="none"/>
        </w:rPr>
        <w:t>响应文件的密封和标记</w:t>
      </w:r>
      <w:bookmarkEnd w:id="278"/>
      <w:bookmarkEnd w:id="279"/>
      <w:bookmarkEnd w:id="280"/>
      <w:bookmarkEnd w:id="281"/>
      <w:bookmarkEnd w:id="282"/>
      <w:bookmarkEnd w:id="283"/>
      <w:bookmarkEnd w:id="284"/>
      <w:bookmarkEnd w:id="285"/>
      <w:bookmarkEnd w:id="286"/>
      <w:bookmarkEnd w:id="287"/>
      <w:bookmarkEnd w:id="288"/>
      <w:bookmarkEnd w:id="289"/>
      <w:bookmarkEnd w:id="290"/>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本项目为电子化投标</w:t>
      </w:r>
      <w:r>
        <w:rPr>
          <w:rFonts w:hint="eastAsia" w:ascii="宋体" w:hAnsi="宋体" w:eastAsia="宋体" w:cs="宋体"/>
          <w:b/>
          <w:bCs w:val="0"/>
          <w:color w:val="auto"/>
          <w:sz w:val="24"/>
          <w:szCs w:val="24"/>
          <w:highlight w:val="none"/>
          <w:lang w:eastAsia="zh-CN"/>
        </w:rPr>
        <w:t>）</w:t>
      </w:r>
    </w:p>
    <w:p w14:paraId="5D2D8BCF">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bookmarkStart w:id="291" w:name="_Toc270604599"/>
      <w:bookmarkStart w:id="292" w:name="_Toc270604826"/>
      <w:bookmarkStart w:id="293" w:name="_Toc455678125"/>
      <w:bookmarkStart w:id="294" w:name="_Toc20197"/>
      <w:bookmarkStart w:id="295" w:name="_Toc269470321"/>
      <w:bookmarkStart w:id="296" w:name="_Toc462934299"/>
      <w:bookmarkStart w:id="297" w:name="_Toc454788033"/>
      <w:bookmarkStart w:id="298" w:name="_Toc463011278"/>
      <w:bookmarkStart w:id="299" w:name="_Toc5938"/>
      <w:bookmarkStart w:id="300" w:name="_Toc29167"/>
      <w:bookmarkStart w:id="301" w:name="_Toc428276593"/>
      <w:bookmarkStart w:id="302" w:name="_Toc277149388"/>
      <w:bookmarkStart w:id="303" w:name="_Toc428351653"/>
      <w:r>
        <w:rPr>
          <w:rFonts w:hint="eastAsia" w:ascii="宋体" w:hAnsi="宋体" w:eastAsia="宋体" w:cs="宋体"/>
          <w:b/>
          <w:bCs w:val="0"/>
          <w:color w:val="auto"/>
          <w:sz w:val="24"/>
          <w:szCs w:val="24"/>
          <w:highlight w:val="none"/>
          <w:lang w:eastAsia="zh-CN"/>
        </w:rPr>
        <w:t>响应文件</w:t>
      </w:r>
      <w:r>
        <w:rPr>
          <w:rFonts w:hint="eastAsia" w:ascii="宋体" w:hAnsi="宋体" w:eastAsia="宋体" w:cs="宋体"/>
          <w:b/>
          <w:bCs w:val="0"/>
          <w:color w:val="auto"/>
          <w:sz w:val="24"/>
          <w:szCs w:val="24"/>
          <w:highlight w:val="none"/>
        </w:rPr>
        <w:t>的递交</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3CD45D81">
      <w:pPr>
        <w:spacing w:line="360" w:lineRule="auto"/>
        <w:ind w:firstLine="480" w:firstLineChars="200"/>
        <w:rPr>
          <w:rFonts w:hint="eastAsia" w:ascii="宋体" w:hAnsi="宋体" w:eastAsia="宋体" w:cs="宋体"/>
          <w:sz w:val="24"/>
          <w:szCs w:val="24"/>
        </w:rPr>
      </w:pPr>
      <w:bookmarkStart w:id="304" w:name="_Toc270604600"/>
      <w:bookmarkStart w:id="305" w:name="_Toc269470322"/>
      <w:bookmarkStart w:id="306" w:name="_Toc428351654"/>
      <w:bookmarkStart w:id="307" w:name="_Toc428276594"/>
      <w:bookmarkStart w:id="308" w:name="_Toc277149389"/>
      <w:bookmarkStart w:id="309" w:name="_Toc462934300"/>
      <w:bookmarkStart w:id="310" w:name="_Toc270604827"/>
      <w:bookmarkStart w:id="311" w:name="_Toc455678126"/>
      <w:bookmarkStart w:id="312" w:name="_Toc27108"/>
      <w:bookmarkStart w:id="313" w:name="_Toc26556"/>
      <w:bookmarkStart w:id="314" w:name="_Toc454788034"/>
      <w:bookmarkStart w:id="315" w:name="_Toc29096"/>
      <w:bookmarkStart w:id="316" w:name="_Toc463011279"/>
      <w:r>
        <w:rPr>
          <w:rFonts w:hint="eastAsia" w:ascii="宋体" w:hAnsi="宋体" w:eastAsia="宋体" w:cs="宋体"/>
          <w:sz w:val="24"/>
          <w:szCs w:val="24"/>
        </w:rPr>
        <w:t xml:space="preserve">4.2.1 </w:t>
      </w:r>
      <w:r>
        <w:rPr>
          <w:rFonts w:hint="eastAsia" w:ascii="宋体" w:hAnsi="宋体" w:eastAsia="宋体" w:cs="宋体"/>
          <w:sz w:val="24"/>
          <w:szCs w:val="24"/>
          <w:lang w:val="en-US" w:eastAsia="zh-CN"/>
        </w:rPr>
        <w:t>响应</w:t>
      </w:r>
      <w:r>
        <w:rPr>
          <w:rFonts w:hint="eastAsia" w:ascii="宋体" w:hAnsi="宋体" w:eastAsia="宋体" w:cs="宋体"/>
          <w:sz w:val="24"/>
          <w:szCs w:val="24"/>
        </w:rPr>
        <w:t>人应在规定的投标截止时间前上传电子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w:t>
      </w:r>
    </w:p>
    <w:p w14:paraId="5D2433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4.2.2 </w:t>
      </w:r>
      <w:r>
        <w:rPr>
          <w:rFonts w:hint="eastAsia" w:ascii="宋体" w:hAnsi="宋体" w:eastAsia="宋体" w:cs="宋体"/>
          <w:sz w:val="24"/>
          <w:szCs w:val="24"/>
          <w:lang w:val="en-US" w:eastAsia="zh-CN"/>
        </w:rPr>
        <w:t>响应</w:t>
      </w:r>
      <w:r>
        <w:rPr>
          <w:rFonts w:hint="eastAsia" w:ascii="宋体" w:hAnsi="宋体" w:eastAsia="宋体" w:cs="宋体"/>
          <w:sz w:val="24"/>
          <w:szCs w:val="24"/>
        </w:rPr>
        <w:t>人上传电子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文件的地点：见</w:t>
      </w:r>
      <w:r>
        <w:rPr>
          <w:rFonts w:hint="eastAsia" w:cs="宋体"/>
          <w:sz w:val="24"/>
          <w:szCs w:val="24"/>
          <w:lang w:eastAsia="zh-CN"/>
        </w:rPr>
        <w:t>供应商须知前附表</w:t>
      </w:r>
      <w:r>
        <w:rPr>
          <w:rFonts w:hint="eastAsia" w:ascii="宋体" w:hAnsi="宋体" w:eastAsia="宋体" w:cs="宋体"/>
          <w:sz w:val="24"/>
          <w:szCs w:val="24"/>
        </w:rPr>
        <w:t>。</w:t>
      </w:r>
    </w:p>
    <w:p w14:paraId="341F77A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 除</w:t>
      </w:r>
      <w:r>
        <w:rPr>
          <w:rFonts w:hint="eastAsia" w:cs="宋体"/>
          <w:sz w:val="24"/>
          <w:szCs w:val="24"/>
          <w:lang w:eastAsia="zh-CN"/>
        </w:rPr>
        <w:t>供应商须知前附表</w:t>
      </w:r>
      <w:r>
        <w:rPr>
          <w:rFonts w:hint="eastAsia" w:ascii="宋体" w:hAnsi="宋体" w:eastAsia="宋体" w:cs="宋体"/>
          <w:sz w:val="24"/>
          <w:szCs w:val="24"/>
        </w:rPr>
        <w:t>另有规定外，</w:t>
      </w:r>
      <w:r>
        <w:rPr>
          <w:rFonts w:hint="eastAsia" w:ascii="宋体" w:hAnsi="宋体" w:eastAsia="宋体" w:cs="宋体"/>
          <w:sz w:val="24"/>
          <w:szCs w:val="24"/>
          <w:lang w:val="en-US" w:eastAsia="zh-CN"/>
        </w:rPr>
        <w:t>响应</w:t>
      </w:r>
      <w:r>
        <w:rPr>
          <w:rFonts w:hint="eastAsia" w:ascii="宋体" w:hAnsi="宋体" w:eastAsia="宋体" w:cs="宋体"/>
          <w:sz w:val="24"/>
          <w:szCs w:val="24"/>
        </w:rPr>
        <w:t>人所上传的电子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文件不予退还。</w:t>
      </w:r>
    </w:p>
    <w:p w14:paraId="3AB661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4.2.4逾期上传的或者未上传指定地点的电子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w:t>
      </w:r>
      <w:r>
        <w:rPr>
          <w:rFonts w:hint="eastAsia" w:ascii="宋体" w:hAnsi="宋体" w:eastAsia="宋体" w:cs="宋体"/>
          <w:sz w:val="24"/>
          <w:szCs w:val="24"/>
          <w:lang w:val="en-US" w:eastAsia="zh-CN"/>
        </w:rPr>
        <w:t>采购</w:t>
      </w:r>
      <w:r>
        <w:rPr>
          <w:rFonts w:hint="eastAsia" w:ascii="宋体" w:hAnsi="宋体" w:eastAsia="宋体" w:cs="宋体"/>
          <w:sz w:val="24"/>
          <w:szCs w:val="24"/>
        </w:rPr>
        <w:t>人不予受理。</w:t>
      </w:r>
    </w:p>
    <w:p w14:paraId="418C31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4.2.5在特殊情况下，</w:t>
      </w:r>
      <w:r>
        <w:rPr>
          <w:rFonts w:hint="eastAsia" w:ascii="宋体" w:hAnsi="宋体" w:eastAsia="宋体" w:cs="宋体"/>
          <w:sz w:val="24"/>
          <w:szCs w:val="24"/>
          <w:lang w:val="en-US" w:eastAsia="zh-CN"/>
        </w:rPr>
        <w:t>采购</w:t>
      </w:r>
      <w:r>
        <w:rPr>
          <w:rFonts w:hint="eastAsia" w:ascii="宋体" w:hAnsi="宋体" w:eastAsia="宋体" w:cs="宋体"/>
          <w:sz w:val="24"/>
          <w:szCs w:val="24"/>
        </w:rPr>
        <w:t>人如果决定延后递交投标截止时间，应在</w:t>
      </w:r>
      <w:r>
        <w:rPr>
          <w:rFonts w:hint="eastAsia" w:cs="宋体"/>
          <w:sz w:val="24"/>
          <w:szCs w:val="24"/>
          <w:lang w:eastAsia="zh-CN"/>
        </w:rPr>
        <w:t>供应商须知前附表</w:t>
      </w:r>
      <w:r>
        <w:rPr>
          <w:rFonts w:hint="eastAsia" w:ascii="宋体" w:hAnsi="宋体" w:eastAsia="宋体" w:cs="宋体"/>
          <w:sz w:val="24"/>
          <w:szCs w:val="24"/>
        </w:rPr>
        <w:t>规定的时间前，通知送达所有</w:t>
      </w:r>
      <w:r>
        <w:rPr>
          <w:rFonts w:hint="eastAsia" w:ascii="宋体" w:hAnsi="宋体" w:eastAsia="宋体" w:cs="宋体"/>
          <w:sz w:val="24"/>
          <w:szCs w:val="24"/>
          <w:lang w:val="en-US" w:eastAsia="zh-CN"/>
        </w:rPr>
        <w:t>响应</w:t>
      </w:r>
      <w:r>
        <w:rPr>
          <w:rFonts w:hint="eastAsia" w:ascii="宋体" w:hAnsi="宋体" w:eastAsia="宋体" w:cs="宋体"/>
          <w:sz w:val="24"/>
          <w:szCs w:val="24"/>
        </w:rPr>
        <w:t>人延后投标截止时间。在此情况下，</w:t>
      </w:r>
      <w:r>
        <w:rPr>
          <w:rFonts w:hint="eastAsia" w:ascii="宋体" w:hAnsi="宋体" w:eastAsia="宋体" w:cs="宋体"/>
          <w:sz w:val="24"/>
          <w:szCs w:val="24"/>
          <w:lang w:val="en-US" w:eastAsia="zh-CN"/>
        </w:rPr>
        <w:t>采购</w:t>
      </w:r>
      <w:r>
        <w:rPr>
          <w:rFonts w:hint="eastAsia" w:ascii="宋体" w:hAnsi="宋体" w:eastAsia="宋体" w:cs="宋体"/>
          <w:sz w:val="24"/>
          <w:szCs w:val="24"/>
        </w:rPr>
        <w:t>人和</w:t>
      </w:r>
      <w:r>
        <w:rPr>
          <w:rFonts w:hint="eastAsia" w:ascii="宋体" w:hAnsi="宋体" w:eastAsia="宋体" w:cs="宋体"/>
          <w:sz w:val="24"/>
          <w:szCs w:val="24"/>
          <w:lang w:val="en-US" w:eastAsia="zh-CN"/>
        </w:rPr>
        <w:t>响应</w:t>
      </w:r>
      <w:r>
        <w:rPr>
          <w:rFonts w:hint="eastAsia" w:ascii="宋体" w:hAnsi="宋体" w:eastAsia="宋体" w:cs="宋体"/>
          <w:sz w:val="24"/>
          <w:szCs w:val="24"/>
        </w:rPr>
        <w:t>人的权利和义务相应延后至新的投标截止时间。</w:t>
      </w:r>
    </w:p>
    <w:p w14:paraId="33A06825">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电子</w:t>
      </w:r>
      <w:r>
        <w:rPr>
          <w:rFonts w:hint="eastAsia" w:ascii="宋体" w:hAnsi="宋体" w:eastAsia="宋体" w:cs="宋体"/>
          <w:b/>
          <w:bCs w:val="0"/>
          <w:color w:val="auto"/>
          <w:sz w:val="24"/>
          <w:szCs w:val="24"/>
          <w:highlight w:val="none"/>
          <w:lang w:eastAsia="zh-CN"/>
        </w:rPr>
        <w:t>响应文件</w:t>
      </w:r>
      <w:r>
        <w:rPr>
          <w:rFonts w:hint="eastAsia" w:ascii="宋体" w:hAnsi="宋体" w:eastAsia="宋体" w:cs="宋体"/>
          <w:b/>
          <w:bCs w:val="0"/>
          <w:color w:val="auto"/>
          <w:sz w:val="24"/>
          <w:szCs w:val="24"/>
          <w:highlight w:val="none"/>
        </w:rPr>
        <w:t>的</w:t>
      </w:r>
      <w:r>
        <w:rPr>
          <w:rFonts w:hint="eastAsia" w:ascii="宋体" w:hAnsi="宋体" w:eastAsia="宋体" w:cs="宋体"/>
          <w:b/>
          <w:bCs w:val="0"/>
          <w:color w:val="auto"/>
          <w:sz w:val="24"/>
          <w:szCs w:val="24"/>
          <w:highlight w:val="none"/>
          <w:lang w:eastAsia="zh-CN"/>
        </w:rPr>
        <w:t>补充、</w:t>
      </w:r>
      <w:r>
        <w:rPr>
          <w:rFonts w:hint="eastAsia" w:ascii="宋体" w:hAnsi="宋体" w:eastAsia="宋体" w:cs="宋体"/>
          <w:b/>
          <w:bCs w:val="0"/>
          <w:color w:val="auto"/>
          <w:sz w:val="24"/>
          <w:szCs w:val="24"/>
          <w:highlight w:val="none"/>
        </w:rPr>
        <w:t>修改与撤回</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6511CF5A">
      <w:pPr>
        <w:spacing w:line="360" w:lineRule="auto"/>
        <w:ind w:firstLine="480" w:firstLineChars="200"/>
        <w:rPr>
          <w:rFonts w:hint="eastAsia" w:ascii="宋体" w:hAnsi="宋体" w:eastAsia="宋体" w:cs="宋体"/>
          <w:sz w:val="24"/>
          <w:szCs w:val="24"/>
        </w:rPr>
      </w:pPr>
      <w:bookmarkStart w:id="317" w:name="_Toc270604601"/>
      <w:bookmarkStart w:id="318" w:name="_Toc5513"/>
      <w:r>
        <w:rPr>
          <w:rFonts w:hint="eastAsia" w:ascii="宋体" w:hAnsi="宋体" w:eastAsia="宋体" w:cs="宋体"/>
          <w:sz w:val="24"/>
          <w:szCs w:val="24"/>
        </w:rPr>
        <w:t>4.3.1</w:t>
      </w:r>
      <w:r>
        <w:rPr>
          <w:rFonts w:hint="eastAsia" w:ascii="宋体" w:hAnsi="宋体" w:eastAsia="宋体" w:cs="宋体"/>
          <w:sz w:val="24"/>
          <w:szCs w:val="24"/>
          <w:lang w:val="en-US" w:eastAsia="zh-CN"/>
        </w:rPr>
        <w:t>响应</w:t>
      </w:r>
      <w:r>
        <w:rPr>
          <w:rFonts w:hint="eastAsia" w:ascii="宋体" w:hAnsi="宋体" w:eastAsia="宋体" w:cs="宋体"/>
          <w:sz w:val="24"/>
          <w:szCs w:val="24"/>
        </w:rPr>
        <w:t>人可以修改或撤回已上传的电子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w:t>
      </w:r>
    </w:p>
    <w:p w14:paraId="798A09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4.3.2修改的内容为电子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文件的组成部分。</w:t>
      </w:r>
    </w:p>
    <w:p w14:paraId="298F6817">
      <w:pPr>
        <w:pStyle w:val="3"/>
        <w:numPr>
          <w:ilvl w:val="0"/>
          <w:numId w:val="4"/>
        </w:numPr>
        <w:bidi w:val="0"/>
        <w:rPr>
          <w:rStyle w:val="66"/>
          <w:rFonts w:hint="eastAsia" w:ascii="宋体" w:hAnsi="宋体" w:eastAsia="宋体" w:cs="宋体"/>
          <w:b/>
          <w:bCs/>
          <w:color w:val="auto"/>
          <w:sz w:val="24"/>
          <w:szCs w:val="24"/>
          <w:highlight w:val="none"/>
          <w:lang w:val="en-US" w:eastAsia="zh-CN"/>
        </w:rPr>
      </w:pPr>
      <w:r>
        <w:rPr>
          <w:rStyle w:val="66"/>
          <w:rFonts w:hint="eastAsia" w:ascii="宋体" w:hAnsi="宋体" w:eastAsia="宋体" w:cs="宋体"/>
          <w:b/>
          <w:bCs/>
          <w:color w:val="auto"/>
          <w:sz w:val="24"/>
          <w:szCs w:val="24"/>
          <w:highlight w:val="none"/>
          <w:lang w:val="en-US" w:eastAsia="zh-CN"/>
        </w:rPr>
        <w:t xml:space="preserve"> </w:t>
      </w:r>
      <w:bookmarkStart w:id="319" w:name="_Toc21670"/>
      <w:bookmarkStart w:id="320" w:name="_Toc5369"/>
      <w:bookmarkStart w:id="321" w:name="_Toc23282"/>
      <w:bookmarkStart w:id="322" w:name="_Toc9289"/>
      <w:bookmarkStart w:id="323" w:name="_Toc5800"/>
      <w:r>
        <w:rPr>
          <w:rStyle w:val="66"/>
          <w:rFonts w:hint="eastAsia" w:ascii="宋体" w:hAnsi="宋体" w:eastAsia="宋体" w:cs="宋体"/>
          <w:b/>
          <w:bCs/>
          <w:color w:val="auto"/>
          <w:sz w:val="24"/>
          <w:szCs w:val="24"/>
          <w:highlight w:val="none"/>
          <w:lang w:val="en-US" w:eastAsia="zh-CN"/>
        </w:rPr>
        <w:t>竞争性</w:t>
      </w:r>
      <w:bookmarkEnd w:id="317"/>
      <w:r>
        <w:rPr>
          <w:rStyle w:val="66"/>
          <w:rFonts w:hint="eastAsia" w:ascii="宋体" w:hAnsi="宋体" w:eastAsia="宋体" w:cs="宋体"/>
          <w:b/>
          <w:bCs/>
          <w:color w:val="auto"/>
          <w:sz w:val="24"/>
          <w:szCs w:val="24"/>
          <w:highlight w:val="none"/>
          <w:lang w:val="en-US" w:eastAsia="zh-CN"/>
        </w:rPr>
        <w:t>磋商</w:t>
      </w:r>
      <w:bookmarkEnd w:id="318"/>
      <w:bookmarkEnd w:id="319"/>
      <w:bookmarkEnd w:id="320"/>
      <w:bookmarkEnd w:id="321"/>
      <w:bookmarkEnd w:id="322"/>
      <w:bookmarkEnd w:id="323"/>
    </w:p>
    <w:p w14:paraId="1F684BEA">
      <w:pPr>
        <w:pStyle w:val="4"/>
        <w:numPr>
          <w:ilvl w:val="0"/>
          <w:numId w:val="0"/>
        </w:numPr>
        <w:spacing w:before="0" w:after="0" w:line="360" w:lineRule="auto"/>
        <w:ind w:leftChars="0"/>
        <w:jc w:val="left"/>
        <w:rPr>
          <w:rFonts w:hint="eastAsia" w:ascii="宋体" w:hAnsi="宋体" w:eastAsia="宋体" w:cs="宋体"/>
          <w:b/>
          <w:bCs w:val="0"/>
          <w:color w:val="auto"/>
          <w:sz w:val="24"/>
          <w:szCs w:val="24"/>
          <w:highlight w:val="none"/>
        </w:rPr>
      </w:pPr>
      <w:bookmarkStart w:id="324" w:name="_Toc16126"/>
      <w:r>
        <w:rPr>
          <w:rFonts w:hint="eastAsia" w:ascii="宋体" w:hAnsi="宋体" w:eastAsia="宋体" w:cs="宋体"/>
          <w:b/>
          <w:bCs w:val="0"/>
          <w:color w:val="auto"/>
          <w:sz w:val="24"/>
          <w:szCs w:val="24"/>
          <w:highlight w:val="none"/>
          <w:lang w:val="en-US" w:eastAsia="zh-CN"/>
        </w:rPr>
        <w:t>5.1</w:t>
      </w:r>
      <w:r>
        <w:rPr>
          <w:rFonts w:hint="eastAsia" w:ascii="宋体" w:hAnsi="宋体" w:eastAsia="宋体" w:cs="宋体"/>
          <w:b/>
          <w:bCs w:val="0"/>
          <w:color w:val="auto"/>
          <w:sz w:val="24"/>
          <w:szCs w:val="24"/>
          <w:highlight w:val="none"/>
          <w:lang w:eastAsia="zh-CN"/>
        </w:rPr>
        <w:t>开启</w:t>
      </w:r>
      <w:r>
        <w:rPr>
          <w:rFonts w:hint="eastAsia" w:ascii="宋体" w:hAnsi="宋体" w:eastAsia="宋体" w:cs="宋体"/>
          <w:b/>
          <w:bCs w:val="0"/>
          <w:color w:val="auto"/>
          <w:sz w:val="24"/>
          <w:szCs w:val="24"/>
          <w:highlight w:val="none"/>
        </w:rPr>
        <w:t>时间和地点</w:t>
      </w:r>
      <w:bookmarkEnd w:id="324"/>
    </w:p>
    <w:p w14:paraId="7745EF01">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采购人在本章第4.2.1项规定的</w:t>
      </w:r>
      <w:r>
        <w:rPr>
          <w:rFonts w:hint="eastAsia" w:ascii="宋体" w:hAnsi="宋体" w:eastAsia="宋体" w:cs="宋体"/>
          <w:color w:val="auto"/>
          <w:kern w:val="0"/>
          <w:sz w:val="24"/>
          <w:szCs w:val="24"/>
          <w:highlight w:val="none"/>
          <w:lang w:eastAsia="zh-CN"/>
        </w:rPr>
        <w:t>提交首次响应文件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kern w:val="0"/>
          <w:sz w:val="24"/>
          <w:szCs w:val="24"/>
          <w:highlight w:val="none"/>
          <w:lang w:eastAsia="zh-CN"/>
        </w:rPr>
        <w:t>开启</w:t>
      </w:r>
      <w:r>
        <w:rPr>
          <w:rFonts w:hint="eastAsia" w:ascii="宋体" w:hAnsi="宋体" w:eastAsia="宋体" w:cs="宋体"/>
          <w:color w:val="auto"/>
          <w:kern w:val="0"/>
          <w:sz w:val="24"/>
          <w:szCs w:val="24"/>
          <w:highlight w:val="none"/>
        </w:rPr>
        <w:t>时间</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通</w:t>
      </w:r>
      <w:r>
        <w:rPr>
          <w:rFonts w:hint="eastAsia" w:ascii="宋体" w:hAnsi="宋体" w:eastAsia="宋体" w:cs="宋体"/>
          <w:color w:val="auto"/>
          <w:spacing w:val="-2"/>
          <w:kern w:val="0"/>
          <w:sz w:val="24"/>
          <w:szCs w:val="24"/>
          <w:highlight w:val="none"/>
        </w:rPr>
        <w:t>过</w:t>
      </w:r>
      <w:r>
        <w:rPr>
          <w:rFonts w:hint="eastAsia" w:ascii="宋体" w:hAnsi="宋体" w:eastAsia="宋体" w:cs="宋体"/>
          <w:color w:val="auto"/>
          <w:kern w:val="0"/>
          <w:sz w:val="24"/>
          <w:szCs w:val="24"/>
          <w:highlight w:val="none"/>
        </w:rPr>
        <w:t>电</w:t>
      </w:r>
      <w:r>
        <w:rPr>
          <w:rFonts w:hint="eastAsia" w:ascii="宋体" w:hAnsi="宋体" w:eastAsia="宋体" w:cs="宋体"/>
          <w:color w:val="auto"/>
          <w:spacing w:val="-2"/>
          <w:kern w:val="0"/>
          <w:sz w:val="24"/>
          <w:szCs w:val="24"/>
          <w:highlight w:val="none"/>
        </w:rPr>
        <w:t>子</w:t>
      </w:r>
      <w:r>
        <w:rPr>
          <w:rFonts w:hint="eastAsia" w:ascii="宋体" w:hAnsi="宋体" w:eastAsia="宋体" w:cs="宋体"/>
          <w:color w:val="auto"/>
          <w:kern w:val="0"/>
          <w:sz w:val="24"/>
          <w:szCs w:val="24"/>
          <w:highlight w:val="none"/>
        </w:rPr>
        <w:t>招</w:t>
      </w:r>
      <w:r>
        <w:rPr>
          <w:rFonts w:hint="eastAsia" w:ascii="宋体" w:hAnsi="宋体" w:eastAsia="宋体" w:cs="宋体"/>
          <w:color w:val="auto"/>
          <w:spacing w:val="-2"/>
          <w:kern w:val="0"/>
          <w:sz w:val="24"/>
          <w:szCs w:val="24"/>
          <w:highlight w:val="none"/>
        </w:rPr>
        <w:t>标投</w:t>
      </w:r>
      <w:r>
        <w:rPr>
          <w:rFonts w:hint="eastAsia" w:ascii="宋体" w:hAnsi="宋体" w:eastAsia="宋体" w:cs="宋体"/>
          <w:color w:val="auto"/>
          <w:kern w:val="0"/>
          <w:sz w:val="24"/>
          <w:szCs w:val="24"/>
          <w:highlight w:val="none"/>
        </w:rPr>
        <w:t>标交</w:t>
      </w:r>
      <w:r>
        <w:rPr>
          <w:rFonts w:hint="eastAsia" w:ascii="宋体" w:hAnsi="宋体" w:eastAsia="宋体" w:cs="宋体"/>
          <w:color w:val="auto"/>
          <w:spacing w:val="-2"/>
          <w:kern w:val="0"/>
          <w:sz w:val="24"/>
          <w:szCs w:val="24"/>
          <w:highlight w:val="none"/>
        </w:rPr>
        <w:t>易</w:t>
      </w:r>
      <w:r>
        <w:rPr>
          <w:rFonts w:hint="eastAsia" w:ascii="宋体" w:hAnsi="宋体" w:eastAsia="宋体" w:cs="宋体"/>
          <w:color w:val="auto"/>
          <w:kern w:val="0"/>
          <w:sz w:val="24"/>
          <w:szCs w:val="24"/>
          <w:highlight w:val="none"/>
        </w:rPr>
        <w:t>平</w:t>
      </w:r>
      <w:r>
        <w:rPr>
          <w:rFonts w:hint="eastAsia" w:ascii="宋体" w:hAnsi="宋体" w:eastAsia="宋体" w:cs="宋体"/>
          <w:color w:val="auto"/>
          <w:spacing w:val="-2"/>
          <w:kern w:val="0"/>
          <w:sz w:val="24"/>
          <w:szCs w:val="24"/>
          <w:highlight w:val="none"/>
        </w:rPr>
        <w:t>台</w:t>
      </w:r>
      <w:r>
        <w:rPr>
          <w:rFonts w:hint="eastAsia" w:ascii="宋体" w:hAnsi="宋体" w:eastAsia="宋体" w:cs="宋体"/>
          <w:color w:val="auto"/>
          <w:kern w:val="0"/>
          <w:sz w:val="24"/>
          <w:szCs w:val="24"/>
          <w:highlight w:val="none"/>
        </w:rPr>
        <w:t>进行竞争性磋商。</w:t>
      </w:r>
    </w:p>
    <w:p w14:paraId="6F0CF089">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25" w:name="_Toc270604830"/>
      <w:bookmarkStart w:id="326" w:name="_Toc270604603"/>
      <w:bookmarkStart w:id="327" w:name="_Toc463011282"/>
      <w:bookmarkStart w:id="328" w:name="_Toc428276597"/>
      <w:bookmarkStart w:id="329" w:name="_Toc21367"/>
      <w:bookmarkStart w:id="330" w:name="_Toc269470325"/>
      <w:bookmarkStart w:id="331" w:name="_Toc428351657"/>
      <w:bookmarkStart w:id="332" w:name="_Toc277149392"/>
      <w:bookmarkStart w:id="333" w:name="_Toc454788037"/>
      <w:bookmarkStart w:id="334" w:name="_Toc14109"/>
      <w:bookmarkStart w:id="335" w:name="_Toc462934303"/>
      <w:bookmarkStart w:id="336" w:name="_Toc12033"/>
      <w:bookmarkStart w:id="337" w:name="_Toc455678129"/>
      <w:r>
        <w:rPr>
          <w:rFonts w:hint="eastAsia" w:ascii="宋体" w:hAnsi="宋体" w:eastAsia="宋体" w:cs="宋体"/>
          <w:b/>
          <w:bCs w:val="0"/>
          <w:color w:val="auto"/>
          <w:sz w:val="24"/>
          <w:szCs w:val="24"/>
          <w:highlight w:val="none"/>
          <w:lang w:eastAsia="zh-CN"/>
        </w:rPr>
        <w:t>磋商程序</w:t>
      </w:r>
      <w:bookmarkEnd w:id="325"/>
      <w:bookmarkEnd w:id="326"/>
      <w:bookmarkEnd w:id="327"/>
      <w:bookmarkEnd w:id="328"/>
      <w:bookmarkEnd w:id="329"/>
      <w:bookmarkEnd w:id="330"/>
      <w:bookmarkEnd w:id="331"/>
      <w:bookmarkEnd w:id="332"/>
      <w:bookmarkEnd w:id="333"/>
      <w:bookmarkEnd w:id="334"/>
      <w:bookmarkEnd w:id="335"/>
      <w:bookmarkEnd w:id="336"/>
      <w:bookmarkEnd w:id="337"/>
    </w:p>
    <w:p w14:paraId="0FC11BF3">
      <w:pPr>
        <w:spacing w:line="360" w:lineRule="auto"/>
        <w:ind w:firstLine="480" w:firstLineChars="200"/>
        <w:rPr>
          <w:rFonts w:hint="eastAsia" w:ascii="宋体" w:hAnsi="宋体" w:eastAsia="宋体" w:cs="宋体"/>
          <w:color w:val="000000"/>
          <w:sz w:val="24"/>
          <w:szCs w:val="24"/>
        </w:rPr>
      </w:pPr>
      <w:bookmarkStart w:id="338" w:name="_Toc462934304"/>
      <w:bookmarkStart w:id="339" w:name="_Toc463011283"/>
      <w:bookmarkStart w:id="340" w:name="_Toc31993"/>
      <w:bookmarkStart w:id="341" w:name="_Toc2705"/>
      <w:bookmarkStart w:id="342" w:name="_Toc455678130"/>
      <w:bookmarkStart w:id="343" w:name="_Toc8282"/>
      <w:bookmarkStart w:id="344" w:name="_Toc269470330"/>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本项目采用电子化、无纸化进行招标，开标当日，投标人无需到开标现场参加开标会议，投标人应当在投标截止时间前，登陆不见面开标大厅选择登陆电子化交易系统,在线准时参加开标活动并进行投标文件解密等。</w:t>
      </w:r>
    </w:p>
    <w:p w14:paraId="4D8E7F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.2电子化投标文件采用一次加密方式。开标时，由投标人使用CA 证书，在规定时间内对其电子化投标文件进行解密。每位投标人的解密时间为开标时间起30 分钟内，如在规定时间内未完成解密的，其投标文件不予开标、唱标。每位投标人的解密时间为开标时间起30分钟内完成。</w:t>
      </w:r>
    </w:p>
    <w:p w14:paraId="513A11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电子化投标文件解密异常的处理</w:t>
      </w:r>
    </w:p>
    <w:p w14:paraId="5F00F3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如出现投标人的电子投标文件无法解密等异常情况，投标人应及时致电中介服务机构说明。投标文件异常，按以下步骤进行处理：</w:t>
      </w:r>
    </w:p>
    <w:p w14:paraId="270393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（1）首先由技术人员进行问题排查。</w:t>
      </w:r>
    </w:p>
    <w:p w14:paraId="51BA5C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（2）经技术人员排查后，是投标人文件自身问题导致投标文件无法解密的，该投标文件将不予接收、解密和唱标。开标会议继续进行。</w:t>
      </w:r>
    </w:p>
    <w:p w14:paraId="5A1B56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3D4B76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待所有投标人投标文件解密完成后，由中介服务机构操作，对所有已解密投标文件进行唱标。投标人应保证在开标期间电话、电脑、网络能够正常工作，投标人因停电、电脑病毒、网络堵塞等原因，未在规定的解密时间内对投标文件进行解密的，其投标文件不予接收、唱标。</w:t>
      </w:r>
    </w:p>
    <w:p w14:paraId="27342B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开标时投标人可登录到交易系统中在开标大厅中点击开标一览表查看自己的投标报价。如对自己的唱标内容有异议的，应在唱标内容显示后10分钟内向中介服务机构电话质疑。中介服务机构应在监督人员的监督下进行免提通话接受投标人的质疑并做好书面记录。投标人未在规定时间内提出质疑的，视为认可唱标内容。</w:t>
      </w:r>
    </w:p>
    <w:p w14:paraId="454803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在投标文件开标过程中，若</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宣读的内容与投标文件不符，投标人有权在开标现场提出疑问，经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当场核查确认之后，可重新宣读其技标文件。若技标人现场未提出疑问，则认为投标人己确认</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宣读的内容。</w:t>
      </w:r>
    </w:p>
    <w:p w14:paraId="32E733AF">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lang w:eastAsia="zh-CN"/>
        </w:rPr>
        <w:t>磋商</w:t>
      </w:r>
      <w:bookmarkEnd w:id="338"/>
      <w:bookmarkEnd w:id="339"/>
      <w:bookmarkEnd w:id="340"/>
      <w:bookmarkEnd w:id="341"/>
      <w:bookmarkEnd w:id="342"/>
      <w:bookmarkEnd w:id="343"/>
    </w:p>
    <w:p w14:paraId="0E22ABC8">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磋商小组</w:t>
      </w:r>
    </w:p>
    <w:p w14:paraId="3BF47727">
      <w:pPr>
        <w:keepNext w:val="0"/>
        <w:keepLines w:val="0"/>
        <w:pageBreakBefore w:val="0"/>
        <w:widowControl w:val="0"/>
        <w:numPr>
          <w:ilvl w:val="0"/>
          <w:numId w:val="9"/>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磋商工作由磋商小组独立进行，磋商小组由采购人代表和评审专家共3人以上单数组成，其中评审专家人数不得少于磋商小组成员总数的2/3</w:t>
      </w:r>
      <w:r>
        <w:rPr>
          <w:rFonts w:hint="eastAsia" w:ascii="宋体" w:hAnsi="宋体" w:eastAsia="宋体" w:cs="宋体"/>
          <w:color w:val="auto"/>
          <w:sz w:val="24"/>
          <w:szCs w:val="24"/>
          <w:highlight w:val="none"/>
          <w:lang w:eastAsia="zh-CN"/>
        </w:rPr>
        <w:t>。</w:t>
      </w:r>
    </w:p>
    <w:p w14:paraId="18666274">
      <w:pPr>
        <w:keepNext w:val="0"/>
        <w:keepLines w:val="0"/>
        <w:pageBreakBefore w:val="0"/>
        <w:widowControl w:val="0"/>
        <w:numPr>
          <w:ilvl w:val="0"/>
          <w:numId w:val="9"/>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竞争性磋商方式的政府采购项目，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0BE08CA">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w:t>
      </w:r>
    </w:p>
    <w:p w14:paraId="7F07D2BD">
      <w:pPr>
        <w:keepNext w:val="0"/>
        <w:keepLines w:val="0"/>
        <w:pageBreakBefore w:val="0"/>
        <w:numPr>
          <w:ilvl w:val="0"/>
          <w:numId w:val="10"/>
        </w:numPr>
        <w:kinsoku/>
        <w:overflow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磋商小组成员应当按照客观、公正、审慎的原则，根据</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磋商文件</w:t>
      </w:r>
      <w:r>
        <w:rPr>
          <w:rFonts w:hint="eastAsia" w:ascii="宋体" w:hAnsi="宋体" w:eastAsia="宋体" w:cs="宋体"/>
          <w:color w:val="auto"/>
          <w:sz w:val="24"/>
          <w:szCs w:val="24"/>
          <w:highlight w:val="none"/>
          <w:lang w:eastAsia="zh-CN"/>
        </w:rPr>
        <w:t>第三章</w:t>
      </w:r>
      <w:r>
        <w:rPr>
          <w:rFonts w:hint="eastAsia" w:ascii="宋体" w:hAnsi="宋体" w:eastAsia="宋体" w:cs="宋体"/>
          <w:color w:val="auto"/>
          <w:sz w:val="24"/>
          <w:szCs w:val="24"/>
          <w:highlight w:val="none"/>
        </w:rPr>
        <w:t>规定的评审程序、评审方法和评审标准进行独立评审。未实质性响应磋商文件的响应文件按无效响应处理，磋商小组应当告知提交响应文件的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p>
    <w:p w14:paraId="220A58A9">
      <w:pPr>
        <w:pStyle w:val="43"/>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磋商文件内容违反国家有关强制性规定的，磋商小组应当停止评审并向采购人或者采购代理机构说明情况。</w:t>
      </w:r>
    </w:p>
    <w:p w14:paraId="4F5CA4C9">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345" w:name="_Toc90712538"/>
      <w:bookmarkStart w:id="346" w:name="_Toc109537522"/>
      <w:bookmarkStart w:id="347" w:name="_Toc109550798"/>
      <w:bookmarkStart w:id="348" w:name="_Toc90713357"/>
      <w:r>
        <w:rPr>
          <w:rFonts w:hint="eastAsia" w:ascii="宋体" w:hAnsi="宋体" w:eastAsia="宋体" w:cs="宋体"/>
          <w:color w:val="auto"/>
          <w:sz w:val="24"/>
          <w:szCs w:val="24"/>
          <w:highlight w:val="none"/>
          <w:lang w:eastAsia="zh-CN"/>
        </w:rPr>
        <w:t>评审报告</w:t>
      </w:r>
    </w:p>
    <w:p w14:paraId="5B07F386">
      <w:pPr>
        <w:snapToGrid w:val="0"/>
        <w:spacing w:line="360" w:lineRule="auto"/>
        <w:ind w:firstLine="480" w:firstLineChars="200"/>
        <w:contextualSpacing/>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磋商小组应当根据评审记录和评审结果编写评审报告</w:t>
      </w:r>
      <w:r>
        <w:rPr>
          <w:rFonts w:hint="eastAsia" w:ascii="宋体" w:hAnsi="宋体" w:eastAsia="宋体" w:cs="宋体"/>
          <w:color w:val="auto"/>
          <w:sz w:val="24"/>
          <w:szCs w:val="24"/>
          <w:highlight w:val="none"/>
          <w:lang w:eastAsia="zh-CN"/>
        </w:rPr>
        <w:t>。</w:t>
      </w:r>
    </w:p>
    <w:p w14:paraId="5A8543DE">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FFC8003">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评审完成后，磋商小组应当向采购人提交书面评审报告和成交候选人名单。磋商小组推荐成交候选人的人数见供应商须知前附表。</w:t>
      </w:r>
    </w:p>
    <w:p w14:paraId="4A560405">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49" w:name="_Toc422126473"/>
      <w:bookmarkStart w:id="350" w:name="_Toc21137"/>
      <w:bookmarkStart w:id="351" w:name="_Toc26984"/>
      <w:bookmarkStart w:id="352" w:name="_Toc454788039"/>
      <w:bookmarkStart w:id="353" w:name="_Toc455678131"/>
      <w:bookmarkStart w:id="354" w:name="_Toc462934305"/>
      <w:bookmarkStart w:id="355" w:name="_Toc428351659"/>
      <w:bookmarkStart w:id="356" w:name="_Toc428276599"/>
      <w:bookmarkStart w:id="357" w:name="_Toc19623"/>
      <w:bookmarkStart w:id="358" w:name="_Toc463011284"/>
      <w:r>
        <w:rPr>
          <w:rFonts w:hint="eastAsia" w:ascii="宋体" w:hAnsi="宋体" w:eastAsia="宋体" w:cs="宋体"/>
          <w:b/>
          <w:bCs w:val="0"/>
          <w:color w:val="auto"/>
          <w:sz w:val="24"/>
          <w:szCs w:val="24"/>
          <w:highlight w:val="none"/>
          <w:lang w:eastAsia="zh-CN"/>
        </w:rPr>
        <w:t>磋商过程的保密性</w:t>
      </w:r>
      <w:bookmarkEnd w:id="349"/>
      <w:bookmarkEnd w:id="350"/>
      <w:bookmarkEnd w:id="351"/>
      <w:bookmarkEnd w:id="352"/>
      <w:bookmarkEnd w:id="353"/>
      <w:bookmarkEnd w:id="354"/>
      <w:bookmarkEnd w:id="355"/>
      <w:bookmarkEnd w:id="356"/>
      <w:bookmarkEnd w:id="357"/>
      <w:bookmarkEnd w:id="358"/>
    </w:p>
    <w:p w14:paraId="1858DA90">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磋商期间，直到授予成交人合同止，凡是与响应文件审查、澄清、评价、比较以及推荐成交人等方面的情况，均不得向供应商或其他无关的人员透露。</w:t>
      </w:r>
    </w:p>
    <w:p w14:paraId="3FE0BAC7">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在磋商过程中，供应商如向磋商小组成员施加任何影响，都将会导致其磋商被拒绝，政府采购监管部门将记录其不良行为。</w:t>
      </w:r>
    </w:p>
    <w:p w14:paraId="70FF0537">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59" w:name="_Toc455678132"/>
      <w:bookmarkStart w:id="360" w:name="_Toc462934306"/>
      <w:bookmarkStart w:id="361" w:name="_Toc463011285"/>
      <w:bookmarkStart w:id="362" w:name="_Toc13834"/>
      <w:bookmarkStart w:id="363" w:name="_Toc21281"/>
      <w:bookmarkStart w:id="364" w:name="_Toc5212"/>
      <w:r>
        <w:rPr>
          <w:rFonts w:hint="eastAsia" w:ascii="宋体" w:hAnsi="宋体" w:eastAsia="宋体" w:cs="宋体"/>
          <w:b/>
          <w:bCs w:val="0"/>
          <w:color w:val="auto"/>
          <w:sz w:val="24"/>
          <w:szCs w:val="24"/>
          <w:highlight w:val="none"/>
          <w:lang w:eastAsia="zh-CN"/>
        </w:rPr>
        <w:t>终止竞争性磋商采购活动</w:t>
      </w:r>
      <w:bookmarkEnd w:id="359"/>
      <w:bookmarkEnd w:id="360"/>
      <w:bookmarkEnd w:id="361"/>
      <w:bookmarkEnd w:id="362"/>
      <w:bookmarkEnd w:id="363"/>
      <w:bookmarkEnd w:id="364"/>
    </w:p>
    <w:p w14:paraId="24E1A9F8">
      <w:pPr>
        <w:pStyle w:val="12"/>
        <w:keepNext w:val="0"/>
        <w:keepLines w:val="0"/>
        <w:pageBreakBefore w:val="0"/>
        <w:widowControl w:val="0"/>
        <w:numPr>
          <w:ilvl w:val="0"/>
          <w:numId w:val="0"/>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出现下列情形之一的，采购人或者采购代理机构应当终止竞争性磋商采购活动，发布项目终止公告并说明原因，重新开展采购活动：</w:t>
      </w:r>
    </w:p>
    <w:p w14:paraId="70C894B0">
      <w:pPr>
        <w:keepNext w:val="0"/>
        <w:keepLines w:val="0"/>
        <w:pageBreakBefore w:val="0"/>
        <w:widowControl w:val="0"/>
        <w:numPr>
          <w:ilvl w:val="0"/>
          <w:numId w:val="11"/>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因情况变化，不再符合规定的竞争性磋商采购方式适用情形的；</w:t>
      </w:r>
    </w:p>
    <w:p w14:paraId="167C153D">
      <w:pPr>
        <w:keepNext w:val="0"/>
        <w:keepLines w:val="0"/>
        <w:pageBreakBefore w:val="0"/>
        <w:widowControl w:val="0"/>
        <w:numPr>
          <w:ilvl w:val="0"/>
          <w:numId w:val="11"/>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出现影响采购公正的违法、违规行为的；</w:t>
      </w:r>
    </w:p>
    <w:p w14:paraId="30DA8A8C">
      <w:pPr>
        <w:keepNext w:val="0"/>
        <w:keepLines w:val="0"/>
        <w:pageBreakBefore w:val="0"/>
        <w:widowControl w:val="0"/>
        <w:numPr>
          <w:ilvl w:val="0"/>
          <w:numId w:val="11"/>
        </w:numPr>
        <w:kinsoku/>
        <w:wordWrap w:val="0"/>
        <w:overflowPunct/>
        <w:topLinePunct/>
        <w:autoSpaceDE/>
        <w:autoSpaceDN/>
        <w:bidi w:val="0"/>
        <w:adjustRightInd/>
        <w:snapToGrid w:val="0"/>
        <w:spacing w:line="360" w:lineRule="auto"/>
        <w:ind w:left="0" w:leftChars="0" w:firstLine="480" w:firstLineChars="200"/>
        <w:contextualSpacing/>
        <w:textAlignment w:val="auto"/>
        <w:outlineLvl w:val="9"/>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在采购过程中符合要求的</w:t>
      </w:r>
      <w:r>
        <w:rPr>
          <w:rFonts w:hint="eastAsia" w:ascii="宋体" w:hAnsi="宋体" w:eastAsia="宋体" w:cs="宋体"/>
          <w:b w:val="0"/>
          <w:bCs w:val="0"/>
          <w:color w:val="000000"/>
          <w:sz w:val="24"/>
          <w:szCs w:val="24"/>
          <w:highlight w:val="none"/>
          <w:lang w:eastAsia="zh-CN"/>
        </w:rPr>
        <w:t>供应商</w:t>
      </w:r>
      <w:r>
        <w:rPr>
          <w:rFonts w:hint="eastAsia" w:ascii="宋体" w:hAnsi="宋体" w:eastAsia="宋体" w:cs="宋体"/>
          <w:b w:val="0"/>
          <w:bCs w:val="0"/>
          <w:color w:val="000000"/>
          <w:sz w:val="24"/>
          <w:szCs w:val="24"/>
          <w:highlight w:val="none"/>
        </w:rPr>
        <w:t>或者报价未超过采购预算的</w:t>
      </w:r>
      <w:r>
        <w:rPr>
          <w:rFonts w:hint="eastAsia" w:ascii="宋体" w:hAnsi="宋体" w:eastAsia="宋体" w:cs="宋体"/>
          <w:b w:val="0"/>
          <w:bCs w:val="0"/>
          <w:color w:val="000000"/>
          <w:sz w:val="24"/>
          <w:szCs w:val="24"/>
          <w:highlight w:val="none"/>
          <w:lang w:eastAsia="zh-CN"/>
        </w:rPr>
        <w:t>供应商</w:t>
      </w:r>
      <w:r>
        <w:rPr>
          <w:rFonts w:hint="eastAsia" w:ascii="宋体" w:hAnsi="宋体" w:eastAsia="宋体" w:cs="宋体"/>
          <w:b w:val="0"/>
          <w:bCs w:val="0"/>
          <w:color w:val="000000"/>
          <w:sz w:val="24"/>
          <w:szCs w:val="24"/>
          <w:highlight w:val="none"/>
        </w:rPr>
        <w:t>不足3家的。</w:t>
      </w:r>
    </w:p>
    <w:bookmarkEnd w:id="345"/>
    <w:bookmarkEnd w:id="346"/>
    <w:bookmarkEnd w:id="347"/>
    <w:bookmarkEnd w:id="348"/>
    <w:p w14:paraId="51FF8BDB">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65" w:name="_Toc463011286"/>
      <w:bookmarkStart w:id="366" w:name="_Toc428351660"/>
      <w:bookmarkStart w:id="367" w:name="_Toc462934307"/>
      <w:bookmarkStart w:id="368" w:name="_Toc428276600"/>
      <w:bookmarkStart w:id="369" w:name="_Toc454788040"/>
      <w:bookmarkStart w:id="370" w:name="_Toc12985"/>
      <w:bookmarkStart w:id="371" w:name="_Toc31756"/>
      <w:bookmarkStart w:id="372" w:name="_Toc455678133"/>
      <w:bookmarkStart w:id="373" w:name="_Toc7308"/>
      <w:r>
        <w:rPr>
          <w:rFonts w:hint="eastAsia" w:ascii="宋体" w:hAnsi="宋体" w:eastAsia="宋体" w:cs="宋体"/>
          <w:b/>
          <w:bCs w:val="0"/>
          <w:color w:val="auto"/>
          <w:sz w:val="24"/>
          <w:szCs w:val="24"/>
          <w:highlight w:val="none"/>
          <w:lang w:eastAsia="zh-CN"/>
        </w:rPr>
        <w:t>确定成交人</w:t>
      </w:r>
      <w:bookmarkEnd w:id="365"/>
      <w:bookmarkEnd w:id="366"/>
      <w:bookmarkEnd w:id="367"/>
      <w:bookmarkEnd w:id="368"/>
      <w:bookmarkEnd w:id="369"/>
      <w:bookmarkEnd w:id="370"/>
      <w:bookmarkEnd w:id="371"/>
      <w:bookmarkEnd w:id="372"/>
      <w:bookmarkEnd w:id="373"/>
    </w:p>
    <w:p w14:paraId="0DD9D445">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应当自评审结束之日起2个工作日内将评审报告送交采购人。采购人应当自收到评审报告之日起5个工作日内在评审报告推荐的成交候选人中按顺序确定成交人。成交候选人并列的，由采购人采取随机抽取的方式确定成交人。</w:t>
      </w:r>
    </w:p>
    <w:p w14:paraId="2941D0B3">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采购人也可以书面授权磋商小组直接确定成交人。磋商小组直接确定成交人的应在竞争性磋商文件中写明。</w:t>
      </w:r>
    </w:p>
    <w:p w14:paraId="3D7DE720">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74" w:name="_Toc428276601"/>
      <w:bookmarkStart w:id="375" w:name="_Toc455678134"/>
      <w:bookmarkStart w:id="376" w:name="_Toc428351661"/>
      <w:bookmarkStart w:id="377" w:name="_Toc422126474"/>
      <w:bookmarkStart w:id="378" w:name="_Toc454788041"/>
      <w:bookmarkStart w:id="379" w:name="_Toc463011287"/>
      <w:bookmarkStart w:id="380" w:name="_Toc15190"/>
      <w:bookmarkStart w:id="381" w:name="_Toc16692"/>
      <w:bookmarkStart w:id="382" w:name="_Toc2677"/>
      <w:bookmarkStart w:id="383" w:name="_Toc462934308"/>
      <w:r>
        <w:rPr>
          <w:rFonts w:hint="eastAsia" w:ascii="宋体" w:hAnsi="宋体" w:eastAsia="宋体" w:cs="宋体"/>
          <w:b/>
          <w:bCs w:val="0"/>
          <w:color w:val="auto"/>
          <w:sz w:val="24"/>
          <w:szCs w:val="24"/>
          <w:highlight w:val="none"/>
          <w:lang w:eastAsia="zh-CN"/>
        </w:rPr>
        <w:t>成交结果</w:t>
      </w:r>
      <w:bookmarkEnd w:id="374"/>
      <w:bookmarkEnd w:id="375"/>
      <w:bookmarkEnd w:id="376"/>
      <w:bookmarkEnd w:id="377"/>
      <w:bookmarkEnd w:id="378"/>
      <w:r>
        <w:rPr>
          <w:rFonts w:hint="eastAsia" w:ascii="宋体" w:hAnsi="宋体" w:eastAsia="宋体" w:cs="宋体"/>
          <w:b/>
          <w:bCs w:val="0"/>
          <w:color w:val="auto"/>
          <w:sz w:val="24"/>
          <w:szCs w:val="24"/>
          <w:highlight w:val="none"/>
          <w:lang w:eastAsia="zh-CN"/>
        </w:rPr>
        <w:t>公告</w:t>
      </w:r>
      <w:bookmarkEnd w:id="379"/>
      <w:bookmarkEnd w:id="380"/>
      <w:bookmarkEnd w:id="381"/>
      <w:bookmarkEnd w:id="382"/>
      <w:bookmarkEnd w:id="383"/>
    </w:p>
    <w:p w14:paraId="241AD293">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采购人或者采购代理机构自成交人确定之日起2个工作日内，</w:t>
      </w:r>
      <w:r>
        <w:rPr>
          <w:rFonts w:hint="eastAsia" w:ascii="宋体" w:hAnsi="宋体" w:eastAsia="宋体" w:cs="宋体"/>
          <w:color w:val="auto"/>
          <w:sz w:val="24"/>
          <w:szCs w:val="24"/>
          <w:highlight w:val="none"/>
          <w:lang w:eastAsia="zh-CN"/>
        </w:rPr>
        <w:t>在公告发布的同一媒介上公告成交结果，同时向成交人发出成交通知书，并将竞争性磋商文件随成交结果同时公告，公告期限1个工作日。</w:t>
      </w:r>
    </w:p>
    <w:p w14:paraId="1AB048F2">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sz w:val="24"/>
          <w:szCs w:val="24"/>
          <w:highlight w:val="none"/>
          <w:lang w:eastAsia="zh-CN"/>
        </w:rPr>
      </w:pPr>
      <w:bookmarkStart w:id="384" w:name="_Toc270604607"/>
      <w:r>
        <w:rPr>
          <w:rFonts w:hint="eastAsia" w:ascii="宋体" w:hAnsi="宋体" w:eastAsia="宋体" w:cs="宋体"/>
          <w:color w:val="auto"/>
          <w:sz w:val="24"/>
          <w:szCs w:val="24"/>
          <w:highlight w:val="none"/>
          <w:lang w:val="en-US" w:eastAsia="zh-CN"/>
        </w:rPr>
        <w:t>成交结果公告内容包括</w:t>
      </w:r>
      <w:bookmarkEnd w:id="344"/>
      <w:bookmarkEnd w:id="384"/>
      <w:r>
        <w:rPr>
          <w:rFonts w:hint="eastAsia" w:ascii="宋体" w:hAnsi="宋体" w:eastAsia="宋体" w:cs="宋体"/>
          <w:color w:val="auto"/>
          <w:sz w:val="24"/>
          <w:szCs w:val="24"/>
          <w:highlight w:val="none"/>
          <w:lang w:val="en-US" w:eastAsia="zh-CN"/>
        </w:rPr>
        <w:t>采购人和采购代理机构的名称、地址和联系方式、项目名称和项目编号、成交人名称、地址和成交金额、主要成交标的的名称、规格型号、数量、单价、服务要求、磋商小组成员名单。</w:t>
      </w:r>
    </w:p>
    <w:p w14:paraId="78681150">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000000"/>
          <w:sz w:val="24"/>
          <w:szCs w:val="24"/>
          <w:highlight w:val="none"/>
          <w:lang w:eastAsia="zh-CN"/>
        </w:rPr>
        <w:t>成交人</w:t>
      </w:r>
      <w:r>
        <w:rPr>
          <w:rFonts w:hint="eastAsia" w:ascii="宋体" w:hAnsi="宋体" w:eastAsia="宋体" w:cs="宋体"/>
          <w:color w:val="000000"/>
          <w:sz w:val="24"/>
          <w:szCs w:val="24"/>
          <w:highlight w:val="none"/>
        </w:rPr>
        <w:t>为残疾人福利性单位的，采购代理机构将随</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结果同时公告其《残疾人福利性单位声明函》，接受社会监督。</w:t>
      </w:r>
      <w:r>
        <w:rPr>
          <w:rFonts w:hint="eastAsia" w:ascii="宋体" w:hAnsi="宋体" w:eastAsia="宋体" w:cs="宋体"/>
          <w:color w:val="auto"/>
          <w:sz w:val="24"/>
          <w:szCs w:val="24"/>
          <w:highlight w:val="none"/>
          <w:lang w:val="en-US" w:eastAsia="zh-CN"/>
        </w:rPr>
        <w:t>成交供应商享受《政府采购促进中小企业发展管理办法》规定的中小企业扶持政策的，采购人、采购代理机构应当随成交结果公开成交供应商的《中小企业声明函》。</w:t>
      </w:r>
    </w:p>
    <w:p w14:paraId="7E03292D">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385" w:name="_Toc463011289"/>
      <w:bookmarkStart w:id="386" w:name="_Toc455678136"/>
      <w:bookmarkStart w:id="387" w:name="_Toc18026"/>
      <w:bookmarkStart w:id="388" w:name="_Toc4900"/>
      <w:bookmarkStart w:id="389" w:name="_Toc462934310"/>
      <w:bookmarkStart w:id="390" w:name="_Toc11152"/>
      <w:r>
        <w:rPr>
          <w:rFonts w:hint="eastAsia" w:ascii="宋体" w:hAnsi="宋体" w:eastAsia="宋体" w:cs="宋体"/>
          <w:b/>
          <w:bCs w:val="0"/>
          <w:color w:val="auto"/>
          <w:sz w:val="24"/>
          <w:szCs w:val="24"/>
          <w:highlight w:val="none"/>
          <w:lang w:eastAsia="zh-CN"/>
        </w:rPr>
        <w:t>成交通知书</w:t>
      </w:r>
      <w:bookmarkEnd w:id="385"/>
      <w:bookmarkEnd w:id="386"/>
      <w:bookmarkEnd w:id="387"/>
      <w:bookmarkEnd w:id="388"/>
      <w:bookmarkEnd w:id="389"/>
      <w:bookmarkEnd w:id="390"/>
      <w:bookmarkStart w:id="391" w:name="_Toc11018"/>
      <w:bookmarkStart w:id="392" w:name="_Toc462934311"/>
      <w:bookmarkStart w:id="393" w:name="_Toc463011290"/>
      <w:bookmarkStart w:id="394" w:name="_Toc23963"/>
      <w:bookmarkStart w:id="395" w:name="_Toc455678137"/>
      <w:bookmarkStart w:id="396" w:name="_Toc269470335"/>
    </w:p>
    <w:bookmarkEnd w:id="391"/>
    <w:bookmarkEnd w:id="392"/>
    <w:bookmarkEnd w:id="393"/>
    <w:bookmarkEnd w:id="394"/>
    <w:bookmarkEnd w:id="395"/>
    <w:p w14:paraId="088DEA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397" w:name="_Toc463011292"/>
      <w:bookmarkStart w:id="398" w:name="_Toc720"/>
      <w:bookmarkStart w:id="399" w:name="_Toc462934313"/>
      <w:bookmarkStart w:id="400" w:name="_Toc10798"/>
      <w:bookmarkStart w:id="401" w:name="_Toc455678139"/>
      <w:r>
        <w:rPr>
          <w:rFonts w:hint="eastAsia" w:ascii="宋体" w:hAnsi="宋体" w:eastAsia="宋体" w:cs="宋体"/>
          <w:color w:val="auto"/>
          <w:sz w:val="24"/>
          <w:szCs w:val="24"/>
          <w:highlight w:val="none"/>
        </w:rPr>
        <w:t>在公告</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结果的同时，采购人或者采购代理机构向</w:t>
      </w:r>
      <w:r>
        <w:rPr>
          <w:rFonts w:hint="eastAsia" w:ascii="宋体" w:hAnsi="宋体" w:eastAsia="宋体" w:cs="宋体"/>
          <w:color w:val="auto"/>
          <w:sz w:val="24"/>
          <w:szCs w:val="24"/>
          <w:highlight w:val="none"/>
          <w:lang w:eastAsia="zh-CN"/>
        </w:rPr>
        <w:t>成交人</w:t>
      </w:r>
      <w:r>
        <w:rPr>
          <w:rFonts w:hint="eastAsia" w:ascii="宋体" w:hAnsi="宋体" w:eastAsia="宋体" w:cs="宋体"/>
          <w:color w:val="auto"/>
          <w:sz w:val="24"/>
          <w:szCs w:val="24"/>
          <w:highlight w:val="none"/>
        </w:rPr>
        <w:t>发出</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通知书将作为进行合同</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和签订合同的依据。</w:t>
      </w:r>
    </w:p>
    <w:p w14:paraId="49028D42">
      <w:pPr>
        <w:pStyle w:val="4"/>
        <w:numPr>
          <w:ilvl w:val="1"/>
          <w:numId w:val="4"/>
        </w:numPr>
        <w:spacing w:before="0" w:after="0" w:line="360" w:lineRule="auto"/>
        <w:ind w:leftChars="0"/>
        <w:jc w:val="left"/>
        <w:rPr>
          <w:rFonts w:hint="eastAsia" w:ascii="宋体" w:hAnsi="宋体" w:eastAsia="宋体" w:cs="宋体"/>
          <w:b/>
          <w:bCs w:val="0"/>
          <w:color w:val="auto"/>
          <w:sz w:val="24"/>
          <w:szCs w:val="24"/>
          <w:highlight w:val="none"/>
          <w:lang w:eastAsia="zh-CN"/>
        </w:rPr>
      </w:pPr>
      <w:bookmarkStart w:id="402" w:name="_Toc17481"/>
      <w:r>
        <w:rPr>
          <w:rFonts w:hint="eastAsia" w:ascii="宋体" w:hAnsi="宋体" w:eastAsia="宋体" w:cs="宋体"/>
          <w:b/>
          <w:bCs w:val="0"/>
          <w:color w:val="auto"/>
          <w:sz w:val="24"/>
          <w:szCs w:val="24"/>
          <w:highlight w:val="none"/>
          <w:lang w:eastAsia="zh-CN"/>
        </w:rPr>
        <w:t>履约保证金</w:t>
      </w:r>
      <w:bookmarkEnd w:id="397"/>
      <w:bookmarkEnd w:id="398"/>
      <w:bookmarkEnd w:id="399"/>
      <w:bookmarkEnd w:id="400"/>
      <w:bookmarkEnd w:id="401"/>
      <w:bookmarkEnd w:id="402"/>
    </w:p>
    <w:p w14:paraId="2878E8A0">
      <w:pPr>
        <w:rPr>
          <w:rFonts w:hint="eastAsia" w:ascii="宋体" w:hAnsi="宋体" w:eastAsia="宋体" w:cs="宋体"/>
          <w:sz w:val="24"/>
          <w:szCs w:val="24"/>
          <w:lang w:val="en-US" w:eastAsia="zh-CN"/>
        </w:rPr>
      </w:pP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 xml:space="preserve"> 不要求</w:t>
      </w:r>
    </w:p>
    <w:p w14:paraId="47E8A9CA">
      <w:pPr>
        <w:pStyle w:val="3"/>
        <w:numPr>
          <w:ilvl w:val="0"/>
          <w:numId w:val="4"/>
        </w:numPr>
        <w:bidi w:val="0"/>
        <w:rPr>
          <w:rFonts w:hint="eastAsia" w:ascii="宋体" w:hAnsi="宋体" w:eastAsia="宋体" w:cs="宋体"/>
          <w:b w:val="0"/>
          <w:bCs/>
          <w:color w:val="auto"/>
          <w:sz w:val="24"/>
          <w:szCs w:val="24"/>
          <w:highlight w:val="none"/>
          <w:lang w:val="en-US" w:eastAsia="zh-CN"/>
        </w:rPr>
      </w:pPr>
      <w:r>
        <w:rPr>
          <w:rStyle w:val="66"/>
          <w:rFonts w:hint="eastAsia" w:ascii="宋体" w:hAnsi="宋体" w:eastAsia="宋体" w:cs="宋体"/>
          <w:b/>
          <w:bCs/>
          <w:color w:val="auto"/>
          <w:sz w:val="24"/>
          <w:szCs w:val="24"/>
          <w:highlight w:val="none"/>
          <w:lang w:val="en-US" w:eastAsia="zh-CN"/>
        </w:rPr>
        <w:t xml:space="preserve"> </w:t>
      </w:r>
      <w:bookmarkStart w:id="403" w:name="_Toc23149"/>
      <w:bookmarkStart w:id="404" w:name="_Toc26271"/>
      <w:bookmarkStart w:id="405" w:name="_Toc22875"/>
      <w:bookmarkStart w:id="406" w:name="_Toc25418"/>
      <w:bookmarkStart w:id="407" w:name="_Toc11721"/>
      <w:r>
        <w:rPr>
          <w:rStyle w:val="66"/>
          <w:rFonts w:hint="eastAsia" w:ascii="宋体" w:hAnsi="宋体" w:eastAsia="宋体" w:cs="宋体"/>
          <w:b/>
          <w:bCs/>
          <w:color w:val="auto"/>
          <w:sz w:val="24"/>
          <w:szCs w:val="24"/>
          <w:highlight w:val="none"/>
          <w:lang w:val="en-US" w:eastAsia="zh-CN"/>
        </w:rPr>
        <w:t>授予合同</w:t>
      </w:r>
      <w:bookmarkEnd w:id="403"/>
      <w:bookmarkEnd w:id="404"/>
      <w:bookmarkEnd w:id="405"/>
      <w:bookmarkEnd w:id="406"/>
      <w:bookmarkEnd w:id="407"/>
      <w:bookmarkStart w:id="408" w:name="_Toc32765"/>
    </w:p>
    <w:p w14:paraId="6D603C77">
      <w:pPr>
        <w:pStyle w:val="22"/>
        <w:keepNext w:val="0"/>
        <w:keepLines w:val="0"/>
        <w:pageBreakBefore w:val="0"/>
        <w:widowControl w:val="0"/>
        <w:numPr>
          <w:ilvl w:val="1"/>
          <w:numId w:val="4"/>
        </w:numPr>
        <w:tabs>
          <w:tab w:val="left" w:pos="360"/>
        </w:tabs>
        <w:kinsoku/>
        <w:wordWrap/>
        <w:overflowPunct/>
        <w:topLinePunct w:val="0"/>
        <w:autoSpaceDE w:val="0"/>
        <w:autoSpaceDN w:val="0"/>
        <w:bidi w:val="0"/>
        <w:adjustRightInd w:val="0"/>
        <w:snapToGrid w:val="0"/>
        <w:spacing w:line="360" w:lineRule="auto"/>
        <w:ind w:left="0" w:leftChars="0"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09" w:name="_Toc8361"/>
      <w:bookmarkStart w:id="410" w:name="_Toc5672"/>
      <w:bookmarkStart w:id="411" w:name="_Toc18545"/>
      <w:bookmarkStart w:id="412" w:name="_Toc7181"/>
      <w:bookmarkStart w:id="413" w:name="_Toc2529"/>
      <w:bookmarkStart w:id="414" w:name="_Toc25440"/>
      <w:bookmarkStart w:id="415" w:name="_Toc26749"/>
      <w:bookmarkStart w:id="416" w:name="_Toc23841"/>
      <w:r>
        <w:rPr>
          <w:rFonts w:hint="eastAsia" w:ascii="宋体" w:hAnsi="宋体" w:eastAsia="宋体" w:cs="宋体"/>
          <w:color w:val="auto"/>
          <w:sz w:val="24"/>
          <w:szCs w:val="24"/>
          <w:highlight w:val="none"/>
        </w:rPr>
        <w:t>按《三门峡市财政局关于市本级政府采购合同备案管理工作的通知》（三财购[2021]9号）文要求，集中采购目录以外政府采购项目，原则上自中标通知书发出之日起2个工作日内与中标（成交）供应商按照采购文件确定的事项与供应商签订政府采购合同。所签订的合同不得对竞争性磋商文件确定的事项和成交人响应文件作实质性修改</w:t>
      </w:r>
      <w:r>
        <w:rPr>
          <w:rFonts w:hint="eastAsia" w:ascii="宋体" w:hAnsi="宋体" w:eastAsia="宋体" w:cs="宋体"/>
          <w:b w:val="0"/>
          <w:bCs/>
          <w:color w:val="auto"/>
          <w:sz w:val="24"/>
          <w:szCs w:val="24"/>
          <w:highlight w:val="none"/>
          <w:lang w:val="en-US" w:eastAsia="zh-CN"/>
        </w:rPr>
        <w:t>。</w:t>
      </w:r>
      <w:bookmarkEnd w:id="408"/>
      <w:bookmarkEnd w:id="409"/>
      <w:bookmarkEnd w:id="410"/>
      <w:bookmarkEnd w:id="411"/>
      <w:bookmarkEnd w:id="412"/>
      <w:bookmarkEnd w:id="413"/>
      <w:bookmarkEnd w:id="414"/>
      <w:bookmarkEnd w:id="415"/>
      <w:bookmarkEnd w:id="416"/>
      <w:bookmarkStart w:id="417" w:name="_Toc26954"/>
    </w:p>
    <w:bookmarkEnd w:id="417"/>
    <w:p w14:paraId="189AF205">
      <w:pPr>
        <w:pStyle w:val="22"/>
        <w:keepNext w:val="0"/>
        <w:keepLines w:val="0"/>
        <w:pageBreakBefore w:val="0"/>
        <w:widowControl w:val="0"/>
        <w:numPr>
          <w:ilvl w:val="1"/>
          <w:numId w:val="4"/>
        </w:numPr>
        <w:tabs>
          <w:tab w:val="left" w:pos="360"/>
        </w:tabs>
        <w:kinsoku/>
        <w:wordWrap/>
        <w:overflowPunct/>
        <w:topLinePunct w:val="0"/>
        <w:autoSpaceDE w:val="0"/>
        <w:autoSpaceDN w:val="0"/>
        <w:bidi w:val="0"/>
        <w:adjustRightInd w:val="0"/>
        <w:snapToGrid w:val="0"/>
        <w:spacing w:line="360" w:lineRule="auto"/>
        <w:ind w:left="0" w:leftChars="0"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18" w:name="_Toc12682"/>
      <w:bookmarkStart w:id="419" w:name="_Toc7918"/>
      <w:bookmarkStart w:id="420" w:name="_Toc10652"/>
      <w:bookmarkStart w:id="421" w:name="_Toc16638"/>
      <w:bookmarkStart w:id="422" w:name="_Toc14039"/>
      <w:bookmarkStart w:id="423" w:name="_Toc18452"/>
      <w:bookmarkStart w:id="424" w:name="_Toc21772"/>
      <w:bookmarkStart w:id="425" w:name="_Toc12834"/>
      <w:bookmarkStart w:id="426" w:name="_Toc22707"/>
      <w:r>
        <w:rPr>
          <w:rFonts w:hint="eastAsia" w:ascii="宋体" w:hAnsi="宋体" w:eastAsia="宋体" w:cs="宋体"/>
          <w:b w:val="0"/>
          <w:bCs/>
          <w:color w:val="auto"/>
          <w:sz w:val="24"/>
          <w:szCs w:val="24"/>
          <w:highlight w:val="none"/>
          <w:lang w:val="en-US" w:eastAsia="zh-CN"/>
        </w:rPr>
        <w:t>竞争性磋商文件、成交人的响应文件和澄清文件等，均应作为签约的合同文本的基础。</w:t>
      </w:r>
      <w:bookmarkEnd w:id="418"/>
      <w:bookmarkEnd w:id="419"/>
      <w:bookmarkEnd w:id="420"/>
      <w:bookmarkEnd w:id="421"/>
      <w:bookmarkEnd w:id="422"/>
      <w:bookmarkEnd w:id="423"/>
      <w:bookmarkEnd w:id="424"/>
      <w:bookmarkEnd w:id="425"/>
      <w:bookmarkEnd w:id="426"/>
      <w:bookmarkStart w:id="427" w:name="_Toc5481"/>
    </w:p>
    <w:bookmarkEnd w:id="427"/>
    <w:p w14:paraId="6B42DC37">
      <w:pPr>
        <w:pStyle w:val="22"/>
        <w:keepNext w:val="0"/>
        <w:keepLines w:val="0"/>
        <w:pageBreakBefore w:val="0"/>
        <w:widowControl w:val="0"/>
        <w:numPr>
          <w:ilvl w:val="1"/>
          <w:numId w:val="4"/>
        </w:numPr>
        <w:tabs>
          <w:tab w:val="left" w:pos="360"/>
        </w:tabs>
        <w:kinsoku/>
        <w:wordWrap/>
        <w:overflowPunct/>
        <w:topLinePunct w:val="0"/>
        <w:autoSpaceDE w:val="0"/>
        <w:autoSpaceDN w:val="0"/>
        <w:bidi w:val="0"/>
        <w:adjustRightInd w:val="0"/>
        <w:snapToGrid w:val="0"/>
        <w:spacing w:line="360" w:lineRule="auto"/>
        <w:ind w:left="0" w:leftChars="0"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28" w:name="_Toc12739"/>
      <w:bookmarkStart w:id="429" w:name="_Toc10089"/>
      <w:bookmarkStart w:id="430" w:name="_Toc26762"/>
      <w:bookmarkStart w:id="431" w:name="_Toc23020"/>
      <w:bookmarkStart w:id="432" w:name="_Toc20461"/>
      <w:bookmarkStart w:id="433" w:name="_Toc4762"/>
      <w:bookmarkStart w:id="434" w:name="_Toc18228"/>
      <w:bookmarkStart w:id="435" w:name="_Toc31427"/>
      <w:bookmarkStart w:id="436" w:name="_Toc515"/>
      <w:r>
        <w:rPr>
          <w:rFonts w:hint="eastAsia" w:ascii="宋体" w:hAnsi="宋体" w:eastAsia="宋体" w:cs="宋体"/>
          <w:b w:val="0"/>
          <w:bCs/>
          <w:color w:val="auto"/>
          <w:sz w:val="24"/>
          <w:szCs w:val="24"/>
          <w:highlight w:val="none"/>
          <w:lang w:val="en-US" w:eastAsia="zh-CN"/>
        </w:rPr>
        <w:t>政府采购合同包括采购人与成交人的名称和住所、标的、数量、质量、价款或者报酬、履行期限及地点和方式、验收要求、违约责任、解决争议的方法等内容。</w:t>
      </w:r>
      <w:bookmarkEnd w:id="428"/>
      <w:bookmarkEnd w:id="429"/>
      <w:bookmarkEnd w:id="430"/>
      <w:bookmarkEnd w:id="431"/>
      <w:bookmarkEnd w:id="432"/>
      <w:bookmarkEnd w:id="433"/>
      <w:bookmarkEnd w:id="434"/>
      <w:bookmarkEnd w:id="435"/>
      <w:bookmarkEnd w:id="436"/>
      <w:bookmarkStart w:id="437" w:name="_Toc7717"/>
    </w:p>
    <w:p w14:paraId="24BF11EA">
      <w:pPr>
        <w:pStyle w:val="22"/>
        <w:keepNext w:val="0"/>
        <w:keepLines w:val="0"/>
        <w:pageBreakBefore w:val="0"/>
        <w:widowControl w:val="0"/>
        <w:numPr>
          <w:ilvl w:val="1"/>
          <w:numId w:val="4"/>
        </w:numPr>
        <w:tabs>
          <w:tab w:val="left" w:pos="360"/>
        </w:tabs>
        <w:kinsoku/>
        <w:wordWrap/>
        <w:overflowPunct/>
        <w:topLinePunct w:val="0"/>
        <w:autoSpaceDE w:val="0"/>
        <w:autoSpaceDN w:val="0"/>
        <w:bidi w:val="0"/>
        <w:adjustRightInd w:val="0"/>
        <w:snapToGrid w:val="0"/>
        <w:spacing w:line="360" w:lineRule="auto"/>
        <w:ind w:left="0" w:leftChars="0"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38" w:name="_Toc22399"/>
      <w:bookmarkStart w:id="439" w:name="_Toc19691"/>
      <w:bookmarkStart w:id="440" w:name="_Toc18078"/>
      <w:bookmarkStart w:id="441" w:name="_Toc25484"/>
      <w:bookmarkStart w:id="442" w:name="_Toc6035"/>
      <w:bookmarkStart w:id="443" w:name="_Toc22012"/>
      <w:bookmarkStart w:id="444" w:name="_Toc5311"/>
      <w:bookmarkStart w:id="445" w:name="_Toc22573"/>
      <w:r>
        <w:rPr>
          <w:rFonts w:hint="eastAsia" w:ascii="宋体" w:hAnsi="宋体" w:eastAsia="宋体" w:cs="宋体"/>
          <w:b w:val="0"/>
          <w:bCs/>
          <w:color w:val="auto"/>
          <w:sz w:val="24"/>
          <w:szCs w:val="24"/>
          <w:highlight w:val="none"/>
          <w:lang w:val="en-US" w:eastAsia="zh-CN"/>
        </w:rPr>
        <w:t>如成交人不按本章第6.1项约定签订合同，采购人将报请取消其成交决定。采购人可按照磋商小组推荐的成交候选人名单排序，确定下一候选人为成交人或者重新采购。</w:t>
      </w:r>
      <w:bookmarkEnd w:id="437"/>
      <w:bookmarkEnd w:id="438"/>
      <w:bookmarkEnd w:id="439"/>
      <w:bookmarkEnd w:id="440"/>
      <w:bookmarkEnd w:id="441"/>
      <w:bookmarkEnd w:id="442"/>
      <w:bookmarkEnd w:id="443"/>
      <w:bookmarkEnd w:id="444"/>
      <w:bookmarkEnd w:id="445"/>
    </w:p>
    <w:bookmarkEnd w:id="396"/>
    <w:p w14:paraId="27B506C5">
      <w:pPr>
        <w:pStyle w:val="3"/>
        <w:numPr>
          <w:ilvl w:val="0"/>
          <w:numId w:val="4"/>
        </w:numPr>
        <w:bidi w:val="0"/>
        <w:rPr>
          <w:rStyle w:val="66"/>
          <w:rFonts w:hint="eastAsia" w:ascii="宋体" w:hAnsi="宋体" w:eastAsia="宋体" w:cs="宋体"/>
          <w:b/>
          <w:bCs/>
          <w:color w:val="auto"/>
          <w:sz w:val="24"/>
          <w:szCs w:val="24"/>
          <w:highlight w:val="none"/>
          <w:lang w:val="en-US" w:eastAsia="zh-CN"/>
        </w:rPr>
      </w:pPr>
      <w:bookmarkStart w:id="446" w:name="_Toc269470338"/>
      <w:bookmarkStart w:id="447" w:name="_Toc270604610"/>
      <w:bookmarkStart w:id="448" w:name="_Toc25425"/>
      <w:r>
        <w:rPr>
          <w:rStyle w:val="66"/>
          <w:rFonts w:hint="eastAsia" w:ascii="宋体" w:hAnsi="宋体" w:eastAsia="宋体" w:cs="宋体"/>
          <w:b/>
          <w:bCs/>
          <w:color w:val="auto"/>
          <w:sz w:val="24"/>
          <w:szCs w:val="24"/>
          <w:highlight w:val="none"/>
          <w:lang w:val="en-US" w:eastAsia="zh-CN"/>
        </w:rPr>
        <w:t xml:space="preserve"> </w:t>
      </w:r>
      <w:bookmarkStart w:id="449" w:name="_Toc26387"/>
      <w:bookmarkStart w:id="450" w:name="_Toc27882"/>
      <w:bookmarkStart w:id="451" w:name="_Toc31300"/>
      <w:bookmarkStart w:id="452" w:name="_Toc15397"/>
      <w:bookmarkStart w:id="453" w:name="_Toc981"/>
      <w:r>
        <w:rPr>
          <w:rStyle w:val="66"/>
          <w:rFonts w:hint="eastAsia" w:ascii="宋体" w:hAnsi="宋体" w:eastAsia="宋体" w:cs="宋体"/>
          <w:b/>
          <w:bCs/>
          <w:color w:val="auto"/>
          <w:sz w:val="24"/>
          <w:szCs w:val="24"/>
          <w:highlight w:val="none"/>
          <w:lang w:val="en-US" w:eastAsia="zh-CN"/>
        </w:rPr>
        <w:t>纪律和监督</w:t>
      </w:r>
      <w:bookmarkEnd w:id="446"/>
      <w:bookmarkEnd w:id="447"/>
      <w:bookmarkEnd w:id="448"/>
      <w:bookmarkEnd w:id="449"/>
      <w:bookmarkEnd w:id="450"/>
      <w:bookmarkEnd w:id="451"/>
      <w:bookmarkEnd w:id="452"/>
      <w:bookmarkEnd w:id="453"/>
    </w:p>
    <w:p w14:paraId="1FBC8A1D">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val="en-US" w:eastAsia="zh-CN"/>
        </w:rPr>
      </w:pPr>
      <w:bookmarkStart w:id="454" w:name="_Toc428351666"/>
      <w:bookmarkStart w:id="455" w:name="_Toc428276606"/>
      <w:bookmarkStart w:id="456" w:name="_Toc277149399"/>
      <w:bookmarkStart w:id="457" w:name="_Toc31772"/>
      <w:bookmarkStart w:id="458" w:name="_Toc270604611"/>
      <w:bookmarkStart w:id="459" w:name="_Toc454788046"/>
      <w:bookmarkStart w:id="460" w:name="_Toc463011302"/>
      <w:bookmarkStart w:id="461" w:name="_Toc270604838"/>
      <w:bookmarkStart w:id="462" w:name="_Toc455678149"/>
      <w:bookmarkStart w:id="463" w:name="_Toc13152"/>
      <w:bookmarkStart w:id="464" w:name="_Toc462934323"/>
      <w:bookmarkStart w:id="465" w:name="_Toc2717"/>
      <w:bookmarkStart w:id="466" w:name="_Toc269470339"/>
      <w:r>
        <w:rPr>
          <w:rFonts w:hint="eastAsia" w:ascii="宋体" w:hAnsi="宋体" w:eastAsia="宋体" w:cs="宋体"/>
          <w:b/>
          <w:bCs w:val="0"/>
          <w:color w:val="auto"/>
          <w:sz w:val="24"/>
          <w:szCs w:val="24"/>
          <w:highlight w:val="none"/>
          <w:lang w:val="en-US" w:eastAsia="zh-CN"/>
        </w:rPr>
        <w:t>对采购人的纪律要求</w:t>
      </w:r>
      <w:bookmarkEnd w:id="454"/>
      <w:bookmarkEnd w:id="455"/>
      <w:bookmarkEnd w:id="456"/>
      <w:bookmarkEnd w:id="457"/>
      <w:bookmarkEnd w:id="458"/>
      <w:bookmarkEnd w:id="459"/>
      <w:bookmarkEnd w:id="460"/>
      <w:bookmarkEnd w:id="461"/>
      <w:bookmarkEnd w:id="462"/>
      <w:bookmarkEnd w:id="463"/>
      <w:bookmarkEnd w:id="464"/>
      <w:bookmarkEnd w:id="465"/>
      <w:bookmarkEnd w:id="466"/>
    </w:p>
    <w:p w14:paraId="640D561B">
      <w:pPr>
        <w:pStyle w:val="22"/>
        <w:keepNext w:val="0"/>
        <w:keepLines w:val="0"/>
        <w:pageBreakBefore w:val="0"/>
        <w:widowControl w:val="0"/>
        <w:numPr>
          <w:ilvl w:val="0"/>
          <w:numId w:val="0"/>
        </w:numPr>
        <w:tabs>
          <w:tab w:val="left" w:pos="360"/>
        </w:tabs>
        <w:kinsoku/>
        <w:wordWrap/>
        <w:overflowPunct/>
        <w:topLinePunct w:val="0"/>
        <w:autoSpaceDE w:val="0"/>
        <w:autoSpaceDN w:val="0"/>
        <w:bidi w:val="0"/>
        <w:adjustRightInd w:val="0"/>
        <w:snapToGrid w:val="0"/>
        <w:spacing w:line="360" w:lineRule="auto"/>
        <w:ind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67" w:name="_Toc10135"/>
      <w:bookmarkStart w:id="468" w:name="_Toc16051"/>
      <w:bookmarkStart w:id="469" w:name="_Toc4804"/>
      <w:bookmarkStart w:id="470" w:name="_Toc18711"/>
      <w:r>
        <w:rPr>
          <w:rFonts w:hint="eastAsia" w:ascii="宋体" w:hAnsi="宋体" w:eastAsia="宋体" w:cs="宋体"/>
          <w:b w:val="0"/>
          <w:bCs/>
          <w:color w:val="auto"/>
          <w:sz w:val="24"/>
          <w:szCs w:val="24"/>
          <w:highlight w:val="none"/>
          <w:lang w:val="en-US" w:eastAsia="zh-CN"/>
        </w:rPr>
        <w:t>采购人不得泄漏竞争性磋商中应当保密的情况和资料，不得与供应商串通损害国家利益、社会公共利益或者他人合法权益。</w:t>
      </w:r>
      <w:bookmarkEnd w:id="467"/>
      <w:bookmarkEnd w:id="468"/>
      <w:bookmarkEnd w:id="469"/>
      <w:bookmarkEnd w:id="470"/>
    </w:p>
    <w:p w14:paraId="35159C05">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val="en-US" w:eastAsia="zh-CN"/>
        </w:rPr>
      </w:pPr>
      <w:bookmarkStart w:id="471" w:name="_Toc270604839"/>
      <w:bookmarkStart w:id="472" w:name="_Toc270604612"/>
      <w:bookmarkStart w:id="473" w:name="_Toc1136"/>
      <w:bookmarkStart w:id="474" w:name="_Toc10123"/>
      <w:bookmarkStart w:id="475" w:name="_Toc454788047"/>
      <w:bookmarkStart w:id="476" w:name="_Toc269470340"/>
      <w:bookmarkStart w:id="477" w:name="_Toc277149400"/>
      <w:bookmarkStart w:id="478" w:name="_Toc463011303"/>
      <w:bookmarkStart w:id="479" w:name="_Toc428351667"/>
      <w:bookmarkStart w:id="480" w:name="_Toc455678150"/>
      <w:bookmarkStart w:id="481" w:name="_Toc24245"/>
      <w:bookmarkStart w:id="482" w:name="_Toc462934324"/>
      <w:bookmarkStart w:id="483" w:name="_Toc428276607"/>
      <w:r>
        <w:rPr>
          <w:rFonts w:hint="eastAsia" w:ascii="宋体" w:hAnsi="宋体" w:eastAsia="宋体" w:cs="宋体"/>
          <w:b/>
          <w:bCs w:val="0"/>
          <w:color w:val="auto"/>
          <w:sz w:val="24"/>
          <w:szCs w:val="24"/>
          <w:highlight w:val="none"/>
          <w:lang w:val="en-US" w:eastAsia="zh-CN"/>
        </w:rPr>
        <w:t>对供应商的纪律要求</w:t>
      </w:r>
      <w:bookmarkEnd w:id="471"/>
      <w:bookmarkEnd w:id="472"/>
      <w:bookmarkEnd w:id="473"/>
      <w:bookmarkEnd w:id="474"/>
      <w:bookmarkEnd w:id="475"/>
      <w:bookmarkEnd w:id="476"/>
      <w:bookmarkEnd w:id="477"/>
      <w:bookmarkEnd w:id="478"/>
      <w:bookmarkEnd w:id="479"/>
      <w:bookmarkEnd w:id="480"/>
      <w:bookmarkEnd w:id="481"/>
      <w:bookmarkEnd w:id="482"/>
      <w:bookmarkEnd w:id="483"/>
    </w:p>
    <w:p w14:paraId="79BF181B">
      <w:pPr>
        <w:pStyle w:val="22"/>
        <w:keepNext w:val="0"/>
        <w:keepLines w:val="0"/>
        <w:pageBreakBefore w:val="0"/>
        <w:widowControl w:val="0"/>
        <w:numPr>
          <w:ilvl w:val="0"/>
          <w:numId w:val="0"/>
        </w:numPr>
        <w:tabs>
          <w:tab w:val="left" w:pos="360"/>
        </w:tabs>
        <w:kinsoku/>
        <w:wordWrap/>
        <w:overflowPunct/>
        <w:topLinePunct w:val="0"/>
        <w:autoSpaceDE w:val="0"/>
        <w:autoSpaceDN w:val="0"/>
        <w:bidi w:val="0"/>
        <w:adjustRightInd w:val="0"/>
        <w:snapToGrid w:val="0"/>
        <w:spacing w:line="360" w:lineRule="auto"/>
        <w:ind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484" w:name="_Toc8268"/>
      <w:bookmarkStart w:id="485" w:name="_Toc27425"/>
      <w:bookmarkStart w:id="486" w:name="_Toc16725"/>
      <w:bookmarkStart w:id="487" w:name="_Toc23835"/>
      <w:r>
        <w:rPr>
          <w:rFonts w:hint="eastAsia" w:ascii="宋体" w:hAnsi="宋体" w:eastAsia="宋体" w:cs="宋体"/>
          <w:b w:val="0"/>
          <w:bCs/>
          <w:color w:val="auto"/>
          <w:sz w:val="24"/>
          <w:szCs w:val="24"/>
          <w:highlight w:val="none"/>
          <w:lang w:val="en-US" w:eastAsia="zh-CN"/>
        </w:rPr>
        <w:t>供应商不得相互串通或者与采购人串通，不得向采购人或者磋商小组成员行贿谋取成交，不得以他人名义磋商或者以其他方式弄虚作假骗取成交；供应商不得以任何方式干扰、影响磋商工作。</w:t>
      </w:r>
      <w:bookmarkEnd w:id="484"/>
      <w:bookmarkEnd w:id="485"/>
      <w:bookmarkEnd w:id="486"/>
      <w:bookmarkEnd w:id="487"/>
    </w:p>
    <w:p w14:paraId="60761935">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val="en-US" w:eastAsia="zh-CN"/>
        </w:rPr>
      </w:pPr>
      <w:bookmarkStart w:id="488" w:name="_Toc270604613"/>
      <w:bookmarkStart w:id="489" w:name="_Toc428351668"/>
      <w:bookmarkStart w:id="490" w:name="_Toc26184"/>
      <w:bookmarkStart w:id="491" w:name="_Toc15953"/>
      <w:bookmarkStart w:id="492" w:name="_Toc455678151"/>
      <w:bookmarkStart w:id="493" w:name="_Toc23588"/>
      <w:bookmarkStart w:id="494" w:name="_Toc428276608"/>
      <w:bookmarkStart w:id="495" w:name="_Toc462934325"/>
      <w:bookmarkStart w:id="496" w:name="_Toc463011304"/>
      <w:bookmarkStart w:id="497" w:name="_Toc277149401"/>
      <w:bookmarkStart w:id="498" w:name="_Toc270604840"/>
      <w:bookmarkStart w:id="499" w:name="_Toc269470341"/>
      <w:bookmarkStart w:id="500" w:name="_Toc454788048"/>
      <w:r>
        <w:rPr>
          <w:rFonts w:hint="eastAsia" w:ascii="宋体" w:hAnsi="宋体" w:eastAsia="宋体" w:cs="宋体"/>
          <w:b/>
          <w:bCs w:val="0"/>
          <w:color w:val="auto"/>
          <w:sz w:val="24"/>
          <w:szCs w:val="24"/>
          <w:highlight w:val="none"/>
          <w:lang w:val="en-US" w:eastAsia="zh-CN"/>
        </w:rPr>
        <w:t>对磋商小组成员的纪律要求</w:t>
      </w:r>
      <w:bookmarkEnd w:id="488"/>
      <w:bookmarkEnd w:id="489"/>
      <w:bookmarkEnd w:id="490"/>
      <w:bookmarkEnd w:id="491"/>
      <w:bookmarkEnd w:id="492"/>
      <w:bookmarkEnd w:id="493"/>
      <w:bookmarkEnd w:id="494"/>
      <w:bookmarkEnd w:id="495"/>
      <w:bookmarkEnd w:id="496"/>
      <w:bookmarkEnd w:id="497"/>
      <w:bookmarkEnd w:id="498"/>
      <w:bookmarkEnd w:id="499"/>
      <w:bookmarkEnd w:id="500"/>
    </w:p>
    <w:p w14:paraId="1E87E898">
      <w:pPr>
        <w:pStyle w:val="22"/>
        <w:keepNext w:val="0"/>
        <w:keepLines w:val="0"/>
        <w:pageBreakBefore w:val="0"/>
        <w:widowControl w:val="0"/>
        <w:numPr>
          <w:ilvl w:val="0"/>
          <w:numId w:val="0"/>
        </w:numPr>
        <w:tabs>
          <w:tab w:val="left" w:pos="360"/>
        </w:tabs>
        <w:kinsoku/>
        <w:wordWrap/>
        <w:overflowPunct/>
        <w:topLinePunct w:val="0"/>
        <w:autoSpaceDE w:val="0"/>
        <w:autoSpaceDN w:val="0"/>
        <w:bidi w:val="0"/>
        <w:adjustRightInd w:val="0"/>
        <w:snapToGrid w:val="0"/>
        <w:spacing w:line="360" w:lineRule="auto"/>
        <w:ind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501" w:name="_Toc24154"/>
      <w:bookmarkStart w:id="502" w:name="_Toc26283"/>
      <w:bookmarkStart w:id="503" w:name="_Toc20362"/>
      <w:bookmarkStart w:id="504" w:name="_Toc3655"/>
      <w:r>
        <w:rPr>
          <w:rFonts w:hint="eastAsia" w:ascii="宋体" w:hAnsi="宋体" w:eastAsia="宋体" w:cs="宋体"/>
          <w:b w:val="0"/>
          <w:bCs/>
          <w:color w:val="auto"/>
          <w:sz w:val="24"/>
          <w:szCs w:val="24"/>
          <w:highlight w:val="none"/>
          <w:lang w:val="en-US" w:eastAsia="zh-CN"/>
        </w:rPr>
        <w:t>磋商小组成员不得收受他人的财物或者其他好处，不得向他人透漏对响应文件的评审和比较、成交候选人的推荐情况以及与磋商有关的其他情况。在磋商活动中，磋商小组成员不得擅离职守，影响磋商程序正常进行。</w:t>
      </w:r>
      <w:bookmarkEnd w:id="501"/>
      <w:bookmarkEnd w:id="502"/>
      <w:bookmarkEnd w:id="503"/>
      <w:bookmarkEnd w:id="504"/>
    </w:p>
    <w:p w14:paraId="5CCB2298">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val="en-US" w:eastAsia="zh-CN"/>
        </w:rPr>
      </w:pPr>
      <w:bookmarkStart w:id="505" w:name="_Toc270604614"/>
      <w:bookmarkStart w:id="506" w:name="_Toc462934326"/>
      <w:bookmarkStart w:id="507" w:name="_Toc14202"/>
      <w:bookmarkStart w:id="508" w:name="_Toc463011305"/>
      <w:bookmarkStart w:id="509" w:name="_Toc4673"/>
      <w:bookmarkStart w:id="510" w:name="_Toc428276609"/>
      <w:bookmarkStart w:id="511" w:name="_Toc269470342"/>
      <w:bookmarkStart w:id="512" w:name="_Toc428351669"/>
      <w:bookmarkStart w:id="513" w:name="_Toc270604841"/>
      <w:bookmarkStart w:id="514" w:name="_Toc454788049"/>
      <w:bookmarkStart w:id="515" w:name="_Toc277149402"/>
      <w:bookmarkStart w:id="516" w:name="_Toc8563"/>
      <w:bookmarkStart w:id="517" w:name="_Toc455678152"/>
      <w:r>
        <w:rPr>
          <w:rFonts w:hint="eastAsia" w:ascii="宋体" w:hAnsi="宋体" w:eastAsia="宋体" w:cs="宋体"/>
          <w:b/>
          <w:bCs w:val="0"/>
          <w:color w:val="auto"/>
          <w:sz w:val="24"/>
          <w:szCs w:val="24"/>
          <w:highlight w:val="none"/>
          <w:lang w:val="en-US" w:eastAsia="zh-CN"/>
        </w:rPr>
        <w:t>对与磋商活动有关的工作人员的纪律要求</w:t>
      </w:r>
      <w:bookmarkEnd w:id="505"/>
      <w:bookmarkEnd w:id="506"/>
      <w:bookmarkEnd w:id="507"/>
      <w:bookmarkEnd w:id="508"/>
      <w:bookmarkEnd w:id="509"/>
      <w:bookmarkEnd w:id="510"/>
      <w:bookmarkEnd w:id="511"/>
      <w:bookmarkEnd w:id="512"/>
      <w:bookmarkEnd w:id="513"/>
      <w:bookmarkEnd w:id="514"/>
      <w:bookmarkEnd w:id="515"/>
      <w:bookmarkEnd w:id="516"/>
      <w:bookmarkEnd w:id="517"/>
    </w:p>
    <w:p w14:paraId="05D18460">
      <w:pPr>
        <w:pStyle w:val="22"/>
        <w:keepNext w:val="0"/>
        <w:keepLines w:val="0"/>
        <w:pageBreakBefore w:val="0"/>
        <w:widowControl w:val="0"/>
        <w:numPr>
          <w:ilvl w:val="0"/>
          <w:numId w:val="0"/>
        </w:numPr>
        <w:tabs>
          <w:tab w:val="left" w:pos="360"/>
        </w:tabs>
        <w:kinsoku/>
        <w:wordWrap/>
        <w:overflowPunct/>
        <w:topLinePunct w:val="0"/>
        <w:autoSpaceDE w:val="0"/>
        <w:autoSpaceDN w:val="0"/>
        <w:bidi w:val="0"/>
        <w:adjustRightInd w:val="0"/>
        <w:snapToGrid w:val="0"/>
        <w:spacing w:line="360" w:lineRule="auto"/>
        <w:ind w:firstLine="480" w:firstLineChars="200"/>
        <w:contextualSpacing/>
        <w:jc w:val="both"/>
        <w:textAlignment w:val="auto"/>
        <w:outlineLvl w:val="1"/>
        <w:rPr>
          <w:rFonts w:hint="eastAsia" w:ascii="宋体" w:hAnsi="宋体" w:eastAsia="宋体" w:cs="宋体"/>
          <w:b w:val="0"/>
          <w:bCs/>
          <w:color w:val="auto"/>
          <w:sz w:val="24"/>
          <w:szCs w:val="24"/>
          <w:highlight w:val="none"/>
          <w:lang w:val="en-US" w:eastAsia="zh-CN"/>
        </w:rPr>
      </w:pPr>
      <w:bookmarkStart w:id="518" w:name="_Toc9990"/>
      <w:bookmarkStart w:id="519" w:name="_Toc5178"/>
      <w:bookmarkStart w:id="520" w:name="_Toc4928"/>
      <w:bookmarkStart w:id="521" w:name="_Toc11462"/>
      <w:r>
        <w:rPr>
          <w:rFonts w:hint="eastAsia" w:ascii="宋体" w:hAnsi="宋体" w:eastAsia="宋体" w:cs="宋体"/>
          <w:b w:val="0"/>
          <w:bCs/>
          <w:color w:val="auto"/>
          <w:sz w:val="24"/>
          <w:szCs w:val="24"/>
          <w:highlight w:val="none"/>
          <w:lang w:val="en-US" w:eastAsia="zh-CN"/>
        </w:rPr>
        <w:t>与磋商活动有关的工作人员不得收受他人的财物或者其他好处，不得向他人透漏对响应文件的评审和比较、成交候选人的推荐情况以及与磋商有关的其他情况。在磋商活动中，与磋商活动有关的工作人员不得擅离职守，影响磋商程序正常进行。</w:t>
      </w:r>
      <w:bookmarkEnd w:id="518"/>
      <w:bookmarkEnd w:id="519"/>
      <w:bookmarkEnd w:id="520"/>
      <w:bookmarkEnd w:id="521"/>
    </w:p>
    <w:p w14:paraId="724CF8C5">
      <w:pPr>
        <w:pStyle w:val="4"/>
        <w:keepNext/>
        <w:keepLines/>
        <w:pageBreakBefore w:val="0"/>
        <w:widowControl w:val="0"/>
        <w:numPr>
          <w:ilvl w:val="1"/>
          <w:numId w:val="4"/>
        </w:numPr>
        <w:kinsoku/>
        <w:wordWrap w:val="0"/>
        <w:overflowPunct/>
        <w:topLinePunct/>
        <w:autoSpaceDE/>
        <w:autoSpaceDN/>
        <w:bidi w:val="0"/>
        <w:adjustRightInd/>
        <w:snapToGrid/>
        <w:spacing w:before="0" w:after="0" w:line="360" w:lineRule="auto"/>
        <w:ind w:leftChars="0" w:firstLine="0" w:firstLineChars="0"/>
        <w:jc w:val="left"/>
        <w:textAlignment w:val="auto"/>
        <w:rPr>
          <w:rFonts w:hint="eastAsia" w:ascii="宋体" w:hAnsi="宋体" w:eastAsia="宋体" w:cs="宋体"/>
          <w:b/>
          <w:bCs w:val="0"/>
          <w:color w:val="auto"/>
          <w:sz w:val="24"/>
          <w:szCs w:val="24"/>
          <w:highlight w:val="none"/>
          <w:lang w:eastAsia="zh-CN"/>
        </w:rPr>
      </w:pPr>
      <w:bookmarkStart w:id="522" w:name="_Toc454788050"/>
      <w:bookmarkStart w:id="523" w:name="_Toc270604615"/>
      <w:bookmarkStart w:id="524" w:name="_Toc270604842"/>
      <w:bookmarkStart w:id="525" w:name="_Toc29089"/>
      <w:bookmarkStart w:id="526" w:name="_Toc269470343"/>
      <w:bookmarkStart w:id="527" w:name="_Toc428351670"/>
      <w:bookmarkStart w:id="528" w:name="_Toc277149403"/>
      <w:bookmarkStart w:id="529" w:name="_Toc428276610"/>
      <w:r>
        <w:rPr>
          <w:rFonts w:hint="eastAsia" w:ascii="宋体" w:hAnsi="宋体" w:eastAsia="宋体" w:cs="宋体"/>
          <w:b/>
          <w:bCs w:val="0"/>
          <w:color w:val="auto"/>
          <w:sz w:val="24"/>
          <w:szCs w:val="24"/>
          <w:highlight w:val="none"/>
          <w:lang w:val="en-US" w:eastAsia="zh-CN"/>
        </w:rPr>
        <w:t xml:space="preserve"> </w:t>
      </w:r>
      <w:bookmarkStart w:id="530" w:name="_Toc27033"/>
      <w:r>
        <w:rPr>
          <w:rFonts w:hint="eastAsia" w:ascii="宋体" w:hAnsi="宋体" w:eastAsia="宋体" w:cs="宋体"/>
          <w:b/>
          <w:bCs w:val="0"/>
          <w:color w:val="auto"/>
          <w:sz w:val="24"/>
          <w:szCs w:val="24"/>
          <w:highlight w:val="none"/>
          <w:lang w:eastAsia="zh-CN"/>
        </w:rPr>
        <w:t>询问、质疑和投诉</w:t>
      </w:r>
      <w:bookmarkEnd w:id="522"/>
      <w:bookmarkEnd w:id="523"/>
      <w:bookmarkEnd w:id="524"/>
      <w:bookmarkEnd w:id="525"/>
      <w:bookmarkEnd w:id="526"/>
      <w:bookmarkEnd w:id="527"/>
      <w:bookmarkEnd w:id="528"/>
      <w:bookmarkEnd w:id="529"/>
      <w:bookmarkEnd w:id="530"/>
    </w:p>
    <w:p w14:paraId="2682847D">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31" w:name="_Toc11785"/>
      <w:bookmarkStart w:id="532" w:name="_Toc17445"/>
      <w:bookmarkStart w:id="533" w:name="_Toc462934328"/>
      <w:bookmarkStart w:id="534" w:name="_Toc455678154"/>
      <w:bookmarkStart w:id="535" w:name="_Toc463011307"/>
      <w:r>
        <w:rPr>
          <w:rFonts w:hint="eastAsia" w:ascii="宋体" w:hAnsi="宋体" w:eastAsia="宋体" w:cs="宋体"/>
          <w:color w:val="auto"/>
          <w:sz w:val="24"/>
          <w:szCs w:val="24"/>
          <w:highlight w:val="none"/>
          <w:lang w:eastAsia="zh-CN"/>
        </w:rPr>
        <w:t>供应商或有关当事人对磋商过程、成交结果有异议的，可以向采购人或者采购代理机构提出询问。</w:t>
      </w:r>
      <w:bookmarkEnd w:id="531"/>
      <w:bookmarkEnd w:id="532"/>
      <w:bookmarkEnd w:id="533"/>
      <w:bookmarkEnd w:id="534"/>
      <w:bookmarkEnd w:id="535"/>
    </w:p>
    <w:p w14:paraId="4D46EB70">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36" w:name="_Toc462934329"/>
      <w:bookmarkStart w:id="537" w:name="_Toc463011308"/>
      <w:bookmarkStart w:id="538" w:name="_Toc27421"/>
      <w:bookmarkStart w:id="539" w:name="_Toc24621"/>
      <w:bookmarkStart w:id="540" w:name="_Toc455678155"/>
      <w:r>
        <w:rPr>
          <w:rFonts w:hint="eastAsia" w:ascii="宋体" w:hAnsi="宋体" w:eastAsia="宋体" w:cs="宋体"/>
          <w:color w:val="auto"/>
          <w:sz w:val="24"/>
          <w:szCs w:val="24"/>
          <w:highlight w:val="none"/>
          <w:lang w:eastAsia="zh-CN"/>
        </w:rPr>
        <w:t>采购人或者采购代理机构应当在三个工作日内对供应商依法提出的询问作出答复。</w:t>
      </w:r>
      <w:bookmarkEnd w:id="536"/>
      <w:bookmarkEnd w:id="537"/>
      <w:bookmarkEnd w:id="538"/>
      <w:bookmarkEnd w:id="539"/>
      <w:bookmarkEnd w:id="540"/>
    </w:p>
    <w:p w14:paraId="6419A65E">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41" w:name="_Toc28381"/>
      <w:bookmarkStart w:id="542" w:name="_Toc462934330"/>
      <w:bookmarkStart w:id="543" w:name="_Toc455678156"/>
      <w:bookmarkStart w:id="544" w:name="_Toc463011309"/>
      <w:bookmarkStart w:id="545" w:name="_Toc30298"/>
      <w:r>
        <w:rPr>
          <w:rFonts w:hint="eastAsia" w:ascii="宋体" w:hAnsi="宋体" w:eastAsia="宋体" w:cs="宋体"/>
          <w:color w:val="auto"/>
          <w:sz w:val="24"/>
          <w:szCs w:val="24"/>
          <w:highlight w:val="none"/>
          <w:lang w:eastAsia="zh-CN"/>
        </w:rPr>
        <w:t>供应商认为竞争性磋商文件、采购过程使自己的权益受到损害的，可以在知道或者应知其权益受到损害之日起七个工作日内，以书面形式向采购人提出质疑。</w:t>
      </w:r>
      <w:bookmarkEnd w:id="541"/>
      <w:bookmarkEnd w:id="542"/>
      <w:bookmarkEnd w:id="543"/>
      <w:bookmarkEnd w:id="544"/>
      <w:bookmarkEnd w:id="545"/>
    </w:p>
    <w:p w14:paraId="2891E79B">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46" w:name="_Toc288"/>
      <w:bookmarkStart w:id="547" w:name="_Toc462934331"/>
      <w:bookmarkStart w:id="548" w:name="_Toc16614"/>
      <w:bookmarkStart w:id="549" w:name="_Toc463011310"/>
      <w:r>
        <w:rPr>
          <w:rFonts w:hint="eastAsia" w:ascii="宋体" w:hAnsi="宋体" w:eastAsia="宋体" w:cs="宋体"/>
          <w:color w:val="auto"/>
          <w:sz w:val="24"/>
          <w:szCs w:val="24"/>
          <w:highlight w:val="none"/>
          <w:lang w:eastAsia="zh-CN"/>
        </w:rPr>
        <w:t>供应商认为成交结果使自己的权益受到损害的，可以在成交结果公告期限届满之日起七个工作日内，以书面形式向采购人提出质疑，接收质疑函</w:t>
      </w:r>
      <w:r>
        <w:rPr>
          <w:rFonts w:hint="eastAsia" w:ascii="宋体" w:hAnsi="宋体" w:eastAsia="宋体" w:cs="宋体"/>
          <w:color w:val="auto"/>
          <w:sz w:val="24"/>
          <w:szCs w:val="24"/>
          <w:highlight w:val="none"/>
          <w:lang w:val="en-US" w:eastAsia="zh-CN"/>
        </w:rPr>
        <w:t>联系部门、电话及地址详见竞争性磋商公告</w:t>
      </w:r>
      <w:r>
        <w:rPr>
          <w:rFonts w:hint="eastAsia" w:ascii="宋体" w:hAnsi="宋体" w:eastAsia="宋体" w:cs="宋体"/>
          <w:color w:val="auto"/>
          <w:sz w:val="24"/>
          <w:szCs w:val="24"/>
          <w:highlight w:val="none"/>
          <w:lang w:eastAsia="zh-CN"/>
        </w:rPr>
        <w:t>。</w:t>
      </w:r>
      <w:bookmarkEnd w:id="546"/>
      <w:bookmarkEnd w:id="547"/>
      <w:bookmarkEnd w:id="548"/>
      <w:bookmarkEnd w:id="549"/>
      <w:r>
        <w:rPr>
          <w:rFonts w:hint="eastAsia" w:ascii="宋体" w:hAnsi="宋体" w:eastAsia="宋体" w:cs="宋体"/>
          <w:color w:val="auto"/>
          <w:sz w:val="24"/>
          <w:szCs w:val="24"/>
          <w:highlight w:val="none"/>
          <w:lang w:eastAsia="zh-CN"/>
        </w:rPr>
        <w:t>在法定质疑期内供应商针对同一采购程序环节的质疑应当一次性提出。</w:t>
      </w:r>
    </w:p>
    <w:p w14:paraId="2E042FF6">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50" w:name="_Toc455678157"/>
      <w:bookmarkStart w:id="551" w:name="_Toc18478"/>
      <w:bookmarkStart w:id="552" w:name="_Toc463011311"/>
      <w:bookmarkStart w:id="553" w:name="_Toc5258"/>
      <w:bookmarkStart w:id="554" w:name="_Toc462934332"/>
      <w:r>
        <w:rPr>
          <w:rFonts w:hint="eastAsia" w:ascii="宋体" w:hAnsi="宋体" w:eastAsia="宋体" w:cs="宋体"/>
          <w:color w:val="auto"/>
          <w:sz w:val="24"/>
          <w:szCs w:val="24"/>
          <w:highlight w:val="none"/>
          <w:lang w:eastAsia="zh-CN"/>
        </w:rPr>
        <w:t>采购人或者采购代理机构应当在收到供应商的书面质疑后七个工作日内作出答复，并以书面形式通知质疑供应商和其他有关供应商，但答复的内容不得涉及商业秘密。</w:t>
      </w:r>
      <w:bookmarkEnd w:id="550"/>
      <w:bookmarkEnd w:id="551"/>
      <w:bookmarkEnd w:id="552"/>
      <w:bookmarkEnd w:id="553"/>
      <w:bookmarkEnd w:id="554"/>
    </w:p>
    <w:p w14:paraId="3CCFB183">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55" w:name="_Toc462934333"/>
      <w:bookmarkStart w:id="556" w:name="_Toc21390"/>
      <w:bookmarkStart w:id="557" w:name="_Toc455678158"/>
      <w:bookmarkStart w:id="558" w:name="_Toc463011312"/>
      <w:bookmarkStart w:id="559" w:name="_Toc4898"/>
      <w:r>
        <w:rPr>
          <w:rFonts w:hint="eastAsia" w:ascii="宋体" w:hAnsi="宋体" w:eastAsia="宋体" w:cs="宋体"/>
          <w:color w:val="auto"/>
          <w:sz w:val="24"/>
          <w:szCs w:val="24"/>
          <w:highlight w:val="none"/>
          <w:lang w:eastAsia="zh-CN"/>
        </w:rPr>
        <w:t>质疑单位对采购人、采购代理机构的答复不满意或者采购人、采购代理机构未在规定的时间内作出答复的，可以在答复期满后十五个工作日内向同级政府采购监督管理部门投诉。</w:t>
      </w:r>
      <w:bookmarkEnd w:id="555"/>
      <w:bookmarkEnd w:id="556"/>
      <w:bookmarkEnd w:id="557"/>
      <w:bookmarkEnd w:id="558"/>
      <w:bookmarkEnd w:id="559"/>
    </w:p>
    <w:p w14:paraId="06D49A7B">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bookmarkStart w:id="560" w:name="_Toc463011313"/>
      <w:bookmarkStart w:id="561" w:name="_Toc17682"/>
      <w:bookmarkStart w:id="562" w:name="_Toc455678159"/>
      <w:bookmarkStart w:id="563" w:name="_Toc462934334"/>
      <w:bookmarkStart w:id="564" w:name="_Toc11631"/>
      <w:r>
        <w:rPr>
          <w:rFonts w:hint="eastAsia" w:ascii="宋体" w:hAnsi="宋体" w:eastAsia="宋体" w:cs="宋体"/>
          <w:color w:val="auto"/>
          <w:sz w:val="24"/>
          <w:szCs w:val="24"/>
          <w:highlight w:val="none"/>
          <w:lang w:eastAsia="zh-CN"/>
        </w:rPr>
        <w:t>供应商质疑、投诉应当有明确的请求和必要的证明材料。供应商投诉的事项不得超出已质疑事项的范围。</w:t>
      </w:r>
      <w:bookmarkEnd w:id="560"/>
      <w:bookmarkEnd w:id="561"/>
      <w:bookmarkEnd w:id="562"/>
      <w:bookmarkEnd w:id="563"/>
      <w:bookmarkEnd w:id="564"/>
    </w:p>
    <w:p w14:paraId="5474BBFA">
      <w:pPr>
        <w:pStyle w:val="3"/>
        <w:numPr>
          <w:ilvl w:val="0"/>
          <w:numId w:val="4"/>
        </w:numPr>
        <w:bidi w:val="0"/>
        <w:rPr>
          <w:rStyle w:val="66"/>
          <w:rFonts w:hint="eastAsia" w:ascii="宋体" w:hAnsi="宋体" w:eastAsia="宋体" w:cs="宋体"/>
          <w:b/>
          <w:bCs/>
          <w:color w:val="auto"/>
          <w:sz w:val="24"/>
          <w:szCs w:val="24"/>
          <w:highlight w:val="none"/>
          <w:lang w:val="en-US" w:eastAsia="zh-CN"/>
        </w:rPr>
      </w:pPr>
      <w:r>
        <w:rPr>
          <w:rStyle w:val="66"/>
          <w:rFonts w:hint="eastAsia" w:ascii="宋体" w:hAnsi="宋体" w:eastAsia="宋体" w:cs="宋体"/>
          <w:b/>
          <w:bCs/>
          <w:color w:val="auto"/>
          <w:sz w:val="24"/>
          <w:szCs w:val="24"/>
          <w:highlight w:val="none"/>
          <w:lang w:val="en-US" w:eastAsia="zh-CN"/>
        </w:rPr>
        <w:t xml:space="preserve"> </w:t>
      </w:r>
      <w:bookmarkStart w:id="565" w:name="_Toc5688"/>
      <w:bookmarkStart w:id="566" w:name="_Toc13231"/>
      <w:bookmarkStart w:id="567" w:name="_Toc2300"/>
      <w:bookmarkStart w:id="568" w:name="_Toc6336"/>
      <w:bookmarkStart w:id="569" w:name="_Toc22335"/>
      <w:r>
        <w:rPr>
          <w:rStyle w:val="66"/>
          <w:rFonts w:hint="eastAsia" w:ascii="宋体" w:hAnsi="宋体" w:eastAsia="宋体" w:cs="宋体"/>
          <w:b/>
          <w:bCs/>
          <w:color w:val="auto"/>
          <w:sz w:val="24"/>
          <w:szCs w:val="24"/>
          <w:highlight w:val="none"/>
          <w:lang w:val="en-US" w:eastAsia="zh-CN"/>
        </w:rPr>
        <w:t>政府采购政策</w:t>
      </w:r>
      <w:bookmarkEnd w:id="565"/>
      <w:bookmarkEnd w:id="566"/>
      <w:bookmarkEnd w:id="567"/>
      <w:bookmarkEnd w:id="568"/>
      <w:bookmarkEnd w:id="569"/>
    </w:p>
    <w:p w14:paraId="2C5C0D32">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产品符合国家环保、节能标准，并载入财政部、</w:t>
      </w:r>
      <w:r>
        <w:rPr>
          <w:rFonts w:hint="eastAsia" w:ascii="宋体" w:hAnsi="宋体" w:eastAsia="宋体" w:cs="宋体"/>
          <w:color w:val="auto"/>
          <w:sz w:val="24"/>
          <w:szCs w:val="24"/>
          <w:highlight w:val="none"/>
          <w:lang w:eastAsia="zh-CN"/>
        </w:rPr>
        <w:t>国家发改委、国家环保总局</w:t>
      </w:r>
      <w:r>
        <w:rPr>
          <w:rFonts w:hint="eastAsia" w:ascii="宋体" w:hAnsi="宋体" w:eastAsia="宋体" w:cs="宋体"/>
          <w:color w:val="auto"/>
          <w:sz w:val="24"/>
          <w:szCs w:val="24"/>
          <w:highlight w:val="none"/>
        </w:rPr>
        <w:t>发布的《环境标志产品政府采购品目清单》、《节能产品政府采购品目清单》内，且具国家确定的认证机构出具的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处于有效期之内的《国家节能产品认证证书》或《中国环境标志产品认证证书》（</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必须提供有关证明材料和文件等），将分别给予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办法中规定的标准分值进行</w:t>
      </w:r>
      <w:r>
        <w:rPr>
          <w:rFonts w:hint="eastAsia" w:ascii="宋体" w:hAnsi="宋体" w:eastAsia="宋体" w:cs="宋体"/>
          <w:color w:val="auto"/>
          <w:sz w:val="24"/>
          <w:szCs w:val="24"/>
          <w:highlight w:val="none"/>
          <w:lang w:eastAsia="zh-CN"/>
        </w:rPr>
        <w:t>加分</w:t>
      </w:r>
      <w:r>
        <w:rPr>
          <w:rFonts w:hint="eastAsia" w:ascii="宋体" w:hAnsi="宋体" w:eastAsia="宋体" w:cs="宋体"/>
          <w:color w:val="auto"/>
          <w:sz w:val="24"/>
          <w:szCs w:val="24"/>
          <w:highlight w:val="none"/>
        </w:rPr>
        <w:t>评审。</w:t>
      </w:r>
    </w:p>
    <w:p w14:paraId="608207C5">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如磋商产品属于财政部和国家发展改革委发布的《节能产品政府采购品目清单》中要求的政府强制采购</w:t>
      </w:r>
      <w:r>
        <w:rPr>
          <w:rFonts w:hint="eastAsia" w:ascii="宋体" w:hAnsi="宋体" w:eastAsia="宋体" w:cs="宋体"/>
          <w:color w:val="auto"/>
          <w:sz w:val="24"/>
          <w:szCs w:val="24"/>
          <w:highlight w:val="none"/>
          <w:lang w:eastAsia="zh-CN"/>
        </w:rPr>
        <w:t>节能</w:t>
      </w:r>
      <w:r>
        <w:rPr>
          <w:rFonts w:hint="eastAsia" w:ascii="宋体" w:hAnsi="宋体" w:eastAsia="宋体" w:cs="宋体"/>
          <w:color w:val="auto"/>
          <w:sz w:val="24"/>
          <w:szCs w:val="24"/>
          <w:highlight w:val="none"/>
          <w:lang w:val="en-US" w:eastAsia="zh-CN"/>
        </w:rPr>
        <w:t>产品的，供应商必须提供所投产品经国家确定的认证机构出具的、处于有效期之内的《国家节能产品认证证书》复印件，</w:t>
      </w:r>
      <w:r>
        <w:rPr>
          <w:rFonts w:hint="eastAsia" w:ascii="宋体" w:hAnsi="宋体" w:eastAsia="宋体" w:cs="宋体"/>
          <w:color w:val="auto"/>
          <w:sz w:val="24"/>
          <w:szCs w:val="24"/>
          <w:highlight w:val="none"/>
          <w:lang w:eastAsia="zh-CN"/>
        </w:rPr>
        <w:t>未提供</w:t>
      </w:r>
      <w:r>
        <w:rPr>
          <w:rFonts w:hint="eastAsia" w:ascii="宋体" w:hAnsi="宋体" w:eastAsia="宋体" w:cs="宋体"/>
          <w:color w:val="auto"/>
          <w:sz w:val="24"/>
          <w:szCs w:val="24"/>
          <w:highlight w:val="none"/>
        </w:rPr>
        <w:t>《节能产品政府采购品目清单》中要求的政府强制采购</w:t>
      </w:r>
      <w:r>
        <w:rPr>
          <w:rFonts w:hint="eastAsia" w:ascii="宋体" w:hAnsi="宋体" w:eastAsia="宋体" w:cs="宋体"/>
          <w:color w:val="auto"/>
          <w:sz w:val="24"/>
          <w:szCs w:val="24"/>
          <w:highlight w:val="none"/>
          <w:lang w:eastAsia="zh-CN"/>
        </w:rPr>
        <w:t>节能</w:t>
      </w:r>
      <w:r>
        <w:rPr>
          <w:rFonts w:hint="eastAsia" w:ascii="宋体" w:hAnsi="宋体" w:eastAsia="宋体" w:cs="宋体"/>
          <w:color w:val="auto"/>
          <w:sz w:val="24"/>
          <w:szCs w:val="24"/>
          <w:highlight w:val="none"/>
        </w:rPr>
        <w:t>产品</w:t>
      </w:r>
      <w:r>
        <w:rPr>
          <w:rFonts w:hint="eastAsia" w:ascii="宋体" w:hAnsi="宋体" w:eastAsia="宋体" w:cs="宋体"/>
          <w:color w:val="auto"/>
          <w:sz w:val="24"/>
          <w:szCs w:val="24"/>
          <w:highlight w:val="none"/>
          <w:lang w:eastAsia="zh-CN"/>
        </w:rPr>
        <w:t>及认证证书</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则认定其响应</w:t>
      </w:r>
      <w:r>
        <w:rPr>
          <w:rFonts w:hint="eastAsia" w:ascii="宋体" w:hAnsi="宋体" w:eastAsia="宋体" w:cs="宋体"/>
          <w:color w:val="auto"/>
          <w:sz w:val="24"/>
          <w:szCs w:val="24"/>
          <w:highlight w:val="none"/>
        </w:rPr>
        <w:t>文件无效。</w:t>
      </w:r>
    </w:p>
    <w:p w14:paraId="11605CD0">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关于计算机办公设备，必须执行国家版权局、信息产业部、财政部等部门规定，</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所投货物必须是国家信息部、版权局、商务部等部门认可的预装正版操作系统软件的计算机产品。</w:t>
      </w:r>
    </w:p>
    <w:p w14:paraId="354BD048">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采购货物为国家强制性认证产品的，必须符合强制性标准，</w:t>
      </w:r>
      <w:r>
        <w:rPr>
          <w:rFonts w:hint="eastAsia" w:ascii="宋体" w:hAnsi="宋体" w:eastAsia="宋体" w:cs="宋体"/>
          <w:color w:val="auto"/>
          <w:sz w:val="24"/>
          <w:szCs w:val="24"/>
          <w:highlight w:val="none"/>
          <w:lang w:eastAsia="zh-CN"/>
        </w:rPr>
        <w:t>否则认定其响应</w:t>
      </w:r>
      <w:r>
        <w:rPr>
          <w:rFonts w:hint="eastAsia" w:ascii="宋体" w:hAnsi="宋体" w:eastAsia="宋体" w:cs="宋体"/>
          <w:color w:val="auto"/>
          <w:sz w:val="24"/>
          <w:szCs w:val="24"/>
          <w:highlight w:val="none"/>
        </w:rPr>
        <w:t>文件无效。</w:t>
      </w:r>
    </w:p>
    <w:p w14:paraId="508D0905">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优先采购本国产品。采购进口产品应符合《中华人民共和国政府采购法》并依法办理论证、审批手续。</w:t>
      </w:r>
    </w:p>
    <w:p w14:paraId="27AD6AD4">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采购信息安全产品的，应当采购经国家认证的信息安全产品，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应提供由中国信息安全认证中心按国家标准颁发的有效认证证书，</w:t>
      </w:r>
      <w:r>
        <w:rPr>
          <w:rFonts w:hint="eastAsia" w:ascii="宋体" w:hAnsi="宋体" w:eastAsia="宋体" w:cs="宋体"/>
          <w:color w:val="auto"/>
          <w:sz w:val="24"/>
          <w:szCs w:val="24"/>
          <w:highlight w:val="none"/>
          <w:lang w:eastAsia="zh-CN"/>
        </w:rPr>
        <w:t>否则认定其响应</w:t>
      </w:r>
      <w:r>
        <w:rPr>
          <w:rFonts w:hint="eastAsia" w:ascii="宋体" w:hAnsi="宋体" w:eastAsia="宋体" w:cs="宋体"/>
          <w:color w:val="auto"/>
          <w:sz w:val="24"/>
          <w:szCs w:val="24"/>
          <w:highlight w:val="none"/>
        </w:rPr>
        <w:t>文件无效。</w:t>
      </w:r>
    </w:p>
    <w:p w14:paraId="5A4A6FF1">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促进中小型企业发展，必须执行财政部、工信部印发的《</w:t>
      </w:r>
      <w:r>
        <w:rPr>
          <w:rFonts w:hint="eastAsia" w:ascii="宋体" w:hAnsi="宋体" w:eastAsia="宋体" w:cs="宋体"/>
          <w:color w:val="auto"/>
          <w:sz w:val="24"/>
          <w:szCs w:val="24"/>
          <w:highlight w:val="none"/>
          <w:lang w:val="en-US" w:eastAsia="zh-CN"/>
        </w:rPr>
        <w:t>政府采购促进中小企业发展管理办法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对于经主管预算单位统筹后未预留份额专门面向中小企业采购的采购项目，以及预留份额项目中的非预留部分采购包，应当对工程由小微企业承建（即工程施工单位为小微企业）的</w:t>
      </w:r>
      <w:r>
        <w:rPr>
          <w:rFonts w:hint="eastAsia" w:cs="宋体"/>
          <w:color w:val="auto"/>
          <w:sz w:val="24"/>
          <w:szCs w:val="24"/>
          <w:highlight w:val="none"/>
          <w:lang w:val="en-US" w:eastAsia="zh-CN"/>
        </w:rPr>
        <w:t>响应报价</w:t>
      </w:r>
      <w:r>
        <w:rPr>
          <w:rFonts w:hint="eastAsia" w:ascii="宋体" w:hAnsi="宋体" w:eastAsia="宋体" w:cs="宋体"/>
          <w:color w:val="auto"/>
          <w:sz w:val="24"/>
          <w:szCs w:val="24"/>
          <w:highlight w:val="none"/>
          <w:lang w:val="en-US" w:eastAsia="zh-CN"/>
        </w:rPr>
        <w:t>给予3%—5%的扣除，用扣除后的价格参加评审</w:t>
      </w:r>
      <w:r>
        <w:rPr>
          <w:rFonts w:hint="eastAsia" w:ascii="宋体" w:hAnsi="宋体" w:eastAsia="宋体" w:cs="宋体"/>
          <w:color w:val="auto"/>
          <w:sz w:val="24"/>
          <w:szCs w:val="24"/>
          <w:highlight w:val="none"/>
        </w:rPr>
        <w:t>（监狱企业</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残疾人福利</w:t>
      </w:r>
      <w:r>
        <w:rPr>
          <w:rFonts w:hint="eastAsia" w:ascii="宋体" w:hAnsi="宋体" w:eastAsia="宋体" w:cs="宋体"/>
          <w:color w:val="auto"/>
          <w:sz w:val="24"/>
          <w:szCs w:val="24"/>
          <w:highlight w:val="none"/>
          <w:lang w:eastAsia="zh-CN"/>
        </w:rPr>
        <w:t>性</w:t>
      </w:r>
      <w:r>
        <w:rPr>
          <w:rFonts w:hint="eastAsia" w:ascii="宋体" w:hAnsi="宋体" w:eastAsia="宋体" w:cs="宋体"/>
          <w:color w:val="auto"/>
          <w:sz w:val="24"/>
          <w:szCs w:val="24"/>
          <w:highlight w:val="none"/>
        </w:rPr>
        <w:t>企业视同小型、微型企业）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接受大中型企业与小微企业组成联合体或者允许大中型企业向一家或者多家小微企业分包的采购项目，对于联合协议或者分包意向协议约定小微企业的合同份额占到合同总金额 30%以上的，应当对联合体或者大中型企业的报价给予 1%-2%的扣除，</w:t>
      </w:r>
      <w:r>
        <w:rPr>
          <w:rFonts w:hint="eastAsia" w:ascii="宋体" w:hAnsi="宋体" w:eastAsia="宋体" w:cs="宋体"/>
          <w:color w:val="auto"/>
          <w:sz w:val="24"/>
          <w:szCs w:val="24"/>
          <w:highlight w:val="none"/>
        </w:rPr>
        <w:t>用扣除后的价格参与评审（监狱企业</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残疾人福利</w:t>
      </w:r>
      <w:r>
        <w:rPr>
          <w:rFonts w:hint="eastAsia" w:ascii="宋体" w:hAnsi="宋体" w:eastAsia="宋体" w:cs="宋体"/>
          <w:color w:val="auto"/>
          <w:sz w:val="24"/>
          <w:szCs w:val="24"/>
          <w:highlight w:val="none"/>
          <w:lang w:eastAsia="zh-CN"/>
        </w:rPr>
        <w:t>性</w:t>
      </w:r>
      <w:r>
        <w:rPr>
          <w:rFonts w:hint="eastAsia" w:ascii="宋体" w:hAnsi="宋体" w:eastAsia="宋体" w:cs="宋体"/>
          <w:color w:val="auto"/>
          <w:sz w:val="24"/>
          <w:szCs w:val="24"/>
          <w:highlight w:val="none"/>
        </w:rPr>
        <w:t>企业视同小型、微型企业）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参加政府采购活动的中小企业应当提供《中小企业声明函》，未填写中小企业声明函的在</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过程中不予认可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参加政府采购活动的</w:t>
      </w:r>
      <w:r>
        <w:rPr>
          <w:rFonts w:hint="eastAsia" w:ascii="宋体" w:hAnsi="宋体" w:eastAsia="宋体" w:cs="宋体"/>
          <w:color w:val="auto"/>
          <w:sz w:val="24"/>
          <w:szCs w:val="24"/>
          <w:highlight w:val="none"/>
          <w:lang w:eastAsia="zh-CN"/>
        </w:rPr>
        <w:t>残疾人福利性单位</w:t>
      </w:r>
      <w:r>
        <w:rPr>
          <w:rFonts w:hint="eastAsia" w:ascii="宋体" w:hAnsi="宋体" w:eastAsia="宋体" w:cs="宋体"/>
          <w:color w:val="auto"/>
          <w:sz w:val="24"/>
          <w:szCs w:val="24"/>
          <w:highlight w:val="none"/>
        </w:rPr>
        <w:t>应当提供《</w:t>
      </w:r>
      <w:r>
        <w:rPr>
          <w:rFonts w:hint="eastAsia" w:ascii="宋体" w:hAnsi="宋体" w:eastAsia="宋体" w:cs="宋体"/>
          <w:color w:val="auto"/>
          <w:sz w:val="24"/>
          <w:szCs w:val="24"/>
          <w:highlight w:val="none"/>
          <w:lang w:eastAsia="zh-CN"/>
        </w:rPr>
        <w:t>残疾人福利性单位</w:t>
      </w:r>
      <w:r>
        <w:rPr>
          <w:rFonts w:hint="eastAsia" w:ascii="宋体" w:hAnsi="宋体" w:eastAsia="宋体" w:cs="宋体"/>
          <w:color w:val="auto"/>
          <w:sz w:val="24"/>
          <w:szCs w:val="24"/>
          <w:highlight w:val="none"/>
        </w:rPr>
        <w:t>声明函》，未填写</w:t>
      </w:r>
      <w:r>
        <w:rPr>
          <w:rFonts w:hint="eastAsia" w:ascii="宋体" w:hAnsi="宋体" w:eastAsia="宋体" w:cs="宋体"/>
          <w:color w:val="auto"/>
          <w:sz w:val="24"/>
          <w:szCs w:val="24"/>
          <w:highlight w:val="none"/>
          <w:lang w:eastAsia="zh-CN"/>
        </w:rPr>
        <w:t>残疾人福利性单位</w:t>
      </w:r>
      <w:r>
        <w:rPr>
          <w:rFonts w:hint="eastAsia" w:ascii="宋体" w:hAnsi="宋体" w:eastAsia="宋体" w:cs="宋体"/>
          <w:color w:val="auto"/>
          <w:sz w:val="24"/>
          <w:szCs w:val="24"/>
          <w:highlight w:val="none"/>
        </w:rPr>
        <w:t>声明函的在</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过程中不予认可</w:t>
      </w:r>
      <w:r>
        <w:rPr>
          <w:rFonts w:hint="eastAsia" w:ascii="宋体" w:hAnsi="宋体" w:eastAsia="宋体" w:cs="宋体"/>
          <w:color w:val="auto"/>
          <w:sz w:val="24"/>
          <w:szCs w:val="24"/>
          <w:highlight w:val="none"/>
          <w:lang w:eastAsia="zh-CN"/>
        </w:rPr>
        <w:t>；参加政府采购活动的</w:t>
      </w:r>
      <w:r>
        <w:rPr>
          <w:rFonts w:hint="eastAsia" w:ascii="宋体" w:hAnsi="宋体" w:eastAsia="宋体" w:cs="宋体"/>
          <w:color w:val="auto"/>
          <w:sz w:val="24"/>
          <w:szCs w:val="24"/>
          <w:highlight w:val="none"/>
        </w:rPr>
        <w:t>监狱企业，</w:t>
      </w:r>
      <w:r>
        <w:rPr>
          <w:rFonts w:hint="eastAsia" w:ascii="宋体" w:hAnsi="宋体" w:eastAsia="宋体" w:cs="宋体"/>
          <w:color w:val="auto"/>
          <w:sz w:val="24"/>
          <w:szCs w:val="24"/>
          <w:highlight w:val="none"/>
          <w:lang w:eastAsia="zh-CN"/>
        </w:rPr>
        <w:t>未</w:t>
      </w:r>
      <w:r>
        <w:rPr>
          <w:rFonts w:hint="eastAsia" w:ascii="宋体" w:hAnsi="宋体" w:eastAsia="宋体" w:cs="宋体"/>
          <w:color w:val="auto"/>
          <w:sz w:val="24"/>
          <w:szCs w:val="24"/>
          <w:highlight w:val="none"/>
        </w:rPr>
        <w:t>提供由省级以上监狱管理局、戒毒管理局（含新疆生产建设兵团）出具的属于监狱企业的证明文件</w:t>
      </w:r>
      <w:r>
        <w:rPr>
          <w:rFonts w:hint="eastAsia" w:ascii="宋体" w:hAnsi="宋体" w:eastAsia="宋体" w:cs="宋体"/>
          <w:color w:val="auto"/>
          <w:sz w:val="24"/>
          <w:szCs w:val="24"/>
          <w:highlight w:val="none"/>
          <w:lang w:eastAsia="zh-CN"/>
        </w:rPr>
        <w:t>不予认可</w:t>
      </w:r>
      <w:r>
        <w:rPr>
          <w:rFonts w:hint="eastAsia" w:ascii="宋体" w:hAnsi="宋体" w:eastAsia="宋体" w:cs="宋体"/>
          <w:color w:val="auto"/>
          <w:sz w:val="24"/>
          <w:szCs w:val="24"/>
          <w:highlight w:val="none"/>
        </w:rPr>
        <w:t>。</w:t>
      </w:r>
    </w:p>
    <w:p w14:paraId="48AE3D04">
      <w:pPr>
        <w:keepNext w:val="0"/>
        <w:keepLines w:val="0"/>
        <w:pageBreakBefore w:val="0"/>
        <w:widowControl w:val="0"/>
        <w:numPr>
          <w:ilvl w:val="1"/>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开源节流，执行低价优先的采购政策规定。</w:t>
      </w:r>
    </w:p>
    <w:p w14:paraId="59FF6E95">
      <w:pPr>
        <w:pStyle w:val="3"/>
        <w:numPr>
          <w:ilvl w:val="0"/>
          <w:numId w:val="4"/>
        </w:numPr>
        <w:bidi w:val="0"/>
        <w:rPr>
          <w:rStyle w:val="66"/>
          <w:rFonts w:hint="eastAsia" w:ascii="宋体" w:hAnsi="宋体" w:eastAsia="宋体" w:cs="宋体"/>
          <w:b/>
          <w:bCs/>
          <w:color w:val="auto"/>
          <w:sz w:val="24"/>
          <w:szCs w:val="24"/>
          <w:highlight w:val="none"/>
          <w:lang w:val="en-US" w:eastAsia="zh-CN"/>
        </w:rPr>
      </w:pPr>
      <w:bookmarkStart w:id="570" w:name="_Toc15491"/>
      <w:r>
        <w:rPr>
          <w:rStyle w:val="66"/>
          <w:rFonts w:hint="eastAsia" w:ascii="宋体" w:hAnsi="宋体" w:eastAsia="宋体" w:cs="宋体"/>
          <w:b/>
          <w:bCs/>
          <w:color w:val="auto"/>
          <w:sz w:val="24"/>
          <w:szCs w:val="24"/>
          <w:highlight w:val="none"/>
          <w:lang w:val="en-US" w:eastAsia="zh-CN"/>
        </w:rPr>
        <w:t xml:space="preserve"> </w:t>
      </w:r>
      <w:bookmarkStart w:id="571" w:name="_Toc27168"/>
      <w:bookmarkStart w:id="572" w:name="_Toc13339"/>
      <w:bookmarkStart w:id="573" w:name="_Toc13809"/>
      <w:bookmarkStart w:id="574" w:name="_Toc18470"/>
      <w:bookmarkStart w:id="575" w:name="_Toc26253"/>
      <w:r>
        <w:rPr>
          <w:rStyle w:val="66"/>
          <w:rFonts w:hint="eastAsia" w:ascii="宋体" w:hAnsi="宋体" w:eastAsia="宋体" w:cs="宋体"/>
          <w:b/>
          <w:bCs/>
          <w:color w:val="auto"/>
          <w:sz w:val="24"/>
          <w:szCs w:val="24"/>
          <w:highlight w:val="none"/>
          <w:lang w:val="en-US" w:eastAsia="zh-CN"/>
        </w:rPr>
        <w:t>信用记录</w:t>
      </w:r>
      <w:bookmarkEnd w:id="570"/>
      <w:bookmarkEnd w:id="571"/>
      <w:bookmarkEnd w:id="572"/>
      <w:bookmarkEnd w:id="573"/>
      <w:bookmarkEnd w:id="574"/>
      <w:bookmarkEnd w:id="575"/>
    </w:p>
    <w:p w14:paraId="7A3C048C">
      <w:pPr>
        <w:pStyle w:val="22"/>
        <w:numPr>
          <w:ilvl w:val="0"/>
          <w:numId w:val="0"/>
        </w:numPr>
        <w:tabs>
          <w:tab w:val="left" w:pos="360"/>
        </w:tabs>
        <w:snapToGrid w:val="0"/>
        <w:spacing w:line="360" w:lineRule="auto"/>
        <w:ind w:leftChars="0" w:firstLine="480" w:firstLineChars="200"/>
        <w:contextualSpacing/>
        <w:jc w:val="both"/>
        <w:outlineLvl w:val="1"/>
        <w:rPr>
          <w:rStyle w:val="66"/>
          <w:rFonts w:hint="eastAsia" w:ascii="宋体" w:hAnsi="宋体" w:eastAsia="宋体" w:cs="宋体"/>
          <w:color w:val="auto"/>
          <w:sz w:val="24"/>
          <w:szCs w:val="24"/>
          <w:highlight w:val="none"/>
          <w:lang w:val="en-US" w:eastAsia="zh-CN"/>
        </w:rPr>
      </w:pPr>
      <w:bookmarkStart w:id="576" w:name="_Toc12395"/>
      <w:bookmarkStart w:id="577" w:name="_Toc10983"/>
      <w:bookmarkStart w:id="578" w:name="_Toc28582"/>
      <w:bookmarkStart w:id="579" w:name="_Toc12501"/>
      <w:r>
        <w:rPr>
          <w:rFonts w:hint="eastAsia" w:ascii="宋体" w:hAnsi="宋体" w:eastAsia="宋体" w:cs="宋体"/>
          <w:sz w:val="24"/>
          <w:szCs w:val="24"/>
          <w:lang w:val="en-US" w:eastAsia="zh-CN"/>
        </w:rPr>
        <w:t>根据《关于在政府采购活动中查询及使用信用记录有关问题的通知》(财库[2016]125号)的规定，对列入“中国执行信息公开网”网站（http://zxgk.court.gov.cn/shixin/）的“失信被执行人”、“信用中国”网站（www.creditchina.gov.cn）的“重大税收违法失信主体”、“政府采购严重违法失信行为记录名单”及“中国政府采购网”www.ccgp.gov.cn网站的“政府采购严重违法失信行为记录名单”的供应商，将被拒绝参与本项目政府采购活动；供应商须提供查询截图并加盖公章</w:t>
      </w:r>
      <w:r>
        <w:rPr>
          <w:rFonts w:hint="eastAsia" w:ascii="宋体" w:hAnsi="宋体" w:eastAsia="宋体" w:cs="宋体"/>
          <w:sz w:val="24"/>
          <w:szCs w:val="24"/>
        </w:rPr>
        <w:t>。</w:t>
      </w:r>
      <w:bookmarkEnd w:id="576"/>
      <w:bookmarkEnd w:id="577"/>
      <w:bookmarkEnd w:id="578"/>
      <w:bookmarkEnd w:id="579"/>
    </w:p>
    <w:p w14:paraId="089C3BDC">
      <w:pPr>
        <w:pStyle w:val="3"/>
        <w:numPr>
          <w:ilvl w:val="0"/>
          <w:numId w:val="4"/>
        </w:numPr>
        <w:bidi w:val="0"/>
        <w:rPr>
          <w:rStyle w:val="66"/>
          <w:rFonts w:hint="eastAsia" w:ascii="宋体" w:hAnsi="宋体" w:eastAsia="宋体" w:cs="宋体"/>
          <w:b/>
          <w:bCs/>
          <w:color w:val="auto"/>
          <w:sz w:val="24"/>
          <w:szCs w:val="24"/>
          <w:highlight w:val="none"/>
          <w:lang w:val="en-US" w:eastAsia="zh-CN"/>
        </w:rPr>
      </w:pPr>
      <w:r>
        <w:rPr>
          <w:rStyle w:val="66"/>
          <w:rFonts w:hint="eastAsia" w:ascii="宋体" w:hAnsi="宋体" w:eastAsia="宋体" w:cs="宋体"/>
          <w:b/>
          <w:bCs/>
          <w:color w:val="auto"/>
          <w:sz w:val="24"/>
          <w:szCs w:val="24"/>
          <w:highlight w:val="none"/>
          <w:lang w:val="en-US" w:eastAsia="zh-CN"/>
        </w:rPr>
        <w:t xml:space="preserve"> </w:t>
      </w:r>
      <w:bookmarkStart w:id="580" w:name="_Toc5729"/>
      <w:bookmarkStart w:id="581" w:name="_Toc20264"/>
      <w:bookmarkStart w:id="582" w:name="_Toc25313"/>
      <w:bookmarkStart w:id="583" w:name="_Toc19142"/>
      <w:bookmarkStart w:id="584" w:name="_Toc5512"/>
      <w:r>
        <w:rPr>
          <w:rStyle w:val="66"/>
          <w:rFonts w:hint="eastAsia" w:ascii="宋体" w:hAnsi="宋体" w:eastAsia="宋体" w:cs="宋体"/>
          <w:b/>
          <w:bCs/>
          <w:color w:val="auto"/>
          <w:sz w:val="24"/>
          <w:szCs w:val="24"/>
          <w:highlight w:val="none"/>
          <w:lang w:val="en-US" w:eastAsia="zh-CN"/>
        </w:rPr>
        <w:t>需要补充的其他内容</w:t>
      </w:r>
      <w:bookmarkEnd w:id="580"/>
      <w:bookmarkEnd w:id="581"/>
      <w:bookmarkEnd w:id="582"/>
      <w:bookmarkEnd w:id="583"/>
      <w:bookmarkEnd w:id="584"/>
    </w:p>
    <w:p w14:paraId="2C46D6C9">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需要补充的其他内容：见</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须知前附表。</w:t>
      </w:r>
      <w:bookmarkStart w:id="585" w:name="_Toc270604619"/>
      <w:bookmarkStart w:id="586" w:name="_Toc270604617"/>
    </w:p>
    <w:p w14:paraId="72859186">
      <w:pPr>
        <w:pStyle w:val="4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30" w:lineRule="atLeast"/>
        <w:ind w:left="0" w:right="0" w:firstLine="0"/>
        <w:jc w:val="left"/>
        <w:rPr>
          <w:rFonts w:hint="eastAsia" w:ascii="宋体" w:hAnsi="Courier New" w:cs="Courier New"/>
          <w:b/>
          <w:bCs/>
          <w:color w:val="auto"/>
          <w:kern w:val="2"/>
          <w:sz w:val="32"/>
          <w:szCs w:val="32"/>
          <w:highlight w:val="none"/>
          <w:lang w:val="en-US" w:eastAsia="zh-CN" w:bidi="ar-SA"/>
        </w:rPr>
      </w:pPr>
      <w:r>
        <w:rPr>
          <w:rFonts w:hint="eastAsia" w:ascii="宋体" w:hAnsi="宋体" w:cs="仿宋_GB2312"/>
          <w:color w:val="auto"/>
          <w:kern w:val="0"/>
          <w:szCs w:val="21"/>
          <w:highlight w:val="none"/>
        </w:rPr>
        <w:br w:type="page"/>
      </w:r>
      <w:r>
        <w:rPr>
          <w:rFonts w:hint="eastAsia" w:cs="仿宋_GB2312"/>
          <w:b/>
          <w:bCs/>
          <w:color w:val="auto"/>
          <w:kern w:val="0"/>
          <w:sz w:val="21"/>
          <w:szCs w:val="21"/>
          <w:highlight w:val="none"/>
          <w:lang w:val="en-US" w:eastAsia="zh-CN"/>
        </w:rPr>
        <w:t>附件1</w:t>
      </w:r>
      <w:r>
        <w:rPr>
          <w:rFonts w:hint="eastAsia" w:ascii="宋体" w:hAnsi="宋体" w:cs="仿宋_GB2312"/>
          <w:b/>
          <w:bCs/>
          <w:color w:val="auto"/>
          <w:kern w:val="0"/>
          <w:sz w:val="21"/>
          <w:szCs w:val="21"/>
          <w:highlight w:val="none"/>
          <w:lang w:eastAsia="zh-CN"/>
        </w:rPr>
        <w:t>：</w:t>
      </w:r>
    </w:p>
    <w:p w14:paraId="7896F543">
      <w:pPr>
        <w:pStyle w:val="4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30" w:lineRule="atLeast"/>
        <w:ind w:left="0" w:right="0" w:firstLine="0"/>
        <w:jc w:val="center"/>
        <w:rPr>
          <w:rFonts w:hint="eastAsia" w:ascii="宋体" w:hAnsi="宋体" w:eastAsia="宋体" w:cs="宋体"/>
          <w:b/>
          <w:bCs/>
          <w:i w:val="0"/>
          <w:caps w:val="0"/>
          <w:color w:val="333333"/>
          <w:spacing w:val="8"/>
          <w:sz w:val="28"/>
          <w:szCs w:val="28"/>
          <w:highlight w:val="none"/>
          <w:shd w:val="clear" w:color="auto" w:fill="FFFFFF"/>
        </w:rPr>
      </w:pPr>
      <w:r>
        <w:rPr>
          <w:rFonts w:hint="eastAsia" w:ascii="宋体" w:hAnsi="宋体" w:eastAsia="宋体" w:cs="宋体"/>
          <w:b/>
          <w:bCs/>
          <w:i w:val="0"/>
          <w:caps w:val="0"/>
          <w:color w:val="333333"/>
          <w:spacing w:val="8"/>
          <w:sz w:val="28"/>
          <w:szCs w:val="28"/>
          <w:highlight w:val="none"/>
          <w:shd w:val="clear" w:color="auto" w:fill="FFFFFF"/>
        </w:rPr>
        <w:t>统计上大中小微型企业划分标准</w:t>
      </w:r>
    </w:p>
    <w:tbl>
      <w:tblPr>
        <w:tblStyle w:val="48"/>
        <w:tblW w:w="101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976"/>
        <w:gridCol w:w="1473"/>
        <w:gridCol w:w="872"/>
        <w:gridCol w:w="1241"/>
        <w:gridCol w:w="1882"/>
        <w:gridCol w:w="1644"/>
        <w:gridCol w:w="1067"/>
      </w:tblGrid>
      <w:tr w14:paraId="44862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5" w:hRule="atLeast"/>
          <w:jc w:val="center"/>
        </w:trPr>
        <w:tc>
          <w:tcPr>
            <w:tcW w:w="1976"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14:paraId="14A9017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行业名称</w:t>
            </w:r>
          </w:p>
        </w:tc>
        <w:tc>
          <w:tcPr>
            <w:tcW w:w="147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78DE27ED">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指标名称</w:t>
            </w:r>
          </w:p>
        </w:tc>
        <w:tc>
          <w:tcPr>
            <w:tcW w:w="87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65A9B1A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Style w:val="51"/>
                <w:rFonts w:hint="eastAsia" w:ascii="宋体" w:hAnsi="宋体" w:eastAsia="宋体" w:cs="宋体"/>
                <w:i w:val="0"/>
                <w:caps w:val="0"/>
                <w:color w:val="FFFFFF"/>
                <w:spacing w:val="8"/>
                <w:sz w:val="20"/>
                <w:szCs w:val="20"/>
                <w:highlight w:val="none"/>
              </w:rPr>
            </w:pPr>
            <w:r>
              <w:rPr>
                <w:rStyle w:val="51"/>
                <w:rFonts w:hint="eastAsia" w:ascii="宋体" w:hAnsi="宋体" w:eastAsia="宋体" w:cs="宋体"/>
                <w:i w:val="0"/>
                <w:caps w:val="0"/>
                <w:color w:val="FFFFFF"/>
                <w:spacing w:val="8"/>
                <w:sz w:val="20"/>
                <w:szCs w:val="20"/>
                <w:highlight w:val="none"/>
              </w:rPr>
              <w:t>计量</w:t>
            </w:r>
          </w:p>
          <w:p w14:paraId="12CFC919">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单位</w:t>
            </w:r>
          </w:p>
        </w:tc>
        <w:tc>
          <w:tcPr>
            <w:tcW w:w="1241"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10CA12CA">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大型</w:t>
            </w:r>
          </w:p>
        </w:tc>
        <w:tc>
          <w:tcPr>
            <w:tcW w:w="188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43E20437">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中型</w:t>
            </w:r>
          </w:p>
        </w:tc>
        <w:tc>
          <w:tcPr>
            <w:tcW w:w="1644"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63FEED93">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小型</w:t>
            </w:r>
          </w:p>
        </w:tc>
        <w:tc>
          <w:tcPr>
            <w:tcW w:w="1067"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747873A">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0"/>
                <w:szCs w:val="20"/>
                <w:highlight w:val="none"/>
              </w:rPr>
            </w:pPr>
            <w:r>
              <w:rPr>
                <w:rStyle w:val="51"/>
                <w:rFonts w:hint="eastAsia" w:ascii="宋体" w:hAnsi="宋体" w:eastAsia="宋体" w:cs="宋体"/>
                <w:i w:val="0"/>
                <w:caps w:val="0"/>
                <w:color w:val="FFFFFF"/>
                <w:spacing w:val="8"/>
                <w:sz w:val="20"/>
                <w:szCs w:val="20"/>
                <w:highlight w:val="none"/>
              </w:rPr>
              <w:t>微型</w:t>
            </w:r>
          </w:p>
        </w:tc>
      </w:tr>
      <w:tr w14:paraId="315FC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14:paraId="489C17BD">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农、林、牧、渔业</w:t>
            </w: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693EC6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8D245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74353C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Y≥20000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A9F2B7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500≤Y＜20000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1E9287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50≤Y＜500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FC6EC9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Y＜50</w:t>
            </w:r>
          </w:p>
        </w:tc>
      </w:tr>
      <w:tr w14:paraId="23928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23580A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工业 *</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F41269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B53912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11B755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56F96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300≤X＜1000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AC4DE6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20≤X＜300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CE3105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w:t>
            </w:r>
          </w:p>
        </w:tc>
      </w:tr>
      <w:tr w14:paraId="34CDC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300CC07">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A8B822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D95FE5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858EE8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Y≥40000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3475F2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2000≤Y＜40000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B8D54F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300≤Y＜2000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76BC00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w:t>
            </w:r>
          </w:p>
        </w:tc>
      </w:tr>
      <w:tr w14:paraId="4DA51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863AD86">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建筑业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19A23C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2E5D79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1ADD46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Y≥80000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AC373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6000≤Y＜80000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1B0F07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300≤Y＜6000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0F354F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w:t>
            </w:r>
          </w:p>
        </w:tc>
      </w:tr>
      <w:tr w14:paraId="3C3B5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95372F0">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FBD0E2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资产总额(Z)</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DF7355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1959E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Z≥80000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50FB68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5000≤Z＜80000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B33F6C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300≤Z＜5000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B8C21C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Z＜300</w:t>
            </w:r>
          </w:p>
        </w:tc>
      </w:tr>
      <w:tr w14:paraId="7E23B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C39C1BB">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批发业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508A31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0037A4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9C4FF7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058BF2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20≤X＜200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905B73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5≤X＜20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9631F2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X＜5</w:t>
            </w:r>
          </w:p>
        </w:tc>
      </w:tr>
      <w:tr w14:paraId="28228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618724F">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F23289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8339AA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4FAE01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Y≥40000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1AFA9B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5000≤Y＜40000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DAC3F4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1000≤Y＜5000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0B02E8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w:t>
            </w:r>
          </w:p>
        </w:tc>
      </w:tr>
      <w:tr w14:paraId="250C0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05AF5D5">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零售业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8DA354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DE2F6C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3991ED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C609C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90D637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10≤X＜50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C0A65B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51D9B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CF12A53">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EE619B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A9FDCD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091E8B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Y≥20000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9F8CD4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500≤Y＜20000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FC836D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100≤Y＜500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6B98A8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50D15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9D911D0">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交通运输业 *</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4712B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D9DDCE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59EB1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783C5A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300≤X＜1000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B11A01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20≤X＜300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19D87D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w:t>
            </w:r>
          </w:p>
        </w:tc>
      </w:tr>
      <w:tr w14:paraId="6B2C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244BEB5">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B6484E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94636C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7C5FD9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045ED8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3000≤Y＜30000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2B5F9D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200≤Y＜3000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BD1D23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Y＜200</w:t>
            </w:r>
          </w:p>
        </w:tc>
      </w:tr>
      <w:tr w14:paraId="43D86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6925AA0">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仓储业*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AB8A4C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B2BA59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157A93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20D8B3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100≤X＜200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60BAAA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B9E071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w:t>
            </w:r>
          </w:p>
        </w:tc>
      </w:tr>
      <w:tr w14:paraId="1554D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FF130D1">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C157FD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A1E5AF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FC1027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717FFC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1000≤Y＜30000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57664A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100≤Y＜1000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BD84E3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14F45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C8A93BA">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邮政业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1C391D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43CCDF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E08A8B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506328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300≤X＜1000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528111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20≤X＜300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E5426D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w:t>
            </w:r>
          </w:p>
        </w:tc>
      </w:tr>
      <w:tr w14:paraId="72939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2BF96FF">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E9A74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35142B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9A29FF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Y≥30000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7E1797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2000≤Y＜30000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B24068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100≤Y＜2000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C2CA15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6C05E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7BC60B3">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住宿业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4D9948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B61207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7EBC32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A1E8D4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41D06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5F218A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5AE06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4D94AFB">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47EC7D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5CB2D2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C76D80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E6A554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2000≤Y＜10000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0403D0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100≤Y＜2000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496125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45E49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F8993A0">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餐饮业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C1117A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E3A4F2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6315A3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311D5B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862FF5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8955B5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10B04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9FB4E98">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2422E3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E5B8F6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BAD705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B2D3AF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2000≤Y＜10000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F40B8C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100≤Y＜2000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4143D2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4CE8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42D4F3A">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信息传输业 *</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DE84DA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0D1A53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9B6A1A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X≥2000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3B45D3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100≤X＜2000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776FF3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4C53C3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47DAF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613F51F">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DDCE34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A9DA00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DA07FB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F74724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1000≤Y＜100000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7FA936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100≤Y＜1000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A583E3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6ADDA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42A6E8B">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15"/>
                <w:sz w:val="20"/>
                <w:szCs w:val="20"/>
                <w:highlight w:val="none"/>
              </w:rPr>
              <w:t>软件和信息技术服</w:t>
            </w:r>
            <w:r>
              <w:rPr>
                <w:rFonts w:hint="eastAsia" w:ascii="宋体" w:hAnsi="宋体" w:eastAsia="宋体" w:cs="宋体"/>
                <w:b w:val="0"/>
                <w:i w:val="0"/>
                <w:caps w:val="0"/>
                <w:color w:val="000000"/>
                <w:spacing w:val="8"/>
                <w:sz w:val="20"/>
                <w:szCs w:val="20"/>
                <w:highlight w:val="none"/>
              </w:rPr>
              <w:t>务业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C86F56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7944DD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CC7D0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DCD37E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553807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A8E99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4F9A1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8CDBCB8">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C62809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37C232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A05FC4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C5D7DA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1000≤Y＜10000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8A5A59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50≤Y＜1000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B072F4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Y＜50</w:t>
            </w:r>
          </w:p>
        </w:tc>
      </w:tr>
      <w:tr w14:paraId="5AB4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D586A0D">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房地产开发经营</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41B2475">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324D3F3">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9CD62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Y≥200000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51A205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1000≤Y＜200000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446FA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100≤Y＜1000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9E5FBF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Y＜100</w:t>
            </w:r>
          </w:p>
        </w:tc>
      </w:tr>
      <w:tr w14:paraId="3AABD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DF5467A">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68E1B1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资产总额(Z)</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393849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8C8A9D8">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Z≥10000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E1F8D3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5000≤Z＜10000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1C4508B">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lang w:eastAsia="zh-CN"/>
              </w:rPr>
            </w:pPr>
            <w:r>
              <w:rPr>
                <w:rFonts w:hint="eastAsia" w:ascii="宋体" w:hAnsi="宋体" w:eastAsia="宋体" w:cs="宋体"/>
                <w:b w:val="0"/>
                <w:i w:val="0"/>
                <w:caps w:val="0"/>
                <w:color w:val="000000"/>
                <w:spacing w:val="8"/>
                <w:sz w:val="20"/>
                <w:szCs w:val="20"/>
                <w:highlight w:val="none"/>
              </w:rPr>
              <w:t xml:space="preserve">2000≤Z＜500 </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2FD53F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Z＜2000</w:t>
            </w:r>
          </w:p>
        </w:tc>
      </w:tr>
      <w:tr w14:paraId="3A52B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A9A444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物业管理</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825591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EE3D77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1974E3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9F5306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300≤X＜1000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19CD70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42BA79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X＜100</w:t>
            </w:r>
          </w:p>
        </w:tc>
      </w:tr>
      <w:tr w14:paraId="2C88A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4897C71">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A0BA8E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营业收入(Y)</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9F3029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C4A31E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Y≥5000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106B6A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1000≤Y＜5000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46A4E0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500≤Y＜1000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11645F4">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Y＜500</w:t>
            </w:r>
          </w:p>
        </w:tc>
      </w:tr>
      <w:tr w14:paraId="7F3A9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157D960">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租赁和商务服务业</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D741EC">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CEFF2D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985EF80">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C3336B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F3A412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374EB57">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r w14:paraId="4BFD7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578FB29">
            <w:pPr>
              <w:jc w:val="both"/>
              <w:rPr>
                <w:rFonts w:hint="eastAsia" w:ascii="宋体" w:hAnsi="宋体" w:eastAsia="宋体" w:cs="宋体"/>
                <w:b w:val="0"/>
                <w:i w:val="0"/>
                <w:caps w:val="0"/>
                <w:color w:val="333333"/>
                <w:spacing w:val="8"/>
                <w:sz w:val="20"/>
                <w:szCs w:val="20"/>
                <w:highlight w:val="none"/>
              </w:rPr>
            </w:pPr>
          </w:p>
        </w:tc>
        <w:tc>
          <w:tcPr>
            <w:tcW w:w="147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C8D9D42">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line="240" w:lineRule="atLeast"/>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资产总额(Z)</w:t>
            </w:r>
          </w:p>
        </w:tc>
        <w:tc>
          <w:tcPr>
            <w:tcW w:w="8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11A119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万元</w:t>
            </w:r>
          </w:p>
        </w:tc>
        <w:tc>
          <w:tcPr>
            <w:tcW w:w="1241"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EA1FEEE">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Z≥120000</w:t>
            </w:r>
          </w:p>
        </w:tc>
        <w:tc>
          <w:tcPr>
            <w:tcW w:w="188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F3039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8000≤Z＜120000</w:t>
            </w:r>
          </w:p>
        </w:tc>
        <w:tc>
          <w:tcPr>
            <w:tcW w:w="16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7AAA4CA">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100≤Z＜8000</w:t>
            </w:r>
          </w:p>
        </w:tc>
        <w:tc>
          <w:tcPr>
            <w:tcW w:w="106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B1414E1">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Z＜100</w:t>
            </w:r>
          </w:p>
        </w:tc>
      </w:tr>
      <w:tr w14:paraId="10C14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jc w:val="center"/>
        </w:trPr>
        <w:tc>
          <w:tcPr>
            <w:tcW w:w="1976"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5EAC168">
            <w:pPr>
              <w:pStyle w:val="4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其他未列明行业 *</w:t>
            </w:r>
          </w:p>
        </w:tc>
        <w:tc>
          <w:tcPr>
            <w:tcW w:w="147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0B5D06F">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从业人员(X)</w:t>
            </w:r>
          </w:p>
        </w:tc>
        <w:tc>
          <w:tcPr>
            <w:tcW w:w="8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D4EFACD">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人</w:t>
            </w:r>
          </w:p>
        </w:tc>
        <w:tc>
          <w:tcPr>
            <w:tcW w:w="1241"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98815A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X≥300</w:t>
            </w:r>
          </w:p>
        </w:tc>
        <w:tc>
          <w:tcPr>
            <w:tcW w:w="188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9787F26">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100≤X＜300</w:t>
            </w:r>
          </w:p>
        </w:tc>
        <w:tc>
          <w:tcPr>
            <w:tcW w:w="1644"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D8E6E6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10≤X＜100</w:t>
            </w:r>
          </w:p>
        </w:tc>
        <w:tc>
          <w:tcPr>
            <w:tcW w:w="106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5192BB9">
            <w:pPr>
              <w:pStyle w:val="4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spacing w:before="0" w:beforeAutospacing="0" w:after="0" w:afterAutospacing="0"/>
              <w:ind w:left="0" w:right="0"/>
              <w:jc w:val="center"/>
              <w:textAlignment w:val="auto"/>
              <w:rPr>
                <w:rFonts w:hint="eastAsia" w:ascii="宋体" w:hAnsi="宋体" w:eastAsia="宋体" w:cs="宋体"/>
                <w:sz w:val="20"/>
                <w:szCs w:val="20"/>
                <w:highlight w:val="none"/>
              </w:rPr>
            </w:pPr>
            <w:r>
              <w:rPr>
                <w:rFonts w:hint="eastAsia" w:ascii="宋体" w:hAnsi="宋体" w:eastAsia="宋体" w:cs="宋体"/>
                <w:b w:val="0"/>
                <w:i w:val="0"/>
                <w:caps w:val="0"/>
                <w:color w:val="000000"/>
                <w:spacing w:val="8"/>
                <w:sz w:val="20"/>
                <w:szCs w:val="20"/>
                <w:highlight w:val="none"/>
              </w:rPr>
              <w:t>X＜10</w:t>
            </w:r>
          </w:p>
        </w:tc>
      </w:tr>
    </w:tbl>
    <w:p w14:paraId="026594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15"/>
          <w:sz w:val="24"/>
          <w:szCs w:val="24"/>
          <w:highlight w:val="none"/>
        </w:rPr>
      </w:pPr>
      <w:r>
        <w:rPr>
          <w:rFonts w:hint="eastAsia" w:ascii="宋体" w:hAnsi="宋体" w:eastAsia="宋体" w:cs="宋体"/>
          <w:color w:val="auto"/>
          <w:spacing w:val="15"/>
          <w:sz w:val="21"/>
          <w:szCs w:val="21"/>
          <w:highlight w:val="none"/>
        </w:rPr>
        <w:br w:type="page"/>
      </w:r>
      <w:r>
        <w:rPr>
          <w:rFonts w:hint="eastAsia" w:ascii="宋体" w:hAnsi="宋体" w:eastAsia="宋体" w:cs="宋体"/>
          <w:color w:val="auto"/>
          <w:spacing w:val="15"/>
          <w:sz w:val="24"/>
          <w:szCs w:val="24"/>
          <w:highlight w:val="none"/>
        </w:rPr>
        <w:t>说明：1.大型、中型和小型企业须</w:t>
      </w:r>
      <w:r>
        <w:rPr>
          <w:rFonts w:hint="eastAsia" w:ascii="宋体" w:hAnsi="宋体" w:eastAsia="宋体" w:cs="宋体"/>
          <w:b/>
          <w:bCs/>
          <w:color w:val="auto"/>
          <w:spacing w:val="15"/>
          <w:sz w:val="24"/>
          <w:szCs w:val="24"/>
          <w:highlight w:val="none"/>
        </w:rPr>
        <w:t>同时满足所列指标的下限</w:t>
      </w:r>
      <w:r>
        <w:rPr>
          <w:rFonts w:hint="eastAsia" w:ascii="宋体" w:hAnsi="宋体" w:eastAsia="宋体" w:cs="宋体"/>
          <w:color w:val="auto"/>
          <w:spacing w:val="15"/>
          <w:sz w:val="24"/>
          <w:szCs w:val="24"/>
          <w:highlight w:val="none"/>
        </w:rPr>
        <w:t>，否则下划一档；微型企业只须满足所列指标中的一项即可。</w:t>
      </w:r>
    </w:p>
    <w:p w14:paraId="392FAA76">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540" w:firstLineChars="200"/>
        <w:textAlignment w:val="auto"/>
        <w:rPr>
          <w:rFonts w:hint="eastAsia" w:ascii="宋体" w:hAnsi="宋体" w:eastAsia="宋体" w:cs="宋体"/>
          <w:b w:val="0"/>
          <w:bCs w:val="0"/>
          <w:color w:val="auto"/>
          <w:spacing w:val="15"/>
          <w:sz w:val="24"/>
          <w:szCs w:val="24"/>
          <w:highlight w:val="none"/>
        </w:rPr>
      </w:pPr>
      <w:r>
        <w:rPr>
          <w:rFonts w:hint="eastAsia" w:ascii="宋体" w:hAnsi="宋体" w:eastAsia="宋体" w:cs="宋体"/>
          <w:color w:val="auto"/>
          <w:spacing w:val="15"/>
          <w:sz w:val="24"/>
          <w:szCs w:val="24"/>
          <w:highlight w:val="none"/>
        </w:rPr>
        <w:t>附表中各行业的范围以《国民经济行业分类》（GB/T4754-2017）为准。</w:t>
      </w:r>
      <w:r>
        <w:rPr>
          <w:rFonts w:hint="eastAsia" w:ascii="宋体" w:hAnsi="宋体" w:eastAsia="宋体" w:cs="宋体"/>
          <w:b/>
          <w:bCs/>
          <w:color w:val="auto"/>
          <w:spacing w:val="15"/>
          <w:sz w:val="24"/>
          <w:szCs w:val="24"/>
          <w:highlight w:val="none"/>
        </w:rPr>
        <w:t>带*的项为行业组合类别</w:t>
      </w:r>
      <w:r>
        <w:rPr>
          <w:rFonts w:hint="eastAsia" w:ascii="宋体" w:hAnsi="宋体" w:eastAsia="宋体" w:cs="宋体"/>
          <w:color w:val="auto"/>
          <w:spacing w:val="15"/>
          <w:sz w:val="24"/>
          <w:szCs w:val="24"/>
          <w:highlight w:val="none"/>
        </w:rPr>
        <w:t>，其中，</w:t>
      </w:r>
      <w:r>
        <w:rPr>
          <w:rFonts w:hint="eastAsia" w:ascii="宋体" w:hAnsi="宋体" w:eastAsia="宋体" w:cs="宋体"/>
          <w:b w:val="0"/>
          <w:bCs w:val="0"/>
          <w:color w:val="auto"/>
          <w:spacing w:val="15"/>
          <w:sz w:val="24"/>
          <w:szCs w:val="24"/>
          <w:highlight w:val="none"/>
        </w:rPr>
        <w:t>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ascii="宋体" w:hAnsi="宋体" w:cs="宋体"/>
          <w:b w:val="0"/>
          <w:bCs w:val="0"/>
          <w:color w:val="auto"/>
          <w:spacing w:val="15"/>
          <w:sz w:val="24"/>
          <w:szCs w:val="24"/>
          <w:highlight w:val="none"/>
          <w:lang w:eastAsia="zh-CN"/>
        </w:rPr>
        <w:t>；</w:t>
      </w:r>
      <w:r>
        <w:rPr>
          <w:rFonts w:hint="eastAsia" w:ascii="宋体" w:hAnsi="宋体" w:eastAsia="宋体" w:cs="宋体"/>
          <w:b w:val="0"/>
          <w:bCs w:val="0"/>
          <w:color w:val="auto"/>
          <w:spacing w:val="15"/>
          <w:sz w:val="24"/>
          <w:szCs w:val="24"/>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49B0216">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540" w:firstLineChars="200"/>
        <w:textAlignment w:val="auto"/>
        <w:rPr>
          <w:rFonts w:hint="eastAsia" w:ascii="宋体" w:hAnsi="宋体" w:eastAsia="宋体" w:cs="宋体"/>
          <w:color w:val="auto"/>
          <w:spacing w:val="15"/>
          <w:sz w:val="24"/>
          <w:szCs w:val="24"/>
          <w:highlight w:val="none"/>
        </w:rPr>
      </w:pPr>
      <w:r>
        <w:rPr>
          <w:rFonts w:hint="eastAsia" w:ascii="宋体" w:hAnsi="宋体" w:eastAsia="宋体" w:cs="宋体"/>
          <w:color w:val="auto"/>
          <w:spacing w:val="15"/>
          <w:sz w:val="24"/>
          <w:szCs w:val="24"/>
          <w:highlight w:val="none"/>
        </w:rPr>
        <w:t>企业划分指标以现行统计制度为准。</w:t>
      </w:r>
    </w:p>
    <w:p w14:paraId="6390AB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40" w:firstLineChars="200"/>
        <w:textAlignment w:val="auto"/>
        <w:rPr>
          <w:rFonts w:hint="eastAsia" w:ascii="宋体" w:hAnsi="宋体" w:eastAsia="宋体" w:cs="宋体"/>
          <w:color w:val="auto"/>
          <w:spacing w:val="15"/>
          <w:sz w:val="24"/>
          <w:szCs w:val="24"/>
          <w:highlight w:val="none"/>
        </w:rPr>
      </w:pPr>
      <w:r>
        <w:rPr>
          <w:rFonts w:hint="eastAsia" w:ascii="宋体" w:hAnsi="宋体" w:cs="宋体"/>
          <w:color w:val="auto"/>
          <w:spacing w:val="15"/>
          <w:sz w:val="24"/>
          <w:szCs w:val="24"/>
          <w:highlight w:val="none"/>
          <w:lang w:eastAsia="zh-CN"/>
        </w:rPr>
        <w:t>（</w:t>
      </w:r>
      <w:r>
        <w:rPr>
          <w:rFonts w:hint="eastAsia" w:ascii="宋体" w:hAnsi="宋体" w:cs="宋体"/>
          <w:color w:val="auto"/>
          <w:spacing w:val="15"/>
          <w:sz w:val="24"/>
          <w:szCs w:val="24"/>
          <w:highlight w:val="none"/>
          <w:lang w:val="en-US" w:eastAsia="zh-CN"/>
        </w:rPr>
        <w:t>1</w:t>
      </w:r>
      <w:r>
        <w:rPr>
          <w:rFonts w:hint="eastAsia" w:ascii="宋体" w:hAnsi="宋体" w:cs="宋体"/>
          <w:color w:val="auto"/>
          <w:spacing w:val="15"/>
          <w:sz w:val="24"/>
          <w:szCs w:val="24"/>
          <w:highlight w:val="none"/>
          <w:lang w:eastAsia="zh-CN"/>
        </w:rPr>
        <w:t>）</w:t>
      </w:r>
      <w:r>
        <w:rPr>
          <w:rFonts w:hint="eastAsia" w:ascii="宋体" w:hAnsi="宋体" w:eastAsia="宋体" w:cs="宋体"/>
          <w:color w:val="auto"/>
          <w:spacing w:val="15"/>
          <w:sz w:val="24"/>
          <w:szCs w:val="24"/>
          <w:highlight w:val="none"/>
        </w:rPr>
        <w:t>从业人员，是指期末从业人员数，没有期末从业人员数的，采用全年平均人员数代替。</w:t>
      </w:r>
    </w:p>
    <w:p w14:paraId="72358A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40" w:firstLineChars="200"/>
        <w:textAlignment w:val="auto"/>
        <w:rPr>
          <w:rFonts w:hint="eastAsia" w:ascii="宋体" w:hAnsi="宋体" w:eastAsia="宋体" w:cs="宋体"/>
          <w:color w:val="auto"/>
          <w:spacing w:val="15"/>
          <w:sz w:val="24"/>
          <w:szCs w:val="24"/>
          <w:highlight w:val="none"/>
        </w:rPr>
      </w:pPr>
      <w:r>
        <w:rPr>
          <w:rFonts w:hint="eastAsia" w:ascii="宋体" w:hAnsi="宋体" w:cs="宋体"/>
          <w:color w:val="auto"/>
          <w:spacing w:val="15"/>
          <w:sz w:val="24"/>
          <w:szCs w:val="24"/>
          <w:highlight w:val="none"/>
          <w:lang w:eastAsia="zh-CN"/>
        </w:rPr>
        <w:t>（</w:t>
      </w:r>
      <w:r>
        <w:rPr>
          <w:rFonts w:hint="eastAsia" w:ascii="宋体" w:hAnsi="宋体" w:cs="宋体"/>
          <w:color w:val="auto"/>
          <w:spacing w:val="15"/>
          <w:sz w:val="24"/>
          <w:szCs w:val="24"/>
          <w:highlight w:val="none"/>
          <w:lang w:val="en-US" w:eastAsia="zh-CN"/>
        </w:rPr>
        <w:t>2</w:t>
      </w:r>
      <w:r>
        <w:rPr>
          <w:rFonts w:hint="eastAsia" w:ascii="宋体" w:hAnsi="宋体" w:cs="宋体"/>
          <w:color w:val="auto"/>
          <w:spacing w:val="15"/>
          <w:sz w:val="24"/>
          <w:szCs w:val="24"/>
          <w:highlight w:val="none"/>
          <w:lang w:eastAsia="zh-CN"/>
        </w:rPr>
        <w:t>）</w:t>
      </w:r>
      <w:r>
        <w:rPr>
          <w:rFonts w:hint="eastAsia" w:ascii="宋体" w:hAnsi="宋体" w:eastAsia="宋体" w:cs="宋体"/>
          <w:color w:val="auto"/>
          <w:spacing w:val="15"/>
          <w:sz w:val="24"/>
          <w:szCs w:val="24"/>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D2F49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5"/>
          <w:sz w:val="24"/>
          <w:szCs w:val="24"/>
          <w:highlight w:val="none"/>
        </w:rPr>
        <w:t>（3）资产总额，采用资产总计代替。</w:t>
      </w:r>
    </w:p>
    <w:p w14:paraId="0A45C4BE">
      <w:pPr>
        <w:autoSpaceDE w:val="0"/>
        <w:autoSpaceDN w:val="0"/>
        <w:adjustRightInd w:val="0"/>
        <w:spacing w:line="420" w:lineRule="exact"/>
        <w:ind w:firstLine="482" w:firstLineChars="200"/>
        <w:jc w:val="left"/>
        <w:rPr>
          <w:rFonts w:hint="eastAsia" w:ascii="宋体" w:hAnsi="宋体" w:cs="仿宋_GB2312"/>
          <w:color w:val="auto"/>
          <w:kern w:val="0"/>
          <w:sz w:val="22"/>
          <w:szCs w:val="22"/>
          <w:highlight w:val="none"/>
          <w:lang w:eastAsia="zh-CN"/>
        </w:rPr>
      </w:pPr>
      <w:r>
        <w:rPr>
          <w:rFonts w:hint="eastAsia" w:cs="仿宋_GB2312"/>
          <w:b/>
          <w:bCs/>
          <w:color w:val="auto"/>
          <w:kern w:val="0"/>
          <w:szCs w:val="21"/>
          <w:highlight w:val="none"/>
          <w:lang w:val="en-US" w:eastAsia="zh-CN"/>
        </w:rPr>
        <w:br w:type="page"/>
      </w:r>
      <w:r>
        <w:rPr>
          <w:rFonts w:hint="eastAsia" w:cs="仿宋_GB2312"/>
          <w:b/>
          <w:bCs/>
          <w:color w:val="auto"/>
          <w:kern w:val="0"/>
          <w:sz w:val="24"/>
          <w:szCs w:val="24"/>
          <w:highlight w:val="none"/>
          <w:lang w:val="en-US" w:eastAsia="zh-CN"/>
        </w:rPr>
        <w:t>附件2</w:t>
      </w:r>
      <w:r>
        <w:rPr>
          <w:rFonts w:hint="eastAsia" w:ascii="宋体" w:hAnsi="宋体" w:cs="仿宋_GB2312"/>
          <w:b/>
          <w:bCs/>
          <w:color w:val="auto"/>
          <w:kern w:val="0"/>
          <w:sz w:val="24"/>
          <w:szCs w:val="24"/>
          <w:highlight w:val="none"/>
          <w:lang w:eastAsia="zh-CN"/>
        </w:rPr>
        <w:t>：</w:t>
      </w:r>
    </w:p>
    <w:p w14:paraId="61586E9C">
      <w:pPr>
        <w:autoSpaceDE w:val="0"/>
        <w:autoSpaceDN w:val="0"/>
        <w:adjustRightInd w:val="0"/>
        <w:spacing w:line="420" w:lineRule="exact"/>
        <w:ind w:firstLine="440" w:firstLineChars="200"/>
        <w:jc w:val="left"/>
        <w:rPr>
          <w:rFonts w:hint="eastAsia" w:ascii="宋体" w:hAnsi="宋体" w:cs="仿宋_GB2312"/>
          <w:color w:val="auto"/>
          <w:kern w:val="0"/>
          <w:sz w:val="22"/>
          <w:szCs w:val="22"/>
          <w:highlight w:val="none"/>
          <w:lang w:eastAsia="zh-CN"/>
        </w:rPr>
      </w:pPr>
    </w:p>
    <w:p w14:paraId="153A2436">
      <w:pPr>
        <w:autoSpaceDE w:val="0"/>
        <w:autoSpaceDN w:val="0"/>
        <w:adjustRightInd w:val="0"/>
        <w:spacing w:line="420" w:lineRule="exact"/>
        <w:ind w:firstLine="643" w:firstLineChars="200"/>
        <w:jc w:val="center"/>
        <w:rPr>
          <w:rFonts w:hint="eastAsia" w:ascii="宋体" w:hAnsi="宋体" w:cs="仿宋_GB2312"/>
          <w:b/>
          <w:bCs/>
          <w:color w:val="auto"/>
          <w:kern w:val="0"/>
          <w:sz w:val="32"/>
          <w:szCs w:val="32"/>
          <w:highlight w:val="none"/>
          <w:lang w:eastAsia="zh-CN"/>
        </w:rPr>
      </w:pPr>
      <w:r>
        <w:rPr>
          <w:rFonts w:hint="eastAsia" w:ascii="宋体" w:hAnsi="宋体" w:cs="仿宋_GB2312"/>
          <w:b/>
          <w:bCs/>
          <w:color w:val="auto"/>
          <w:kern w:val="0"/>
          <w:sz w:val="32"/>
          <w:szCs w:val="32"/>
          <w:highlight w:val="none"/>
          <w:lang w:val="en-US" w:eastAsia="zh-CN"/>
        </w:rPr>
        <w:t>河南省政府采购合同融资政策告知函</w:t>
      </w:r>
    </w:p>
    <w:p w14:paraId="79AA68EF">
      <w:pPr>
        <w:keepNext w:val="0"/>
        <w:keepLines w:val="0"/>
        <w:pageBreakBefore w:val="0"/>
        <w:widowControl w:val="0"/>
        <w:kinsoku/>
        <w:wordWrap w:val="0"/>
        <w:overflowPunct/>
        <w:topLinePunct/>
        <w:autoSpaceDE w:val="0"/>
        <w:autoSpaceDN w:val="0"/>
        <w:bidi w:val="0"/>
        <w:adjustRightInd w:val="0"/>
        <w:snapToGrid/>
        <w:spacing w:line="360" w:lineRule="auto"/>
        <w:ind w:firstLine="440" w:firstLineChars="200"/>
        <w:jc w:val="left"/>
        <w:textAlignment w:val="auto"/>
        <w:rPr>
          <w:rFonts w:hint="eastAsia" w:ascii="宋体" w:hAnsi="宋体" w:cs="仿宋_GB2312"/>
          <w:color w:val="auto"/>
          <w:kern w:val="0"/>
          <w:sz w:val="22"/>
          <w:szCs w:val="22"/>
          <w:highlight w:val="none"/>
          <w:lang w:eastAsia="zh-CN"/>
        </w:rPr>
      </w:pPr>
      <w:r>
        <w:rPr>
          <w:rFonts w:hint="eastAsia" w:ascii="宋体" w:hAnsi="宋体" w:cs="仿宋_GB2312"/>
          <w:color w:val="auto"/>
          <w:kern w:val="0"/>
          <w:sz w:val="22"/>
          <w:szCs w:val="22"/>
          <w:highlight w:val="none"/>
          <w:lang w:val="en-US" w:eastAsia="zh-CN"/>
        </w:rPr>
        <w:t> </w:t>
      </w:r>
    </w:p>
    <w:p w14:paraId="7ACB8D99">
      <w:pPr>
        <w:keepNext w:val="0"/>
        <w:keepLines w:val="0"/>
        <w:pageBreakBefore w:val="0"/>
        <w:widowControl w:val="0"/>
        <w:kinsoku/>
        <w:wordWrap w:val="0"/>
        <w:overflowPunct/>
        <w:topLinePunct/>
        <w:autoSpaceDE w:val="0"/>
        <w:autoSpaceDN w:val="0"/>
        <w:bidi w:val="0"/>
        <w:adjustRightInd w:val="0"/>
        <w:snapToGrid/>
        <w:spacing w:line="360" w:lineRule="auto"/>
        <w:ind w:firstLine="480" w:firstLineChars="200"/>
        <w:jc w:val="left"/>
        <w:textAlignment w:val="auto"/>
        <w:rPr>
          <w:rFonts w:hint="eastAsia" w:ascii="宋体" w:hAnsi="宋体" w:cs="仿宋_GB2312"/>
          <w:color w:val="auto"/>
          <w:kern w:val="0"/>
          <w:sz w:val="24"/>
          <w:szCs w:val="24"/>
          <w:highlight w:val="none"/>
          <w:lang w:eastAsia="zh-CN"/>
        </w:rPr>
      </w:pPr>
      <w:r>
        <w:rPr>
          <w:rFonts w:hint="eastAsia" w:ascii="宋体" w:hAnsi="宋体" w:cs="仿宋_GB2312"/>
          <w:color w:val="auto"/>
          <w:kern w:val="0"/>
          <w:sz w:val="24"/>
          <w:szCs w:val="24"/>
          <w:highlight w:val="none"/>
          <w:lang w:val="en-US" w:eastAsia="zh-CN"/>
        </w:rPr>
        <w:t>各供应商：</w:t>
      </w:r>
    </w:p>
    <w:p w14:paraId="282AD518">
      <w:pPr>
        <w:keepNext w:val="0"/>
        <w:keepLines w:val="0"/>
        <w:pageBreakBefore w:val="0"/>
        <w:widowControl w:val="0"/>
        <w:kinsoku/>
        <w:wordWrap w:val="0"/>
        <w:overflowPunct/>
        <w:topLinePunct/>
        <w:autoSpaceDE w:val="0"/>
        <w:autoSpaceDN w:val="0"/>
        <w:bidi w:val="0"/>
        <w:adjustRightInd w:val="0"/>
        <w:snapToGrid/>
        <w:spacing w:line="360" w:lineRule="auto"/>
        <w:ind w:firstLine="480" w:firstLineChars="200"/>
        <w:jc w:val="left"/>
        <w:textAlignment w:val="auto"/>
        <w:rPr>
          <w:rFonts w:hint="eastAsia" w:ascii="宋体" w:hAnsi="宋体" w:cs="仿宋_GB2312"/>
          <w:color w:val="auto"/>
          <w:kern w:val="0"/>
          <w:sz w:val="24"/>
          <w:szCs w:val="24"/>
          <w:highlight w:val="none"/>
          <w:lang w:eastAsia="zh-CN"/>
        </w:rPr>
      </w:pPr>
      <w:r>
        <w:rPr>
          <w:rFonts w:hint="eastAsia" w:ascii="宋体" w:hAnsi="宋体" w:cs="仿宋_GB2312"/>
          <w:color w:val="auto"/>
          <w:kern w:val="0"/>
          <w:sz w:val="24"/>
          <w:szCs w:val="24"/>
          <w:highlight w:val="none"/>
          <w:lang w:val="en-US" w:eastAsia="zh-CN"/>
        </w:rPr>
        <w:t>欢迎贵公司参与河南省政府采购活动！</w:t>
      </w:r>
    </w:p>
    <w:p w14:paraId="11810578">
      <w:pPr>
        <w:keepNext w:val="0"/>
        <w:keepLines w:val="0"/>
        <w:pageBreakBefore w:val="0"/>
        <w:widowControl w:val="0"/>
        <w:kinsoku/>
        <w:wordWrap w:val="0"/>
        <w:overflowPunct/>
        <w:topLinePunct/>
        <w:autoSpaceDE w:val="0"/>
        <w:autoSpaceDN w:val="0"/>
        <w:bidi w:val="0"/>
        <w:adjustRightInd w:val="0"/>
        <w:snapToGrid/>
        <w:spacing w:line="360" w:lineRule="auto"/>
        <w:ind w:firstLine="480" w:firstLineChars="200"/>
        <w:jc w:val="left"/>
        <w:textAlignment w:val="auto"/>
        <w:rPr>
          <w:rFonts w:hint="eastAsia" w:ascii="宋体" w:hAnsi="宋体" w:cs="仿宋_GB2312"/>
          <w:color w:val="auto"/>
          <w:kern w:val="0"/>
          <w:sz w:val="24"/>
          <w:szCs w:val="24"/>
          <w:highlight w:val="none"/>
          <w:lang w:eastAsia="zh-CN"/>
        </w:rPr>
      </w:pPr>
      <w:r>
        <w:rPr>
          <w:rFonts w:hint="eastAsia" w:ascii="宋体" w:hAnsi="宋体" w:cs="仿宋_GB2312"/>
          <w:color w:val="auto"/>
          <w:kern w:val="0"/>
          <w:sz w:val="24"/>
          <w:szCs w:val="24"/>
          <w:highlight w:val="none"/>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1925DB27">
      <w:pPr>
        <w:keepNext w:val="0"/>
        <w:keepLines w:val="0"/>
        <w:pageBreakBefore w:val="0"/>
        <w:widowControl w:val="0"/>
        <w:kinsoku/>
        <w:wordWrap w:val="0"/>
        <w:overflowPunct/>
        <w:topLinePunct/>
        <w:autoSpaceDE w:val="0"/>
        <w:autoSpaceDN w:val="0"/>
        <w:bidi w:val="0"/>
        <w:adjustRightInd w:val="0"/>
        <w:snapToGrid/>
        <w:spacing w:line="360" w:lineRule="auto"/>
        <w:ind w:firstLine="480" w:firstLineChars="200"/>
        <w:jc w:val="left"/>
        <w:textAlignment w:val="auto"/>
        <w:rPr>
          <w:rFonts w:hint="eastAsia" w:ascii="宋体" w:hAnsi="宋体" w:cs="仿宋_GB2312"/>
          <w:color w:val="auto"/>
          <w:kern w:val="0"/>
          <w:sz w:val="24"/>
          <w:szCs w:val="24"/>
          <w:highlight w:val="none"/>
          <w:lang w:eastAsia="zh-CN"/>
        </w:rPr>
      </w:pPr>
      <w:r>
        <w:rPr>
          <w:rFonts w:hint="eastAsia" w:ascii="宋体" w:hAnsi="宋体" w:cs="仿宋_GB2312"/>
          <w:color w:val="auto"/>
          <w:kern w:val="0"/>
          <w:sz w:val="24"/>
          <w:szCs w:val="24"/>
          <w:highlight w:val="none"/>
          <w:lang w:val="en-US" w:eastAsia="zh-CN"/>
        </w:rPr>
        <w:t>贷款渠道和提供贷款的金融机构，可在河南省政府采购网“河南省政府采购合同融资平台”查询联系。</w:t>
      </w:r>
    </w:p>
    <w:p w14:paraId="00652251">
      <w:pPr>
        <w:autoSpaceDE w:val="0"/>
        <w:autoSpaceDN w:val="0"/>
        <w:adjustRightInd w:val="0"/>
        <w:spacing w:line="420" w:lineRule="exact"/>
        <w:ind w:firstLine="440" w:firstLineChars="200"/>
        <w:jc w:val="left"/>
        <w:rPr>
          <w:rFonts w:hint="eastAsia" w:ascii="宋体" w:hAnsi="宋体" w:cs="仿宋_GB2312"/>
          <w:color w:val="auto"/>
          <w:kern w:val="0"/>
          <w:sz w:val="22"/>
          <w:szCs w:val="22"/>
          <w:highlight w:val="none"/>
          <w:lang w:eastAsia="zh-CN"/>
        </w:rPr>
      </w:pPr>
    </w:p>
    <w:p w14:paraId="061C5775">
      <w:pPr>
        <w:autoSpaceDE w:val="0"/>
        <w:autoSpaceDN w:val="0"/>
        <w:adjustRightInd w:val="0"/>
        <w:snapToGrid w:val="0"/>
        <w:spacing w:line="360" w:lineRule="auto"/>
        <w:ind w:firstLine="480" w:firstLineChars="200"/>
        <w:contextualSpacing/>
        <w:jc w:val="left"/>
        <w:rPr>
          <w:rFonts w:hint="eastAsia" w:ascii="宋体" w:hAnsi="宋体" w:cs="仿宋_GB2312"/>
          <w:color w:val="0000FF"/>
          <w:kern w:val="0"/>
          <w:szCs w:val="21"/>
          <w:highlight w:val="none"/>
        </w:rPr>
      </w:pPr>
    </w:p>
    <w:p w14:paraId="6F9A4723">
      <w:pPr>
        <w:pStyle w:val="22"/>
        <w:rPr>
          <w:rFonts w:hint="eastAsia"/>
          <w:color w:val="0000FF"/>
          <w:highlight w:val="none"/>
        </w:rPr>
      </w:pPr>
    </w:p>
    <w:p w14:paraId="1038C8D2">
      <w:pPr>
        <w:pStyle w:val="22"/>
        <w:rPr>
          <w:color w:val="0000FF"/>
          <w:highlight w:val="none"/>
        </w:rPr>
      </w:pPr>
    </w:p>
    <w:p w14:paraId="0C43F987">
      <w:pPr>
        <w:pStyle w:val="20"/>
        <w:numPr>
          <w:ilvl w:val="0"/>
          <w:numId w:val="13"/>
        </w:numPr>
        <w:spacing w:before="312" w:beforeLines="100" w:after="312" w:afterLines="100" w:line="600" w:lineRule="exact"/>
        <w:jc w:val="center"/>
        <w:outlineLvl w:val="0"/>
        <w:rPr>
          <w:rFonts w:hint="eastAsia" w:ascii="宋体" w:hAnsi="Courier New" w:eastAsia="宋体" w:cs="Courier New"/>
          <w:b/>
          <w:bCs/>
          <w:color w:val="auto"/>
          <w:kern w:val="2"/>
          <w:sz w:val="32"/>
          <w:szCs w:val="32"/>
          <w:highlight w:val="none"/>
          <w:lang w:val="en-US" w:eastAsia="zh-CN" w:bidi="ar-SA"/>
        </w:rPr>
      </w:pPr>
      <w:r>
        <w:rPr>
          <w:rFonts w:hint="eastAsia" w:ascii="宋体" w:hAnsi="Courier New" w:cs="Courier New"/>
          <w:b/>
          <w:bCs/>
          <w:color w:val="auto"/>
          <w:kern w:val="2"/>
          <w:sz w:val="32"/>
          <w:szCs w:val="32"/>
          <w:highlight w:val="none"/>
          <w:lang w:val="en-US" w:eastAsia="zh-CN" w:bidi="ar-SA"/>
        </w:rPr>
        <w:br w:type="page"/>
      </w:r>
      <w:bookmarkEnd w:id="585"/>
      <w:bookmarkStart w:id="587" w:name="_Toc1582"/>
      <w:r>
        <w:rPr>
          <w:rFonts w:hint="eastAsia" w:hAnsi="Courier New" w:cs="Courier New"/>
          <w:b/>
          <w:bCs/>
          <w:color w:val="auto"/>
          <w:kern w:val="2"/>
          <w:sz w:val="32"/>
          <w:szCs w:val="32"/>
          <w:highlight w:val="none"/>
          <w:lang w:val="en-US" w:eastAsia="zh-CN" w:bidi="ar-SA"/>
        </w:rPr>
        <w:t xml:space="preserve"> </w:t>
      </w:r>
      <w:bookmarkEnd w:id="587"/>
      <w:bookmarkStart w:id="588" w:name="_Toc29959"/>
      <w:bookmarkStart w:id="589" w:name="_Toc28021"/>
      <w:r>
        <w:rPr>
          <w:rFonts w:hint="eastAsia" w:ascii="宋体" w:hAnsi="Courier New" w:eastAsia="宋体" w:cs="Courier New"/>
          <w:b/>
          <w:bCs/>
          <w:color w:val="auto"/>
          <w:kern w:val="2"/>
          <w:sz w:val="32"/>
          <w:szCs w:val="32"/>
          <w:highlight w:val="none"/>
          <w:lang w:val="en-US" w:eastAsia="zh-CN" w:bidi="ar-SA"/>
        </w:rPr>
        <w:t>评审办法（综合评分法）</w:t>
      </w:r>
      <w:bookmarkEnd w:id="588"/>
      <w:bookmarkEnd w:id="589"/>
    </w:p>
    <w:tbl>
      <w:tblPr>
        <w:tblStyle w:val="48"/>
        <w:tblW w:w="87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2"/>
        <w:gridCol w:w="87"/>
        <w:gridCol w:w="830"/>
        <w:gridCol w:w="38"/>
        <w:gridCol w:w="1773"/>
        <w:gridCol w:w="333"/>
        <w:gridCol w:w="4996"/>
      </w:tblGrid>
      <w:tr w14:paraId="5AA7D0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1659" w:type="dxa"/>
            <w:gridSpan w:val="3"/>
            <w:tcBorders>
              <w:top w:val="single" w:color="auto" w:sz="4" w:space="0"/>
              <w:bottom w:val="single" w:color="auto" w:sz="4" w:space="0"/>
              <w:right w:val="single" w:color="auto" w:sz="4" w:space="0"/>
            </w:tcBorders>
            <w:noWrap w:val="0"/>
            <w:vAlign w:val="center"/>
          </w:tcPr>
          <w:p w14:paraId="3BE54AC0">
            <w:pPr>
              <w:adjustRightInd w:val="0"/>
              <w:spacing w:line="400" w:lineRule="exact"/>
              <w:jc w:val="center"/>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条款号</w:t>
            </w:r>
          </w:p>
        </w:tc>
        <w:tc>
          <w:tcPr>
            <w:tcW w:w="1811" w:type="dxa"/>
            <w:gridSpan w:val="2"/>
            <w:tcBorders>
              <w:top w:val="single" w:color="auto" w:sz="4" w:space="0"/>
              <w:left w:val="single" w:color="auto" w:sz="4" w:space="0"/>
              <w:bottom w:val="single" w:color="auto" w:sz="4" w:space="0"/>
              <w:right w:val="single" w:color="auto" w:sz="4" w:space="0"/>
            </w:tcBorders>
            <w:noWrap w:val="0"/>
            <w:vAlign w:val="center"/>
          </w:tcPr>
          <w:p w14:paraId="51FE3F0B">
            <w:pPr>
              <w:adjustRightInd w:val="0"/>
              <w:spacing w:line="400" w:lineRule="exact"/>
              <w:jc w:val="center"/>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评审因素</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1278EA5D">
            <w:pPr>
              <w:adjustRightInd w:val="0"/>
              <w:spacing w:line="400" w:lineRule="exact"/>
              <w:jc w:val="center"/>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评审标准</w:t>
            </w:r>
          </w:p>
        </w:tc>
      </w:tr>
      <w:tr w14:paraId="53EE9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restart"/>
            <w:tcBorders>
              <w:top w:val="single" w:color="auto" w:sz="4" w:space="0"/>
              <w:right w:val="single" w:color="auto" w:sz="4" w:space="0"/>
            </w:tcBorders>
            <w:noWrap w:val="0"/>
            <w:vAlign w:val="center"/>
          </w:tcPr>
          <w:p w14:paraId="59B1F897">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2.1.1</w:t>
            </w:r>
          </w:p>
        </w:tc>
        <w:tc>
          <w:tcPr>
            <w:tcW w:w="830" w:type="dxa"/>
            <w:vMerge w:val="restart"/>
            <w:tcBorders>
              <w:top w:val="single" w:color="auto" w:sz="4" w:space="0"/>
              <w:right w:val="single" w:color="auto" w:sz="4" w:space="0"/>
            </w:tcBorders>
            <w:noWrap w:val="0"/>
            <w:vAlign w:val="center"/>
          </w:tcPr>
          <w:p w14:paraId="4E2EDCC6">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符合性评审</w:t>
            </w:r>
          </w:p>
        </w:tc>
        <w:tc>
          <w:tcPr>
            <w:tcW w:w="1811" w:type="dxa"/>
            <w:gridSpan w:val="2"/>
            <w:tcBorders>
              <w:top w:val="single" w:color="auto" w:sz="4" w:space="0"/>
              <w:left w:val="single" w:color="auto" w:sz="4" w:space="0"/>
              <w:bottom w:val="single" w:color="auto" w:sz="4" w:space="0"/>
              <w:right w:val="single" w:color="auto" w:sz="4" w:space="0"/>
            </w:tcBorders>
            <w:noWrap w:val="0"/>
            <w:vAlign w:val="center"/>
          </w:tcPr>
          <w:p w14:paraId="2B4BAF2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名称</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7A247E38">
            <w:pPr>
              <w:rPr>
                <w:rFonts w:hint="eastAsia" w:ascii="宋体" w:hAnsi="宋体" w:eastAsia="宋体" w:cs="宋体"/>
                <w:sz w:val="21"/>
                <w:szCs w:val="21"/>
                <w:highlight w:val="none"/>
              </w:rPr>
            </w:pPr>
            <w:r>
              <w:rPr>
                <w:rFonts w:hint="eastAsia" w:ascii="宋体" w:hAnsi="宋体" w:eastAsia="宋体" w:cs="宋体"/>
                <w:sz w:val="21"/>
                <w:szCs w:val="21"/>
                <w:highlight w:val="none"/>
              </w:rPr>
              <w:t>与营业执照、资质证书一致</w:t>
            </w:r>
          </w:p>
        </w:tc>
      </w:tr>
      <w:tr w14:paraId="720F6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23851CF9">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189A4089">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bottom w:val="single" w:color="auto" w:sz="4" w:space="0"/>
              <w:right w:val="single" w:color="auto" w:sz="4" w:space="0"/>
            </w:tcBorders>
            <w:noWrap w:val="0"/>
            <w:vAlign w:val="center"/>
          </w:tcPr>
          <w:p w14:paraId="76E4A17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响应函签字盖章</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4EC9D2A3">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盖章及法定代表人签章</w:t>
            </w:r>
          </w:p>
        </w:tc>
      </w:tr>
      <w:tr w14:paraId="61C730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bottom w:val="single" w:color="auto" w:sz="4" w:space="0"/>
              <w:right w:val="single" w:color="auto" w:sz="4" w:space="0"/>
            </w:tcBorders>
            <w:noWrap w:val="0"/>
            <w:vAlign w:val="center"/>
          </w:tcPr>
          <w:p w14:paraId="4934DA97">
            <w:pPr>
              <w:pStyle w:val="22"/>
              <w:spacing w:line="240" w:lineRule="atLeast"/>
              <w:jc w:val="center"/>
              <w:rPr>
                <w:rFonts w:hint="eastAsia" w:ascii="宋体" w:hAnsi="宋体" w:eastAsia="宋体" w:cs="宋体"/>
                <w:sz w:val="21"/>
                <w:szCs w:val="21"/>
                <w:highlight w:val="none"/>
              </w:rPr>
            </w:pPr>
          </w:p>
        </w:tc>
        <w:tc>
          <w:tcPr>
            <w:tcW w:w="830" w:type="dxa"/>
            <w:vMerge w:val="continue"/>
            <w:tcBorders>
              <w:bottom w:val="single" w:color="auto" w:sz="4" w:space="0"/>
              <w:right w:val="single" w:color="auto" w:sz="4" w:space="0"/>
            </w:tcBorders>
            <w:noWrap w:val="0"/>
            <w:vAlign w:val="center"/>
          </w:tcPr>
          <w:p w14:paraId="650DDAE0">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bottom w:val="single" w:color="auto" w:sz="4" w:space="0"/>
              <w:right w:val="single" w:color="auto" w:sz="4" w:space="0"/>
            </w:tcBorders>
            <w:noWrap w:val="0"/>
            <w:vAlign w:val="center"/>
          </w:tcPr>
          <w:p w14:paraId="7E81C48F">
            <w:pPr>
              <w:jc w:val="center"/>
              <w:rPr>
                <w:rFonts w:hint="eastAsia" w:ascii="宋体" w:hAnsi="宋体" w:eastAsia="宋体" w:cs="宋体"/>
                <w:bCs/>
                <w:sz w:val="21"/>
                <w:szCs w:val="21"/>
                <w:highlight w:val="none"/>
              </w:rPr>
            </w:pPr>
            <w:r>
              <w:rPr>
                <w:rFonts w:hint="eastAsia" w:ascii="宋体" w:hAnsi="宋体" w:eastAsia="宋体" w:cs="宋体"/>
                <w:sz w:val="21"/>
                <w:szCs w:val="21"/>
                <w:highlight w:val="none"/>
              </w:rPr>
              <w:t>报价唯一</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6216D1EE">
            <w:pPr>
              <w:rPr>
                <w:rFonts w:hint="eastAsia" w:ascii="宋体" w:hAnsi="宋体" w:eastAsia="宋体" w:cs="宋体"/>
                <w:bCs/>
                <w:sz w:val="21"/>
                <w:szCs w:val="21"/>
                <w:highlight w:val="none"/>
              </w:rPr>
            </w:pPr>
            <w:r>
              <w:rPr>
                <w:rFonts w:hint="eastAsia" w:ascii="宋体" w:hAnsi="宋体" w:eastAsia="宋体" w:cs="宋体"/>
                <w:sz w:val="21"/>
                <w:szCs w:val="21"/>
                <w:highlight w:val="none"/>
              </w:rPr>
              <w:t>只能有一个有效报价</w:t>
            </w:r>
          </w:p>
        </w:tc>
      </w:tr>
      <w:tr w14:paraId="4F1626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restart"/>
            <w:tcBorders>
              <w:top w:val="single" w:color="auto" w:sz="4" w:space="0"/>
              <w:right w:val="single" w:color="auto" w:sz="4" w:space="0"/>
            </w:tcBorders>
            <w:noWrap w:val="0"/>
            <w:vAlign w:val="center"/>
          </w:tcPr>
          <w:p w14:paraId="46C49AE4">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2.1.2</w:t>
            </w:r>
          </w:p>
        </w:tc>
        <w:tc>
          <w:tcPr>
            <w:tcW w:w="830" w:type="dxa"/>
            <w:vMerge w:val="restart"/>
            <w:tcBorders>
              <w:top w:val="single" w:color="auto" w:sz="4" w:space="0"/>
              <w:right w:val="single" w:color="auto" w:sz="4" w:space="0"/>
            </w:tcBorders>
            <w:noWrap w:val="0"/>
            <w:vAlign w:val="center"/>
          </w:tcPr>
          <w:p w14:paraId="08193620">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资</w:t>
            </w:r>
          </w:p>
          <w:p w14:paraId="4787BBCC">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格</w:t>
            </w:r>
          </w:p>
          <w:p w14:paraId="132524C1">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w:t>
            </w:r>
          </w:p>
          <w:p w14:paraId="6EBAD380">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审</w:t>
            </w:r>
          </w:p>
          <w:p w14:paraId="1944344C">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标</w:t>
            </w:r>
          </w:p>
          <w:p w14:paraId="689E5503">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准</w:t>
            </w:r>
          </w:p>
        </w:tc>
        <w:tc>
          <w:tcPr>
            <w:tcW w:w="1811" w:type="dxa"/>
            <w:gridSpan w:val="2"/>
            <w:tcBorders>
              <w:top w:val="single" w:color="auto" w:sz="4" w:space="0"/>
              <w:left w:val="single" w:color="auto" w:sz="4" w:space="0"/>
              <w:right w:val="single" w:color="auto" w:sz="4" w:space="0"/>
            </w:tcBorders>
            <w:noWrap w:val="0"/>
            <w:vAlign w:val="center"/>
          </w:tcPr>
          <w:p w14:paraId="2E9B3D61">
            <w:pPr>
              <w:pStyle w:val="22"/>
              <w:widowControl/>
              <w:spacing w:line="240" w:lineRule="atLeast"/>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满足《中华人民共和国政府采购法》第二十二条规定</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2B33959A">
            <w:pPr>
              <w:pStyle w:val="22"/>
              <w:widowControl/>
              <w:spacing w:line="240" w:lineRule="atLeast"/>
              <w:jc w:val="both"/>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提供承诺函</w:t>
            </w:r>
            <w:r>
              <w:rPr>
                <w:rFonts w:hint="eastAsia" w:cs="宋体"/>
                <w:b w:val="0"/>
                <w:bCs w:val="0"/>
                <w:sz w:val="21"/>
                <w:szCs w:val="21"/>
                <w:highlight w:val="none"/>
                <w:lang w:val="en-US" w:eastAsia="zh-CN"/>
              </w:rPr>
              <w:t>，格式自拟</w:t>
            </w:r>
          </w:p>
        </w:tc>
      </w:tr>
      <w:tr w14:paraId="3889B5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0452CCD0">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0F5BE77B">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611B385F">
            <w:pPr>
              <w:pStyle w:val="22"/>
              <w:widowControl/>
              <w:spacing w:line="240" w:lineRule="atLeast"/>
              <w:jc w:val="center"/>
              <w:rPr>
                <w:rFonts w:hint="eastAsia" w:ascii="宋体" w:hAnsi="宋体" w:eastAsia="宋体" w:cs="宋体"/>
                <w:b w:val="0"/>
                <w:bCs w:val="0"/>
                <w:color w:val="000000"/>
                <w:sz w:val="21"/>
                <w:szCs w:val="21"/>
                <w:highlight w:val="none"/>
                <w:lang w:val="en-US" w:eastAsia="zh-CN" w:bidi="ar-SA"/>
              </w:rPr>
            </w:pPr>
            <w:r>
              <w:rPr>
                <w:rFonts w:hint="eastAsia" w:cs="宋体"/>
                <w:b w:val="0"/>
                <w:bCs w:val="0"/>
                <w:color w:val="000000"/>
                <w:sz w:val="21"/>
                <w:szCs w:val="21"/>
                <w:highlight w:val="none"/>
                <w:lang w:val="en-US" w:eastAsia="zh-CN" w:bidi="ar-SA"/>
              </w:rPr>
              <w:t>营业执照</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73EBDE77">
            <w:pPr>
              <w:pStyle w:val="22"/>
              <w:widowControl/>
              <w:spacing w:line="240" w:lineRule="atLeast"/>
              <w:jc w:val="both"/>
              <w:rPr>
                <w:rFonts w:hint="eastAsia" w:ascii="宋体" w:hAnsi="宋体" w:eastAsia="宋体" w:cs="宋体"/>
                <w:b w:val="0"/>
                <w:bCs w:val="0"/>
                <w:color w:val="000000"/>
                <w:sz w:val="21"/>
                <w:szCs w:val="21"/>
                <w:highlight w:val="none"/>
                <w:lang w:val="en-US" w:eastAsia="zh-CN" w:bidi="ar-SA"/>
              </w:rPr>
            </w:pPr>
            <w:r>
              <w:rPr>
                <w:rFonts w:hint="eastAsia" w:cs="宋体"/>
                <w:b w:val="0"/>
                <w:bCs w:val="0"/>
                <w:sz w:val="21"/>
                <w:szCs w:val="21"/>
                <w:highlight w:val="none"/>
                <w:lang w:eastAsia="zh-CN"/>
              </w:rPr>
              <w:t>提供有效的营业执照</w:t>
            </w:r>
          </w:p>
        </w:tc>
      </w:tr>
      <w:tr w14:paraId="57225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2C3329FB">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653BD43D">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237D94DD">
            <w:pPr>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sz w:val="21"/>
                <w:szCs w:val="21"/>
                <w:highlight w:val="none"/>
                <w:lang w:val="en-US" w:eastAsia="zh-CN"/>
              </w:rPr>
              <w:t>企业</w:t>
            </w:r>
            <w:r>
              <w:rPr>
                <w:rFonts w:hint="eastAsia" w:ascii="宋体" w:hAnsi="宋体" w:eastAsia="宋体" w:cs="宋体"/>
                <w:b w:val="0"/>
                <w:bCs w:val="0"/>
                <w:sz w:val="21"/>
                <w:szCs w:val="21"/>
                <w:highlight w:val="none"/>
              </w:rPr>
              <w:t>资质</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5094B3DA">
            <w:pP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具有</w:t>
            </w:r>
            <w:r>
              <w:rPr>
                <w:rFonts w:hint="eastAsia" w:cs="宋体"/>
                <w:b w:val="0"/>
                <w:bCs w:val="0"/>
                <w:sz w:val="21"/>
                <w:szCs w:val="21"/>
                <w:highlight w:val="none"/>
                <w:lang w:val="en-US" w:eastAsia="zh-CN"/>
              </w:rPr>
              <w:t>交通安全设施养护资质</w:t>
            </w:r>
            <w:r>
              <w:rPr>
                <w:rFonts w:hint="eastAsia" w:ascii="宋体" w:hAnsi="宋体" w:eastAsia="宋体" w:cs="宋体"/>
                <w:b w:val="0"/>
                <w:bCs w:val="0"/>
                <w:sz w:val="21"/>
                <w:szCs w:val="21"/>
                <w:highlight w:val="none"/>
                <w:lang w:val="en-US" w:eastAsia="zh-CN"/>
              </w:rPr>
              <w:t>，具有有效的安全生产许可证，并在人员、设备、资金等方面具有相应的施工能力</w:t>
            </w:r>
          </w:p>
        </w:tc>
      </w:tr>
      <w:tr w14:paraId="6C55E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269F1133">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10DCFD1D">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68044D40">
            <w:pPr>
              <w:jc w:val="cente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sz w:val="21"/>
                <w:szCs w:val="21"/>
                <w:highlight w:val="none"/>
              </w:rPr>
              <w:t>项目</w:t>
            </w:r>
            <w:r>
              <w:rPr>
                <w:rFonts w:hint="eastAsia" w:ascii="宋体" w:hAnsi="宋体" w:eastAsia="宋体" w:cs="宋体"/>
                <w:b w:val="0"/>
                <w:bCs w:val="0"/>
                <w:sz w:val="21"/>
                <w:szCs w:val="21"/>
                <w:highlight w:val="none"/>
                <w:lang w:val="en-US" w:eastAsia="zh-CN"/>
              </w:rPr>
              <w:t>经理/项目总工</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6B2B0D00">
            <w:pPr>
              <w:pStyle w:val="43"/>
              <w:keepNext w:val="0"/>
              <w:keepLines w:val="0"/>
              <w:widowControl/>
              <w:suppressLineNumbers w:val="0"/>
              <w:wordWrap w:val="0"/>
              <w:spacing w:before="0" w:beforeAutospacing="0" w:after="0" w:afterAutospacing="0" w:line="360" w:lineRule="auto"/>
              <w:ind w:right="0"/>
              <w:jc w:val="left"/>
              <w:rPr>
                <w:rFonts w:hint="eastAsia" w:ascii="宋体" w:hAnsi="宋体" w:eastAsia="宋体" w:cs="宋体"/>
                <w:b w:val="0"/>
                <w:bCs w:val="0"/>
                <w:color w:val="000000"/>
                <w:kern w:val="0"/>
                <w:sz w:val="21"/>
                <w:szCs w:val="21"/>
                <w:highlight w:val="none"/>
              </w:rPr>
            </w:pPr>
            <w:r>
              <w:rPr>
                <w:rFonts w:hint="eastAsia" w:ascii="宋体" w:hAnsi="宋体" w:eastAsia="宋体" w:cs="宋体"/>
                <w:color w:val="auto"/>
                <w:kern w:val="0"/>
                <w:sz w:val="21"/>
                <w:szCs w:val="21"/>
                <w:highlight w:val="none"/>
                <w:shd w:val="clear" w:color="auto" w:fill="FFFFFF"/>
                <w:lang w:val="en-US" w:eastAsia="zh-CN" w:bidi="ar"/>
              </w:rPr>
              <w:t>拟派项目经理须具备公路工程专业贰级及以上注册建造师资格、具备有效的安全生产考核合格证书并出具项目经理无在建工程承诺书；项目总工应具备相关专业的中级及以上技术职称；</w:t>
            </w:r>
          </w:p>
        </w:tc>
      </w:tr>
      <w:tr w14:paraId="10844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829" w:type="dxa"/>
            <w:gridSpan w:val="2"/>
            <w:vMerge w:val="continue"/>
            <w:tcBorders>
              <w:right w:val="single" w:color="auto" w:sz="4" w:space="0"/>
            </w:tcBorders>
            <w:noWrap w:val="0"/>
            <w:vAlign w:val="center"/>
          </w:tcPr>
          <w:p w14:paraId="76DEE817">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52668D63">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7E47C18F">
            <w:pPr>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sz w:val="21"/>
                <w:szCs w:val="21"/>
                <w:highlight w:val="none"/>
              </w:rPr>
              <w:t>无商业贿赂和不正当竞争行为承诺书</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1C650B6A">
            <w:pP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供应商须自行承诺本企业无商业贿赂和不正当竞争行为</w:t>
            </w:r>
          </w:p>
        </w:tc>
      </w:tr>
      <w:tr w14:paraId="6C3FE0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829" w:type="dxa"/>
            <w:gridSpan w:val="2"/>
            <w:vMerge w:val="continue"/>
            <w:tcBorders>
              <w:right w:val="single" w:color="auto" w:sz="4" w:space="0"/>
            </w:tcBorders>
            <w:noWrap w:val="0"/>
            <w:vAlign w:val="center"/>
          </w:tcPr>
          <w:p w14:paraId="418120CE">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68D50444">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6DC41438">
            <w:pPr>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无行贿犯罪记录</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02F1C783">
            <w:pP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供应商出具无行贿犯罪记录，在中国裁判文书网自行查询或自行承诺(查询/承诺对象：企业、法定代表人、拟派项目经理)；</w:t>
            </w:r>
          </w:p>
        </w:tc>
      </w:tr>
      <w:tr w14:paraId="3D9CA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29" w:type="dxa"/>
            <w:gridSpan w:val="2"/>
            <w:vMerge w:val="continue"/>
            <w:tcBorders>
              <w:right w:val="single" w:color="auto" w:sz="4" w:space="0"/>
            </w:tcBorders>
            <w:noWrap w:val="0"/>
            <w:vAlign w:val="center"/>
          </w:tcPr>
          <w:p w14:paraId="1D5DE661">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06F72DC6">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7A1251D6">
            <w:pPr>
              <w:spacing w:line="240" w:lineRule="exact"/>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信用要求</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0C26B878">
            <w:pP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根据《关于在政府采购活动中查询及使用信用记录有关问题的通知》(财库[2016]125号)的规定，对列入“中国执行信息公开网”网站（http://zxgk.court.gov.cn/shixin/）的“失信被执行人”、“信用中国”网站（www.creditchina.gov.cn）的“重大税收违法失信主体”、“政府采购严重违法失信行为记录名单”及“中国政府采购网”www.ccgp.gov.cn网站的“政府采购严重违法失信行为记录名单”的供应商，将被拒绝参与本项目政府采购活动；供应商须提供查询截图并加盖公章（查询时间为自公告发布之日起至响应文件提交截止时间，在规定的查询时间之后，网站信息发生的任何变更均不再作为评标依据。供应商自行提供的与网站信息不一致的其他证明材料亦不作为资格审查的依据）。</w:t>
            </w:r>
          </w:p>
        </w:tc>
      </w:tr>
      <w:tr w14:paraId="704069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829" w:type="dxa"/>
            <w:gridSpan w:val="2"/>
            <w:vMerge w:val="continue"/>
            <w:tcBorders>
              <w:right w:val="single" w:color="auto" w:sz="4" w:space="0"/>
            </w:tcBorders>
            <w:noWrap w:val="0"/>
            <w:vAlign w:val="center"/>
          </w:tcPr>
          <w:p w14:paraId="2FD81750">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23ADF355">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03DFBBC4">
            <w:pPr>
              <w:spacing w:line="240" w:lineRule="exact"/>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单位负责人为同一人或者存在直接控股、管理关系的不同供应商，不得参加同一合同项下的政府采购活动</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65DEBF03">
            <w:pPr>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提供“国家企业信用信息公示系统”中查询打印的相关材料（需包含公司基础信息、股东及出资信息),查询时间为自公告发布之日起至响应文件提交截止时间</w:t>
            </w:r>
            <w:r>
              <w:rPr>
                <w:rFonts w:hint="eastAsia" w:ascii="宋体" w:hAnsi="宋体" w:eastAsia="宋体" w:cs="宋体"/>
                <w:b w:val="0"/>
                <w:bCs w:val="0"/>
                <w:sz w:val="21"/>
                <w:szCs w:val="21"/>
                <w:highlight w:val="none"/>
                <w:lang w:eastAsia="zh-CN"/>
              </w:rPr>
              <w:t>。</w:t>
            </w:r>
          </w:p>
        </w:tc>
      </w:tr>
      <w:tr w14:paraId="3EBA21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jc w:val="center"/>
        </w:trPr>
        <w:tc>
          <w:tcPr>
            <w:tcW w:w="829" w:type="dxa"/>
            <w:gridSpan w:val="2"/>
            <w:vMerge w:val="continue"/>
            <w:tcBorders>
              <w:right w:val="single" w:color="auto" w:sz="4" w:space="0"/>
            </w:tcBorders>
            <w:noWrap w:val="0"/>
            <w:vAlign w:val="center"/>
          </w:tcPr>
          <w:p w14:paraId="4F23866C">
            <w:pPr>
              <w:pStyle w:val="22"/>
              <w:spacing w:line="240" w:lineRule="atLeast"/>
              <w:jc w:val="center"/>
              <w:rPr>
                <w:rFonts w:hint="eastAsia" w:ascii="宋体" w:hAnsi="宋体" w:eastAsia="宋体" w:cs="宋体"/>
                <w:sz w:val="21"/>
                <w:szCs w:val="21"/>
                <w:highlight w:val="none"/>
              </w:rPr>
            </w:pPr>
          </w:p>
        </w:tc>
        <w:tc>
          <w:tcPr>
            <w:tcW w:w="830" w:type="dxa"/>
            <w:vMerge w:val="continue"/>
            <w:tcBorders>
              <w:right w:val="single" w:color="auto" w:sz="4" w:space="0"/>
            </w:tcBorders>
            <w:noWrap w:val="0"/>
            <w:vAlign w:val="center"/>
          </w:tcPr>
          <w:p w14:paraId="2A811318">
            <w:pPr>
              <w:pStyle w:val="22"/>
              <w:spacing w:line="240" w:lineRule="atLeast"/>
              <w:jc w:val="center"/>
              <w:rPr>
                <w:rFonts w:hint="eastAsia" w:ascii="宋体" w:hAnsi="宋体" w:eastAsia="宋体" w:cs="宋体"/>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72C2BB98">
            <w:pPr>
              <w:jc w:val="cente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其他要求</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2D1210C0">
            <w:pP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见供应商须知前附表1.4.1</w:t>
            </w:r>
          </w:p>
        </w:tc>
      </w:tr>
      <w:tr w14:paraId="35DCA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restart"/>
            <w:tcBorders>
              <w:top w:val="single" w:color="auto" w:sz="4" w:space="0"/>
              <w:right w:val="single" w:color="auto" w:sz="4" w:space="0"/>
            </w:tcBorders>
            <w:noWrap w:val="0"/>
            <w:vAlign w:val="center"/>
          </w:tcPr>
          <w:p w14:paraId="7C30789F">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2.1.3</w:t>
            </w:r>
          </w:p>
        </w:tc>
        <w:tc>
          <w:tcPr>
            <w:tcW w:w="830" w:type="dxa"/>
            <w:vMerge w:val="restart"/>
            <w:tcBorders>
              <w:top w:val="single" w:color="auto" w:sz="4" w:space="0"/>
              <w:right w:val="single" w:color="auto" w:sz="4" w:space="0"/>
            </w:tcBorders>
            <w:noWrap w:val="0"/>
            <w:vAlign w:val="center"/>
          </w:tcPr>
          <w:p w14:paraId="024EADCA">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响</w:t>
            </w:r>
          </w:p>
          <w:p w14:paraId="695DD325">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应</w:t>
            </w:r>
          </w:p>
          <w:p w14:paraId="74EAFE53">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性</w:t>
            </w:r>
          </w:p>
          <w:p w14:paraId="28A45118">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w:t>
            </w:r>
          </w:p>
          <w:p w14:paraId="11F9C25D">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审</w:t>
            </w:r>
          </w:p>
          <w:p w14:paraId="0B5E6541">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标</w:t>
            </w:r>
          </w:p>
          <w:p w14:paraId="5D43A143">
            <w:pPr>
              <w:pStyle w:val="22"/>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准</w:t>
            </w:r>
          </w:p>
        </w:tc>
        <w:tc>
          <w:tcPr>
            <w:tcW w:w="1811" w:type="dxa"/>
            <w:gridSpan w:val="2"/>
            <w:tcBorders>
              <w:top w:val="single" w:color="auto" w:sz="4" w:space="0"/>
              <w:left w:val="single" w:color="auto" w:sz="4" w:space="0"/>
              <w:right w:val="single" w:color="auto" w:sz="4" w:space="0"/>
            </w:tcBorders>
            <w:noWrap w:val="0"/>
            <w:vAlign w:val="center"/>
          </w:tcPr>
          <w:p w14:paraId="43F4A511">
            <w:pPr>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磋商范围</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74EA1134">
            <w:pP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本项目竞争性磋商文件、工程量清单、补充文件及答疑文件（如有）等列明的所有内容</w:t>
            </w:r>
          </w:p>
        </w:tc>
      </w:tr>
      <w:tr w14:paraId="5B3F57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3AD388E9">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6CABC842">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0F60087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计划工期</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7B6E0499">
            <w:pP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lang w:val="en-US" w:eastAsia="zh-CN"/>
              </w:rPr>
              <w:t>50日历天</w:t>
            </w:r>
          </w:p>
        </w:tc>
      </w:tr>
      <w:tr w14:paraId="4BED77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76145FD5">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4FC633A2">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59F23292">
            <w:pPr>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质量要求</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09B665CF">
            <w:pPr>
              <w:pStyle w:val="18"/>
              <w:adjustRightInd/>
              <w:spacing w:after="0" w:line="360" w:lineRule="auto"/>
              <w:ind w:left="63" w:right="63"/>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工程交工验收的质量评定：合格</w:t>
            </w:r>
          </w:p>
          <w:p w14:paraId="29981065">
            <w:pPr>
              <w:pStyle w:val="18"/>
              <w:adjustRightInd/>
              <w:spacing w:after="0" w:line="360" w:lineRule="auto"/>
              <w:ind w:left="63" w:right="63"/>
              <w:jc w:val="both"/>
              <w:textAlignment w:val="auto"/>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竣工验收的质量评定：优良。</w:t>
            </w:r>
          </w:p>
        </w:tc>
      </w:tr>
      <w:tr w14:paraId="7B6A0A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3670D409">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44A0D65D">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50452C1B">
            <w:pPr>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磋商有效期</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3035EAE8">
            <w:pP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磋商截止之日起60日历天</w:t>
            </w:r>
          </w:p>
        </w:tc>
      </w:tr>
      <w:tr w14:paraId="50531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0A27AE32">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3743E3B2">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635C6912">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响应报价</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5936B612">
            <w:pPr>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响应报价</w:t>
            </w:r>
            <w:r>
              <w:rPr>
                <w:rFonts w:hint="eastAsia" w:ascii="宋体" w:hAnsi="宋体" w:eastAsia="宋体" w:cs="宋体"/>
                <w:sz w:val="21"/>
                <w:szCs w:val="21"/>
                <w:highlight w:val="none"/>
              </w:rPr>
              <w:t>在规定的报价要求范围之内，未超出控制价</w:t>
            </w:r>
          </w:p>
        </w:tc>
      </w:tr>
      <w:tr w14:paraId="3CDE3C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29" w:type="dxa"/>
            <w:gridSpan w:val="2"/>
            <w:vMerge w:val="continue"/>
            <w:tcBorders>
              <w:right w:val="single" w:color="auto" w:sz="4" w:space="0"/>
            </w:tcBorders>
            <w:noWrap w:val="0"/>
            <w:vAlign w:val="center"/>
          </w:tcPr>
          <w:p w14:paraId="66A2B96A">
            <w:pPr>
              <w:adjustRightInd w:val="0"/>
              <w:spacing w:line="360" w:lineRule="auto"/>
              <w:jc w:val="center"/>
              <w:textAlignment w:val="baseline"/>
              <w:rPr>
                <w:rFonts w:hint="eastAsia" w:ascii="宋体" w:hAnsi="宋体" w:eastAsia="宋体" w:cs="宋体"/>
                <w:color w:val="000000"/>
                <w:sz w:val="21"/>
                <w:szCs w:val="21"/>
                <w:highlight w:val="none"/>
              </w:rPr>
            </w:pPr>
          </w:p>
        </w:tc>
        <w:tc>
          <w:tcPr>
            <w:tcW w:w="830" w:type="dxa"/>
            <w:vMerge w:val="continue"/>
            <w:tcBorders>
              <w:right w:val="single" w:color="auto" w:sz="4" w:space="0"/>
            </w:tcBorders>
            <w:noWrap w:val="0"/>
            <w:vAlign w:val="center"/>
          </w:tcPr>
          <w:p w14:paraId="6307C003">
            <w:pPr>
              <w:adjustRightInd w:val="0"/>
              <w:spacing w:line="360" w:lineRule="auto"/>
              <w:jc w:val="center"/>
              <w:textAlignment w:val="baseline"/>
              <w:rPr>
                <w:rFonts w:hint="eastAsia" w:ascii="宋体" w:hAnsi="宋体" w:eastAsia="宋体" w:cs="宋体"/>
                <w:color w:val="000000"/>
                <w:kern w:val="0"/>
                <w:sz w:val="21"/>
                <w:szCs w:val="21"/>
                <w:highlight w:val="none"/>
              </w:rPr>
            </w:pPr>
          </w:p>
        </w:tc>
        <w:tc>
          <w:tcPr>
            <w:tcW w:w="1811" w:type="dxa"/>
            <w:gridSpan w:val="2"/>
            <w:tcBorders>
              <w:top w:val="single" w:color="auto" w:sz="4" w:space="0"/>
              <w:left w:val="single" w:color="auto" w:sz="4" w:space="0"/>
              <w:right w:val="single" w:color="auto" w:sz="4" w:space="0"/>
            </w:tcBorders>
            <w:noWrap w:val="0"/>
            <w:vAlign w:val="center"/>
          </w:tcPr>
          <w:p w14:paraId="6586DE11">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其他要求</w:t>
            </w:r>
          </w:p>
        </w:tc>
        <w:tc>
          <w:tcPr>
            <w:tcW w:w="5329" w:type="dxa"/>
            <w:gridSpan w:val="2"/>
            <w:tcBorders>
              <w:top w:val="single" w:color="auto" w:sz="4" w:space="0"/>
              <w:left w:val="single" w:color="auto" w:sz="4" w:space="0"/>
              <w:bottom w:val="single" w:color="auto" w:sz="4" w:space="0"/>
              <w:right w:val="single" w:color="auto" w:sz="4" w:space="0"/>
            </w:tcBorders>
            <w:noWrap w:val="0"/>
            <w:vAlign w:val="center"/>
          </w:tcPr>
          <w:p w14:paraId="04B08066">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响应竞争性磋商文件</w:t>
            </w:r>
            <w:r>
              <w:rPr>
                <w:rFonts w:hint="eastAsia" w:ascii="宋体" w:hAnsi="宋体" w:eastAsia="宋体" w:cs="宋体"/>
                <w:sz w:val="21"/>
                <w:szCs w:val="21"/>
                <w:highlight w:val="none"/>
                <w:lang w:val="en-US" w:eastAsia="zh-CN"/>
              </w:rPr>
              <w:t>其他实质性</w:t>
            </w:r>
            <w:r>
              <w:rPr>
                <w:rFonts w:hint="eastAsia" w:ascii="宋体" w:hAnsi="宋体" w:eastAsia="宋体" w:cs="宋体"/>
                <w:sz w:val="21"/>
                <w:szCs w:val="21"/>
                <w:highlight w:val="none"/>
                <w:lang w:eastAsia="zh-CN"/>
              </w:rPr>
              <w:t>要求</w:t>
            </w:r>
          </w:p>
        </w:tc>
      </w:tr>
      <w:tr w14:paraId="2A6E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799" w:type="dxa"/>
            <w:gridSpan w:val="7"/>
            <w:noWrap w:val="0"/>
            <w:vAlign w:val="center"/>
          </w:tcPr>
          <w:p w14:paraId="2E8068AB">
            <w:pPr>
              <w:snapToGrid w:val="0"/>
              <w:spacing w:line="360" w:lineRule="auto"/>
              <w:ind w:firstLine="367" w:firstLineChars="175"/>
              <w:rPr>
                <w:rFonts w:hint="eastAsia" w:ascii="宋体" w:hAnsi="宋体" w:eastAsia="宋体" w:cs="宋体"/>
                <w:sz w:val="21"/>
                <w:szCs w:val="21"/>
                <w:highlight w:val="none"/>
              </w:rPr>
            </w:pPr>
            <w:r>
              <w:rPr>
                <w:rFonts w:hint="eastAsia" w:ascii="宋体" w:hAnsi="宋体" w:eastAsia="宋体" w:cs="宋体"/>
                <w:sz w:val="21"/>
                <w:szCs w:val="21"/>
                <w:highlight w:val="none"/>
              </w:rPr>
              <w:t>2.2在评审过程中，凡遇到磋商文件中无界定或界定不清、前后不一致使磋商小组意见有分歧且又难于协商一致的问题，均由磋商小组予以表决，获半数以上同意的即为通过，未获半数同意的即为否决。</w:t>
            </w:r>
          </w:p>
        </w:tc>
      </w:tr>
      <w:tr w14:paraId="5398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97" w:type="dxa"/>
            <w:gridSpan w:val="4"/>
            <w:noWrap w:val="0"/>
            <w:vAlign w:val="center"/>
          </w:tcPr>
          <w:p w14:paraId="3DA235B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2106" w:type="dxa"/>
            <w:gridSpan w:val="2"/>
            <w:noWrap w:val="0"/>
            <w:vAlign w:val="center"/>
          </w:tcPr>
          <w:p w14:paraId="35E376A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条款内容</w:t>
            </w:r>
          </w:p>
        </w:tc>
        <w:tc>
          <w:tcPr>
            <w:tcW w:w="4996" w:type="dxa"/>
            <w:noWrap w:val="0"/>
            <w:vAlign w:val="center"/>
          </w:tcPr>
          <w:p w14:paraId="7967A5E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编列内容</w:t>
            </w:r>
          </w:p>
        </w:tc>
      </w:tr>
      <w:tr w14:paraId="795C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697" w:type="dxa"/>
            <w:gridSpan w:val="4"/>
            <w:noWrap w:val="0"/>
            <w:vAlign w:val="center"/>
          </w:tcPr>
          <w:p w14:paraId="5EFF0EC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2.2.1</w:t>
            </w:r>
          </w:p>
        </w:tc>
        <w:tc>
          <w:tcPr>
            <w:tcW w:w="2106" w:type="dxa"/>
            <w:gridSpan w:val="2"/>
            <w:noWrap w:val="0"/>
            <w:vAlign w:val="center"/>
          </w:tcPr>
          <w:p w14:paraId="7BF841E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分值构成</w:t>
            </w:r>
          </w:p>
          <w:p w14:paraId="7BF351F5">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（总分100分）</w:t>
            </w:r>
          </w:p>
        </w:tc>
        <w:tc>
          <w:tcPr>
            <w:tcW w:w="4996" w:type="dxa"/>
            <w:noWrap w:val="0"/>
            <w:vAlign w:val="center"/>
          </w:tcPr>
          <w:p w14:paraId="353736FB">
            <w:pP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响应报价</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30</w:t>
            </w:r>
            <w:r>
              <w:rPr>
                <w:rFonts w:hint="eastAsia" w:ascii="宋体" w:hAnsi="宋体" w:eastAsia="宋体" w:cs="宋体"/>
                <w:kern w:val="0"/>
                <w:sz w:val="21"/>
                <w:szCs w:val="21"/>
                <w:highlight w:val="none"/>
              </w:rPr>
              <w:t>分</w:t>
            </w:r>
          </w:p>
          <w:p w14:paraId="606D2D69">
            <w:pP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技术标：</w:t>
            </w:r>
            <w:r>
              <w:rPr>
                <w:rFonts w:hint="eastAsia" w:ascii="宋体" w:hAnsi="宋体" w:eastAsia="宋体" w:cs="宋体"/>
                <w:kern w:val="0"/>
                <w:sz w:val="21"/>
                <w:szCs w:val="21"/>
                <w:highlight w:val="none"/>
                <w:lang w:val="en-US" w:eastAsia="zh-CN"/>
              </w:rPr>
              <w:t>40</w:t>
            </w:r>
            <w:r>
              <w:rPr>
                <w:rFonts w:hint="eastAsia" w:ascii="宋体" w:hAnsi="宋体" w:eastAsia="宋体" w:cs="宋体"/>
                <w:kern w:val="0"/>
                <w:sz w:val="21"/>
                <w:szCs w:val="21"/>
                <w:highlight w:val="none"/>
              </w:rPr>
              <w:t>分</w:t>
            </w:r>
          </w:p>
          <w:p w14:paraId="79E32472">
            <w:pP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商务标：</w:t>
            </w:r>
            <w:r>
              <w:rPr>
                <w:rFonts w:hint="eastAsia" w:ascii="宋体" w:hAnsi="宋体" w:eastAsia="宋体" w:cs="宋体"/>
                <w:kern w:val="0"/>
                <w:sz w:val="21"/>
                <w:szCs w:val="21"/>
                <w:highlight w:val="none"/>
                <w:lang w:val="en-US" w:eastAsia="zh-CN"/>
              </w:rPr>
              <w:t>30</w:t>
            </w:r>
            <w:r>
              <w:rPr>
                <w:rFonts w:hint="eastAsia" w:ascii="宋体" w:hAnsi="宋体" w:eastAsia="宋体" w:cs="宋体"/>
                <w:kern w:val="0"/>
                <w:sz w:val="21"/>
                <w:szCs w:val="21"/>
                <w:highlight w:val="none"/>
              </w:rPr>
              <w:t>分</w:t>
            </w:r>
          </w:p>
        </w:tc>
      </w:tr>
      <w:tr w14:paraId="3E20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697" w:type="dxa"/>
            <w:gridSpan w:val="4"/>
            <w:noWrap w:val="0"/>
            <w:vAlign w:val="center"/>
          </w:tcPr>
          <w:p w14:paraId="23B566F5">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2106" w:type="dxa"/>
            <w:gridSpan w:val="2"/>
            <w:noWrap w:val="0"/>
            <w:vAlign w:val="center"/>
          </w:tcPr>
          <w:p w14:paraId="3124D04E">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评分因素</w:t>
            </w:r>
          </w:p>
        </w:tc>
        <w:tc>
          <w:tcPr>
            <w:tcW w:w="4996" w:type="dxa"/>
            <w:noWrap w:val="0"/>
            <w:vAlign w:val="center"/>
          </w:tcPr>
          <w:p w14:paraId="62A88FCD">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评分标准</w:t>
            </w:r>
          </w:p>
        </w:tc>
      </w:tr>
      <w:tr w14:paraId="0BBD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2" w:type="dxa"/>
            <w:noWrap w:val="0"/>
            <w:vAlign w:val="center"/>
          </w:tcPr>
          <w:p w14:paraId="40DB2BAD">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2.2.2</w:t>
            </w:r>
          </w:p>
          <w:p w14:paraId="6D589A79">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955" w:type="dxa"/>
            <w:gridSpan w:val="3"/>
            <w:noWrap w:val="0"/>
            <w:vAlign w:val="center"/>
          </w:tcPr>
          <w:p w14:paraId="474A481E">
            <w:pPr>
              <w:pStyle w:val="22"/>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w:t>
            </w:r>
          </w:p>
          <w:p w14:paraId="5228FA35">
            <w:pPr>
              <w:pStyle w:val="22"/>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报价评</w:t>
            </w:r>
          </w:p>
          <w:p w14:paraId="2DC43603">
            <w:pPr>
              <w:pStyle w:val="22"/>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分标准</w:t>
            </w:r>
          </w:p>
          <w:p w14:paraId="5C1F8DD4">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分</w:t>
            </w:r>
          </w:p>
        </w:tc>
        <w:tc>
          <w:tcPr>
            <w:tcW w:w="2106" w:type="dxa"/>
            <w:gridSpan w:val="2"/>
            <w:noWrap w:val="0"/>
            <w:vAlign w:val="center"/>
          </w:tcPr>
          <w:p w14:paraId="5760C667">
            <w:pPr>
              <w:spacing w:line="360" w:lineRule="auto"/>
              <w:jc w:val="center"/>
              <w:rPr>
                <w:rFonts w:hint="eastAsia" w:ascii="宋体" w:hAnsi="宋体" w:eastAsia="宋体" w:cs="宋体"/>
                <w:sz w:val="21"/>
                <w:szCs w:val="21"/>
                <w:highlight w:val="none"/>
              </w:rPr>
            </w:pPr>
          </w:p>
          <w:p w14:paraId="307A0770">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最后</w:t>
            </w:r>
            <w:r>
              <w:rPr>
                <w:rFonts w:hint="eastAsia" w:ascii="宋体" w:hAnsi="宋体" w:eastAsia="宋体" w:cs="宋体"/>
                <w:sz w:val="21"/>
                <w:szCs w:val="21"/>
                <w:highlight w:val="none"/>
                <w:lang w:eastAsia="zh-CN"/>
              </w:rPr>
              <w:t>响应报价</w:t>
            </w:r>
            <w:r>
              <w:rPr>
                <w:rFonts w:hint="eastAsia" w:ascii="宋体" w:hAnsi="宋体" w:eastAsia="宋体" w:cs="宋体"/>
                <w:sz w:val="21"/>
                <w:szCs w:val="21"/>
                <w:highlight w:val="none"/>
              </w:rPr>
              <w:t>得分</w:t>
            </w:r>
          </w:p>
          <w:p w14:paraId="2144C167">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分）</w:t>
            </w:r>
          </w:p>
          <w:p w14:paraId="684DA8EA">
            <w:pPr>
              <w:spacing w:line="360" w:lineRule="auto"/>
              <w:jc w:val="center"/>
              <w:rPr>
                <w:rFonts w:hint="eastAsia" w:ascii="宋体" w:hAnsi="宋体" w:eastAsia="宋体" w:cs="宋体"/>
                <w:sz w:val="21"/>
                <w:szCs w:val="21"/>
                <w:highlight w:val="none"/>
              </w:rPr>
            </w:pPr>
          </w:p>
        </w:tc>
        <w:tc>
          <w:tcPr>
            <w:tcW w:w="4996" w:type="dxa"/>
            <w:noWrap w:val="0"/>
            <w:vAlign w:val="center"/>
          </w:tcPr>
          <w:p w14:paraId="5A919494">
            <w:pPr>
              <w:keepNext w:val="0"/>
              <w:keepLines w:val="0"/>
              <w:pageBreakBefore w:val="0"/>
              <w:widowControl w:val="0"/>
              <w:kinsoku/>
              <w:overflowPunct/>
              <w:autoSpaceDE/>
              <w:autoSpaceDN/>
              <w:bidi w:val="0"/>
              <w:adjustRightInd w:val="0"/>
              <w:spacing w:line="360" w:lineRule="auto"/>
              <w:ind w:firstLine="48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价格分统一采用低价优先法计算，既满足磋商文件要求</w:t>
            </w:r>
            <w:r>
              <w:rPr>
                <w:rFonts w:hint="eastAsia" w:ascii="宋体" w:hAnsi="宋体" w:eastAsia="宋体" w:cs="宋体"/>
                <w:b w:val="0"/>
                <w:bCs w:val="0"/>
                <w:color w:val="auto"/>
                <w:sz w:val="21"/>
                <w:szCs w:val="21"/>
                <w:highlight w:val="none"/>
              </w:rPr>
              <w:t>且最终</w:t>
            </w:r>
            <w:r>
              <w:rPr>
                <w:rFonts w:hint="eastAsia" w:ascii="宋体" w:hAnsi="宋体" w:eastAsia="宋体" w:cs="宋体"/>
                <w:b w:val="0"/>
                <w:bCs w:val="0"/>
                <w:color w:val="auto"/>
                <w:sz w:val="21"/>
                <w:szCs w:val="21"/>
                <w:highlight w:val="none"/>
                <w:lang w:eastAsia="zh-CN"/>
              </w:rPr>
              <w:t>评审</w:t>
            </w:r>
            <w:r>
              <w:rPr>
                <w:rFonts w:hint="eastAsia" w:ascii="宋体" w:hAnsi="宋体" w:eastAsia="宋体" w:cs="宋体"/>
                <w:b w:val="0"/>
                <w:bCs w:val="0"/>
                <w:color w:val="auto"/>
                <w:sz w:val="21"/>
                <w:szCs w:val="21"/>
                <w:highlight w:val="none"/>
              </w:rPr>
              <w:t>报价最低的为评标基准价，</w:t>
            </w:r>
            <w:r>
              <w:rPr>
                <w:rFonts w:hint="eastAsia" w:ascii="宋体" w:hAnsi="宋体" w:eastAsia="宋体" w:cs="宋体"/>
                <w:color w:val="auto"/>
                <w:sz w:val="21"/>
                <w:szCs w:val="21"/>
                <w:highlight w:val="none"/>
              </w:rPr>
              <w:t>其价格分为满分。其他供应商的价格分统一按照下列公式计算：</w:t>
            </w:r>
          </w:p>
          <w:p w14:paraId="4B2FA236">
            <w:pPr>
              <w:keepNext w:val="0"/>
              <w:keepLines w:val="0"/>
              <w:pageBreakBefore w:val="0"/>
              <w:widowControl w:val="0"/>
              <w:kinsoku/>
              <w:overflowPunct/>
              <w:autoSpaceDE/>
              <w:autoSpaceDN/>
              <w:bidi w:val="0"/>
              <w:adjustRightInd w:val="0"/>
              <w:spacing w:line="360" w:lineRule="auto"/>
              <w:ind w:firstLine="48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供应商报价得分=（评标基准价/供应商最终</w:t>
            </w:r>
            <w:r>
              <w:rPr>
                <w:rFonts w:hint="eastAsia" w:ascii="宋体" w:hAnsi="宋体" w:eastAsia="宋体" w:cs="宋体"/>
                <w:color w:val="auto"/>
                <w:sz w:val="21"/>
                <w:szCs w:val="21"/>
                <w:highlight w:val="none"/>
                <w:lang w:eastAsia="zh-CN"/>
              </w:rPr>
              <w:t>评审报价</w:t>
            </w:r>
            <w:r>
              <w:rPr>
                <w:rFonts w:hint="eastAsia" w:ascii="宋体" w:hAnsi="宋体" w:eastAsia="宋体" w:cs="宋体"/>
                <w:color w:val="auto"/>
                <w:sz w:val="21"/>
                <w:szCs w:val="21"/>
                <w:highlight w:val="none"/>
              </w:rPr>
              <w:t>）×30</w:t>
            </w:r>
          </w:p>
          <w:p w14:paraId="78038FFD">
            <w:pPr>
              <w:keepNext w:val="0"/>
              <w:keepLines w:val="0"/>
              <w:pageBreakBefore w:val="0"/>
              <w:widowControl w:val="0"/>
              <w:kinsoku/>
              <w:overflowPunct/>
              <w:autoSpaceDE/>
              <w:autoSpaceDN/>
              <w:bidi w:val="0"/>
              <w:adjustRightInd w:val="0"/>
              <w:spacing w:line="360" w:lineRule="auto"/>
              <w:ind w:firstLine="480"/>
              <w:jc w:val="both"/>
              <w:textAlignment w:val="baseline"/>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eastAsia="zh-CN"/>
              </w:rPr>
              <w:t>如供应商为小微企业，供应商最终评审报价=供应商最终响应报价×（1-3%）；非小微企业供应商最终评审报价=供应商最终响应报价。</w:t>
            </w:r>
          </w:p>
          <w:p w14:paraId="3DEE9CC5">
            <w:pPr>
              <w:keepNext w:val="0"/>
              <w:keepLines w:val="0"/>
              <w:pageBreakBefore w:val="0"/>
              <w:widowControl w:val="0"/>
              <w:kinsoku/>
              <w:overflowPunct/>
              <w:autoSpaceDE/>
              <w:autoSpaceDN/>
              <w:bidi w:val="0"/>
              <w:adjustRightInd w:val="0"/>
              <w:spacing w:line="360" w:lineRule="auto"/>
              <w:ind w:firstLine="48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注：根据《政府采购促进中小企业发展管理办法》（财库﹝2020﹞46 号）的规定，对小型、微型企业承建的价格给予3%～5%的扣除，用扣除后的价格参与评审，本项目的扣除比例为：小型企业扣除3%，微型企业扣除3%。监狱企业和残疾人福利性单位属于小型、微型企业的，不重复享受政策。</w:t>
            </w:r>
          </w:p>
          <w:p w14:paraId="2769444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应在响应文件提供《中小企业声明函》，并同时满足小微企业划分标准，否则不予认可。监狱企业应当在响应文件中提供由省级以上监狱管理局、戒毒管理局(含新疆生产建设兵团)出具的属于监狱企业的证明文件。残疾人福利性单位应当在响应文件中提供《残疾人福利性单位声明函》。</w:t>
            </w:r>
          </w:p>
          <w:p w14:paraId="61A57681">
            <w:pPr>
              <w:keepNext w:val="0"/>
              <w:keepLines w:val="0"/>
              <w:pageBreakBefore w:val="0"/>
              <w:widowControl w:val="0"/>
              <w:numPr>
                <w:ilvl w:val="0"/>
                <w:numId w:val="0"/>
              </w:numPr>
              <w:kinsoku/>
              <w:overflowPunct/>
              <w:autoSpaceDE/>
              <w:autoSpaceDN/>
              <w:bidi w:val="0"/>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磋商小组认为供应商的报价明显低于其他通过符合性审查供应商的报价，有可能影响</w:t>
            </w:r>
            <w:r>
              <w:rPr>
                <w:rFonts w:hint="eastAsia" w:ascii="宋体" w:hAnsi="宋体" w:eastAsia="宋体" w:cs="宋体"/>
                <w:sz w:val="21"/>
                <w:szCs w:val="21"/>
                <w:highlight w:val="none"/>
                <w:lang w:val="en-US" w:eastAsia="zh-CN"/>
              </w:rPr>
              <w:t>工程</w:t>
            </w:r>
            <w:r>
              <w:rPr>
                <w:rFonts w:hint="eastAsia" w:ascii="宋体" w:hAnsi="宋体" w:eastAsia="宋体" w:cs="宋体"/>
                <w:sz w:val="21"/>
                <w:szCs w:val="21"/>
                <w:highlight w:val="none"/>
                <w:lang w:eastAsia="zh-CN"/>
              </w:rPr>
              <w:t>质量或者不能诚信履约的，应当要求其在评标现场合理的时间内提供书面说明，必要时提交相关证明材料；供应商不能证明其报价合理性的，磋商小组应当将其作为无效报价处理。</w:t>
            </w:r>
          </w:p>
          <w:p w14:paraId="01B1F276">
            <w:pPr>
              <w:keepNext w:val="0"/>
              <w:keepLines w:val="0"/>
              <w:pageBreakBefore w:val="0"/>
              <w:widowControl w:val="0"/>
              <w:kinsoku/>
              <w:overflowPunct/>
              <w:autoSpaceDE/>
              <w:autoSpaceDN/>
              <w:bidi w:val="0"/>
              <w:spacing w:line="360" w:lineRule="auto"/>
              <w:rPr>
                <w:rFonts w:hint="eastAsia" w:ascii="宋体" w:hAnsi="宋体" w:eastAsia="宋体" w:cs="宋体"/>
                <w:sz w:val="21"/>
                <w:szCs w:val="21"/>
                <w:highlight w:val="none"/>
                <w:lang w:eastAsia="zh-CN"/>
              </w:rPr>
            </w:pPr>
            <w:r>
              <w:rPr>
                <w:rFonts w:hint="eastAsia" w:ascii="宋体" w:hAnsi="宋体" w:eastAsia="宋体" w:cs="宋体"/>
                <w:b w:val="0"/>
                <w:bCs w:val="0"/>
                <w:color w:val="auto"/>
                <w:kern w:val="2"/>
                <w:sz w:val="21"/>
                <w:szCs w:val="21"/>
                <w:highlight w:val="none"/>
                <w:lang w:val="en-US" w:eastAsia="zh-CN" w:bidi="ar-SA"/>
              </w:rPr>
              <w:t>说明：对于供应商为小型和微型企业以扣除后的报价参与价格分计算，但不作为成交价和合同签约价</w:t>
            </w:r>
            <w:r>
              <w:rPr>
                <w:rFonts w:hint="eastAsia" w:ascii="宋体" w:hAnsi="宋体" w:eastAsia="宋体" w:cs="宋体"/>
                <w:sz w:val="21"/>
                <w:szCs w:val="21"/>
                <w:highlight w:val="none"/>
                <w:lang w:eastAsia="zh-CN"/>
              </w:rPr>
              <w:t>。</w:t>
            </w:r>
          </w:p>
        </w:tc>
      </w:tr>
      <w:tr w14:paraId="4B3B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42" w:type="dxa"/>
            <w:vMerge w:val="restart"/>
            <w:noWrap w:val="0"/>
            <w:vAlign w:val="center"/>
          </w:tcPr>
          <w:p w14:paraId="04FCB19D">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2.2.2</w:t>
            </w:r>
          </w:p>
          <w:p w14:paraId="53A91153">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955" w:type="dxa"/>
            <w:gridSpan w:val="3"/>
            <w:vMerge w:val="restart"/>
            <w:noWrap w:val="0"/>
            <w:vAlign w:val="center"/>
          </w:tcPr>
          <w:p w14:paraId="30091984">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技术标 </w:t>
            </w:r>
            <w:r>
              <w:rPr>
                <w:rFonts w:hint="eastAsia" w:ascii="宋体" w:hAnsi="宋体" w:eastAsia="宋体" w:cs="宋体"/>
                <w:sz w:val="21"/>
                <w:szCs w:val="21"/>
                <w:highlight w:val="none"/>
                <w:lang w:val="en-US" w:eastAsia="zh-CN"/>
              </w:rPr>
              <w:t>40</w:t>
            </w:r>
            <w:r>
              <w:rPr>
                <w:rFonts w:hint="eastAsia" w:ascii="宋体" w:hAnsi="宋体" w:eastAsia="宋体" w:cs="宋体"/>
                <w:sz w:val="21"/>
                <w:szCs w:val="21"/>
                <w:highlight w:val="none"/>
              </w:rPr>
              <w:t>分</w:t>
            </w:r>
          </w:p>
          <w:p w14:paraId="46B8238C">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666921C9">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总体施工组织布置及规划（0-</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tc>
        <w:tc>
          <w:tcPr>
            <w:tcW w:w="4996" w:type="dxa"/>
            <w:noWrap w:val="0"/>
            <w:vAlign w:val="center"/>
          </w:tcPr>
          <w:p w14:paraId="189F9C73">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根据总体施工组织布置及规划的详实程度及可实施性打分：内容</w:t>
            </w:r>
            <w:r>
              <w:rPr>
                <w:rFonts w:hint="eastAsia" w:ascii="宋体" w:hAnsi="宋体" w:eastAsia="宋体" w:cs="宋体"/>
                <w:sz w:val="21"/>
                <w:szCs w:val="21"/>
                <w:highlight w:val="none"/>
                <w:lang w:val="en-US" w:eastAsia="zh-CN"/>
              </w:rPr>
              <w:t>完整，</w:t>
            </w:r>
            <w:r>
              <w:rPr>
                <w:rFonts w:hint="eastAsia" w:ascii="宋体" w:hAnsi="宋体" w:eastAsia="宋体" w:cs="宋体"/>
                <w:sz w:val="21"/>
                <w:szCs w:val="21"/>
                <w:highlight w:val="none"/>
                <w:lang w:eastAsia="zh-CN"/>
              </w:rPr>
              <w:t>针对性强，切实可行的得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分；内容基本完整，针对性一般，基本切实可行的，得2分；</w:t>
            </w:r>
          </w:p>
          <w:p w14:paraId="3367A5B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未提供者不得分。</w:t>
            </w:r>
          </w:p>
        </w:tc>
      </w:tr>
      <w:tr w14:paraId="704B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42" w:type="dxa"/>
            <w:vMerge w:val="continue"/>
            <w:noWrap w:val="0"/>
            <w:vAlign w:val="center"/>
          </w:tcPr>
          <w:p w14:paraId="3649F442">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6DEF83CD">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0128749F">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主要施工方案与技术措施（0-</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分）</w:t>
            </w:r>
          </w:p>
        </w:tc>
        <w:tc>
          <w:tcPr>
            <w:tcW w:w="4996" w:type="dxa"/>
            <w:noWrap w:val="0"/>
            <w:vAlign w:val="center"/>
          </w:tcPr>
          <w:p w14:paraId="29E8DDC0">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施工方案（含工程特点、施工重点与难点及绿色施工）总体安排合理，运用先进、合理的施工工艺、施工机械；对施工难点有先进和合理的建议，</w:t>
            </w:r>
            <w:r>
              <w:rPr>
                <w:rFonts w:hint="eastAsia" w:ascii="宋体" w:hAnsi="宋体" w:eastAsia="宋体" w:cs="宋体"/>
                <w:sz w:val="21"/>
                <w:szCs w:val="21"/>
                <w:highlight w:val="none"/>
                <w:lang w:val="en-US" w:eastAsia="zh-CN"/>
              </w:rPr>
              <w:t>得6分；</w:t>
            </w:r>
          </w:p>
          <w:p w14:paraId="3FC9D03C">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施工方案（含工程特点、施工重点与难点及绿色施工）总体安排合理，施工工艺、施工机械合理、可行；对施工难点有合理的建议，</w:t>
            </w:r>
            <w:r>
              <w:rPr>
                <w:rFonts w:hint="eastAsia" w:ascii="宋体" w:hAnsi="宋体" w:eastAsia="宋体" w:cs="宋体"/>
                <w:sz w:val="21"/>
                <w:szCs w:val="21"/>
                <w:highlight w:val="none"/>
                <w:lang w:val="en-US" w:eastAsia="zh-CN"/>
              </w:rPr>
              <w:t>得3分；</w:t>
            </w:r>
          </w:p>
          <w:p w14:paraId="2D5639F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施工方案总体安排简略、欠完善的</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得 1分</w:t>
            </w:r>
            <w:r>
              <w:rPr>
                <w:rFonts w:hint="eastAsia" w:cs="宋体"/>
                <w:sz w:val="21"/>
                <w:szCs w:val="21"/>
                <w:highlight w:val="none"/>
                <w:lang w:val="en-US" w:eastAsia="zh-CN"/>
              </w:rPr>
              <w:t>；</w:t>
            </w:r>
          </w:p>
          <w:p w14:paraId="62D89130">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未提供者不得分。</w:t>
            </w:r>
          </w:p>
        </w:tc>
      </w:tr>
      <w:tr w14:paraId="705E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42" w:type="dxa"/>
            <w:vMerge w:val="continue"/>
            <w:noWrap w:val="0"/>
            <w:vAlign w:val="center"/>
          </w:tcPr>
          <w:p w14:paraId="0B2C7475">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1039A8D9">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38254E1D">
            <w:pPr>
              <w:spacing w:line="360" w:lineRule="auto"/>
              <w:jc w:val="center"/>
              <w:rPr>
                <w:rFonts w:hint="eastAsia" w:ascii="宋体" w:hAnsi="宋体" w:eastAsia="宋体" w:cs="宋体"/>
                <w:sz w:val="21"/>
                <w:szCs w:val="21"/>
                <w:highlight w:val="none"/>
              </w:rPr>
            </w:pPr>
            <w:r>
              <w:rPr>
                <w:rFonts w:hint="eastAsia" w:cs="宋体"/>
                <w:sz w:val="21"/>
                <w:szCs w:val="21"/>
                <w:highlight w:val="none"/>
                <w:lang w:val="en-US" w:eastAsia="zh-CN"/>
              </w:rPr>
              <w:t>治理</w:t>
            </w:r>
            <w:r>
              <w:rPr>
                <w:rFonts w:hint="eastAsia" w:ascii="宋体" w:hAnsi="宋体" w:eastAsia="宋体" w:cs="宋体"/>
                <w:sz w:val="21"/>
                <w:szCs w:val="21"/>
                <w:highlight w:val="none"/>
              </w:rPr>
              <w:t>工程作业方案</w:t>
            </w:r>
          </w:p>
          <w:p w14:paraId="54E719E9">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tc>
        <w:tc>
          <w:tcPr>
            <w:tcW w:w="4996" w:type="dxa"/>
            <w:noWrap w:val="0"/>
            <w:vAlign w:val="center"/>
          </w:tcPr>
          <w:p w14:paraId="241FB3A7">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进度安排</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，平面布置</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，主要作业方法，交通疏导方案</w:t>
            </w:r>
            <w:r>
              <w:rPr>
                <w:rFonts w:hint="eastAsia" w:ascii="宋体" w:hAnsi="宋体" w:eastAsia="宋体" w:cs="宋体"/>
                <w:sz w:val="21"/>
                <w:szCs w:val="21"/>
                <w:highlight w:val="none"/>
                <w:lang w:val="en-US" w:eastAsia="zh-CN"/>
              </w:rPr>
              <w:t>完整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定期检查切实可行的得4分；</w:t>
            </w:r>
          </w:p>
          <w:p w14:paraId="1409AEC2">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进度安排</w:t>
            </w:r>
            <w:r>
              <w:rPr>
                <w:rFonts w:hint="eastAsia" w:ascii="宋体" w:hAnsi="宋体" w:eastAsia="宋体" w:cs="宋体"/>
                <w:sz w:val="21"/>
                <w:szCs w:val="21"/>
                <w:highlight w:val="none"/>
                <w:lang w:val="en-US" w:eastAsia="zh-CN"/>
              </w:rPr>
              <w:t>基本合理</w:t>
            </w:r>
            <w:r>
              <w:rPr>
                <w:rFonts w:hint="eastAsia" w:ascii="宋体" w:hAnsi="宋体" w:eastAsia="宋体" w:cs="宋体"/>
                <w:sz w:val="21"/>
                <w:szCs w:val="21"/>
                <w:highlight w:val="none"/>
                <w:lang w:eastAsia="zh-CN"/>
              </w:rPr>
              <w:t>，平面布置</w:t>
            </w:r>
            <w:r>
              <w:rPr>
                <w:rFonts w:hint="eastAsia" w:ascii="宋体" w:hAnsi="宋体" w:eastAsia="宋体" w:cs="宋体"/>
                <w:sz w:val="21"/>
                <w:szCs w:val="21"/>
                <w:highlight w:val="none"/>
                <w:lang w:val="en-US" w:eastAsia="zh-CN"/>
              </w:rPr>
              <w:t>基本合理</w:t>
            </w:r>
            <w:r>
              <w:rPr>
                <w:rFonts w:hint="eastAsia" w:ascii="宋体" w:hAnsi="宋体" w:eastAsia="宋体" w:cs="宋体"/>
                <w:sz w:val="21"/>
                <w:szCs w:val="21"/>
                <w:highlight w:val="none"/>
                <w:lang w:eastAsia="zh-CN"/>
              </w:rPr>
              <w:t>，主要作业方法，交通疏导方案</w:t>
            </w:r>
            <w:r>
              <w:rPr>
                <w:rFonts w:hint="eastAsia" w:ascii="宋体" w:hAnsi="宋体" w:eastAsia="宋体" w:cs="宋体"/>
                <w:sz w:val="21"/>
                <w:szCs w:val="21"/>
                <w:highlight w:val="none"/>
                <w:lang w:val="en-US" w:eastAsia="zh-CN"/>
              </w:rPr>
              <w:t>基本完整，定期检查基本切实可行的，得2分；</w:t>
            </w:r>
          </w:p>
          <w:p w14:paraId="0A6F748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进度安排</w:t>
            </w:r>
            <w:r>
              <w:rPr>
                <w:rFonts w:hint="eastAsia" w:cs="宋体"/>
                <w:sz w:val="21"/>
                <w:szCs w:val="21"/>
                <w:highlight w:val="none"/>
                <w:lang w:eastAsia="zh-CN"/>
              </w:rPr>
              <w:t>、</w:t>
            </w:r>
            <w:r>
              <w:rPr>
                <w:rFonts w:hint="eastAsia" w:ascii="宋体" w:hAnsi="宋体" w:eastAsia="宋体" w:cs="宋体"/>
                <w:sz w:val="21"/>
                <w:szCs w:val="21"/>
                <w:highlight w:val="none"/>
                <w:lang w:eastAsia="zh-CN"/>
              </w:rPr>
              <w:t>平面布置</w:t>
            </w:r>
            <w:r>
              <w:rPr>
                <w:rFonts w:hint="eastAsia" w:cs="宋体"/>
                <w:sz w:val="21"/>
                <w:szCs w:val="21"/>
                <w:highlight w:val="none"/>
                <w:lang w:eastAsia="zh-CN"/>
              </w:rPr>
              <w:t>、</w:t>
            </w:r>
            <w:r>
              <w:rPr>
                <w:rFonts w:hint="eastAsia" w:ascii="宋体" w:hAnsi="宋体" w:eastAsia="宋体" w:cs="宋体"/>
                <w:sz w:val="21"/>
                <w:szCs w:val="21"/>
                <w:highlight w:val="none"/>
                <w:lang w:eastAsia="zh-CN"/>
              </w:rPr>
              <w:t>主要作业方法、交通疏导方案</w:t>
            </w:r>
            <w:r>
              <w:rPr>
                <w:rFonts w:hint="eastAsia" w:ascii="宋体" w:hAnsi="宋体" w:eastAsia="宋体" w:cs="宋体"/>
                <w:sz w:val="21"/>
                <w:szCs w:val="21"/>
                <w:highlight w:val="none"/>
                <w:lang w:val="en-US" w:eastAsia="zh-CN"/>
              </w:rPr>
              <w:t>简略、欠完善的得</w:t>
            </w:r>
            <w:r>
              <w:rPr>
                <w:rFonts w:hint="eastAsia" w:cs="宋体"/>
                <w:sz w:val="21"/>
                <w:szCs w:val="21"/>
                <w:highlight w:val="none"/>
                <w:lang w:val="en-US" w:eastAsia="zh-CN"/>
              </w:rPr>
              <w:t>1</w:t>
            </w:r>
            <w:r>
              <w:rPr>
                <w:rFonts w:hint="eastAsia" w:ascii="宋体" w:hAnsi="宋体" w:eastAsia="宋体" w:cs="宋体"/>
                <w:sz w:val="21"/>
                <w:szCs w:val="21"/>
                <w:highlight w:val="none"/>
                <w:lang w:val="en-US" w:eastAsia="zh-CN"/>
              </w:rPr>
              <w:t>分</w:t>
            </w:r>
            <w:r>
              <w:rPr>
                <w:rFonts w:hint="eastAsia" w:cs="宋体"/>
                <w:sz w:val="21"/>
                <w:szCs w:val="21"/>
                <w:highlight w:val="none"/>
                <w:lang w:val="en-US" w:eastAsia="zh-CN"/>
              </w:rPr>
              <w:t>；</w:t>
            </w:r>
          </w:p>
          <w:p w14:paraId="00A44B68">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未提供者不得分。</w:t>
            </w:r>
          </w:p>
        </w:tc>
      </w:tr>
      <w:tr w14:paraId="2006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42" w:type="dxa"/>
            <w:vMerge w:val="continue"/>
            <w:noWrap w:val="0"/>
            <w:vAlign w:val="center"/>
          </w:tcPr>
          <w:p w14:paraId="1BACA049">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2704E6FB">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346CA54B">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工期保证措施</w:t>
            </w:r>
          </w:p>
          <w:p w14:paraId="411B5F48">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tc>
        <w:tc>
          <w:tcPr>
            <w:tcW w:w="4996" w:type="dxa"/>
            <w:noWrap w:val="0"/>
            <w:vAlign w:val="center"/>
          </w:tcPr>
          <w:p w14:paraId="5C1E7884">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工期承诺满足竞争性磋商文件要求，工期保证措施合理且有针对性，有具体的违约责任承诺，得4分；</w:t>
            </w:r>
          </w:p>
          <w:p w14:paraId="1F08B323">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工期承诺满足竞争性磋商文件要求，工期保证措施基本合理，有具体的违约责任承诺，得</w:t>
            </w:r>
            <w:r>
              <w:rPr>
                <w:rFonts w:hint="eastAsia" w:cs="宋体"/>
                <w:sz w:val="21"/>
                <w:szCs w:val="21"/>
                <w:highlight w:val="none"/>
                <w:lang w:val="en-US" w:eastAsia="zh-CN"/>
              </w:rPr>
              <w:t>2</w:t>
            </w:r>
            <w:r>
              <w:rPr>
                <w:rFonts w:hint="eastAsia" w:ascii="宋体" w:hAnsi="宋体" w:eastAsia="宋体" w:cs="宋体"/>
                <w:sz w:val="21"/>
                <w:szCs w:val="21"/>
                <w:highlight w:val="none"/>
                <w:lang w:val="en-US" w:eastAsia="zh-CN"/>
              </w:rPr>
              <w:t>分；</w:t>
            </w:r>
          </w:p>
          <w:p w14:paraId="07CA3604">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工期承诺</w:t>
            </w:r>
            <w:r>
              <w:rPr>
                <w:rFonts w:hint="eastAsia" w:cs="宋体"/>
                <w:sz w:val="21"/>
                <w:szCs w:val="21"/>
                <w:highlight w:val="none"/>
                <w:lang w:val="en-US" w:eastAsia="zh-CN"/>
              </w:rPr>
              <w:t>基本</w:t>
            </w:r>
            <w:r>
              <w:rPr>
                <w:rFonts w:hint="eastAsia" w:ascii="宋体" w:hAnsi="宋体" w:eastAsia="宋体" w:cs="宋体"/>
                <w:sz w:val="21"/>
                <w:szCs w:val="21"/>
                <w:highlight w:val="none"/>
                <w:lang w:val="en-US" w:eastAsia="zh-CN"/>
              </w:rPr>
              <w:t xml:space="preserve">满足竞争性磋商文件要求，工期保证措施简略、欠完善得 </w:t>
            </w:r>
            <w:r>
              <w:rPr>
                <w:rFonts w:hint="eastAsia" w:cs="宋体"/>
                <w:sz w:val="21"/>
                <w:szCs w:val="21"/>
                <w:highlight w:val="none"/>
                <w:lang w:val="en-US" w:eastAsia="zh-CN"/>
              </w:rPr>
              <w:t>1</w:t>
            </w:r>
            <w:r>
              <w:rPr>
                <w:rFonts w:hint="eastAsia" w:ascii="宋体" w:hAnsi="宋体" w:eastAsia="宋体" w:cs="宋体"/>
                <w:sz w:val="21"/>
                <w:szCs w:val="21"/>
                <w:highlight w:val="none"/>
                <w:lang w:val="en-US" w:eastAsia="zh-CN"/>
              </w:rPr>
              <w:t xml:space="preserve"> 分</w:t>
            </w:r>
            <w:r>
              <w:rPr>
                <w:rFonts w:hint="eastAsia" w:cs="宋体"/>
                <w:sz w:val="21"/>
                <w:szCs w:val="21"/>
                <w:highlight w:val="none"/>
                <w:lang w:val="en-US" w:eastAsia="zh-CN"/>
              </w:rPr>
              <w:t>；</w:t>
            </w:r>
          </w:p>
          <w:p w14:paraId="2A715810">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未提供者不得分。</w:t>
            </w:r>
          </w:p>
        </w:tc>
      </w:tr>
      <w:tr w14:paraId="430E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42" w:type="dxa"/>
            <w:vMerge w:val="continue"/>
            <w:noWrap w:val="0"/>
            <w:vAlign w:val="center"/>
          </w:tcPr>
          <w:p w14:paraId="7F29E3E0">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446B4D0C">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7EE6C901">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质量管理体系与措施（0-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w:t>
            </w:r>
          </w:p>
        </w:tc>
        <w:tc>
          <w:tcPr>
            <w:tcW w:w="4996" w:type="dxa"/>
            <w:noWrap w:val="0"/>
            <w:vAlign w:val="center"/>
          </w:tcPr>
          <w:p w14:paraId="357C560C">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组织机构形式合理，有完善的指挥系统、质量监控系统、联络协调系统，对项目提出先进、可行、具体的保证措施，得5分；</w:t>
            </w:r>
          </w:p>
          <w:p w14:paraId="7D7BC3DD">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组织机构形式基本合理，指挥系统、质量监控系统、联络协调系统，具体措施可行。质量保证措施经济、安全、基本可行，得3分；</w:t>
            </w:r>
          </w:p>
          <w:p w14:paraId="53959CC7">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织机构形式不太明确，措施简略、欠完善的</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得 1 分；</w:t>
            </w:r>
          </w:p>
          <w:p w14:paraId="4D2BD6D2">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sz w:val="21"/>
                <w:szCs w:val="21"/>
                <w:highlight w:val="none"/>
                <w:lang w:val="en-US" w:eastAsia="zh-CN"/>
              </w:rPr>
              <w:t>未提供者不得分。</w:t>
            </w:r>
          </w:p>
        </w:tc>
      </w:tr>
      <w:tr w14:paraId="60CC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742" w:type="dxa"/>
            <w:vMerge w:val="continue"/>
            <w:noWrap w:val="0"/>
            <w:vAlign w:val="center"/>
          </w:tcPr>
          <w:p w14:paraId="32A2EFCE">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5ECE06E9">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704621C2">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安全管理体系与措施（0-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w:t>
            </w:r>
          </w:p>
        </w:tc>
        <w:tc>
          <w:tcPr>
            <w:tcW w:w="4996" w:type="dxa"/>
            <w:noWrap w:val="0"/>
            <w:vAlign w:val="center"/>
          </w:tcPr>
          <w:p w14:paraId="24D9A573">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施工安全生产保障体系健全，安全管理制度完善，安全管理目标具体，全员安全责任制明确，现场安全管理组织机构。根据工程特点、施工工艺，现场重大危险源辨识全面，明确有相应的安全管理措施。安全技术方案措施科学合理、先进可行，得5分；</w:t>
            </w:r>
          </w:p>
          <w:p w14:paraId="37D3F8CB">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有施工安全生产保障体系、安全责任制和安全管理制度，现场安全管理机构。根据工程特点、施工工艺，正确识别现场重大危险源并有相应的安全防护管理措施。安全技术方案、措施基本可行，得3分；</w:t>
            </w:r>
          </w:p>
          <w:p w14:paraId="637E9820">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安全管理体系和措施简略、欠完善的得 1分；</w:t>
            </w:r>
          </w:p>
          <w:p w14:paraId="0B97046F">
            <w:pPr>
              <w:spacing w:line="360" w:lineRule="auto"/>
              <w:rPr>
                <w:rFonts w:hint="eastAsia" w:ascii="宋体" w:hAnsi="宋体" w:eastAsia="宋体" w:cs="宋体"/>
                <w:b/>
                <w:bCs/>
                <w:color w:val="auto"/>
                <w:sz w:val="21"/>
                <w:szCs w:val="21"/>
                <w:highlight w:val="none"/>
              </w:rPr>
            </w:pPr>
            <w:r>
              <w:rPr>
                <w:rFonts w:hint="eastAsia" w:ascii="宋体" w:hAnsi="宋体" w:eastAsia="宋体" w:cs="宋体"/>
                <w:sz w:val="21"/>
                <w:szCs w:val="21"/>
                <w:highlight w:val="none"/>
                <w:lang w:val="en-US" w:eastAsia="zh-CN"/>
              </w:rPr>
              <w:t>未提供者不得分。</w:t>
            </w:r>
          </w:p>
        </w:tc>
      </w:tr>
      <w:tr w14:paraId="23D6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42" w:type="dxa"/>
            <w:vMerge w:val="continue"/>
            <w:noWrap w:val="0"/>
            <w:vAlign w:val="center"/>
          </w:tcPr>
          <w:p w14:paraId="032C51FA">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2BC6364E">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63180E04">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拟投入资源配备计划（0-</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tc>
        <w:tc>
          <w:tcPr>
            <w:tcW w:w="4996" w:type="dxa"/>
            <w:noWrap w:val="0"/>
            <w:vAlign w:val="center"/>
          </w:tcPr>
          <w:p w14:paraId="389B2F1F">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机械：投入计划与进度计划呼应，采用先进机械设备且配置合理、先进，满足安全技术规范和施工进度需要；劳动力：投入计划与进度计划呼应，较好满足施工需要，调配投入计划合理、准确；主要物资计划：主要物资投入计划与进度计划呼应，较好满足施工需要，调配投入计划合理、准确。得4分；</w:t>
            </w:r>
          </w:p>
          <w:p w14:paraId="77D30AD5">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机械：投入计划与进度计划呼应，机械设备配置基本合理，满足安全技术规范和施工进度需要；劳动力：投入计划与进度计划呼应，基本满足施工需要，调配投入计划基本合理；主要物资计划：主要物资投入计划与进度计划呼应，基本满足施工需要，调配投入计划基本合理。得2分；</w:t>
            </w:r>
          </w:p>
          <w:p w14:paraId="2C8398DD">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机械、劳动力、主要物资投入计划简略、欠完善</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得 1 分；</w:t>
            </w:r>
          </w:p>
          <w:p w14:paraId="7B4BB88E">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未提供者不得分。</w:t>
            </w:r>
          </w:p>
        </w:tc>
      </w:tr>
      <w:tr w14:paraId="6C73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42" w:type="dxa"/>
            <w:vMerge w:val="continue"/>
            <w:noWrap w:val="0"/>
            <w:vAlign w:val="center"/>
          </w:tcPr>
          <w:p w14:paraId="44BED4C5">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2A7C1027">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5399A0DF">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文明施工、环境保护管理体系及施工现场扬尘治理措施</w:t>
            </w:r>
          </w:p>
          <w:p w14:paraId="1AE9E375">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（0-5分）</w:t>
            </w:r>
          </w:p>
        </w:tc>
        <w:tc>
          <w:tcPr>
            <w:tcW w:w="4996" w:type="dxa"/>
            <w:noWrap w:val="0"/>
            <w:vAlign w:val="center"/>
          </w:tcPr>
          <w:p w14:paraId="3E5AE17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有针对项目实际情况，科学可行的创建计划和符合相关标准、规范、规程的创建保证措施和安全文明措施费用投入使用计划，现场施工区设置科学规范，符合有关文明施工、健康卫生的规定：</w:t>
            </w:r>
            <w:r>
              <w:rPr>
                <w:rFonts w:hint="eastAsia" w:ascii="宋体" w:hAnsi="宋体" w:eastAsia="宋体" w:cs="宋体"/>
                <w:sz w:val="21"/>
                <w:szCs w:val="21"/>
                <w:highlight w:val="none"/>
                <w:lang w:eastAsia="zh-CN"/>
              </w:rPr>
              <w:t>内容</w:t>
            </w:r>
            <w:r>
              <w:rPr>
                <w:rFonts w:hint="eastAsia" w:ascii="宋体" w:hAnsi="宋体" w:eastAsia="宋体" w:cs="宋体"/>
                <w:sz w:val="21"/>
                <w:szCs w:val="21"/>
                <w:highlight w:val="none"/>
                <w:lang w:val="en-US" w:eastAsia="zh-CN"/>
              </w:rPr>
              <w:t>完整、措施合理、切实可行的，得5分；</w:t>
            </w:r>
          </w:p>
          <w:p w14:paraId="4A4FBED2">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内容基本完整、</w:t>
            </w:r>
            <w:r>
              <w:rPr>
                <w:rFonts w:hint="eastAsia" w:ascii="宋体" w:hAnsi="宋体" w:eastAsia="宋体" w:cs="宋体"/>
                <w:sz w:val="21"/>
                <w:szCs w:val="21"/>
                <w:highlight w:val="none"/>
                <w:lang w:val="en-US" w:eastAsia="zh-CN"/>
              </w:rPr>
              <w:t>措施基本合理、可行的，得3分；</w:t>
            </w:r>
          </w:p>
          <w:p w14:paraId="0D9D75B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内容、</w:t>
            </w:r>
            <w:r>
              <w:rPr>
                <w:rFonts w:hint="eastAsia" w:ascii="宋体" w:hAnsi="宋体" w:eastAsia="宋体" w:cs="宋体"/>
                <w:sz w:val="21"/>
                <w:szCs w:val="21"/>
                <w:highlight w:val="none"/>
                <w:lang w:val="en-US" w:eastAsia="zh-CN"/>
              </w:rPr>
              <w:t>措施简略、欠完善的</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得 1 分；</w:t>
            </w:r>
          </w:p>
          <w:p w14:paraId="446ADB0F">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未提供者不得分。</w:t>
            </w:r>
          </w:p>
        </w:tc>
      </w:tr>
      <w:tr w14:paraId="694E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42" w:type="dxa"/>
            <w:vMerge w:val="continue"/>
            <w:noWrap w:val="0"/>
            <w:vAlign w:val="center"/>
          </w:tcPr>
          <w:p w14:paraId="249FA86E">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0C4C7386">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7766459A">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风险管理措施</w:t>
            </w:r>
          </w:p>
          <w:p w14:paraId="71168594">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（0-3分）</w:t>
            </w:r>
          </w:p>
        </w:tc>
        <w:tc>
          <w:tcPr>
            <w:tcW w:w="4996" w:type="dxa"/>
            <w:noWrap w:val="0"/>
            <w:vAlign w:val="center"/>
          </w:tcPr>
          <w:p w14:paraId="525B5357">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风险防控管理措施齐全，风险预控符合规范要求，风险控制要点定位准确，各阶段风险控制及应急措施得力，得3分；</w:t>
            </w:r>
          </w:p>
          <w:p w14:paraId="30678122">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风险防控管理措施基本齐全，风险预控符合规范要求，风险控制要点定位基本准确，有各阶段风险控制及应急措施，得2分；</w:t>
            </w:r>
          </w:p>
          <w:p w14:paraId="5E0BD787">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措施简略、欠完善的得1分；</w:t>
            </w:r>
          </w:p>
          <w:p w14:paraId="46A928B2">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未提供者不得分。</w:t>
            </w:r>
          </w:p>
        </w:tc>
      </w:tr>
      <w:tr w14:paraId="7BC8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42" w:type="dxa"/>
            <w:vMerge w:val="restart"/>
            <w:noWrap w:val="0"/>
            <w:vAlign w:val="center"/>
          </w:tcPr>
          <w:p w14:paraId="6FF83ED5">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2.2.2</w:t>
            </w:r>
          </w:p>
          <w:p w14:paraId="247B9BFC">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955" w:type="dxa"/>
            <w:gridSpan w:val="3"/>
            <w:vMerge w:val="restart"/>
            <w:noWrap w:val="0"/>
            <w:vAlign w:val="center"/>
          </w:tcPr>
          <w:p w14:paraId="7B316D2B">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商务标</w:t>
            </w:r>
          </w:p>
          <w:p w14:paraId="1CEF09F1">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分</w:t>
            </w:r>
          </w:p>
        </w:tc>
        <w:tc>
          <w:tcPr>
            <w:tcW w:w="2106" w:type="dxa"/>
            <w:gridSpan w:val="2"/>
            <w:noWrap w:val="0"/>
            <w:vAlign w:val="center"/>
          </w:tcPr>
          <w:p w14:paraId="4A811711">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主要人员</w:t>
            </w:r>
          </w:p>
          <w:p w14:paraId="04B1F250">
            <w:pPr>
              <w:spacing w:line="36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0-10分</w:t>
            </w:r>
            <w:r>
              <w:rPr>
                <w:rFonts w:hint="eastAsia" w:ascii="宋体" w:hAnsi="宋体" w:eastAsia="宋体" w:cs="宋体"/>
                <w:sz w:val="21"/>
                <w:szCs w:val="21"/>
                <w:highlight w:val="none"/>
                <w:lang w:eastAsia="zh-CN"/>
              </w:rPr>
              <w:t>）</w:t>
            </w:r>
          </w:p>
        </w:tc>
        <w:tc>
          <w:tcPr>
            <w:tcW w:w="4996" w:type="dxa"/>
            <w:noWrap w:val="0"/>
            <w:vAlign w:val="center"/>
          </w:tcPr>
          <w:p w14:paraId="41167029">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val="zh-CN"/>
              </w:rPr>
              <w:t>.项目经理具有公路工程相关中级职称或一级建造师（公路工程）的加2分；</w:t>
            </w:r>
          </w:p>
          <w:p w14:paraId="14A0AA88">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.总工具有相关专业高级职称或二级</w:t>
            </w:r>
            <w:r>
              <w:rPr>
                <w:rFonts w:hint="eastAsia" w:cs="宋体"/>
                <w:sz w:val="21"/>
                <w:szCs w:val="21"/>
                <w:highlight w:val="none"/>
                <w:lang w:val="en-US" w:eastAsia="zh-CN"/>
              </w:rPr>
              <w:t>及以上</w:t>
            </w:r>
            <w:r>
              <w:rPr>
                <w:rFonts w:hint="eastAsia" w:ascii="宋体" w:hAnsi="宋体" w:eastAsia="宋体" w:cs="宋体"/>
                <w:sz w:val="21"/>
                <w:szCs w:val="21"/>
                <w:highlight w:val="none"/>
                <w:lang w:val="zh-CN"/>
              </w:rPr>
              <w:t>建造师（公路工程）的加2分。</w:t>
            </w:r>
          </w:p>
          <w:p w14:paraId="422988D0">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val="zh-CN"/>
              </w:rPr>
              <w:t>.项目经理或总工自</w:t>
            </w:r>
            <w:r>
              <w:rPr>
                <w:rFonts w:hint="eastAsia" w:cs="宋体"/>
                <w:sz w:val="21"/>
                <w:szCs w:val="21"/>
                <w:highlight w:val="none"/>
                <w:lang w:val="en-US" w:eastAsia="zh-CN"/>
              </w:rPr>
              <w:t>2022</w:t>
            </w:r>
            <w:r>
              <w:rPr>
                <w:rFonts w:hint="eastAsia" w:ascii="宋体" w:hAnsi="宋体" w:eastAsia="宋体" w:cs="宋体"/>
                <w:sz w:val="21"/>
                <w:szCs w:val="21"/>
                <w:highlight w:val="none"/>
                <w:lang w:val="zh-CN"/>
              </w:rPr>
              <w:t>年1月1日起完成过类似业绩，每提供一个业绩的得6分，最多得6分；（时间以合同签订日期为准，需提供合同协议书）；</w:t>
            </w:r>
          </w:p>
        </w:tc>
      </w:tr>
      <w:tr w14:paraId="72FE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42" w:type="dxa"/>
            <w:vMerge w:val="continue"/>
            <w:noWrap w:val="0"/>
            <w:vAlign w:val="center"/>
          </w:tcPr>
          <w:p w14:paraId="70939DAB">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6E729B2F">
            <w:pPr>
              <w:spacing w:line="360" w:lineRule="auto"/>
              <w:jc w:val="center"/>
              <w:rPr>
                <w:rFonts w:hint="eastAsia" w:ascii="宋体" w:hAnsi="宋体" w:eastAsia="宋体" w:cs="宋体"/>
                <w:sz w:val="21"/>
                <w:szCs w:val="21"/>
                <w:highlight w:val="none"/>
              </w:rPr>
            </w:pPr>
          </w:p>
        </w:tc>
        <w:tc>
          <w:tcPr>
            <w:tcW w:w="2106" w:type="dxa"/>
            <w:gridSpan w:val="2"/>
            <w:noWrap w:val="0"/>
            <w:vAlign w:val="center"/>
          </w:tcPr>
          <w:p w14:paraId="238A42A3">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企业业绩</w:t>
            </w:r>
          </w:p>
          <w:p w14:paraId="1174E5E7">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（0-10分）</w:t>
            </w:r>
          </w:p>
        </w:tc>
        <w:tc>
          <w:tcPr>
            <w:tcW w:w="4996" w:type="dxa"/>
            <w:noWrap w:val="0"/>
            <w:vAlign w:val="center"/>
          </w:tcPr>
          <w:p w14:paraId="6D42DDE3">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自</w:t>
            </w:r>
            <w:r>
              <w:rPr>
                <w:rFonts w:hint="eastAsia" w:cs="宋体"/>
                <w:sz w:val="21"/>
                <w:szCs w:val="21"/>
                <w:highlight w:val="none"/>
                <w:lang w:val="en-US" w:eastAsia="zh-CN"/>
              </w:rPr>
              <w:t>2022</w:t>
            </w:r>
            <w:r>
              <w:rPr>
                <w:rFonts w:hint="eastAsia" w:ascii="宋体" w:hAnsi="宋体" w:eastAsia="宋体" w:cs="宋体"/>
                <w:sz w:val="21"/>
                <w:szCs w:val="21"/>
                <w:highlight w:val="none"/>
                <w:lang w:val="zh-CN"/>
              </w:rPr>
              <w:t>年1月1日起</w:t>
            </w:r>
            <w:r>
              <w:rPr>
                <w:rFonts w:hint="eastAsia" w:ascii="宋体" w:hAnsi="宋体" w:eastAsia="宋体" w:cs="宋体"/>
                <w:sz w:val="21"/>
                <w:szCs w:val="21"/>
                <w:highlight w:val="none"/>
              </w:rPr>
              <w:t>（以合同协议书签订时间为准）</w:t>
            </w:r>
            <w:r>
              <w:rPr>
                <w:rFonts w:hint="eastAsia" w:ascii="宋体" w:hAnsi="宋体" w:eastAsia="宋体" w:cs="宋体"/>
                <w:sz w:val="21"/>
                <w:szCs w:val="21"/>
                <w:highlight w:val="none"/>
                <w:lang w:val="zh-CN"/>
              </w:rPr>
              <w:t>完成过类似业绩，提供一份得6分；每多提供一份业绩加</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分，最多得10分。（需提供合同协议书。）</w:t>
            </w:r>
          </w:p>
          <w:p w14:paraId="591A9043">
            <w:pPr>
              <w:spacing w:line="360" w:lineRule="auto"/>
              <w:rPr>
                <w:rFonts w:hint="eastAsia" w:ascii="宋体" w:hAnsi="宋体" w:eastAsia="宋体" w:cs="宋体"/>
                <w:b/>
                <w:bCs/>
                <w:sz w:val="21"/>
                <w:szCs w:val="21"/>
                <w:highlight w:val="none"/>
                <w:lang w:val="zh-CN"/>
              </w:rPr>
            </w:pPr>
            <w:r>
              <w:rPr>
                <w:rFonts w:hint="eastAsia" w:ascii="宋体" w:hAnsi="宋体" w:eastAsia="宋体" w:cs="宋体"/>
                <w:b w:val="0"/>
                <w:bCs w:val="0"/>
                <w:sz w:val="21"/>
                <w:szCs w:val="21"/>
                <w:highlight w:val="none"/>
                <w:lang w:val="zh-CN"/>
              </w:rPr>
              <w:t>注：企业业绩与项目经理业绩、项目总工业绩可重复计分。</w:t>
            </w:r>
          </w:p>
        </w:tc>
      </w:tr>
      <w:tr w14:paraId="0301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42" w:type="dxa"/>
            <w:vMerge w:val="continue"/>
            <w:noWrap w:val="0"/>
            <w:vAlign w:val="center"/>
          </w:tcPr>
          <w:p w14:paraId="4FAD3FB5">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1AE5F70E">
            <w:pPr>
              <w:spacing w:line="360" w:lineRule="auto"/>
              <w:jc w:val="center"/>
              <w:rPr>
                <w:rFonts w:hint="eastAsia" w:ascii="宋体" w:hAnsi="宋体" w:eastAsia="宋体" w:cs="宋体"/>
                <w:sz w:val="21"/>
                <w:szCs w:val="21"/>
                <w:highlight w:val="none"/>
              </w:rPr>
            </w:pPr>
          </w:p>
        </w:tc>
        <w:tc>
          <w:tcPr>
            <w:tcW w:w="2106" w:type="dxa"/>
            <w:gridSpan w:val="2"/>
            <w:vMerge w:val="restart"/>
            <w:noWrap w:val="0"/>
            <w:vAlign w:val="center"/>
          </w:tcPr>
          <w:p w14:paraId="46E97273">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服务承诺</w:t>
            </w:r>
          </w:p>
          <w:p w14:paraId="7A341A88">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分）</w:t>
            </w:r>
          </w:p>
        </w:tc>
        <w:tc>
          <w:tcPr>
            <w:tcW w:w="4996" w:type="dxa"/>
            <w:noWrap w:val="0"/>
            <w:vAlign w:val="center"/>
          </w:tcPr>
          <w:p w14:paraId="762F1709">
            <w:pPr>
              <w:numPr>
                <w:ilvl w:val="0"/>
                <w:numId w:val="14"/>
              </w:num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履职尽责承诺：具有全面、详实、可行、合法有效的书面保证技术措施落实到位的承诺和落实不到位的处理承诺，提供履约保证，得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val="zh-CN"/>
              </w:rPr>
              <w:t>分</w:t>
            </w:r>
            <w:r>
              <w:rPr>
                <w:rFonts w:hint="eastAsia" w:cs="宋体"/>
                <w:sz w:val="21"/>
                <w:szCs w:val="21"/>
                <w:highlight w:val="none"/>
                <w:lang w:val="zh-CN"/>
              </w:rPr>
              <w:t>；</w:t>
            </w:r>
            <w:r>
              <w:rPr>
                <w:rFonts w:hint="eastAsia" w:ascii="宋体" w:hAnsi="宋体" w:eastAsia="宋体" w:cs="宋体"/>
                <w:sz w:val="21"/>
                <w:szCs w:val="21"/>
                <w:highlight w:val="none"/>
                <w:lang w:val="zh-CN"/>
              </w:rPr>
              <w:t>具有可行、合法有效的书面保证技术措施，落实到位的承诺和落实不到位的处理承诺，提供履约保证，得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分</w:t>
            </w:r>
            <w:r>
              <w:rPr>
                <w:rFonts w:hint="eastAsia" w:cs="宋体"/>
                <w:sz w:val="21"/>
                <w:szCs w:val="21"/>
                <w:highlight w:val="none"/>
                <w:lang w:val="zh-CN"/>
              </w:rPr>
              <w:t>；</w:t>
            </w:r>
            <w:r>
              <w:rPr>
                <w:rFonts w:hint="eastAsia" w:ascii="宋体" w:hAnsi="宋体" w:eastAsia="宋体" w:cs="宋体"/>
                <w:sz w:val="21"/>
                <w:szCs w:val="21"/>
                <w:highlight w:val="none"/>
                <w:lang w:val="en-US" w:eastAsia="zh-CN"/>
              </w:rPr>
              <w:t>未提供者不得分。</w:t>
            </w:r>
          </w:p>
        </w:tc>
      </w:tr>
      <w:tr w14:paraId="36D0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42" w:type="dxa"/>
            <w:vMerge w:val="continue"/>
            <w:noWrap w:val="0"/>
            <w:vAlign w:val="center"/>
          </w:tcPr>
          <w:p w14:paraId="6106E7FF">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7C5129E3">
            <w:pPr>
              <w:spacing w:line="360" w:lineRule="auto"/>
              <w:jc w:val="center"/>
              <w:rPr>
                <w:rFonts w:hint="eastAsia" w:ascii="宋体" w:hAnsi="宋体" w:eastAsia="宋体" w:cs="宋体"/>
                <w:sz w:val="21"/>
                <w:szCs w:val="21"/>
                <w:highlight w:val="none"/>
              </w:rPr>
            </w:pPr>
          </w:p>
        </w:tc>
        <w:tc>
          <w:tcPr>
            <w:tcW w:w="2106" w:type="dxa"/>
            <w:gridSpan w:val="2"/>
            <w:vMerge w:val="continue"/>
            <w:noWrap w:val="0"/>
            <w:vAlign w:val="center"/>
          </w:tcPr>
          <w:p w14:paraId="393F2601">
            <w:pPr>
              <w:spacing w:line="360" w:lineRule="auto"/>
              <w:jc w:val="center"/>
              <w:rPr>
                <w:rFonts w:hint="eastAsia" w:ascii="宋体" w:hAnsi="宋体" w:eastAsia="宋体" w:cs="宋体"/>
                <w:sz w:val="21"/>
                <w:szCs w:val="21"/>
                <w:highlight w:val="none"/>
              </w:rPr>
            </w:pPr>
          </w:p>
        </w:tc>
        <w:tc>
          <w:tcPr>
            <w:tcW w:w="4996" w:type="dxa"/>
            <w:noWrap w:val="0"/>
            <w:vAlign w:val="center"/>
          </w:tcPr>
          <w:p w14:paraId="19FCCC64">
            <w:pPr>
              <w:spacing w:line="360" w:lineRule="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工程保修服务承诺</w:t>
            </w:r>
            <w:r>
              <w:rPr>
                <w:rFonts w:hint="eastAsia" w:cs="宋体"/>
                <w:sz w:val="21"/>
                <w:szCs w:val="21"/>
                <w:highlight w:val="none"/>
                <w:lang w:val="zh-CN"/>
              </w:rPr>
              <w:t>：</w:t>
            </w:r>
            <w:r>
              <w:rPr>
                <w:rFonts w:hint="eastAsia" w:ascii="宋体" w:hAnsi="宋体" w:eastAsia="宋体" w:cs="宋体"/>
                <w:sz w:val="21"/>
                <w:szCs w:val="21"/>
                <w:highlight w:val="none"/>
                <w:lang w:val="zh-CN"/>
              </w:rPr>
              <w:t>具有全面、详实、可行的书面保证技术措施落实到位的承诺和落实不到位的处理承诺,得</w:t>
            </w:r>
            <w:r>
              <w:rPr>
                <w:rFonts w:hint="eastAsia" w:cs="宋体"/>
                <w:sz w:val="21"/>
                <w:szCs w:val="21"/>
                <w:highlight w:val="none"/>
                <w:lang w:val="en-US" w:eastAsia="zh-CN"/>
              </w:rPr>
              <w:t>4</w:t>
            </w:r>
            <w:r>
              <w:rPr>
                <w:rFonts w:hint="eastAsia" w:ascii="宋体" w:hAnsi="宋体" w:eastAsia="宋体" w:cs="宋体"/>
                <w:sz w:val="21"/>
                <w:szCs w:val="21"/>
                <w:highlight w:val="none"/>
                <w:lang w:val="zh-CN"/>
              </w:rPr>
              <w:t>分</w:t>
            </w:r>
            <w:r>
              <w:rPr>
                <w:rFonts w:hint="eastAsia" w:cs="宋体"/>
                <w:sz w:val="21"/>
                <w:szCs w:val="21"/>
                <w:highlight w:val="none"/>
                <w:lang w:val="zh-CN"/>
              </w:rPr>
              <w:t>；</w:t>
            </w:r>
            <w:r>
              <w:rPr>
                <w:rFonts w:hint="eastAsia" w:ascii="宋体" w:hAnsi="宋体" w:eastAsia="宋体" w:cs="宋体"/>
                <w:sz w:val="21"/>
                <w:szCs w:val="21"/>
                <w:highlight w:val="none"/>
                <w:lang w:val="zh-CN"/>
              </w:rPr>
              <w:t>具有可行的书面保证技术措施落实到位的承诺和落实不到位的处理承诺,得</w:t>
            </w:r>
            <w:r>
              <w:rPr>
                <w:rFonts w:hint="eastAsia" w:cs="宋体"/>
                <w:sz w:val="21"/>
                <w:szCs w:val="21"/>
                <w:highlight w:val="none"/>
                <w:lang w:val="en-US" w:eastAsia="zh-CN"/>
              </w:rPr>
              <w:t>2</w:t>
            </w:r>
            <w:r>
              <w:rPr>
                <w:rFonts w:hint="eastAsia" w:ascii="宋体" w:hAnsi="宋体" w:eastAsia="宋体" w:cs="宋体"/>
                <w:sz w:val="21"/>
                <w:szCs w:val="21"/>
                <w:highlight w:val="none"/>
                <w:lang w:val="zh-CN"/>
              </w:rPr>
              <w:t>分</w:t>
            </w:r>
            <w:r>
              <w:rPr>
                <w:rFonts w:hint="eastAsia" w:cs="宋体"/>
                <w:sz w:val="21"/>
                <w:szCs w:val="21"/>
                <w:highlight w:val="none"/>
                <w:lang w:val="zh-CN"/>
              </w:rPr>
              <w:t>；</w:t>
            </w:r>
            <w:r>
              <w:rPr>
                <w:rFonts w:hint="eastAsia" w:ascii="宋体" w:hAnsi="宋体" w:eastAsia="宋体" w:cs="宋体"/>
                <w:sz w:val="21"/>
                <w:szCs w:val="21"/>
                <w:highlight w:val="none"/>
                <w:lang w:val="en-US" w:eastAsia="zh-CN"/>
              </w:rPr>
              <w:t>未提供者不得分。</w:t>
            </w:r>
          </w:p>
        </w:tc>
      </w:tr>
      <w:tr w14:paraId="2027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42" w:type="dxa"/>
            <w:vMerge w:val="continue"/>
            <w:noWrap w:val="0"/>
            <w:vAlign w:val="center"/>
          </w:tcPr>
          <w:p w14:paraId="7A7811F0">
            <w:pPr>
              <w:spacing w:line="360" w:lineRule="auto"/>
              <w:jc w:val="center"/>
              <w:rPr>
                <w:rFonts w:hint="eastAsia" w:ascii="宋体" w:hAnsi="宋体" w:eastAsia="宋体" w:cs="宋体"/>
                <w:sz w:val="21"/>
                <w:szCs w:val="21"/>
                <w:highlight w:val="none"/>
              </w:rPr>
            </w:pPr>
          </w:p>
        </w:tc>
        <w:tc>
          <w:tcPr>
            <w:tcW w:w="955" w:type="dxa"/>
            <w:gridSpan w:val="3"/>
            <w:vMerge w:val="continue"/>
            <w:noWrap w:val="0"/>
            <w:vAlign w:val="center"/>
          </w:tcPr>
          <w:p w14:paraId="7EC4A74E">
            <w:pPr>
              <w:spacing w:line="360" w:lineRule="auto"/>
              <w:jc w:val="center"/>
              <w:rPr>
                <w:rFonts w:hint="eastAsia" w:ascii="宋体" w:hAnsi="宋体" w:eastAsia="宋体" w:cs="宋体"/>
                <w:sz w:val="21"/>
                <w:szCs w:val="21"/>
                <w:highlight w:val="none"/>
              </w:rPr>
            </w:pPr>
          </w:p>
        </w:tc>
        <w:tc>
          <w:tcPr>
            <w:tcW w:w="2106" w:type="dxa"/>
            <w:gridSpan w:val="2"/>
            <w:vMerge w:val="continue"/>
            <w:noWrap w:val="0"/>
            <w:vAlign w:val="center"/>
          </w:tcPr>
          <w:p w14:paraId="6D51F205">
            <w:pPr>
              <w:spacing w:line="360" w:lineRule="auto"/>
              <w:jc w:val="center"/>
              <w:rPr>
                <w:rFonts w:hint="eastAsia" w:ascii="宋体" w:hAnsi="宋体" w:eastAsia="宋体" w:cs="宋体"/>
                <w:kern w:val="0"/>
                <w:sz w:val="21"/>
                <w:szCs w:val="21"/>
                <w:highlight w:val="none"/>
              </w:rPr>
            </w:pPr>
          </w:p>
        </w:tc>
        <w:tc>
          <w:tcPr>
            <w:tcW w:w="4996" w:type="dxa"/>
            <w:noWrap w:val="0"/>
            <w:vAlign w:val="center"/>
          </w:tcPr>
          <w:p w14:paraId="19A5A0E6">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cs="宋体"/>
                <w:sz w:val="21"/>
                <w:szCs w:val="21"/>
                <w:lang w:val="en-US" w:eastAsia="zh-CN"/>
              </w:rPr>
              <w:t>.</w:t>
            </w:r>
            <w:r>
              <w:rPr>
                <w:rFonts w:hint="eastAsia" w:ascii="宋体" w:hAnsi="宋体" w:eastAsia="宋体" w:cs="宋体"/>
                <w:color w:val="auto"/>
                <w:kern w:val="2"/>
                <w:sz w:val="21"/>
                <w:szCs w:val="21"/>
                <w:highlight w:val="none"/>
                <w:lang w:val="en-US" w:eastAsia="zh-CN" w:bidi="ar-SA"/>
              </w:rPr>
              <w:t>不拖欠农民工工资承诺：承诺不拖欠农民工工资的得2分，缺项得0分。</w:t>
            </w:r>
          </w:p>
        </w:tc>
      </w:tr>
    </w:tbl>
    <w:p w14:paraId="0E61E19E">
      <w:pPr>
        <w:snapToGrid w:val="0"/>
        <w:spacing w:line="360" w:lineRule="auto"/>
        <w:ind w:firstLine="420" w:firstLineChars="200"/>
        <w:rPr>
          <w:rFonts w:hint="eastAsia" w:ascii="宋体" w:hAnsi="宋体"/>
          <w:sz w:val="21"/>
          <w:szCs w:val="21"/>
          <w:highlight w:val="none"/>
        </w:rPr>
      </w:pPr>
      <w:bookmarkStart w:id="590" w:name="_Toc10297"/>
    </w:p>
    <w:p w14:paraId="359B1FDA">
      <w:pPr>
        <w:snapToGrid w:val="0"/>
        <w:spacing w:line="360" w:lineRule="auto"/>
        <w:ind w:firstLine="420" w:firstLineChars="200"/>
        <w:rPr>
          <w:rFonts w:ascii="宋体" w:hAnsi="宋体"/>
          <w:sz w:val="24"/>
          <w:szCs w:val="24"/>
          <w:highlight w:val="none"/>
        </w:rPr>
      </w:pPr>
      <w:r>
        <w:rPr>
          <w:rFonts w:hint="eastAsia" w:ascii="宋体" w:hAnsi="宋体"/>
          <w:sz w:val="21"/>
          <w:szCs w:val="21"/>
          <w:highlight w:val="none"/>
        </w:rPr>
        <w:br w:type="page"/>
      </w:r>
      <w:r>
        <w:rPr>
          <w:rFonts w:hint="eastAsia" w:ascii="宋体" w:hAnsi="宋体"/>
          <w:sz w:val="24"/>
          <w:szCs w:val="24"/>
          <w:highlight w:val="none"/>
        </w:rPr>
        <w:t>1. 评审方法</w:t>
      </w:r>
    </w:p>
    <w:p w14:paraId="43686D9D">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本次评审采用综合评分法。磋商小组对满足磋商文件实质性要求的响应文件，按照本章规定的评分标准进行打分，并按得分由高到低顺序推荐成交候选人，综合评分相等时，以报价得分高的优先；报价得分也相等的，由招标人自行确定。</w:t>
      </w:r>
    </w:p>
    <w:p w14:paraId="7F479711">
      <w:pPr>
        <w:snapToGrid w:val="0"/>
        <w:spacing w:line="360" w:lineRule="auto"/>
        <w:ind w:firstLine="420" w:firstLineChars="175"/>
        <w:rPr>
          <w:rFonts w:ascii="宋体" w:hAnsi="宋体"/>
          <w:sz w:val="24"/>
          <w:szCs w:val="24"/>
          <w:highlight w:val="none"/>
        </w:rPr>
      </w:pPr>
      <w:bookmarkStart w:id="591" w:name="_Toc6612"/>
      <w:bookmarkStart w:id="592" w:name="_Toc466298140"/>
      <w:bookmarkStart w:id="593" w:name="_Toc152045601"/>
      <w:bookmarkStart w:id="594" w:name="_Toc281405529"/>
      <w:bookmarkStart w:id="595" w:name="_Toc318450723"/>
      <w:bookmarkStart w:id="596" w:name="_Toc26131"/>
      <w:bookmarkStart w:id="597" w:name="_Toc455867817"/>
      <w:bookmarkStart w:id="598" w:name="_Toc455080157"/>
      <w:bookmarkStart w:id="599" w:name="_Toc152042378"/>
      <w:bookmarkStart w:id="600" w:name="_Toc24936"/>
      <w:bookmarkStart w:id="601" w:name="_Toc20837"/>
      <w:bookmarkStart w:id="602" w:name="_Toc144974568"/>
      <w:bookmarkStart w:id="603" w:name="_Toc490667876"/>
      <w:r>
        <w:rPr>
          <w:rFonts w:hint="eastAsia" w:ascii="宋体" w:hAnsi="宋体"/>
          <w:sz w:val="24"/>
          <w:szCs w:val="24"/>
          <w:highlight w:val="none"/>
        </w:rPr>
        <w:t>2. 评审标准</w:t>
      </w:r>
      <w:bookmarkEnd w:id="591"/>
      <w:bookmarkEnd w:id="592"/>
      <w:bookmarkEnd w:id="593"/>
      <w:bookmarkEnd w:id="594"/>
      <w:bookmarkEnd w:id="595"/>
      <w:bookmarkEnd w:id="596"/>
      <w:bookmarkEnd w:id="597"/>
      <w:bookmarkEnd w:id="598"/>
      <w:bookmarkEnd w:id="599"/>
      <w:bookmarkEnd w:id="600"/>
      <w:bookmarkEnd w:id="601"/>
      <w:bookmarkEnd w:id="602"/>
      <w:bookmarkEnd w:id="603"/>
    </w:p>
    <w:p w14:paraId="29655DD8">
      <w:pPr>
        <w:snapToGrid w:val="0"/>
        <w:spacing w:line="360" w:lineRule="auto"/>
        <w:ind w:firstLine="420" w:firstLineChars="175"/>
        <w:rPr>
          <w:rFonts w:ascii="宋体" w:hAnsi="宋体"/>
          <w:sz w:val="24"/>
          <w:szCs w:val="24"/>
          <w:highlight w:val="none"/>
        </w:rPr>
      </w:pPr>
      <w:bookmarkStart w:id="604" w:name="_Toc455080158"/>
      <w:bookmarkStart w:id="605" w:name="_Toc152042379"/>
      <w:bookmarkStart w:id="606" w:name="_Toc144974569"/>
      <w:bookmarkStart w:id="607" w:name="_Toc11223"/>
      <w:bookmarkStart w:id="608" w:name="_Toc455867818"/>
      <w:bookmarkStart w:id="609" w:name="_Toc466298141"/>
      <w:bookmarkStart w:id="610" w:name="_Toc21120"/>
      <w:bookmarkStart w:id="611" w:name="_Toc19934"/>
      <w:bookmarkStart w:id="612" w:name="_Toc152045602"/>
      <w:bookmarkStart w:id="613" w:name="_Toc6711"/>
      <w:bookmarkStart w:id="614" w:name="_Toc15813"/>
      <w:bookmarkStart w:id="615" w:name="_Toc24558"/>
      <w:bookmarkStart w:id="616" w:name="_Toc25637"/>
      <w:bookmarkStart w:id="617" w:name="_Toc490667877"/>
      <w:bookmarkStart w:id="618" w:name="_Toc281405530"/>
      <w:bookmarkStart w:id="619" w:name="_Toc31037"/>
      <w:bookmarkStart w:id="620" w:name="_Toc318450724"/>
      <w:r>
        <w:rPr>
          <w:rFonts w:hint="eastAsia" w:ascii="宋体" w:hAnsi="宋体"/>
          <w:sz w:val="24"/>
          <w:szCs w:val="24"/>
          <w:highlight w:val="none"/>
        </w:rPr>
        <w:t>2.1 初步评审标准</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72184A40">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2.1.1 符合性评审标准：见评审办法前附表。</w:t>
      </w:r>
    </w:p>
    <w:p w14:paraId="50A3458A">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2.1.2 资格性检查评审标准：见评审办法前附表。</w:t>
      </w:r>
    </w:p>
    <w:p w14:paraId="093ED20B">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2.1.3 响应性检查评审标准：见评审办法前附表。</w:t>
      </w:r>
    </w:p>
    <w:p w14:paraId="19C436D1">
      <w:pPr>
        <w:snapToGrid w:val="0"/>
        <w:spacing w:line="360" w:lineRule="auto"/>
        <w:ind w:firstLine="420" w:firstLineChars="175"/>
        <w:rPr>
          <w:rFonts w:ascii="宋体" w:hAnsi="宋体"/>
          <w:sz w:val="24"/>
          <w:szCs w:val="24"/>
          <w:highlight w:val="none"/>
        </w:rPr>
      </w:pPr>
      <w:bookmarkStart w:id="621" w:name="_Toc281405531"/>
      <w:bookmarkStart w:id="622" w:name="_Toc24825"/>
      <w:bookmarkStart w:id="623" w:name="_Toc455867819"/>
      <w:bookmarkStart w:id="624" w:name="_Toc152042380"/>
      <w:bookmarkStart w:id="625" w:name="_Toc144974570"/>
      <w:bookmarkStart w:id="626" w:name="_Toc30189"/>
      <w:bookmarkStart w:id="627" w:name="_Toc466298142"/>
      <w:bookmarkStart w:id="628" w:name="_Toc318450725"/>
      <w:bookmarkStart w:id="629" w:name="_Toc152045603"/>
      <w:bookmarkStart w:id="630" w:name="_Toc490667878"/>
      <w:bookmarkStart w:id="631" w:name="_Toc455080159"/>
      <w:bookmarkStart w:id="632" w:name="_Toc12013"/>
      <w:bookmarkStart w:id="633" w:name="_Toc7284"/>
      <w:bookmarkStart w:id="634" w:name="_Toc25492"/>
      <w:bookmarkStart w:id="635" w:name="_Toc21970"/>
      <w:bookmarkStart w:id="636" w:name="_Toc22439"/>
      <w:bookmarkStart w:id="637" w:name="_Toc11061"/>
      <w:r>
        <w:rPr>
          <w:rFonts w:hint="eastAsia" w:ascii="宋体" w:hAnsi="宋体"/>
          <w:sz w:val="24"/>
          <w:szCs w:val="24"/>
          <w:highlight w:val="none"/>
        </w:rPr>
        <w:t>2.2 分值构成与评分标准</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2CAB678B">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（1）最后</w:t>
      </w:r>
      <w:r>
        <w:rPr>
          <w:rFonts w:hint="eastAsia"/>
          <w:sz w:val="24"/>
          <w:szCs w:val="24"/>
          <w:highlight w:val="none"/>
          <w:lang w:eastAsia="zh-CN"/>
        </w:rPr>
        <w:t>响应报价</w:t>
      </w:r>
      <w:r>
        <w:rPr>
          <w:rFonts w:hint="eastAsia" w:ascii="宋体" w:hAnsi="宋体"/>
          <w:sz w:val="24"/>
          <w:szCs w:val="24"/>
          <w:highlight w:val="none"/>
        </w:rPr>
        <w:t>：见评审办法前附表</w:t>
      </w:r>
    </w:p>
    <w:p w14:paraId="7759C205">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（2）技术标：见评审办法前附表；</w:t>
      </w:r>
    </w:p>
    <w:p w14:paraId="5AD5D275">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（3）商务标：见评审办法前附表；</w:t>
      </w:r>
    </w:p>
    <w:p w14:paraId="3A701D8D">
      <w:pPr>
        <w:snapToGrid w:val="0"/>
        <w:spacing w:line="360" w:lineRule="auto"/>
        <w:ind w:firstLine="420" w:firstLineChars="175"/>
        <w:rPr>
          <w:rFonts w:ascii="宋体" w:hAnsi="宋体"/>
          <w:sz w:val="24"/>
          <w:szCs w:val="24"/>
          <w:highlight w:val="none"/>
        </w:rPr>
      </w:pPr>
      <w:bookmarkStart w:id="638" w:name="_Toc318450726"/>
      <w:bookmarkStart w:id="639" w:name="_Toc32314"/>
      <w:bookmarkStart w:id="640" w:name="_Toc466298143"/>
      <w:bookmarkStart w:id="641" w:name="_Toc490667879"/>
      <w:bookmarkStart w:id="642" w:name="_Toc16479"/>
      <w:bookmarkStart w:id="643" w:name="_Toc281405532"/>
      <w:bookmarkStart w:id="644" w:name="_Toc455080160"/>
      <w:bookmarkStart w:id="645" w:name="_Toc455867820"/>
      <w:bookmarkStart w:id="646" w:name="_Toc29297"/>
      <w:bookmarkStart w:id="647" w:name="_Toc17308"/>
      <w:r>
        <w:rPr>
          <w:rFonts w:hint="eastAsia" w:ascii="宋体" w:hAnsi="宋体"/>
          <w:sz w:val="24"/>
          <w:szCs w:val="24"/>
          <w:highlight w:val="none"/>
        </w:rPr>
        <w:t>3. 评审程序</w:t>
      </w:r>
      <w:bookmarkEnd w:id="638"/>
      <w:bookmarkEnd w:id="639"/>
      <w:bookmarkEnd w:id="640"/>
      <w:bookmarkEnd w:id="641"/>
      <w:bookmarkEnd w:id="642"/>
      <w:bookmarkEnd w:id="643"/>
      <w:bookmarkEnd w:id="644"/>
      <w:bookmarkEnd w:id="645"/>
      <w:bookmarkEnd w:id="646"/>
      <w:bookmarkEnd w:id="647"/>
    </w:p>
    <w:p w14:paraId="5AB6FC0B">
      <w:pPr>
        <w:snapToGrid w:val="0"/>
        <w:spacing w:line="360" w:lineRule="auto"/>
        <w:ind w:firstLine="420" w:firstLineChars="175"/>
        <w:rPr>
          <w:rFonts w:ascii="宋体" w:hAnsi="宋体"/>
          <w:sz w:val="24"/>
          <w:szCs w:val="24"/>
          <w:highlight w:val="none"/>
        </w:rPr>
      </w:pPr>
      <w:bookmarkStart w:id="648" w:name="_Toc281405533"/>
      <w:bookmarkStart w:id="649" w:name="_Toc318450727"/>
      <w:bookmarkStart w:id="650" w:name="_Toc5427"/>
      <w:bookmarkStart w:id="651" w:name="_Toc18886"/>
      <w:bookmarkStart w:id="652" w:name="_Toc9433"/>
      <w:bookmarkStart w:id="653" w:name="_Toc455080161"/>
      <w:bookmarkStart w:id="654" w:name="_Toc490667880"/>
      <w:bookmarkStart w:id="655" w:name="_Toc16892"/>
      <w:bookmarkStart w:id="656" w:name="_Toc2410"/>
      <w:bookmarkStart w:id="657" w:name="_Toc466298144"/>
      <w:bookmarkStart w:id="658" w:name="_Toc14633"/>
      <w:bookmarkStart w:id="659" w:name="_Toc29614"/>
      <w:bookmarkStart w:id="660" w:name="_Toc7272"/>
      <w:bookmarkStart w:id="661" w:name="_Toc30986"/>
      <w:bookmarkStart w:id="662" w:name="_Toc455867821"/>
      <w:r>
        <w:rPr>
          <w:rFonts w:hint="eastAsia" w:ascii="宋体" w:hAnsi="宋体"/>
          <w:sz w:val="24"/>
          <w:szCs w:val="24"/>
          <w:highlight w:val="none"/>
        </w:rPr>
        <w:t>3.1 初步评审</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64AE0BB8">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3.1.1 磋商小组依据本章第2.1款规定的标准对响应文件进行初步评审。有一项不符合评审标准的，其投标无效。</w:t>
      </w:r>
    </w:p>
    <w:p w14:paraId="2A4C6E32">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 xml:space="preserve">3.1.2 </w:t>
      </w:r>
      <w:r>
        <w:rPr>
          <w:rFonts w:hint="eastAsia"/>
          <w:sz w:val="24"/>
          <w:szCs w:val="24"/>
          <w:highlight w:val="none"/>
          <w:lang w:eastAsia="zh-CN"/>
        </w:rPr>
        <w:t>供应商</w:t>
      </w:r>
      <w:r>
        <w:rPr>
          <w:rFonts w:hint="eastAsia" w:ascii="宋体" w:hAnsi="宋体"/>
          <w:sz w:val="24"/>
          <w:szCs w:val="24"/>
          <w:highlight w:val="none"/>
        </w:rPr>
        <w:t>有以下情形之一的，其响应文件作无效处理：</w:t>
      </w:r>
    </w:p>
    <w:p w14:paraId="2F6ACDB8">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（1）串通或弄虚作假或有其他违法行为的；</w:t>
      </w:r>
    </w:p>
    <w:p w14:paraId="17236D1C">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（2）不按磋商小组要求澄清、说明或补正的；</w:t>
      </w:r>
    </w:p>
    <w:p w14:paraId="4F7D7287">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（3）未按规定格式填写、内容不全或关键字迹模糊、无法辨认的；</w:t>
      </w:r>
    </w:p>
    <w:p w14:paraId="404AB89B">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（4）响应文件附有招标人不能接受的条件；</w:t>
      </w:r>
    </w:p>
    <w:p w14:paraId="78AEC77E">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（5）不符合磋商文件规定的其他实质性要求。</w:t>
      </w:r>
    </w:p>
    <w:p w14:paraId="72FDD01B">
      <w:pPr>
        <w:snapToGrid w:val="0"/>
        <w:spacing w:line="360" w:lineRule="auto"/>
        <w:ind w:firstLine="420" w:firstLineChars="175"/>
        <w:rPr>
          <w:rFonts w:ascii="宋体" w:hAnsi="宋体"/>
          <w:sz w:val="24"/>
          <w:szCs w:val="24"/>
          <w:highlight w:val="none"/>
        </w:rPr>
      </w:pPr>
      <w:bookmarkStart w:id="663" w:name="_Toc455867822"/>
      <w:bookmarkStart w:id="664" w:name="_Toc12406"/>
      <w:bookmarkStart w:id="665" w:name="_Toc318450728"/>
      <w:bookmarkStart w:id="666" w:name="_Toc466298145"/>
      <w:bookmarkStart w:id="667" w:name="_Toc490667881"/>
      <w:bookmarkStart w:id="668" w:name="_Toc21032"/>
      <w:bookmarkStart w:id="669" w:name="_Toc22101"/>
      <w:bookmarkStart w:id="670" w:name="_Toc16964"/>
      <w:bookmarkStart w:id="671" w:name="_Toc7121"/>
      <w:bookmarkStart w:id="672" w:name="_Toc10692"/>
      <w:bookmarkStart w:id="673" w:name="_Toc281405534"/>
      <w:bookmarkStart w:id="674" w:name="_Toc21570"/>
      <w:bookmarkStart w:id="675" w:name="_Toc13386"/>
      <w:bookmarkStart w:id="676" w:name="_Toc455080162"/>
      <w:bookmarkStart w:id="677" w:name="_Toc26049"/>
      <w:r>
        <w:rPr>
          <w:rFonts w:hint="eastAsia" w:ascii="宋体" w:hAnsi="宋体"/>
          <w:sz w:val="24"/>
          <w:szCs w:val="24"/>
          <w:highlight w:val="none"/>
        </w:rPr>
        <w:t>3.2 详细评审</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1BC0FB71">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3.2.1 磋商小组按本章第2.2款规定的量化因素和分值进行打分，并计算出综合评分得分。</w:t>
      </w:r>
    </w:p>
    <w:p w14:paraId="314C419E">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3.2.2 评分分值计算保留小数点后两位，小数点后第三位“四舍五入”。</w:t>
      </w:r>
    </w:p>
    <w:p w14:paraId="1468AF1A">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3.2.3</w:t>
      </w:r>
      <w:r>
        <w:rPr>
          <w:rFonts w:hint="eastAsia"/>
          <w:sz w:val="24"/>
          <w:szCs w:val="24"/>
          <w:highlight w:val="none"/>
          <w:lang w:eastAsia="zh-CN"/>
        </w:rPr>
        <w:t>供应商</w:t>
      </w:r>
      <w:r>
        <w:rPr>
          <w:rFonts w:hint="eastAsia" w:ascii="宋体" w:hAnsi="宋体"/>
          <w:sz w:val="24"/>
          <w:szCs w:val="24"/>
          <w:highlight w:val="none"/>
        </w:rPr>
        <w:t>的最后得分以全部小组成员打分的算术平均值为准，作为该</w:t>
      </w:r>
      <w:r>
        <w:rPr>
          <w:rFonts w:hint="eastAsia"/>
          <w:sz w:val="24"/>
          <w:szCs w:val="24"/>
          <w:highlight w:val="none"/>
          <w:lang w:eastAsia="zh-CN"/>
        </w:rPr>
        <w:t>供应商</w:t>
      </w:r>
      <w:r>
        <w:rPr>
          <w:rFonts w:hint="eastAsia" w:ascii="宋体" w:hAnsi="宋体"/>
          <w:sz w:val="24"/>
          <w:szCs w:val="24"/>
          <w:highlight w:val="none"/>
        </w:rPr>
        <w:t>的最终得分。</w:t>
      </w:r>
    </w:p>
    <w:p w14:paraId="369EE13B">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3.2.4在磋商过程中，凡遇到磋商文件中无界定或界定不清、前后不一致使磋商小组意见有分歧且又难以协商一致的问题，均由磋商小组予以表决，获半数以上同意的即为通过，未获半数同意的即为否决。</w:t>
      </w:r>
    </w:p>
    <w:p w14:paraId="70F7EDB5">
      <w:pPr>
        <w:snapToGrid w:val="0"/>
        <w:spacing w:line="360" w:lineRule="auto"/>
        <w:ind w:firstLine="420" w:firstLineChars="175"/>
        <w:rPr>
          <w:rFonts w:ascii="宋体" w:hAnsi="宋体"/>
          <w:sz w:val="24"/>
          <w:szCs w:val="24"/>
          <w:highlight w:val="none"/>
        </w:rPr>
      </w:pPr>
      <w:bookmarkStart w:id="678" w:name="_Toc8813"/>
      <w:bookmarkStart w:id="679" w:name="_Toc466298146"/>
      <w:bookmarkStart w:id="680" w:name="_Toc2657"/>
      <w:bookmarkStart w:id="681" w:name="_Toc318450729"/>
      <w:bookmarkStart w:id="682" w:name="_Toc8342"/>
      <w:bookmarkStart w:id="683" w:name="_Toc28633"/>
      <w:bookmarkStart w:id="684" w:name="_Toc10153"/>
      <w:bookmarkStart w:id="685" w:name="_Toc12374"/>
      <w:bookmarkStart w:id="686" w:name="_Toc455080163"/>
      <w:bookmarkStart w:id="687" w:name="_Toc455867823"/>
      <w:bookmarkStart w:id="688" w:name="_Toc24862"/>
      <w:bookmarkStart w:id="689" w:name="_Toc331"/>
      <w:bookmarkStart w:id="690" w:name="_Toc490667882"/>
      <w:bookmarkStart w:id="691" w:name="_Toc281405535"/>
      <w:bookmarkStart w:id="692" w:name="_Toc11958"/>
      <w:r>
        <w:rPr>
          <w:rFonts w:hint="eastAsia" w:ascii="宋体" w:hAnsi="宋体"/>
          <w:sz w:val="24"/>
          <w:szCs w:val="24"/>
          <w:highlight w:val="none"/>
        </w:rPr>
        <w:t>3.3 响应文件的澄清和补正</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15BF341C">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3.3.1在磋商过程中，磋商小组可以书面形式要求</w:t>
      </w:r>
      <w:r>
        <w:rPr>
          <w:rFonts w:hint="eastAsia"/>
          <w:sz w:val="24"/>
          <w:szCs w:val="24"/>
          <w:highlight w:val="none"/>
          <w:lang w:eastAsia="zh-CN"/>
        </w:rPr>
        <w:t>供应商</w:t>
      </w:r>
      <w:r>
        <w:rPr>
          <w:rFonts w:hint="eastAsia" w:ascii="宋体" w:hAnsi="宋体"/>
          <w:sz w:val="24"/>
          <w:szCs w:val="24"/>
          <w:highlight w:val="none"/>
        </w:rPr>
        <w:t>对所提交的响应文件中不明确的内容进行书面澄清或说明，或者对细微偏离进行补正。磋商小组不接受</w:t>
      </w:r>
      <w:r>
        <w:rPr>
          <w:rFonts w:hint="eastAsia"/>
          <w:sz w:val="24"/>
          <w:szCs w:val="24"/>
          <w:highlight w:val="none"/>
          <w:lang w:eastAsia="zh-CN"/>
        </w:rPr>
        <w:t>供应商</w:t>
      </w:r>
      <w:r>
        <w:rPr>
          <w:rFonts w:hint="eastAsia" w:ascii="宋体" w:hAnsi="宋体"/>
          <w:sz w:val="24"/>
          <w:szCs w:val="24"/>
          <w:highlight w:val="none"/>
        </w:rPr>
        <w:t>主动提出的澄清、说明或补正。</w:t>
      </w:r>
    </w:p>
    <w:p w14:paraId="5F098556">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3.3.2 澄清、说明和补正不得超出响应文件的范围或者改变响应文件的实质性内容（算术性错误修正的除外）。</w:t>
      </w:r>
      <w:r>
        <w:rPr>
          <w:rFonts w:hint="eastAsia"/>
          <w:sz w:val="24"/>
          <w:szCs w:val="24"/>
          <w:highlight w:val="none"/>
          <w:lang w:eastAsia="zh-CN"/>
        </w:rPr>
        <w:t>供应商</w:t>
      </w:r>
      <w:r>
        <w:rPr>
          <w:rFonts w:hint="eastAsia" w:ascii="宋体" w:hAnsi="宋体"/>
          <w:sz w:val="24"/>
          <w:szCs w:val="24"/>
          <w:highlight w:val="none"/>
        </w:rPr>
        <w:t>的书面澄清、说明和补正属于响应文件的组成部分。</w:t>
      </w:r>
    </w:p>
    <w:p w14:paraId="775C84E8">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3.3.3 磋商小组对</w:t>
      </w:r>
      <w:r>
        <w:rPr>
          <w:rFonts w:hint="eastAsia"/>
          <w:sz w:val="24"/>
          <w:szCs w:val="24"/>
          <w:highlight w:val="none"/>
          <w:lang w:eastAsia="zh-CN"/>
        </w:rPr>
        <w:t>供应商</w:t>
      </w:r>
      <w:r>
        <w:rPr>
          <w:rFonts w:hint="eastAsia" w:ascii="宋体" w:hAnsi="宋体"/>
          <w:sz w:val="24"/>
          <w:szCs w:val="24"/>
          <w:highlight w:val="none"/>
        </w:rPr>
        <w:t>提交的澄清、说明或补正有疑问的，可以要求</w:t>
      </w:r>
      <w:r>
        <w:rPr>
          <w:rFonts w:hint="eastAsia"/>
          <w:sz w:val="24"/>
          <w:szCs w:val="24"/>
          <w:highlight w:val="none"/>
          <w:lang w:eastAsia="zh-CN"/>
        </w:rPr>
        <w:t>供应商</w:t>
      </w:r>
      <w:r>
        <w:rPr>
          <w:rFonts w:hint="eastAsia" w:ascii="宋体" w:hAnsi="宋体"/>
          <w:sz w:val="24"/>
          <w:szCs w:val="24"/>
          <w:highlight w:val="none"/>
        </w:rPr>
        <w:t>进一步澄清、说明或补正，直至满足磋商小组的要求。</w:t>
      </w:r>
    </w:p>
    <w:p w14:paraId="40347CB9">
      <w:pPr>
        <w:snapToGrid w:val="0"/>
        <w:spacing w:line="360" w:lineRule="auto"/>
        <w:ind w:firstLine="420" w:firstLineChars="175"/>
        <w:rPr>
          <w:rFonts w:ascii="宋体" w:hAnsi="宋体"/>
          <w:sz w:val="24"/>
          <w:szCs w:val="24"/>
          <w:highlight w:val="none"/>
        </w:rPr>
      </w:pPr>
      <w:bookmarkStart w:id="693" w:name="_Toc19453"/>
      <w:bookmarkStart w:id="694" w:name="_Toc466298147"/>
      <w:bookmarkStart w:id="695" w:name="_Toc22986"/>
      <w:bookmarkStart w:id="696" w:name="_Toc281405536"/>
      <w:bookmarkStart w:id="697" w:name="_Toc26894"/>
      <w:bookmarkStart w:id="698" w:name="_Toc455080164"/>
      <w:bookmarkStart w:id="699" w:name="_Toc30053"/>
      <w:bookmarkStart w:id="700" w:name="_Toc5903"/>
      <w:bookmarkStart w:id="701" w:name="_Toc318450730"/>
      <w:bookmarkStart w:id="702" w:name="_Toc32183"/>
      <w:bookmarkStart w:id="703" w:name="_Toc455867824"/>
      <w:bookmarkStart w:id="704" w:name="_Toc22049"/>
      <w:bookmarkStart w:id="705" w:name="_Toc1857"/>
      <w:bookmarkStart w:id="706" w:name="_Toc490667883"/>
      <w:bookmarkStart w:id="707" w:name="_Toc22682"/>
      <w:r>
        <w:rPr>
          <w:rFonts w:hint="eastAsia" w:ascii="宋体" w:hAnsi="宋体"/>
          <w:sz w:val="24"/>
          <w:szCs w:val="24"/>
          <w:highlight w:val="none"/>
        </w:rPr>
        <w:t>3.4 评审结果</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488D7B1A">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3.4.1磋商小组按照得分由高到低的顺序推荐成交候选人。</w:t>
      </w:r>
    </w:p>
    <w:p w14:paraId="2CE2BDE8">
      <w:pPr>
        <w:snapToGrid w:val="0"/>
        <w:spacing w:line="360" w:lineRule="auto"/>
        <w:ind w:firstLine="420" w:firstLineChars="175"/>
        <w:rPr>
          <w:rFonts w:ascii="宋体" w:hAnsi="宋体"/>
          <w:sz w:val="24"/>
          <w:szCs w:val="24"/>
          <w:highlight w:val="none"/>
        </w:rPr>
      </w:pPr>
      <w:r>
        <w:rPr>
          <w:rFonts w:hint="eastAsia" w:ascii="宋体" w:hAnsi="宋体"/>
          <w:sz w:val="24"/>
          <w:szCs w:val="24"/>
          <w:highlight w:val="none"/>
        </w:rPr>
        <w:t>3.4.2 磋商小组完成评审后，应当向招标人提交书面评审报告。</w:t>
      </w:r>
    </w:p>
    <w:p w14:paraId="388A8C42">
      <w:pPr>
        <w:spacing w:line="420" w:lineRule="exact"/>
        <w:jc w:val="center"/>
        <w:rPr>
          <w:rFonts w:ascii="宋体" w:hAnsi="宋体"/>
          <w:color w:val="000000"/>
          <w:sz w:val="24"/>
          <w:szCs w:val="24"/>
          <w:highlight w:val="none"/>
        </w:rPr>
      </w:pPr>
    </w:p>
    <w:p w14:paraId="244E18EF">
      <w:pPr>
        <w:bidi w:val="0"/>
      </w:pPr>
    </w:p>
    <w:p w14:paraId="185DD551">
      <w:pPr>
        <w:bidi w:val="0"/>
        <w:rPr>
          <w:rFonts w:hint="eastAsia"/>
          <w:lang w:val="en-US" w:eastAsia="zh-CN"/>
        </w:rPr>
      </w:pPr>
    </w:p>
    <w:p w14:paraId="476DDACE">
      <w:pPr>
        <w:bidi w:val="0"/>
        <w:rPr>
          <w:rFonts w:hint="eastAsia"/>
          <w:lang w:val="en-US" w:eastAsia="zh-CN"/>
        </w:rPr>
      </w:pPr>
    </w:p>
    <w:p w14:paraId="29F37C3A">
      <w:pPr>
        <w:bidi w:val="0"/>
        <w:rPr>
          <w:rFonts w:hint="eastAsia"/>
          <w:lang w:val="en-US" w:eastAsia="zh-CN"/>
        </w:rPr>
      </w:pPr>
    </w:p>
    <w:p w14:paraId="46D9748A">
      <w:pPr>
        <w:bidi w:val="0"/>
        <w:rPr>
          <w:rFonts w:hint="eastAsia"/>
          <w:lang w:val="en-US" w:eastAsia="zh-CN"/>
        </w:rPr>
      </w:pPr>
    </w:p>
    <w:p w14:paraId="3168F7E7">
      <w:pPr>
        <w:bidi w:val="0"/>
        <w:rPr>
          <w:rFonts w:hint="eastAsia"/>
          <w:lang w:val="en-US" w:eastAsia="zh-CN"/>
        </w:rPr>
      </w:pPr>
    </w:p>
    <w:p w14:paraId="2689D3A1">
      <w:pPr>
        <w:bidi w:val="0"/>
        <w:rPr>
          <w:rFonts w:hint="eastAsia"/>
          <w:lang w:val="en-US" w:eastAsia="zh-CN"/>
        </w:rPr>
      </w:pPr>
    </w:p>
    <w:p w14:paraId="7B619978">
      <w:pPr>
        <w:bidi w:val="0"/>
        <w:rPr>
          <w:rFonts w:hint="eastAsia"/>
          <w:lang w:val="en-US" w:eastAsia="zh-CN"/>
        </w:rPr>
      </w:pPr>
    </w:p>
    <w:p w14:paraId="0E9709EC">
      <w:pPr>
        <w:bidi w:val="0"/>
        <w:rPr>
          <w:rFonts w:hint="eastAsia"/>
          <w:lang w:val="en-US" w:eastAsia="zh-CN"/>
        </w:rPr>
      </w:pPr>
    </w:p>
    <w:p w14:paraId="281205C9">
      <w:pPr>
        <w:bidi w:val="0"/>
        <w:rPr>
          <w:rFonts w:hint="eastAsia"/>
          <w:lang w:val="en-US" w:eastAsia="zh-CN"/>
        </w:rPr>
      </w:pPr>
    </w:p>
    <w:p w14:paraId="59428103">
      <w:pPr>
        <w:bidi w:val="0"/>
        <w:rPr>
          <w:rFonts w:hint="eastAsia"/>
          <w:lang w:val="en-US" w:eastAsia="zh-CN"/>
        </w:rPr>
      </w:pPr>
    </w:p>
    <w:p w14:paraId="34F26316">
      <w:pPr>
        <w:bidi w:val="0"/>
        <w:rPr>
          <w:rFonts w:hint="eastAsia"/>
          <w:lang w:val="en-US" w:eastAsia="zh-CN"/>
        </w:rPr>
      </w:pPr>
    </w:p>
    <w:p w14:paraId="5AFFE4CB">
      <w:pPr>
        <w:bidi w:val="0"/>
        <w:rPr>
          <w:rFonts w:hint="eastAsia"/>
          <w:lang w:val="en-US" w:eastAsia="zh-CN"/>
        </w:rPr>
      </w:pPr>
    </w:p>
    <w:p w14:paraId="7DC9AB0D">
      <w:pPr>
        <w:bidi w:val="0"/>
        <w:rPr>
          <w:rFonts w:hint="eastAsia"/>
          <w:lang w:val="en-US" w:eastAsia="zh-CN"/>
        </w:rPr>
      </w:pPr>
    </w:p>
    <w:p w14:paraId="05FE6C93">
      <w:pPr>
        <w:pStyle w:val="20"/>
        <w:numPr>
          <w:ilvl w:val="0"/>
          <w:numId w:val="13"/>
        </w:numPr>
        <w:spacing w:before="312" w:beforeLines="100" w:after="312" w:afterLines="100" w:line="600" w:lineRule="exact"/>
        <w:ind w:left="0" w:leftChars="0" w:firstLine="0" w:firstLineChars="0"/>
        <w:jc w:val="center"/>
        <w:outlineLvl w:val="0"/>
        <w:rPr>
          <w:rFonts w:hint="eastAsia" w:hAnsi="Courier New" w:cs="Courier New"/>
          <w:b/>
          <w:bCs/>
          <w:color w:val="auto"/>
          <w:sz w:val="32"/>
          <w:szCs w:val="32"/>
          <w:highlight w:val="none"/>
          <w:lang w:val="en-US" w:eastAsia="zh-CN"/>
        </w:rPr>
      </w:pPr>
      <w:r>
        <w:rPr>
          <w:rFonts w:hint="eastAsia" w:hAnsi="Courier New" w:cs="Courier New"/>
          <w:b/>
          <w:bCs/>
          <w:color w:val="auto"/>
          <w:sz w:val="32"/>
          <w:szCs w:val="32"/>
          <w:highlight w:val="none"/>
          <w:lang w:val="en-US" w:eastAsia="zh-CN"/>
        </w:rPr>
        <w:br w:type="page"/>
      </w:r>
      <w:r>
        <w:rPr>
          <w:rFonts w:hint="eastAsia" w:hAnsi="Courier New" w:cs="Courier New"/>
          <w:b/>
          <w:bCs/>
          <w:color w:val="auto"/>
          <w:sz w:val="32"/>
          <w:szCs w:val="32"/>
          <w:highlight w:val="none"/>
          <w:lang w:val="en-US" w:eastAsia="zh-CN"/>
        </w:rPr>
        <w:t xml:space="preserve"> </w:t>
      </w:r>
      <w:bookmarkStart w:id="708" w:name="_Toc17359"/>
      <w:bookmarkStart w:id="709" w:name="_Toc9853"/>
      <w:r>
        <w:rPr>
          <w:rFonts w:hint="eastAsia" w:hAnsi="Courier New" w:cs="Courier New"/>
          <w:b/>
          <w:bCs/>
          <w:color w:val="auto"/>
          <w:sz w:val="32"/>
          <w:szCs w:val="32"/>
          <w:highlight w:val="none"/>
          <w:lang w:val="en-US" w:eastAsia="zh-CN"/>
        </w:rPr>
        <w:t>合同</w:t>
      </w:r>
      <w:bookmarkEnd w:id="590"/>
      <w:r>
        <w:rPr>
          <w:rFonts w:hint="eastAsia" w:hAnsi="Courier New" w:cs="Courier New"/>
          <w:b/>
          <w:bCs/>
          <w:color w:val="auto"/>
          <w:sz w:val="32"/>
          <w:szCs w:val="32"/>
          <w:highlight w:val="none"/>
          <w:lang w:val="en-US" w:eastAsia="zh-CN"/>
        </w:rPr>
        <w:t>条款及格式</w:t>
      </w:r>
      <w:bookmarkEnd w:id="708"/>
      <w:bookmarkEnd w:id="709"/>
    </w:p>
    <w:p w14:paraId="4A0345CF">
      <w:pPr>
        <w:jc w:val="center"/>
        <w:rPr>
          <w:rFonts w:hint="eastAsia" w:ascii="宋体" w:hAnsi="宋体" w:cs="宋体"/>
          <w:b/>
          <w:sz w:val="28"/>
          <w:szCs w:val="28"/>
        </w:rPr>
      </w:pPr>
      <w:r>
        <w:rPr>
          <w:rFonts w:hint="eastAsia" w:ascii="宋体" w:hAnsi="宋体" w:cs="宋体"/>
          <w:b/>
          <w:sz w:val="28"/>
          <w:szCs w:val="28"/>
        </w:rPr>
        <w:t>（本合同格式仅供参考，具体条款以签订合同为准）</w:t>
      </w:r>
    </w:p>
    <w:p w14:paraId="441B132D">
      <w:pPr>
        <w:bidi w:val="0"/>
        <w:rPr>
          <w:rFonts w:hint="eastAsia"/>
          <w:lang w:val="en-US" w:eastAsia="zh-CN"/>
        </w:rPr>
      </w:pPr>
    </w:p>
    <w:p w14:paraId="036AECF7">
      <w:pPr>
        <w:spacing w:before="100" w:beforeAutospacing="1" w:after="120" w:line="360" w:lineRule="auto"/>
        <w:ind w:left="480" w:leftChars="200" w:firstLine="420"/>
        <w:rPr>
          <w:rFonts w:hint="eastAsia" w:ascii="宋体" w:hAnsi="宋体" w:cs="宋体"/>
          <w:kern w:val="0"/>
          <w:szCs w:val="21"/>
        </w:rPr>
      </w:pPr>
      <w:r>
        <w:rPr>
          <w:rFonts w:hint="eastAsia" w:ascii="宋体" w:hAnsi="宋体" w:cs="宋体"/>
          <w:kern w:val="0"/>
          <w:szCs w:val="21"/>
        </w:rPr>
        <w:t>注：按《三门峡市财政局关于市本级政府采购合同备案管理工作的通知》（三财购[2021]9号）文要求，集中采购目录以外政府采购项目，原则上自中标通知书发出之日起2个工作日内与中标人按照招标文件确定的事项与中标人签订施工合同。</w:t>
      </w:r>
    </w:p>
    <w:p w14:paraId="1205EEAD">
      <w:pPr>
        <w:keepNext/>
        <w:keepLines/>
        <w:spacing w:before="260" w:after="260" w:line="360" w:lineRule="auto"/>
        <w:jc w:val="center"/>
        <w:rPr>
          <w:rFonts w:hint="eastAsia" w:ascii="宋体" w:hAnsi="宋体" w:cs="宋体"/>
          <w:b/>
          <w:bCs/>
          <w:kern w:val="0"/>
          <w:sz w:val="24"/>
          <w:szCs w:val="24"/>
        </w:rPr>
      </w:pPr>
      <w:bookmarkStart w:id="710" w:name="_Toc485395250"/>
      <w:r>
        <w:rPr>
          <w:rFonts w:hint="eastAsia" w:ascii="宋体" w:hAnsi="宋体" w:cs="宋体"/>
          <w:b/>
          <w:bCs/>
          <w:kern w:val="0"/>
          <w:sz w:val="24"/>
          <w:szCs w:val="24"/>
        </w:rPr>
        <w:t>第一节通用合同条款</w:t>
      </w:r>
      <w:bookmarkEnd w:id="710"/>
    </w:p>
    <w:p w14:paraId="687E885C">
      <w:pPr>
        <w:autoSpaceDE w:val="0"/>
        <w:autoSpaceDN w:val="0"/>
        <w:adjustRightInd w:val="0"/>
        <w:spacing w:line="420" w:lineRule="exact"/>
        <w:jc w:val="center"/>
        <w:rPr>
          <w:rFonts w:hint="eastAsia" w:ascii="宋体" w:hAnsi="宋体" w:cs="黑体"/>
          <w:kern w:val="0"/>
          <w:sz w:val="24"/>
          <w:szCs w:val="24"/>
        </w:rPr>
      </w:pPr>
      <w:r>
        <w:rPr>
          <w:rFonts w:hint="eastAsia" w:ascii="宋体" w:hAnsi="宋体" w:cs="宋体"/>
          <w:sz w:val="24"/>
          <w:szCs w:val="24"/>
        </w:rPr>
        <w:t>“通用合同条款”采用《标准施工招标文件》的“通用合同条款”。</w:t>
      </w:r>
    </w:p>
    <w:p w14:paraId="44684A4A">
      <w:pPr>
        <w:autoSpaceDE w:val="0"/>
        <w:autoSpaceDN w:val="0"/>
        <w:adjustRightInd w:val="0"/>
        <w:spacing w:line="420" w:lineRule="exact"/>
        <w:jc w:val="left"/>
        <w:rPr>
          <w:rFonts w:hint="eastAsia" w:ascii="宋体" w:hAnsi="宋体" w:cs="黑体"/>
          <w:kern w:val="0"/>
          <w:sz w:val="28"/>
          <w:szCs w:val="28"/>
        </w:rPr>
      </w:pPr>
    </w:p>
    <w:p w14:paraId="73524562">
      <w:pPr>
        <w:autoSpaceDE w:val="0"/>
        <w:autoSpaceDN w:val="0"/>
        <w:adjustRightInd w:val="0"/>
        <w:spacing w:line="420" w:lineRule="exact"/>
        <w:jc w:val="left"/>
        <w:rPr>
          <w:rFonts w:hint="eastAsia" w:ascii="宋体" w:hAnsi="宋体" w:cs="黑体"/>
          <w:kern w:val="0"/>
          <w:sz w:val="28"/>
          <w:szCs w:val="28"/>
        </w:rPr>
      </w:pPr>
    </w:p>
    <w:p w14:paraId="31EEE2CC">
      <w:pPr>
        <w:autoSpaceDE w:val="0"/>
        <w:autoSpaceDN w:val="0"/>
        <w:adjustRightInd w:val="0"/>
        <w:spacing w:line="420" w:lineRule="exact"/>
        <w:jc w:val="left"/>
        <w:rPr>
          <w:rFonts w:hint="eastAsia" w:ascii="宋体" w:hAnsi="宋体" w:cs="黑体"/>
          <w:kern w:val="0"/>
          <w:sz w:val="28"/>
          <w:szCs w:val="28"/>
        </w:rPr>
      </w:pPr>
    </w:p>
    <w:p w14:paraId="7311658E">
      <w:pPr>
        <w:autoSpaceDE w:val="0"/>
        <w:autoSpaceDN w:val="0"/>
        <w:adjustRightInd w:val="0"/>
        <w:spacing w:line="420" w:lineRule="exact"/>
        <w:jc w:val="left"/>
        <w:rPr>
          <w:rFonts w:hint="eastAsia" w:ascii="宋体" w:hAnsi="宋体" w:cs="黑体"/>
          <w:kern w:val="0"/>
          <w:sz w:val="28"/>
          <w:szCs w:val="28"/>
        </w:rPr>
      </w:pPr>
    </w:p>
    <w:p w14:paraId="44BB1307">
      <w:pPr>
        <w:autoSpaceDE w:val="0"/>
        <w:autoSpaceDN w:val="0"/>
        <w:adjustRightInd w:val="0"/>
        <w:spacing w:line="420" w:lineRule="exact"/>
        <w:jc w:val="left"/>
        <w:rPr>
          <w:rFonts w:hint="eastAsia" w:ascii="宋体" w:hAnsi="宋体" w:cs="黑体"/>
          <w:kern w:val="0"/>
          <w:sz w:val="28"/>
          <w:szCs w:val="28"/>
        </w:rPr>
      </w:pPr>
    </w:p>
    <w:p w14:paraId="197CFCD2">
      <w:pPr>
        <w:autoSpaceDE w:val="0"/>
        <w:autoSpaceDN w:val="0"/>
        <w:adjustRightInd w:val="0"/>
        <w:spacing w:line="420" w:lineRule="exact"/>
        <w:jc w:val="left"/>
        <w:rPr>
          <w:rFonts w:hint="eastAsia" w:ascii="宋体" w:hAnsi="宋体" w:cs="黑体"/>
          <w:kern w:val="0"/>
          <w:sz w:val="28"/>
          <w:szCs w:val="28"/>
        </w:rPr>
      </w:pPr>
    </w:p>
    <w:p w14:paraId="55660E1C">
      <w:pPr>
        <w:autoSpaceDE w:val="0"/>
        <w:autoSpaceDN w:val="0"/>
        <w:adjustRightInd w:val="0"/>
        <w:spacing w:line="420" w:lineRule="exact"/>
        <w:jc w:val="left"/>
        <w:rPr>
          <w:rFonts w:hint="eastAsia" w:ascii="宋体" w:hAnsi="宋体" w:cs="黑体"/>
          <w:kern w:val="0"/>
          <w:sz w:val="28"/>
          <w:szCs w:val="28"/>
        </w:rPr>
      </w:pPr>
    </w:p>
    <w:p w14:paraId="763D256D">
      <w:pPr>
        <w:autoSpaceDE w:val="0"/>
        <w:autoSpaceDN w:val="0"/>
        <w:adjustRightInd w:val="0"/>
        <w:spacing w:line="420" w:lineRule="exact"/>
        <w:jc w:val="left"/>
        <w:rPr>
          <w:rFonts w:hint="eastAsia" w:ascii="宋体" w:hAnsi="宋体" w:cs="黑体"/>
          <w:kern w:val="0"/>
          <w:sz w:val="28"/>
          <w:szCs w:val="28"/>
        </w:rPr>
      </w:pPr>
    </w:p>
    <w:p w14:paraId="3F4C1006">
      <w:pPr>
        <w:autoSpaceDE w:val="0"/>
        <w:autoSpaceDN w:val="0"/>
        <w:adjustRightInd w:val="0"/>
        <w:spacing w:line="420" w:lineRule="exact"/>
        <w:jc w:val="left"/>
        <w:rPr>
          <w:rFonts w:hint="eastAsia" w:ascii="宋体" w:hAnsi="宋体" w:cs="黑体"/>
          <w:kern w:val="0"/>
          <w:sz w:val="28"/>
          <w:szCs w:val="28"/>
        </w:rPr>
      </w:pPr>
    </w:p>
    <w:p w14:paraId="3EDDBD4A">
      <w:pPr>
        <w:autoSpaceDE w:val="0"/>
        <w:autoSpaceDN w:val="0"/>
        <w:adjustRightInd w:val="0"/>
        <w:spacing w:line="420" w:lineRule="exact"/>
        <w:jc w:val="left"/>
        <w:rPr>
          <w:rFonts w:hint="eastAsia" w:ascii="宋体" w:hAnsi="宋体" w:cs="黑体"/>
          <w:kern w:val="0"/>
          <w:sz w:val="28"/>
          <w:szCs w:val="28"/>
        </w:rPr>
      </w:pPr>
    </w:p>
    <w:p w14:paraId="2DC9D119">
      <w:pPr>
        <w:autoSpaceDE w:val="0"/>
        <w:autoSpaceDN w:val="0"/>
        <w:adjustRightInd w:val="0"/>
        <w:spacing w:line="420" w:lineRule="exact"/>
        <w:jc w:val="left"/>
        <w:rPr>
          <w:rFonts w:hint="eastAsia" w:ascii="宋体" w:hAnsi="宋体" w:cs="黑体"/>
          <w:kern w:val="0"/>
          <w:sz w:val="28"/>
          <w:szCs w:val="28"/>
        </w:rPr>
      </w:pPr>
    </w:p>
    <w:p w14:paraId="6F923086">
      <w:pPr>
        <w:widowControl/>
        <w:spacing w:after="200" w:line="360" w:lineRule="auto"/>
        <w:jc w:val="center"/>
        <w:rPr>
          <w:rFonts w:ascii="宋体"/>
          <w:b/>
          <w:bCs/>
          <w:kern w:val="0"/>
          <w:sz w:val="24"/>
          <w:szCs w:val="24"/>
          <w:lang w:eastAsia="en-US"/>
        </w:rPr>
      </w:pPr>
      <w:r>
        <w:rPr>
          <w:rFonts w:ascii="宋体" w:hAnsi="宋体" w:cs="宋体"/>
          <w:b/>
          <w:bCs/>
          <w:kern w:val="0"/>
          <w:sz w:val="24"/>
        </w:rPr>
        <w:br w:type="page"/>
      </w:r>
      <w:r>
        <w:rPr>
          <w:rFonts w:hint="eastAsia" w:ascii="宋体" w:hAnsi="宋体" w:cs="宋体"/>
          <w:b/>
          <w:bCs/>
          <w:kern w:val="0"/>
          <w:sz w:val="24"/>
          <w:szCs w:val="24"/>
          <w:lang w:eastAsia="en-US"/>
        </w:rPr>
        <w:t>第</w:t>
      </w:r>
      <w:r>
        <w:rPr>
          <w:rFonts w:ascii="宋体" w:hAnsi="宋体" w:cs="宋体"/>
          <w:b/>
          <w:bCs/>
          <w:kern w:val="0"/>
          <w:sz w:val="24"/>
          <w:szCs w:val="24"/>
          <w:lang w:eastAsia="en-US"/>
        </w:rPr>
        <w:t>2</w:t>
      </w:r>
      <w:r>
        <w:rPr>
          <w:rFonts w:hint="eastAsia" w:ascii="宋体" w:hAnsi="宋体" w:cs="宋体"/>
          <w:b/>
          <w:bCs/>
          <w:kern w:val="0"/>
          <w:sz w:val="24"/>
          <w:szCs w:val="24"/>
          <w:lang w:eastAsia="en-US"/>
        </w:rPr>
        <w:t>节专用合同条款</w:t>
      </w:r>
    </w:p>
    <w:p w14:paraId="57BB8B60">
      <w:pPr>
        <w:widowControl/>
        <w:numPr>
          <w:ilvl w:val="1"/>
          <w:numId w:val="15"/>
        </w:numPr>
        <w:spacing w:after="200" w:line="360" w:lineRule="auto"/>
        <w:jc w:val="center"/>
        <w:rPr>
          <w:rFonts w:hint="eastAsia" w:ascii="宋体" w:hAnsi="宋体" w:cs="宋体"/>
          <w:b/>
          <w:bCs/>
          <w:kern w:val="0"/>
          <w:sz w:val="24"/>
          <w:szCs w:val="24"/>
        </w:rPr>
      </w:pPr>
      <w:r>
        <w:rPr>
          <w:rFonts w:hint="eastAsia" w:ascii="宋体" w:hAnsi="宋体" w:cs="宋体"/>
          <w:b/>
          <w:bCs/>
          <w:kern w:val="0"/>
          <w:sz w:val="24"/>
          <w:szCs w:val="24"/>
        </w:rPr>
        <w:t>公路工程专用合同条款</w:t>
      </w:r>
    </w:p>
    <w:p w14:paraId="488522D1">
      <w:pPr>
        <w:spacing w:line="440" w:lineRule="exact"/>
        <w:ind w:firstLine="482" w:firstLineChars="200"/>
        <w:rPr>
          <w:rFonts w:hint="eastAsia" w:ascii="宋体" w:hAnsi="宋体" w:cs="宋体"/>
          <w:b/>
          <w:bCs/>
          <w:kern w:val="0"/>
          <w:sz w:val="24"/>
          <w:szCs w:val="24"/>
        </w:rPr>
      </w:pPr>
      <w:bookmarkStart w:id="711" w:name="_Toc479265546"/>
      <w:bookmarkStart w:id="712" w:name="_Toc480282292"/>
      <w:bookmarkStart w:id="713" w:name="_Toc513132287"/>
      <w:bookmarkStart w:id="714" w:name="_Toc234382841"/>
      <w:bookmarkStart w:id="715" w:name="_Toc513212807"/>
      <w:bookmarkStart w:id="716" w:name="_Toc512689654"/>
      <w:bookmarkStart w:id="717" w:name="_Toc488083526"/>
      <w:bookmarkStart w:id="718" w:name="_Toc479237717"/>
      <w:r>
        <w:rPr>
          <w:rFonts w:hint="eastAsia" w:ascii="宋体" w:hAnsi="宋体" w:cs="宋体"/>
          <w:b/>
          <w:bCs/>
          <w:kern w:val="0"/>
          <w:sz w:val="24"/>
          <w:szCs w:val="24"/>
        </w:rPr>
        <w:t>1．一般约定</w:t>
      </w:r>
      <w:bookmarkEnd w:id="711"/>
      <w:bookmarkEnd w:id="712"/>
      <w:bookmarkEnd w:id="713"/>
      <w:bookmarkEnd w:id="714"/>
      <w:bookmarkEnd w:id="715"/>
      <w:bookmarkEnd w:id="716"/>
      <w:bookmarkEnd w:id="717"/>
      <w:bookmarkEnd w:id="718"/>
    </w:p>
    <w:p w14:paraId="57447CF9">
      <w:pPr>
        <w:spacing w:line="440" w:lineRule="exact"/>
        <w:ind w:firstLine="480" w:firstLineChars="200"/>
        <w:rPr>
          <w:rFonts w:ascii="宋体" w:hAnsi="宋体" w:cs="宋体"/>
          <w:kern w:val="0"/>
          <w:sz w:val="24"/>
          <w:szCs w:val="24"/>
        </w:rPr>
      </w:pPr>
      <w:bookmarkStart w:id="719" w:name="_Toc488083527"/>
      <w:bookmarkStart w:id="720" w:name="_Toc480282293"/>
      <w:bookmarkStart w:id="721" w:name="_Toc479265547"/>
      <w:bookmarkStart w:id="722" w:name="_Toc234382842"/>
      <w:bookmarkStart w:id="723" w:name="_Toc479237718"/>
      <w:bookmarkStart w:id="724" w:name="_Toc513212808"/>
      <w:bookmarkStart w:id="725" w:name="_Toc512689655"/>
      <w:bookmarkStart w:id="726" w:name="_Toc513132288"/>
      <w:r>
        <w:rPr>
          <w:rFonts w:hint="eastAsia" w:ascii="宋体" w:hAnsi="宋体" w:cs="宋体"/>
          <w:kern w:val="0"/>
          <w:sz w:val="24"/>
          <w:szCs w:val="24"/>
        </w:rPr>
        <w:t>1.1词语定义</w:t>
      </w:r>
      <w:bookmarkEnd w:id="719"/>
      <w:bookmarkEnd w:id="720"/>
      <w:bookmarkEnd w:id="721"/>
      <w:bookmarkEnd w:id="722"/>
      <w:bookmarkEnd w:id="723"/>
      <w:bookmarkEnd w:id="724"/>
      <w:bookmarkEnd w:id="725"/>
      <w:bookmarkEnd w:id="726"/>
    </w:p>
    <w:p w14:paraId="6A4DBB2F">
      <w:pPr>
        <w:spacing w:line="440" w:lineRule="exact"/>
        <w:ind w:firstLine="480" w:firstLineChars="200"/>
        <w:rPr>
          <w:rFonts w:ascii="宋体" w:hAnsi="宋体" w:cs="宋体"/>
          <w:kern w:val="0"/>
          <w:sz w:val="24"/>
          <w:szCs w:val="24"/>
        </w:rPr>
      </w:pPr>
      <w:r>
        <w:rPr>
          <w:rFonts w:ascii="宋体" w:hAnsi="宋体" w:cs="宋体"/>
          <w:kern w:val="0"/>
          <w:sz w:val="24"/>
          <w:szCs w:val="24"/>
        </w:rPr>
        <w:t>1.1.1</w:t>
      </w:r>
      <w:r>
        <w:rPr>
          <w:rFonts w:hint="eastAsia" w:ascii="宋体" w:hAnsi="宋体" w:cs="宋体"/>
          <w:kern w:val="0"/>
          <w:sz w:val="24"/>
          <w:szCs w:val="24"/>
        </w:rPr>
        <w:t>合同</w:t>
      </w:r>
    </w:p>
    <w:p w14:paraId="7CCE507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1.1.1.6</w:t>
      </w:r>
      <w:r>
        <w:rPr>
          <w:rFonts w:hint="eastAsia" w:ascii="宋体" w:hAnsi="宋体" w:cs="宋体"/>
          <w:kern w:val="0"/>
          <w:sz w:val="24"/>
          <w:szCs w:val="24"/>
        </w:rPr>
        <w:t>目细化为：</w:t>
      </w:r>
    </w:p>
    <w:p w14:paraId="232B062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技术规范：为本合同所约定的技术标准和要求，是合同文件的组成部分。通用合同条款中“技术标准和要求”一词具有相同含义。</w:t>
      </w:r>
    </w:p>
    <w:p w14:paraId="61300BE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1.1.1.8</w:t>
      </w:r>
      <w:r>
        <w:rPr>
          <w:rFonts w:hint="eastAsia" w:ascii="宋体" w:hAnsi="宋体" w:cs="宋体"/>
          <w:kern w:val="0"/>
          <w:sz w:val="24"/>
          <w:szCs w:val="24"/>
        </w:rPr>
        <w:t>目细化为：</w:t>
      </w:r>
    </w:p>
    <w:p w14:paraId="308FCE3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w:t>
      </w:r>
      <w:r>
        <w:rPr>
          <w:rFonts w:ascii="宋体" w:hAnsi="宋体" w:cs="宋体"/>
          <w:kern w:val="0"/>
          <w:sz w:val="24"/>
          <w:szCs w:val="24"/>
        </w:rPr>
        <w:t>5.1</w:t>
      </w:r>
      <w:r>
        <w:rPr>
          <w:rFonts w:hint="eastAsia" w:ascii="宋体" w:hAnsi="宋体" w:cs="宋体"/>
          <w:kern w:val="0"/>
          <w:sz w:val="24"/>
          <w:szCs w:val="24"/>
        </w:rPr>
        <w:t>～表</w:t>
      </w:r>
      <w:r>
        <w:rPr>
          <w:rFonts w:ascii="宋体" w:hAnsi="宋体" w:cs="宋体"/>
          <w:kern w:val="0"/>
          <w:sz w:val="24"/>
          <w:szCs w:val="24"/>
        </w:rPr>
        <w:t>5.5</w:t>
      </w:r>
      <w:r>
        <w:rPr>
          <w:rFonts w:hint="eastAsia" w:ascii="宋体" w:hAnsi="宋体" w:cs="宋体"/>
          <w:kern w:val="0"/>
          <w:sz w:val="24"/>
          <w:szCs w:val="24"/>
        </w:rPr>
        <w:t>）。</w:t>
      </w:r>
    </w:p>
    <w:p w14:paraId="07C133F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本项补充第</w:t>
      </w:r>
      <w:r>
        <w:rPr>
          <w:rFonts w:ascii="宋体" w:hAnsi="宋体" w:cs="宋体"/>
          <w:kern w:val="0"/>
          <w:sz w:val="24"/>
          <w:szCs w:val="24"/>
        </w:rPr>
        <w:t>1.1.1.10</w:t>
      </w:r>
      <w:r>
        <w:rPr>
          <w:rFonts w:hint="eastAsia" w:ascii="宋体" w:hAnsi="宋体" w:cs="宋体"/>
          <w:kern w:val="0"/>
          <w:sz w:val="24"/>
          <w:szCs w:val="24"/>
        </w:rPr>
        <w:t>目：</w:t>
      </w:r>
    </w:p>
    <w:p w14:paraId="4326DE1E">
      <w:pPr>
        <w:spacing w:line="440" w:lineRule="exact"/>
        <w:ind w:firstLine="480" w:firstLineChars="200"/>
        <w:rPr>
          <w:rFonts w:ascii="宋体" w:hAnsi="宋体" w:cs="宋体"/>
          <w:kern w:val="0"/>
          <w:sz w:val="24"/>
          <w:szCs w:val="24"/>
        </w:rPr>
      </w:pPr>
      <w:r>
        <w:rPr>
          <w:rFonts w:ascii="宋体" w:hAnsi="宋体" w:cs="宋体"/>
          <w:kern w:val="0"/>
          <w:sz w:val="24"/>
          <w:szCs w:val="24"/>
        </w:rPr>
        <w:t>1.1.1.10</w:t>
      </w:r>
      <w:r>
        <w:rPr>
          <w:rFonts w:hint="eastAsia" w:ascii="宋体" w:hAnsi="宋体" w:cs="宋体"/>
          <w:kern w:val="0"/>
          <w:sz w:val="24"/>
          <w:szCs w:val="24"/>
        </w:rPr>
        <w:t>补遗书：指发出招标文件之后由招标人向已取得招标文件的投标人发出的、编号的对招标文件所作的澄清、修改书。</w:t>
      </w:r>
    </w:p>
    <w:p w14:paraId="403E7C4C">
      <w:pPr>
        <w:spacing w:line="440" w:lineRule="exact"/>
        <w:ind w:firstLine="480" w:firstLineChars="200"/>
        <w:rPr>
          <w:rFonts w:ascii="宋体" w:hAnsi="宋体" w:cs="宋体"/>
          <w:kern w:val="0"/>
          <w:sz w:val="24"/>
          <w:szCs w:val="24"/>
        </w:rPr>
      </w:pPr>
      <w:r>
        <w:rPr>
          <w:rFonts w:ascii="宋体" w:hAnsi="宋体" w:cs="宋体"/>
          <w:kern w:val="0"/>
          <w:sz w:val="24"/>
          <w:szCs w:val="24"/>
        </w:rPr>
        <w:t>1.1.2</w:t>
      </w:r>
      <w:r>
        <w:rPr>
          <w:rFonts w:hint="eastAsia" w:ascii="宋体" w:hAnsi="宋体" w:cs="宋体"/>
          <w:kern w:val="0"/>
          <w:sz w:val="24"/>
          <w:szCs w:val="24"/>
        </w:rPr>
        <w:t>合同当事人和人员</w:t>
      </w:r>
    </w:p>
    <w:p w14:paraId="61C1FF6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本项补充第</w:t>
      </w:r>
      <w:r>
        <w:rPr>
          <w:rFonts w:ascii="宋体" w:hAnsi="宋体" w:cs="宋体"/>
          <w:kern w:val="0"/>
          <w:sz w:val="24"/>
          <w:szCs w:val="24"/>
        </w:rPr>
        <w:t>1.1.2.8</w:t>
      </w:r>
      <w:r>
        <w:rPr>
          <w:rFonts w:hint="eastAsia" w:ascii="宋体" w:hAnsi="宋体" w:cs="宋体"/>
          <w:kern w:val="0"/>
          <w:sz w:val="24"/>
          <w:szCs w:val="24"/>
        </w:rPr>
        <w:t>目：</w:t>
      </w:r>
    </w:p>
    <w:p w14:paraId="6548E79D">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1.1.2.8 </w:t>
      </w:r>
      <w:r>
        <w:rPr>
          <w:rFonts w:hint="eastAsia" w:ascii="宋体" w:hAnsi="宋体" w:cs="宋体"/>
          <w:kern w:val="0"/>
          <w:sz w:val="24"/>
          <w:szCs w:val="24"/>
        </w:rPr>
        <w:t>承包人项目总工：指由承包人书面委派常驻现场负责管理本合同工程的总工程师或技术总负责人。</w:t>
      </w:r>
    </w:p>
    <w:p w14:paraId="0B569D0C">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1.1.3 </w:t>
      </w:r>
      <w:r>
        <w:rPr>
          <w:rFonts w:hint="eastAsia" w:ascii="宋体" w:hAnsi="宋体" w:cs="宋体"/>
          <w:kern w:val="0"/>
          <w:sz w:val="24"/>
          <w:szCs w:val="24"/>
        </w:rPr>
        <w:t>工程和设备</w:t>
      </w:r>
    </w:p>
    <w:p w14:paraId="460F9D9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1.1.3.4</w:t>
      </w:r>
      <w:r>
        <w:rPr>
          <w:rFonts w:hint="eastAsia" w:ascii="宋体" w:hAnsi="宋体" w:cs="宋体"/>
          <w:kern w:val="0"/>
          <w:sz w:val="24"/>
          <w:szCs w:val="24"/>
        </w:rPr>
        <w:t>目细化为：</w:t>
      </w:r>
    </w:p>
    <w:p w14:paraId="21EAB4E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单位工程：指在建设项目中，根据签订的合同，具有独立施工条件的工程。</w:t>
      </w:r>
    </w:p>
    <w:p w14:paraId="45C6F7E6">
      <w:pPr>
        <w:spacing w:line="440" w:lineRule="exact"/>
        <w:ind w:firstLine="480" w:firstLineChars="200"/>
        <w:rPr>
          <w:rFonts w:ascii="宋体" w:hAnsi="宋体" w:cs="宋体"/>
          <w:kern w:val="0"/>
          <w:sz w:val="24"/>
          <w:szCs w:val="24"/>
        </w:rPr>
      </w:pPr>
      <w:r>
        <w:rPr>
          <w:rFonts w:ascii="宋体" w:hAnsi="宋体" w:cs="宋体"/>
          <w:kern w:val="0"/>
          <w:sz w:val="24"/>
          <w:szCs w:val="24"/>
        </w:rPr>
        <w:t>1.1.3.10</w:t>
      </w:r>
      <w:r>
        <w:rPr>
          <w:rFonts w:hint="eastAsia" w:ascii="宋体" w:hAnsi="宋体" w:cs="宋体"/>
          <w:kern w:val="0"/>
          <w:sz w:val="24"/>
          <w:szCs w:val="24"/>
        </w:rPr>
        <w:t>目细化为：</w:t>
      </w:r>
    </w:p>
    <w:p w14:paraId="257482E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永久占地：指为实施本合同工程而需要的一切永久占用的土地，包括公路两侧路权范围内的用地。</w:t>
      </w:r>
    </w:p>
    <w:p w14:paraId="35F8A93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1.1.3.11</w:t>
      </w:r>
      <w:r>
        <w:rPr>
          <w:rFonts w:hint="eastAsia" w:ascii="宋体" w:hAnsi="宋体" w:cs="宋体"/>
          <w:kern w:val="0"/>
          <w:sz w:val="24"/>
          <w:szCs w:val="24"/>
        </w:rPr>
        <w:t>目细化为：</w:t>
      </w:r>
    </w:p>
    <w:p w14:paraId="3EC3946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临时占地：指为实施本合同工程而需要的一切临时占用的土地，包括施工所用的临时支线、便道、便桥和现场的临时出入通道，以及生产（办公）、生活等临时设施用地等。</w:t>
      </w:r>
    </w:p>
    <w:p w14:paraId="1997914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本项补充第</w:t>
      </w:r>
      <w:r>
        <w:rPr>
          <w:rFonts w:ascii="宋体" w:hAnsi="宋体" w:cs="宋体"/>
          <w:kern w:val="0"/>
          <w:sz w:val="24"/>
          <w:szCs w:val="24"/>
        </w:rPr>
        <w:t>1.1.3.12</w:t>
      </w:r>
      <w:r>
        <w:rPr>
          <w:rFonts w:hint="eastAsia" w:ascii="宋体" w:hAnsi="宋体" w:cs="宋体"/>
          <w:kern w:val="0"/>
          <w:sz w:val="24"/>
          <w:szCs w:val="24"/>
        </w:rPr>
        <w:t>目、第</w:t>
      </w:r>
      <w:r>
        <w:rPr>
          <w:rFonts w:ascii="宋体" w:hAnsi="宋体" w:cs="宋体"/>
          <w:kern w:val="0"/>
          <w:sz w:val="24"/>
          <w:szCs w:val="24"/>
        </w:rPr>
        <w:t>1.1.3.13</w:t>
      </w:r>
      <w:r>
        <w:rPr>
          <w:rFonts w:hint="eastAsia" w:ascii="宋体" w:hAnsi="宋体" w:cs="宋体"/>
          <w:kern w:val="0"/>
          <w:sz w:val="24"/>
          <w:szCs w:val="24"/>
        </w:rPr>
        <w:t>目：</w:t>
      </w:r>
    </w:p>
    <w:p w14:paraId="671D4899">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1.1.3.12 </w:t>
      </w:r>
      <w:r>
        <w:rPr>
          <w:rFonts w:hint="eastAsia" w:ascii="宋体" w:hAnsi="宋体" w:cs="宋体"/>
          <w:kern w:val="0"/>
          <w:sz w:val="24"/>
          <w:szCs w:val="24"/>
        </w:rPr>
        <w:t>分部工程：指在单位工程中，按结构部位、路段长度及施工特点或施工任务划分的若干个工程。</w:t>
      </w:r>
    </w:p>
    <w:p w14:paraId="1D5E5E2A">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1.1.3.13 </w:t>
      </w:r>
      <w:r>
        <w:rPr>
          <w:rFonts w:hint="eastAsia" w:ascii="宋体" w:hAnsi="宋体" w:cs="宋体"/>
          <w:kern w:val="0"/>
          <w:sz w:val="24"/>
          <w:szCs w:val="24"/>
        </w:rPr>
        <w:t>分项工程：指在分部工程中，按不同的施工方法、材料、工序及路段长度等划分的若干个过程。</w:t>
      </w:r>
    </w:p>
    <w:p w14:paraId="3C1CB20E">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 </w:t>
      </w:r>
      <w:r>
        <w:rPr>
          <w:rFonts w:hint="eastAsia" w:ascii="宋体" w:hAnsi="宋体" w:cs="宋体"/>
          <w:kern w:val="0"/>
          <w:sz w:val="24"/>
          <w:szCs w:val="24"/>
        </w:rPr>
        <w:t>其他</w:t>
      </w:r>
    </w:p>
    <w:p w14:paraId="5E36C28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1.1.6.2 本项目为</w:t>
      </w:r>
      <w:r>
        <w:rPr>
          <w:rFonts w:hint="eastAsia" w:ascii="宋体" w:hAnsi="宋体" w:cs="宋体"/>
          <w:b/>
          <w:kern w:val="0"/>
          <w:sz w:val="24"/>
          <w:szCs w:val="24"/>
          <w:u w:val="single"/>
        </w:rPr>
        <w:t>固定单价合同</w:t>
      </w:r>
    </w:p>
    <w:p w14:paraId="367C08F1">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1.1.6.2 </w:t>
      </w:r>
      <w:r>
        <w:rPr>
          <w:rFonts w:hint="eastAsia" w:ascii="宋体" w:hAnsi="宋体" w:cs="宋体"/>
          <w:kern w:val="0"/>
          <w:sz w:val="24"/>
          <w:szCs w:val="24"/>
        </w:rPr>
        <w:t>竣工验收：指《公路工程竣（交）工验收办法》中的竣工验收。通用合同条款中“国家验收”一词具有相同含义。</w:t>
      </w:r>
    </w:p>
    <w:p w14:paraId="3010621A">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1.1.6.3 </w:t>
      </w:r>
      <w:r>
        <w:rPr>
          <w:rFonts w:hint="eastAsia" w:ascii="宋体" w:hAnsi="宋体" w:cs="宋体"/>
          <w:kern w:val="0"/>
          <w:sz w:val="24"/>
          <w:szCs w:val="24"/>
        </w:rPr>
        <w:t>交工：指《公路工程竣（交）工验收办法》中的交工。通用合同条款中“竣工”一词具有相同含义。</w:t>
      </w:r>
    </w:p>
    <w:p w14:paraId="1057AA97">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1.1.6.3 </w:t>
      </w:r>
      <w:r>
        <w:rPr>
          <w:rFonts w:hint="eastAsia" w:ascii="宋体" w:hAnsi="宋体" w:cs="宋体"/>
          <w:kern w:val="0"/>
          <w:sz w:val="24"/>
          <w:szCs w:val="24"/>
        </w:rPr>
        <w:t>交工验收：指《公路工程竣（交）工验收办法》中的交工验收。通用合同条款中“竣工验收”一词具有相同含义。</w:t>
      </w:r>
    </w:p>
    <w:p w14:paraId="6B1F2C76">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1.1.6.4 </w:t>
      </w:r>
      <w:r>
        <w:rPr>
          <w:rFonts w:hint="eastAsia" w:ascii="宋体" w:hAnsi="宋体" w:cs="宋体"/>
          <w:kern w:val="0"/>
          <w:sz w:val="24"/>
          <w:szCs w:val="24"/>
        </w:rPr>
        <w:t>交工验收证书：指《公路工程竣（交）工验收办法》中的交工验收证书。通用合同条款中“工程接收证书”一词具有相同含义。</w:t>
      </w:r>
    </w:p>
    <w:p w14:paraId="7950FB5B">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1.1.6.5 </w:t>
      </w:r>
      <w:r>
        <w:rPr>
          <w:rFonts w:hint="eastAsia" w:ascii="宋体" w:hAnsi="宋体" w:cs="宋体"/>
          <w:kern w:val="0"/>
          <w:sz w:val="24"/>
          <w:szCs w:val="24"/>
        </w:rPr>
        <w:t>转包：指承包人违反法律和不履行合同规定的责任和义务，将中标工程全部委托或以专业分包的名义将中标工程肢解后全部委托给其他施工企业施工的行为。</w:t>
      </w:r>
    </w:p>
    <w:p w14:paraId="71072697">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1.1.6.6 </w:t>
      </w:r>
      <w:r>
        <w:rPr>
          <w:rFonts w:hint="eastAsia" w:ascii="宋体" w:hAnsi="宋体" w:cs="宋体"/>
          <w:kern w:val="0"/>
          <w:sz w:val="24"/>
          <w:szCs w:val="24"/>
        </w:rPr>
        <w:t>专业分包：指承包人与具有相应资质的施工企业签订专业分包合同，由分包人承担承包人委托的分部工程、分项工程或适合专业化队伍施工的其他工程，整体结算，并能独立控制工程质量、施工进度、材料采购、生产安全的施工行为。</w:t>
      </w:r>
    </w:p>
    <w:p w14:paraId="25547119">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1.1.6.7 </w:t>
      </w:r>
      <w:r>
        <w:rPr>
          <w:rFonts w:hint="eastAsia" w:ascii="宋体" w:hAnsi="宋体" w:cs="宋体"/>
          <w:kern w:val="0"/>
          <w:sz w:val="24"/>
          <w:szCs w:val="24"/>
        </w:rPr>
        <w:t>劳务分包：指承包人与具有施工劳务分包资质的劳务企业签订劳务分包，由劳务企业提供劳务人员及机具，由承包人统一组织施工，统一控制工程质量、施工进度、材料采购、生产安全的施工行为。</w:t>
      </w:r>
    </w:p>
    <w:p w14:paraId="30551C06">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1.1.6.8 </w:t>
      </w:r>
      <w:r>
        <w:rPr>
          <w:rFonts w:hint="eastAsia" w:ascii="宋体" w:hAnsi="宋体" w:cs="宋体"/>
          <w:kern w:val="0"/>
          <w:sz w:val="24"/>
          <w:szCs w:val="24"/>
        </w:rPr>
        <w:t>雇佣民工：指承包人与具有相应劳动能力的自然人签订劳动合同，由承包人统一组织管理，从事分项工程施工或配套工程施工的行为。</w:t>
      </w:r>
    </w:p>
    <w:p w14:paraId="4C50A713">
      <w:pPr>
        <w:keepNext/>
        <w:keepLines/>
        <w:spacing w:line="440" w:lineRule="exact"/>
        <w:ind w:firstLine="482" w:firstLineChars="200"/>
        <w:jc w:val="left"/>
        <w:rPr>
          <w:rFonts w:hint="eastAsia" w:ascii="宋体" w:hAnsi="宋体" w:cs="宋体"/>
          <w:b/>
          <w:bCs/>
          <w:kern w:val="44"/>
          <w:sz w:val="24"/>
          <w:szCs w:val="24"/>
        </w:rPr>
      </w:pPr>
      <w:bookmarkStart w:id="727" w:name="_Toc479265548"/>
      <w:bookmarkStart w:id="728" w:name="_Toc513132289"/>
      <w:bookmarkStart w:id="729" w:name="_Toc192710462"/>
      <w:bookmarkStart w:id="730" w:name="_Toc512689656"/>
      <w:bookmarkStart w:id="731" w:name="_Toc488083528"/>
      <w:bookmarkStart w:id="732" w:name="_Toc479237719"/>
      <w:bookmarkStart w:id="733" w:name="_Toc3475531"/>
      <w:bookmarkStart w:id="734" w:name="_Toc234382843"/>
      <w:bookmarkStart w:id="735" w:name="_Toc480282294"/>
      <w:bookmarkStart w:id="736" w:name="_Toc513212809"/>
      <w:r>
        <w:rPr>
          <w:rFonts w:hint="eastAsia" w:ascii="宋体" w:hAnsi="宋体" w:cs="宋体"/>
          <w:b/>
          <w:bCs/>
          <w:kern w:val="44"/>
          <w:sz w:val="24"/>
          <w:szCs w:val="24"/>
        </w:rPr>
        <w:t>1.4合同文件的优先顺序</w:t>
      </w:r>
      <w:bookmarkEnd w:id="727"/>
      <w:bookmarkEnd w:id="728"/>
      <w:bookmarkEnd w:id="729"/>
      <w:bookmarkEnd w:id="730"/>
      <w:bookmarkEnd w:id="731"/>
      <w:bookmarkEnd w:id="732"/>
      <w:bookmarkEnd w:id="733"/>
      <w:bookmarkEnd w:id="734"/>
      <w:bookmarkEnd w:id="735"/>
      <w:bookmarkEnd w:id="736"/>
    </w:p>
    <w:p w14:paraId="4F9E353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4ADF3C0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组成合同的各项文件应互相解释，互为说明。除项目专用合同条款另有约定外，解释合同文件的优先顺序如下：</w:t>
      </w:r>
    </w:p>
    <w:p w14:paraId="604B64E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）合同协议书及各种合同附件（含评标期间和合同谈判过程中的澄清文件和补充资料）；</w:t>
      </w:r>
    </w:p>
    <w:p w14:paraId="73DCFF7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）中标通知书；</w:t>
      </w:r>
    </w:p>
    <w:p w14:paraId="589A437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）投标函及投标函附录；</w:t>
      </w:r>
    </w:p>
    <w:p w14:paraId="120571B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）项目专用合同条款；</w:t>
      </w:r>
    </w:p>
    <w:p w14:paraId="4D0A1BA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）公路工程专用合同条款；</w:t>
      </w:r>
    </w:p>
    <w:p w14:paraId="06E7D80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）通用合同条款；</w:t>
      </w:r>
    </w:p>
    <w:p w14:paraId="34AF86E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）工程量清单计量规则；</w:t>
      </w:r>
    </w:p>
    <w:p w14:paraId="243FF6F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8</w:t>
      </w:r>
      <w:r>
        <w:rPr>
          <w:rFonts w:hint="eastAsia" w:ascii="宋体" w:hAnsi="宋体" w:cs="宋体"/>
          <w:kern w:val="0"/>
          <w:sz w:val="24"/>
          <w:szCs w:val="24"/>
        </w:rPr>
        <w:t>）技术规范；</w:t>
      </w:r>
    </w:p>
    <w:p w14:paraId="3373852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（9）图纸；</w:t>
      </w:r>
    </w:p>
    <w:p w14:paraId="0F3199B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（10）已标价工程量清单；</w:t>
      </w:r>
    </w:p>
    <w:p w14:paraId="220F495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1）承包人有关人员、设备投入的承诺及电子投标文件中的施工组织设计；</w:t>
      </w:r>
    </w:p>
    <w:p w14:paraId="3F4A3F6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2）其他合同文件。</w:t>
      </w:r>
    </w:p>
    <w:p w14:paraId="7D5AC3C2">
      <w:pPr>
        <w:keepNext/>
        <w:keepLines/>
        <w:spacing w:line="440" w:lineRule="exact"/>
        <w:ind w:firstLine="482" w:firstLineChars="200"/>
        <w:jc w:val="left"/>
        <w:rPr>
          <w:rFonts w:hint="eastAsia" w:ascii="宋体" w:hAnsi="宋体" w:cs="宋体"/>
          <w:b/>
          <w:bCs/>
          <w:kern w:val="44"/>
          <w:sz w:val="24"/>
          <w:szCs w:val="24"/>
        </w:rPr>
      </w:pPr>
      <w:bookmarkStart w:id="737" w:name="_Toc480282295"/>
      <w:bookmarkStart w:id="738" w:name="_Toc479265549"/>
      <w:bookmarkStart w:id="739" w:name="_Toc513132290"/>
      <w:bookmarkStart w:id="740" w:name="_Toc488083529"/>
      <w:bookmarkStart w:id="741" w:name="_Toc512689657"/>
      <w:bookmarkStart w:id="742" w:name="_Toc513212810"/>
      <w:bookmarkStart w:id="743" w:name="_Toc234382844"/>
      <w:bookmarkStart w:id="744" w:name="_Toc192710463"/>
      <w:bookmarkStart w:id="745" w:name="_Toc479237720"/>
      <w:bookmarkStart w:id="746" w:name="_Toc3475532"/>
      <w:r>
        <w:rPr>
          <w:rFonts w:hint="eastAsia" w:ascii="宋体" w:hAnsi="宋体" w:cs="宋体"/>
          <w:b/>
          <w:bCs/>
          <w:kern w:val="44"/>
          <w:sz w:val="24"/>
          <w:szCs w:val="24"/>
        </w:rPr>
        <w:t>1.5合同协议书</w:t>
      </w:r>
      <w:bookmarkEnd w:id="737"/>
      <w:bookmarkEnd w:id="738"/>
      <w:bookmarkEnd w:id="739"/>
      <w:bookmarkEnd w:id="740"/>
      <w:bookmarkEnd w:id="741"/>
      <w:bookmarkEnd w:id="742"/>
      <w:bookmarkEnd w:id="743"/>
      <w:bookmarkEnd w:id="744"/>
      <w:bookmarkEnd w:id="745"/>
      <w:bookmarkEnd w:id="746"/>
    </w:p>
    <w:p w14:paraId="12499E1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0AB23C8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制备本合同文件的费用由发包人承担。在合同协议书签订并生效之前，投标函和中标通知书将对双方具有约束力。</w:t>
      </w:r>
    </w:p>
    <w:p w14:paraId="0E243673">
      <w:pPr>
        <w:keepNext/>
        <w:keepLines/>
        <w:spacing w:line="440" w:lineRule="exact"/>
        <w:ind w:firstLine="482" w:firstLineChars="200"/>
        <w:rPr>
          <w:rFonts w:hint="eastAsia" w:ascii="宋体" w:hAnsi="宋体" w:cs="宋体"/>
          <w:b/>
          <w:bCs/>
          <w:kern w:val="44"/>
          <w:sz w:val="24"/>
          <w:szCs w:val="24"/>
        </w:rPr>
      </w:pPr>
      <w:bookmarkStart w:id="747" w:name="_Toc513212811"/>
      <w:bookmarkStart w:id="748" w:name="_Toc192710464"/>
      <w:bookmarkStart w:id="749" w:name="_Toc479237721"/>
      <w:bookmarkStart w:id="750" w:name="_Toc3475533"/>
      <w:bookmarkStart w:id="751" w:name="_Toc479265550"/>
      <w:bookmarkStart w:id="752" w:name="_Toc488083530"/>
      <w:bookmarkStart w:id="753" w:name="_Toc512689658"/>
      <w:bookmarkStart w:id="754" w:name="_Toc480282296"/>
      <w:bookmarkStart w:id="755" w:name="_Toc234382845"/>
      <w:bookmarkStart w:id="756" w:name="_Toc513132291"/>
      <w:r>
        <w:rPr>
          <w:rFonts w:hint="eastAsia" w:ascii="宋体" w:hAnsi="宋体" w:cs="宋体"/>
          <w:b/>
          <w:bCs/>
          <w:kern w:val="44"/>
          <w:sz w:val="24"/>
          <w:szCs w:val="24"/>
        </w:rPr>
        <w:t>1.6图纸和承包人文件</w:t>
      </w:r>
      <w:bookmarkEnd w:id="747"/>
      <w:bookmarkEnd w:id="748"/>
      <w:bookmarkEnd w:id="749"/>
      <w:bookmarkEnd w:id="750"/>
      <w:bookmarkEnd w:id="751"/>
      <w:bookmarkEnd w:id="752"/>
      <w:bookmarkEnd w:id="753"/>
      <w:bookmarkEnd w:id="754"/>
      <w:bookmarkEnd w:id="755"/>
      <w:bookmarkEnd w:id="756"/>
    </w:p>
    <w:p w14:paraId="1A908F8D">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1.6.1 </w:t>
      </w:r>
      <w:r>
        <w:rPr>
          <w:rFonts w:hint="eastAsia" w:ascii="宋体" w:hAnsi="宋体" w:cs="宋体"/>
          <w:kern w:val="0"/>
          <w:sz w:val="24"/>
          <w:szCs w:val="24"/>
        </w:rPr>
        <w:t>图纸的提供</w:t>
      </w:r>
    </w:p>
    <w:p w14:paraId="4199FD7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44BA9C4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监理人应在发出中标通知书之后</w:t>
      </w:r>
      <w:r>
        <w:rPr>
          <w:rFonts w:ascii="宋体" w:hAnsi="宋体" w:cs="宋体"/>
          <w:kern w:val="0"/>
          <w:sz w:val="24"/>
          <w:szCs w:val="24"/>
        </w:rPr>
        <w:t>42</w:t>
      </w:r>
      <w:r>
        <w:rPr>
          <w:rFonts w:hint="eastAsia" w:ascii="宋体" w:hAnsi="宋体" w:cs="宋体"/>
          <w:kern w:val="0"/>
          <w:sz w:val="24"/>
          <w:szCs w:val="24"/>
        </w:rPr>
        <w:t>天内，向承包人免费提供由发包人或其委托的设计单位设计的施工图纸、技术规范和其他技术资料</w:t>
      </w:r>
      <w:r>
        <w:rPr>
          <w:rFonts w:ascii="宋体" w:hAnsi="宋体" w:cs="宋体"/>
          <w:kern w:val="0"/>
          <w:sz w:val="24"/>
          <w:szCs w:val="24"/>
        </w:rPr>
        <w:t>2</w:t>
      </w:r>
      <w:r>
        <w:rPr>
          <w:rFonts w:hint="eastAsia" w:ascii="宋体" w:hAnsi="宋体" w:cs="宋体"/>
          <w:kern w:val="0"/>
          <w:sz w:val="24"/>
          <w:szCs w:val="24"/>
        </w:rPr>
        <w:t>份，并向承包人进行技术交底。承包人需要更多份数时，应自费复制。由于发包人未按时提供图纸造成工期延误的，按第</w:t>
      </w:r>
      <w:r>
        <w:rPr>
          <w:rFonts w:ascii="宋体" w:hAnsi="宋体" w:cs="宋体"/>
          <w:kern w:val="0"/>
          <w:sz w:val="24"/>
          <w:szCs w:val="24"/>
        </w:rPr>
        <w:t>11.3</w:t>
      </w:r>
      <w:r>
        <w:rPr>
          <w:rFonts w:hint="eastAsia" w:ascii="宋体" w:hAnsi="宋体" w:cs="宋体"/>
          <w:kern w:val="0"/>
          <w:sz w:val="24"/>
          <w:szCs w:val="24"/>
        </w:rPr>
        <w:t>款的约定办理。</w:t>
      </w:r>
    </w:p>
    <w:p w14:paraId="57E55233">
      <w:pPr>
        <w:spacing w:line="440" w:lineRule="exact"/>
        <w:ind w:firstLine="480" w:firstLineChars="200"/>
        <w:rPr>
          <w:rFonts w:ascii="宋体" w:hAnsi="宋体" w:cs="宋体"/>
          <w:kern w:val="0"/>
          <w:sz w:val="24"/>
          <w:szCs w:val="24"/>
        </w:rPr>
      </w:pPr>
      <w:r>
        <w:rPr>
          <w:rFonts w:ascii="宋体" w:hAnsi="宋体" w:cs="宋体"/>
          <w:kern w:val="0"/>
          <w:sz w:val="24"/>
          <w:szCs w:val="24"/>
        </w:rPr>
        <w:t>1.6.2</w:t>
      </w:r>
      <w:r>
        <w:rPr>
          <w:rFonts w:hint="eastAsia" w:ascii="宋体" w:hAnsi="宋体" w:cs="宋体"/>
          <w:kern w:val="0"/>
          <w:sz w:val="24"/>
          <w:szCs w:val="24"/>
        </w:rPr>
        <w:t>承包人提供的文件</w:t>
      </w:r>
    </w:p>
    <w:p w14:paraId="0D499B9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5E2BD41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有下列情形之一的，承包人应免费向监理人提交相关部分工程的施工图纸</w:t>
      </w:r>
      <w:r>
        <w:rPr>
          <w:rFonts w:ascii="宋体" w:hAnsi="宋体" w:cs="宋体"/>
          <w:kern w:val="0"/>
          <w:sz w:val="24"/>
          <w:szCs w:val="24"/>
        </w:rPr>
        <w:t>3</w:t>
      </w:r>
      <w:r>
        <w:rPr>
          <w:rFonts w:hint="eastAsia" w:ascii="宋体" w:hAnsi="宋体" w:cs="宋体"/>
          <w:kern w:val="0"/>
          <w:sz w:val="24"/>
          <w:szCs w:val="24"/>
        </w:rPr>
        <w:t>份，并附必要的计算书、技术资料，或施工工艺图、设备安装图及安装设备的使用和维护手册各</w:t>
      </w:r>
      <w:r>
        <w:rPr>
          <w:rFonts w:ascii="宋体" w:hAnsi="宋体" w:cs="宋体"/>
          <w:kern w:val="0"/>
          <w:sz w:val="24"/>
          <w:szCs w:val="24"/>
        </w:rPr>
        <w:t>2</w:t>
      </w:r>
      <w:r>
        <w:rPr>
          <w:rFonts w:hint="eastAsia" w:ascii="宋体" w:hAnsi="宋体" w:cs="宋体"/>
          <w:kern w:val="0"/>
          <w:sz w:val="24"/>
          <w:szCs w:val="24"/>
        </w:rPr>
        <w:t>份供监理人批准。</w:t>
      </w:r>
    </w:p>
    <w:p w14:paraId="560FCFE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）为使第</w:t>
      </w:r>
      <w:r>
        <w:rPr>
          <w:rFonts w:ascii="宋体" w:hAnsi="宋体" w:cs="宋体"/>
          <w:kern w:val="0"/>
          <w:sz w:val="24"/>
          <w:szCs w:val="24"/>
        </w:rPr>
        <w:t>1.6.1</w:t>
      </w:r>
      <w:r>
        <w:rPr>
          <w:rFonts w:hint="eastAsia" w:ascii="宋体" w:hAnsi="宋体" w:cs="宋体"/>
          <w:kern w:val="0"/>
          <w:sz w:val="24"/>
          <w:szCs w:val="24"/>
        </w:rPr>
        <w:t>项所述的施工图纸适合于经现场测量后的纵、横断面；</w:t>
      </w:r>
    </w:p>
    <w:p w14:paraId="0EFB161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）为使第</w:t>
      </w:r>
      <w:r>
        <w:rPr>
          <w:rFonts w:ascii="宋体" w:hAnsi="宋体" w:cs="宋体"/>
          <w:kern w:val="0"/>
          <w:sz w:val="24"/>
          <w:szCs w:val="24"/>
        </w:rPr>
        <w:t>1.6.1</w:t>
      </w:r>
      <w:r>
        <w:rPr>
          <w:rFonts w:hint="eastAsia" w:ascii="宋体" w:hAnsi="宋体" w:cs="宋体"/>
          <w:kern w:val="0"/>
          <w:sz w:val="24"/>
          <w:szCs w:val="24"/>
        </w:rPr>
        <w:t>项所述的施工图纸适合于现场具体地形；</w:t>
      </w:r>
    </w:p>
    <w:p w14:paraId="0500110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）为使第</w:t>
      </w:r>
      <w:r>
        <w:rPr>
          <w:rFonts w:ascii="宋体" w:hAnsi="宋体" w:cs="宋体"/>
          <w:kern w:val="0"/>
          <w:sz w:val="24"/>
          <w:szCs w:val="24"/>
        </w:rPr>
        <w:t>1.6.1</w:t>
      </w:r>
      <w:r>
        <w:rPr>
          <w:rFonts w:hint="eastAsia" w:ascii="宋体" w:hAnsi="宋体" w:cs="宋体"/>
          <w:kern w:val="0"/>
          <w:sz w:val="24"/>
          <w:szCs w:val="24"/>
        </w:rPr>
        <w:t>项所述的施工图纸适合于因尺寸与位置变化而引起局部变更；</w:t>
      </w:r>
    </w:p>
    <w:p w14:paraId="26562FF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）由于合同要求与施工需要。</w:t>
      </w:r>
    </w:p>
    <w:p w14:paraId="6F51514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此类图纸应按监理人规定的格式和图幅绘制。监理人在收到由承包人绘制的上述工程、工艺图纸、计算书和有关技术资料后</w:t>
      </w:r>
      <w:r>
        <w:rPr>
          <w:rFonts w:ascii="宋体" w:hAnsi="宋体" w:cs="宋体"/>
          <w:kern w:val="0"/>
          <w:sz w:val="24"/>
          <w:szCs w:val="24"/>
        </w:rPr>
        <w:t>14</w:t>
      </w:r>
      <w:r>
        <w:rPr>
          <w:rFonts w:hint="eastAsia" w:ascii="宋体" w:hAnsi="宋体" w:cs="宋体"/>
          <w:kern w:val="0"/>
          <w:sz w:val="24"/>
          <w:szCs w:val="24"/>
        </w:rPr>
        <w:t>天内应予批准或提出修改要求，承包人应按监理人提出的要求做出修改，重新向监理人提交，监理人应在</w:t>
      </w:r>
      <w:r>
        <w:rPr>
          <w:rFonts w:ascii="宋体" w:hAnsi="宋体" w:cs="宋体"/>
          <w:kern w:val="0"/>
          <w:sz w:val="24"/>
          <w:szCs w:val="24"/>
        </w:rPr>
        <w:t>7</w:t>
      </w:r>
      <w:r>
        <w:rPr>
          <w:rFonts w:hint="eastAsia" w:ascii="宋体" w:hAnsi="宋体" w:cs="宋体"/>
          <w:kern w:val="0"/>
          <w:sz w:val="24"/>
          <w:szCs w:val="24"/>
        </w:rPr>
        <w:t>天内批准或提出进一步的修改意见。</w:t>
      </w:r>
    </w:p>
    <w:p w14:paraId="2ABD287E">
      <w:pPr>
        <w:spacing w:line="440" w:lineRule="exact"/>
        <w:ind w:firstLine="480" w:firstLineChars="200"/>
        <w:rPr>
          <w:rFonts w:ascii="宋体" w:hAnsi="宋体" w:cs="宋体"/>
          <w:kern w:val="0"/>
          <w:sz w:val="24"/>
          <w:szCs w:val="24"/>
        </w:rPr>
      </w:pPr>
      <w:r>
        <w:rPr>
          <w:rFonts w:ascii="宋体" w:hAnsi="宋体" w:cs="宋体"/>
          <w:kern w:val="0"/>
          <w:sz w:val="24"/>
          <w:szCs w:val="24"/>
        </w:rPr>
        <w:t>1.6.4</w:t>
      </w:r>
      <w:r>
        <w:rPr>
          <w:rFonts w:hint="eastAsia" w:ascii="宋体" w:hAnsi="宋体" w:cs="宋体"/>
          <w:kern w:val="0"/>
          <w:sz w:val="24"/>
          <w:szCs w:val="24"/>
        </w:rPr>
        <w:t>图纸的错误</w:t>
      </w:r>
    </w:p>
    <w:p w14:paraId="0C73CA7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7F626D3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当承包人在查阅合同文件或在本合同工程实施过程中，发现有关的工程设计、技术规范、图纸或其他资料中的任何差错、遗漏或缺陷后，应及时通知监理人。监理人接到该通知后，应立即就此做出决定，并通知承包人和发包人。</w:t>
      </w:r>
    </w:p>
    <w:p w14:paraId="7D82AB0D">
      <w:pPr>
        <w:keepNext/>
        <w:keepLines/>
        <w:spacing w:line="440" w:lineRule="exact"/>
        <w:ind w:firstLine="482" w:firstLineChars="200"/>
        <w:rPr>
          <w:rFonts w:ascii="宋体" w:hAnsi="宋体"/>
          <w:b/>
          <w:bCs/>
          <w:kern w:val="44"/>
          <w:sz w:val="24"/>
          <w:szCs w:val="24"/>
        </w:rPr>
      </w:pPr>
      <w:bookmarkStart w:id="757" w:name="_Toc480282297"/>
      <w:bookmarkStart w:id="758" w:name="_Toc479237722"/>
      <w:bookmarkStart w:id="759" w:name="_Toc3475534"/>
      <w:bookmarkStart w:id="760" w:name="_Toc513212812"/>
      <w:bookmarkStart w:id="761" w:name="_Toc513132292"/>
      <w:bookmarkStart w:id="762" w:name="_Toc192710465"/>
      <w:bookmarkStart w:id="763" w:name="_Toc488083531"/>
      <w:bookmarkStart w:id="764" w:name="_Toc479265551"/>
      <w:bookmarkStart w:id="765" w:name="_Toc234382846"/>
      <w:bookmarkStart w:id="766" w:name="_Toc512689659"/>
      <w:r>
        <w:rPr>
          <w:rFonts w:ascii="宋体" w:hAnsi="宋体" w:cs="宋体"/>
          <w:b/>
          <w:bCs/>
          <w:kern w:val="44"/>
          <w:sz w:val="24"/>
          <w:szCs w:val="24"/>
        </w:rPr>
        <w:t>1.9</w:t>
      </w:r>
      <w:r>
        <w:rPr>
          <w:rFonts w:hint="eastAsia" w:ascii="宋体" w:hAnsi="宋体" w:cs="宋体"/>
          <w:b/>
          <w:bCs/>
          <w:kern w:val="44"/>
          <w:sz w:val="24"/>
          <w:szCs w:val="24"/>
        </w:rPr>
        <w:t>严禁贿赂</w:t>
      </w:r>
      <w:bookmarkEnd w:id="757"/>
      <w:bookmarkEnd w:id="758"/>
      <w:bookmarkEnd w:id="759"/>
      <w:bookmarkEnd w:id="760"/>
      <w:bookmarkEnd w:id="761"/>
      <w:bookmarkEnd w:id="762"/>
      <w:bookmarkEnd w:id="763"/>
      <w:bookmarkEnd w:id="764"/>
      <w:bookmarkEnd w:id="765"/>
      <w:bookmarkEnd w:id="766"/>
    </w:p>
    <w:p w14:paraId="6D2EB86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20C321B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上述行为造成的工程损耗害、发包人的经济损失等承担一切责任，并予赔偿。情节严重者，发包人有权终止承包人在本合同项下的承包。</w:t>
      </w:r>
    </w:p>
    <w:p w14:paraId="3DF18277">
      <w:pPr>
        <w:keepNext/>
        <w:keepLines/>
        <w:spacing w:line="440" w:lineRule="exact"/>
        <w:ind w:firstLine="482" w:firstLineChars="200"/>
        <w:rPr>
          <w:rFonts w:hint="eastAsia" w:ascii="宋体" w:hAnsi="宋体" w:cs="宋体"/>
          <w:b/>
          <w:bCs/>
          <w:kern w:val="44"/>
          <w:sz w:val="24"/>
          <w:szCs w:val="24"/>
        </w:rPr>
      </w:pPr>
      <w:bookmarkStart w:id="767" w:name="_Toc480282298"/>
      <w:bookmarkStart w:id="768" w:name="_Toc234382847"/>
      <w:bookmarkStart w:id="769" w:name="_Toc192710466"/>
      <w:bookmarkStart w:id="770" w:name="_Toc479237723"/>
      <w:bookmarkStart w:id="771" w:name="_Toc479265552"/>
      <w:bookmarkStart w:id="772" w:name="_Toc488083532"/>
      <w:bookmarkStart w:id="773" w:name="_Toc512689660"/>
      <w:bookmarkStart w:id="774" w:name="_Toc3475535"/>
      <w:bookmarkStart w:id="775" w:name="_Toc513212813"/>
      <w:bookmarkStart w:id="776" w:name="_Toc513132293"/>
      <w:r>
        <w:rPr>
          <w:rFonts w:hint="eastAsia" w:ascii="宋体" w:hAnsi="宋体" w:cs="宋体"/>
          <w:b/>
          <w:bCs/>
          <w:kern w:val="44"/>
          <w:sz w:val="24"/>
          <w:szCs w:val="24"/>
        </w:rPr>
        <w:t>2．发包人义务</w:t>
      </w:r>
      <w:bookmarkEnd w:id="767"/>
      <w:bookmarkEnd w:id="768"/>
      <w:bookmarkEnd w:id="769"/>
      <w:bookmarkEnd w:id="770"/>
      <w:bookmarkEnd w:id="771"/>
      <w:bookmarkEnd w:id="772"/>
      <w:bookmarkEnd w:id="773"/>
      <w:bookmarkEnd w:id="774"/>
      <w:bookmarkEnd w:id="775"/>
      <w:bookmarkEnd w:id="776"/>
    </w:p>
    <w:p w14:paraId="1CC4E6AA">
      <w:pPr>
        <w:keepNext/>
        <w:keepLines/>
        <w:spacing w:line="440" w:lineRule="exact"/>
        <w:ind w:firstLine="482" w:firstLineChars="200"/>
        <w:rPr>
          <w:rFonts w:hint="eastAsia" w:ascii="宋体" w:hAnsi="宋体" w:cs="宋体"/>
          <w:b/>
          <w:bCs/>
          <w:kern w:val="44"/>
          <w:sz w:val="24"/>
          <w:szCs w:val="24"/>
        </w:rPr>
      </w:pPr>
      <w:bookmarkStart w:id="777" w:name="_Toc488083533"/>
      <w:bookmarkStart w:id="778" w:name="_Toc479265553"/>
      <w:bookmarkStart w:id="779" w:name="_Toc3475536"/>
      <w:bookmarkStart w:id="780" w:name="_Toc192710467"/>
      <w:bookmarkStart w:id="781" w:name="_Toc479237724"/>
      <w:bookmarkStart w:id="782" w:name="_Toc513132294"/>
      <w:bookmarkStart w:id="783" w:name="_Toc480282299"/>
      <w:bookmarkStart w:id="784" w:name="_Toc234382848"/>
      <w:bookmarkStart w:id="785" w:name="_Toc513212814"/>
      <w:bookmarkStart w:id="786" w:name="_Toc512689661"/>
      <w:r>
        <w:rPr>
          <w:rFonts w:hint="eastAsia" w:ascii="宋体" w:hAnsi="宋体" w:cs="宋体"/>
          <w:b/>
          <w:bCs/>
          <w:kern w:val="44"/>
          <w:sz w:val="24"/>
          <w:szCs w:val="24"/>
        </w:rPr>
        <w:t>2.3提供施工场地</w:t>
      </w:r>
      <w:bookmarkEnd w:id="777"/>
      <w:bookmarkEnd w:id="778"/>
      <w:bookmarkEnd w:id="779"/>
      <w:bookmarkEnd w:id="780"/>
      <w:bookmarkEnd w:id="781"/>
      <w:bookmarkEnd w:id="782"/>
      <w:bookmarkEnd w:id="783"/>
      <w:bookmarkEnd w:id="784"/>
      <w:bookmarkEnd w:id="785"/>
      <w:bookmarkEnd w:id="786"/>
    </w:p>
    <w:p w14:paraId="3A193EC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2D18AAE4">
      <w:pPr>
        <w:keepNext w:val="0"/>
        <w:keepLines w:val="0"/>
        <w:pageBreakBefore w:val="0"/>
        <w:widowControl w:val="0"/>
        <w:kinsoku/>
        <w:wordWrap w:val="0"/>
        <w:overflowPunct/>
        <w:topLinePunct/>
        <w:autoSpaceDE/>
        <w:autoSpaceDN/>
        <w:bidi w:val="0"/>
        <w:adjustRightInd/>
        <w:snapToGrid/>
        <w:spacing w:line="440" w:lineRule="exact"/>
        <w:ind w:firstLine="480" w:firstLineChars="200"/>
        <w:textAlignment w:val="auto"/>
        <w:rPr>
          <w:rFonts w:ascii="宋体" w:hAnsi="宋体" w:cs="宋体"/>
          <w:kern w:val="0"/>
          <w:sz w:val="24"/>
          <w:szCs w:val="24"/>
        </w:rPr>
      </w:pPr>
      <w:r>
        <w:rPr>
          <w:rFonts w:hint="eastAsia" w:ascii="宋体" w:hAnsi="宋体" w:cs="宋体"/>
          <w:kern w:val="0"/>
          <w:sz w:val="24"/>
          <w:szCs w:val="24"/>
        </w:rPr>
        <w:t>发包人负责办理永久占地的征用及与之有关的拆迁赔偿手续并承担相关费用。承包人在按第</w:t>
      </w:r>
      <w:r>
        <w:rPr>
          <w:rFonts w:ascii="宋体" w:hAnsi="宋体" w:cs="宋体"/>
          <w:kern w:val="0"/>
          <w:sz w:val="24"/>
          <w:szCs w:val="24"/>
        </w:rPr>
        <w:t>10</w:t>
      </w:r>
      <w:r>
        <w:rPr>
          <w:rFonts w:hint="eastAsia" w:ascii="宋体" w:hAnsi="宋体" w:cs="宋体"/>
          <w:kern w:val="0"/>
          <w:sz w:val="24"/>
          <w:szCs w:val="24"/>
        </w:rPr>
        <w:t>条规定提交施工进度计划的同时，应向监理人提交一份按施工先后次序所需的永久占地计划。监理人应在收到此计划后的</w:t>
      </w:r>
      <w:r>
        <w:rPr>
          <w:rFonts w:ascii="宋体" w:hAnsi="宋体" w:cs="宋体"/>
          <w:kern w:val="0"/>
          <w:sz w:val="24"/>
          <w:szCs w:val="24"/>
        </w:rPr>
        <w:t>14</w:t>
      </w:r>
      <w:r>
        <w:rPr>
          <w:rFonts w:hint="eastAsia" w:ascii="宋体" w:hAnsi="宋体" w:cs="宋体"/>
          <w:kern w:val="0"/>
          <w:sz w:val="24"/>
          <w:szCs w:val="24"/>
        </w:rPr>
        <w:t>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及拆迁赔偿手续，通知承包人使用，以使承包人能够连续不间断地施工。由于承包人施工考虑不周或措施不当等原因而造成的超计划占地或拆迁等发生的征用和赔偿费用，应由承包人承担。</w:t>
      </w:r>
    </w:p>
    <w:p w14:paraId="66D0A8CE">
      <w:pPr>
        <w:keepNext w:val="0"/>
        <w:keepLines w:val="0"/>
        <w:pageBreakBefore w:val="0"/>
        <w:widowControl w:val="0"/>
        <w:kinsoku/>
        <w:wordWrap w:val="0"/>
        <w:overflowPunct/>
        <w:topLinePunct/>
        <w:autoSpaceDE/>
        <w:autoSpaceDN/>
        <w:bidi w:val="0"/>
        <w:adjustRightInd/>
        <w:snapToGrid/>
        <w:spacing w:line="440" w:lineRule="exact"/>
        <w:ind w:firstLine="480" w:firstLineChars="200"/>
        <w:textAlignment w:val="auto"/>
        <w:rPr>
          <w:rFonts w:ascii="宋体" w:hAnsi="宋体" w:cs="宋体"/>
          <w:kern w:val="0"/>
          <w:sz w:val="24"/>
          <w:szCs w:val="24"/>
        </w:rPr>
      </w:pPr>
      <w:r>
        <w:rPr>
          <w:rFonts w:hint="eastAsia" w:ascii="宋体" w:hAnsi="宋体" w:cs="宋体"/>
          <w:kern w:val="0"/>
          <w:sz w:val="24"/>
          <w:szCs w:val="24"/>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3DBAD86C">
      <w:pPr>
        <w:keepNext w:val="0"/>
        <w:keepLines w:val="0"/>
        <w:pageBreakBefore w:val="0"/>
        <w:widowControl w:val="0"/>
        <w:kinsoku/>
        <w:wordWrap w:val="0"/>
        <w:overflowPunct/>
        <w:topLinePunct/>
        <w:autoSpaceDE/>
        <w:autoSpaceDN/>
        <w:bidi w:val="0"/>
        <w:adjustRightInd/>
        <w:snapToGrid/>
        <w:spacing w:line="440" w:lineRule="exact"/>
        <w:ind w:firstLine="482" w:firstLineChars="200"/>
        <w:textAlignment w:val="auto"/>
        <w:rPr>
          <w:rFonts w:hint="eastAsia" w:ascii="宋体" w:hAnsi="宋体" w:cs="宋体"/>
          <w:b/>
          <w:bCs/>
          <w:kern w:val="44"/>
          <w:sz w:val="24"/>
          <w:szCs w:val="24"/>
        </w:rPr>
      </w:pPr>
      <w:bookmarkStart w:id="787" w:name="_Toc192710468"/>
      <w:bookmarkStart w:id="788" w:name="_Toc3475537"/>
      <w:bookmarkStart w:id="789" w:name="_Toc513132295"/>
      <w:bookmarkStart w:id="790" w:name="_Toc479265554"/>
      <w:bookmarkStart w:id="791" w:name="_Toc480282300"/>
      <w:bookmarkStart w:id="792" w:name="_Toc513212815"/>
      <w:bookmarkStart w:id="793" w:name="_Toc512689662"/>
      <w:bookmarkStart w:id="794" w:name="_Toc479237725"/>
      <w:bookmarkStart w:id="795" w:name="_Toc488083534"/>
      <w:bookmarkStart w:id="796" w:name="_Toc234382849"/>
      <w:r>
        <w:rPr>
          <w:rFonts w:hint="eastAsia" w:ascii="宋体" w:hAnsi="宋体" w:cs="宋体"/>
          <w:b/>
          <w:bCs/>
          <w:kern w:val="44"/>
          <w:sz w:val="24"/>
          <w:szCs w:val="24"/>
        </w:rPr>
        <w:t>3．监理人</w:t>
      </w:r>
      <w:bookmarkEnd w:id="787"/>
      <w:bookmarkEnd w:id="788"/>
      <w:bookmarkEnd w:id="789"/>
      <w:bookmarkEnd w:id="790"/>
      <w:bookmarkEnd w:id="791"/>
      <w:bookmarkEnd w:id="792"/>
      <w:bookmarkEnd w:id="793"/>
      <w:bookmarkEnd w:id="794"/>
      <w:bookmarkEnd w:id="795"/>
      <w:bookmarkEnd w:id="796"/>
    </w:p>
    <w:p w14:paraId="7A2C47D5">
      <w:pPr>
        <w:keepNext w:val="0"/>
        <w:keepLines w:val="0"/>
        <w:pageBreakBefore w:val="0"/>
        <w:widowControl w:val="0"/>
        <w:kinsoku/>
        <w:wordWrap w:val="0"/>
        <w:overflowPunct/>
        <w:topLinePunct/>
        <w:autoSpaceDE/>
        <w:autoSpaceDN/>
        <w:bidi w:val="0"/>
        <w:adjustRightInd/>
        <w:snapToGrid/>
        <w:spacing w:line="440" w:lineRule="exact"/>
        <w:ind w:firstLine="482" w:firstLineChars="200"/>
        <w:textAlignment w:val="auto"/>
        <w:rPr>
          <w:rFonts w:hint="eastAsia" w:ascii="宋体" w:hAnsi="宋体" w:cs="宋体"/>
          <w:b/>
          <w:bCs/>
          <w:kern w:val="44"/>
          <w:sz w:val="24"/>
          <w:szCs w:val="24"/>
        </w:rPr>
      </w:pPr>
      <w:bookmarkStart w:id="797" w:name="_Toc479237726"/>
      <w:bookmarkStart w:id="798" w:name="_Toc480282301"/>
      <w:bookmarkStart w:id="799" w:name="_Toc234382850"/>
      <w:bookmarkStart w:id="800" w:name="_Toc479265555"/>
      <w:bookmarkStart w:id="801" w:name="_Toc488083535"/>
      <w:bookmarkStart w:id="802" w:name="_Toc513212816"/>
      <w:bookmarkStart w:id="803" w:name="_Toc512689663"/>
      <w:bookmarkStart w:id="804" w:name="_Toc192710469"/>
      <w:bookmarkStart w:id="805" w:name="_Toc3475538"/>
      <w:bookmarkStart w:id="806" w:name="_Toc513132296"/>
      <w:r>
        <w:rPr>
          <w:rFonts w:hint="eastAsia" w:ascii="宋体" w:hAnsi="宋体" w:cs="宋体"/>
          <w:b/>
          <w:bCs/>
          <w:kern w:val="44"/>
          <w:sz w:val="24"/>
          <w:szCs w:val="24"/>
        </w:rPr>
        <w:t>3.1监理人的职责和权力</w:t>
      </w:r>
      <w:bookmarkEnd w:id="797"/>
      <w:bookmarkEnd w:id="798"/>
      <w:bookmarkEnd w:id="799"/>
      <w:bookmarkEnd w:id="800"/>
      <w:bookmarkEnd w:id="801"/>
      <w:bookmarkEnd w:id="802"/>
      <w:bookmarkEnd w:id="803"/>
      <w:bookmarkEnd w:id="804"/>
      <w:bookmarkEnd w:id="805"/>
      <w:bookmarkEnd w:id="806"/>
    </w:p>
    <w:p w14:paraId="0D68E9B8">
      <w:pPr>
        <w:keepNext w:val="0"/>
        <w:keepLines w:val="0"/>
        <w:pageBreakBefore w:val="0"/>
        <w:widowControl w:val="0"/>
        <w:kinsoku/>
        <w:wordWrap w:val="0"/>
        <w:overflowPunct/>
        <w:topLinePunct/>
        <w:autoSpaceDE/>
        <w:autoSpaceDN/>
        <w:bidi w:val="0"/>
        <w:adjustRightInd/>
        <w:snapToGrid/>
        <w:spacing w:line="440" w:lineRule="exact"/>
        <w:ind w:firstLine="480" w:firstLineChars="200"/>
        <w:textAlignment w:val="auto"/>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3.1.1</w:t>
      </w:r>
      <w:r>
        <w:rPr>
          <w:rFonts w:hint="eastAsia" w:ascii="宋体" w:hAnsi="宋体" w:cs="宋体"/>
          <w:kern w:val="0"/>
          <w:sz w:val="24"/>
          <w:szCs w:val="24"/>
        </w:rPr>
        <w:t>项补充：</w:t>
      </w:r>
    </w:p>
    <w:p w14:paraId="67E6A86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监理人在行使下列权力前需要经发包人事先批准：</w:t>
      </w:r>
    </w:p>
    <w:p w14:paraId="721E3B4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）根据第</w:t>
      </w:r>
      <w:r>
        <w:rPr>
          <w:rFonts w:ascii="宋体" w:hAnsi="宋体" w:cs="宋体"/>
          <w:kern w:val="0"/>
          <w:sz w:val="24"/>
          <w:szCs w:val="24"/>
        </w:rPr>
        <w:t>4.3</w:t>
      </w:r>
      <w:r>
        <w:rPr>
          <w:rFonts w:hint="eastAsia" w:ascii="宋体" w:hAnsi="宋体" w:cs="宋体"/>
          <w:kern w:val="0"/>
          <w:sz w:val="24"/>
          <w:szCs w:val="24"/>
        </w:rPr>
        <w:t>款，同意分包本工程的某些非主体和非关键性工作；</w:t>
      </w:r>
    </w:p>
    <w:p w14:paraId="682469C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）确定第</w:t>
      </w:r>
      <w:r>
        <w:rPr>
          <w:rFonts w:ascii="宋体" w:hAnsi="宋体" w:cs="宋体"/>
          <w:kern w:val="0"/>
          <w:sz w:val="24"/>
          <w:szCs w:val="24"/>
        </w:rPr>
        <w:t>4.11</w:t>
      </w:r>
      <w:r>
        <w:rPr>
          <w:rFonts w:hint="eastAsia" w:ascii="宋体" w:hAnsi="宋体" w:cs="宋体"/>
          <w:kern w:val="0"/>
          <w:sz w:val="24"/>
          <w:szCs w:val="24"/>
        </w:rPr>
        <w:t>款下产生的费用增加额；</w:t>
      </w:r>
    </w:p>
    <w:p w14:paraId="5568CD4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）根据第</w:t>
      </w:r>
      <w:r>
        <w:rPr>
          <w:rFonts w:ascii="宋体" w:hAnsi="宋体" w:cs="宋体"/>
          <w:kern w:val="0"/>
          <w:sz w:val="24"/>
          <w:szCs w:val="24"/>
        </w:rPr>
        <w:t>11.1</w:t>
      </w:r>
      <w:r>
        <w:rPr>
          <w:rFonts w:hint="eastAsia" w:ascii="宋体" w:hAnsi="宋体" w:cs="宋体"/>
          <w:kern w:val="0"/>
          <w:sz w:val="24"/>
          <w:szCs w:val="24"/>
        </w:rPr>
        <w:t>款、第</w:t>
      </w:r>
      <w:r>
        <w:rPr>
          <w:rFonts w:ascii="宋体" w:hAnsi="宋体" w:cs="宋体"/>
          <w:kern w:val="0"/>
          <w:sz w:val="24"/>
          <w:szCs w:val="24"/>
        </w:rPr>
        <w:t>12.3</w:t>
      </w:r>
      <w:r>
        <w:rPr>
          <w:rFonts w:hint="eastAsia" w:ascii="宋体" w:hAnsi="宋体" w:cs="宋体"/>
          <w:kern w:val="0"/>
          <w:sz w:val="24"/>
          <w:szCs w:val="24"/>
        </w:rPr>
        <w:t>款、第</w:t>
      </w:r>
      <w:r>
        <w:rPr>
          <w:rFonts w:ascii="宋体" w:hAnsi="宋体" w:cs="宋体"/>
          <w:kern w:val="0"/>
          <w:sz w:val="24"/>
          <w:szCs w:val="24"/>
        </w:rPr>
        <w:t>12.4</w:t>
      </w:r>
      <w:r>
        <w:rPr>
          <w:rFonts w:hint="eastAsia" w:ascii="宋体" w:hAnsi="宋体" w:cs="宋体"/>
          <w:kern w:val="0"/>
          <w:sz w:val="24"/>
          <w:szCs w:val="24"/>
        </w:rPr>
        <w:t>款发布开工通知、暂停施工指示或复工通知；</w:t>
      </w:r>
    </w:p>
    <w:p w14:paraId="4BFC331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）决定第</w:t>
      </w:r>
      <w:r>
        <w:rPr>
          <w:rFonts w:ascii="宋体" w:hAnsi="宋体" w:cs="宋体"/>
          <w:kern w:val="0"/>
          <w:sz w:val="24"/>
          <w:szCs w:val="24"/>
        </w:rPr>
        <w:t>11.3</w:t>
      </w:r>
      <w:r>
        <w:rPr>
          <w:rFonts w:hint="eastAsia" w:ascii="宋体" w:hAnsi="宋体" w:cs="宋体"/>
          <w:kern w:val="0"/>
          <w:sz w:val="24"/>
          <w:szCs w:val="24"/>
        </w:rPr>
        <w:t>款、第</w:t>
      </w:r>
      <w:r>
        <w:rPr>
          <w:rFonts w:ascii="宋体" w:hAnsi="宋体" w:cs="宋体"/>
          <w:kern w:val="0"/>
          <w:sz w:val="24"/>
          <w:szCs w:val="24"/>
        </w:rPr>
        <w:t>11.4</w:t>
      </w:r>
      <w:r>
        <w:rPr>
          <w:rFonts w:hint="eastAsia" w:ascii="宋体" w:hAnsi="宋体" w:cs="宋体"/>
          <w:kern w:val="0"/>
          <w:sz w:val="24"/>
          <w:szCs w:val="24"/>
        </w:rPr>
        <w:t>款下的工期延长；</w:t>
      </w:r>
    </w:p>
    <w:p w14:paraId="2BE88EA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）审查批准技术规范或设计的变更；</w:t>
      </w:r>
    </w:p>
    <w:p w14:paraId="443D454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）根据第</w:t>
      </w:r>
      <w:r>
        <w:rPr>
          <w:rFonts w:ascii="宋体" w:hAnsi="宋体" w:cs="宋体"/>
          <w:kern w:val="0"/>
          <w:sz w:val="24"/>
          <w:szCs w:val="24"/>
        </w:rPr>
        <w:t>15.3</w:t>
      </w:r>
      <w:r>
        <w:rPr>
          <w:rFonts w:hint="eastAsia" w:ascii="宋体" w:hAnsi="宋体" w:cs="宋体"/>
          <w:kern w:val="0"/>
          <w:sz w:val="24"/>
          <w:szCs w:val="24"/>
        </w:rPr>
        <w:t>款发出的变更指令，其单项工程变更或累计变更涉及的金额超过了项目专用合同条款数据表规定的金额；</w:t>
      </w:r>
    </w:p>
    <w:p w14:paraId="3F784E1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）确定第</w:t>
      </w:r>
      <w:r>
        <w:rPr>
          <w:rFonts w:ascii="宋体" w:hAnsi="宋体" w:cs="宋体"/>
          <w:kern w:val="0"/>
          <w:sz w:val="24"/>
          <w:szCs w:val="24"/>
        </w:rPr>
        <w:t>15.4</w:t>
      </w:r>
      <w:r>
        <w:rPr>
          <w:rFonts w:hint="eastAsia" w:ascii="宋体" w:hAnsi="宋体" w:cs="宋体"/>
          <w:kern w:val="0"/>
          <w:sz w:val="24"/>
          <w:szCs w:val="24"/>
        </w:rPr>
        <w:t>款下变更工作的单价；</w:t>
      </w:r>
    </w:p>
    <w:p w14:paraId="1170EED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8</w:t>
      </w:r>
      <w:r>
        <w:rPr>
          <w:rFonts w:hint="eastAsia" w:ascii="宋体" w:hAnsi="宋体" w:cs="宋体"/>
          <w:kern w:val="0"/>
          <w:sz w:val="24"/>
          <w:szCs w:val="24"/>
        </w:rPr>
        <w:t>）按照第</w:t>
      </w:r>
      <w:r>
        <w:rPr>
          <w:rFonts w:ascii="宋体" w:hAnsi="宋体" w:cs="宋体"/>
          <w:kern w:val="0"/>
          <w:sz w:val="24"/>
          <w:szCs w:val="24"/>
        </w:rPr>
        <w:t>15.6</w:t>
      </w:r>
      <w:r>
        <w:rPr>
          <w:rFonts w:hint="eastAsia" w:ascii="宋体" w:hAnsi="宋体" w:cs="宋体"/>
          <w:kern w:val="0"/>
          <w:sz w:val="24"/>
          <w:szCs w:val="24"/>
        </w:rPr>
        <w:t>款决定有关暂列金额的使用；</w:t>
      </w:r>
    </w:p>
    <w:p w14:paraId="3EE12FD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9</w:t>
      </w:r>
      <w:r>
        <w:rPr>
          <w:rFonts w:hint="eastAsia" w:ascii="宋体" w:hAnsi="宋体" w:cs="宋体"/>
          <w:kern w:val="0"/>
          <w:sz w:val="24"/>
          <w:szCs w:val="24"/>
        </w:rPr>
        <w:t>）确定第</w:t>
      </w:r>
      <w:r>
        <w:rPr>
          <w:rFonts w:ascii="宋体" w:hAnsi="宋体" w:cs="宋体"/>
          <w:kern w:val="0"/>
          <w:sz w:val="24"/>
          <w:szCs w:val="24"/>
        </w:rPr>
        <w:t>15.8</w:t>
      </w:r>
      <w:r>
        <w:rPr>
          <w:rFonts w:hint="eastAsia" w:ascii="宋体" w:hAnsi="宋体" w:cs="宋体"/>
          <w:kern w:val="0"/>
          <w:sz w:val="24"/>
          <w:szCs w:val="24"/>
        </w:rPr>
        <w:t>款项下的暂估价金额；</w:t>
      </w:r>
    </w:p>
    <w:p w14:paraId="584AB43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10</w:t>
      </w:r>
      <w:r>
        <w:rPr>
          <w:rFonts w:hint="eastAsia" w:ascii="宋体" w:hAnsi="宋体" w:cs="宋体"/>
          <w:kern w:val="0"/>
          <w:sz w:val="24"/>
          <w:szCs w:val="24"/>
        </w:rPr>
        <w:t>）确定第</w:t>
      </w:r>
      <w:r>
        <w:rPr>
          <w:rFonts w:ascii="宋体" w:hAnsi="宋体" w:cs="宋体"/>
          <w:kern w:val="0"/>
          <w:sz w:val="24"/>
          <w:szCs w:val="24"/>
        </w:rPr>
        <w:t>23.1</w:t>
      </w:r>
      <w:r>
        <w:rPr>
          <w:rFonts w:hint="eastAsia" w:ascii="宋体" w:hAnsi="宋体" w:cs="宋体"/>
          <w:kern w:val="0"/>
          <w:sz w:val="24"/>
          <w:szCs w:val="24"/>
        </w:rPr>
        <w:t>款项下的索赔额。</w:t>
      </w:r>
    </w:p>
    <w:p w14:paraId="54397B5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如果发生紧急情况，监理人认为将造成人员伤亡，或危及本工程或邻近的财产需立即采取行动，监理人有权在未征得发包人的批准的情况下发布处理紧急情况所比需的指令，承包人应予执行，由此造成的费用增加由监理人按第</w:t>
      </w:r>
      <w:r>
        <w:rPr>
          <w:rFonts w:ascii="宋体" w:hAnsi="宋体" w:cs="宋体"/>
          <w:kern w:val="0"/>
          <w:sz w:val="24"/>
          <w:szCs w:val="24"/>
        </w:rPr>
        <w:t>3.5</w:t>
      </w:r>
      <w:r>
        <w:rPr>
          <w:rFonts w:hint="eastAsia" w:ascii="宋体" w:hAnsi="宋体" w:cs="宋体"/>
          <w:kern w:val="0"/>
          <w:sz w:val="24"/>
          <w:szCs w:val="24"/>
        </w:rPr>
        <w:t>款商定或确定。</w:t>
      </w:r>
    </w:p>
    <w:p w14:paraId="2766F0AD">
      <w:pPr>
        <w:keepNext/>
        <w:keepLines/>
        <w:spacing w:line="440" w:lineRule="exact"/>
        <w:ind w:firstLine="482" w:firstLineChars="200"/>
        <w:rPr>
          <w:rFonts w:ascii="宋体" w:hAnsi="宋体"/>
          <w:b/>
          <w:bCs/>
          <w:kern w:val="44"/>
          <w:sz w:val="24"/>
          <w:szCs w:val="24"/>
        </w:rPr>
      </w:pPr>
      <w:bookmarkStart w:id="807" w:name="_Toc480282302"/>
      <w:bookmarkStart w:id="808" w:name="_Toc513212817"/>
      <w:bookmarkStart w:id="809" w:name="_Toc234382851"/>
      <w:bookmarkStart w:id="810" w:name="_Toc479265556"/>
      <w:bookmarkStart w:id="811" w:name="_Toc513132297"/>
      <w:bookmarkStart w:id="812" w:name="_Toc488083536"/>
      <w:bookmarkStart w:id="813" w:name="_Toc479237727"/>
      <w:bookmarkStart w:id="814" w:name="_Toc3475539"/>
      <w:bookmarkStart w:id="815" w:name="_Toc512689664"/>
      <w:bookmarkStart w:id="816" w:name="_Toc192710470"/>
      <w:r>
        <w:rPr>
          <w:rFonts w:ascii="宋体" w:hAnsi="宋体" w:cs="宋体"/>
          <w:b/>
          <w:bCs/>
          <w:kern w:val="44"/>
          <w:sz w:val="24"/>
          <w:szCs w:val="24"/>
        </w:rPr>
        <w:t>3.5</w:t>
      </w:r>
      <w:r>
        <w:rPr>
          <w:rFonts w:hint="eastAsia" w:ascii="宋体" w:hAnsi="宋体" w:cs="宋体"/>
          <w:b/>
          <w:bCs/>
          <w:kern w:val="44"/>
          <w:sz w:val="24"/>
          <w:szCs w:val="24"/>
        </w:rPr>
        <w:t>商定或确定</w:t>
      </w:r>
      <w:bookmarkEnd w:id="807"/>
      <w:bookmarkEnd w:id="808"/>
      <w:bookmarkEnd w:id="809"/>
      <w:bookmarkEnd w:id="810"/>
      <w:bookmarkEnd w:id="811"/>
      <w:bookmarkEnd w:id="812"/>
      <w:bookmarkEnd w:id="813"/>
      <w:bookmarkEnd w:id="814"/>
      <w:bookmarkEnd w:id="815"/>
      <w:bookmarkEnd w:id="816"/>
    </w:p>
    <w:p w14:paraId="20F78BF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 xml:space="preserve">3.5.1 </w:t>
      </w:r>
      <w:r>
        <w:rPr>
          <w:rFonts w:hint="eastAsia" w:ascii="宋体" w:hAnsi="宋体" w:cs="宋体"/>
          <w:kern w:val="0"/>
          <w:sz w:val="24"/>
          <w:szCs w:val="24"/>
        </w:rPr>
        <w:t>项补充：</w:t>
      </w:r>
    </w:p>
    <w:p w14:paraId="09D77DE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如果这项商定或确定导致费用增加和（或）工期延长，或者涉及确定变更工程的价格，则总监理工程师在发出通知前，应征得发包人的同意。</w:t>
      </w:r>
    </w:p>
    <w:p w14:paraId="4D469189">
      <w:pPr>
        <w:keepNext/>
        <w:keepLines/>
        <w:spacing w:line="440" w:lineRule="exact"/>
        <w:ind w:firstLine="482" w:firstLineChars="200"/>
        <w:rPr>
          <w:rFonts w:hint="eastAsia" w:ascii="宋体" w:hAnsi="宋体" w:cs="宋体"/>
          <w:b/>
          <w:bCs/>
          <w:kern w:val="44"/>
          <w:sz w:val="24"/>
          <w:szCs w:val="24"/>
        </w:rPr>
      </w:pPr>
      <w:bookmarkStart w:id="817" w:name="_Toc513132298"/>
      <w:bookmarkStart w:id="818" w:name="_Toc512689665"/>
      <w:bookmarkStart w:id="819" w:name="_Toc479265557"/>
      <w:bookmarkStart w:id="820" w:name="_Toc3475540"/>
      <w:bookmarkStart w:id="821" w:name="_Toc192710471"/>
      <w:bookmarkStart w:id="822" w:name="_Toc479237728"/>
      <w:bookmarkStart w:id="823" w:name="_Toc513212818"/>
      <w:bookmarkStart w:id="824" w:name="_Toc480282303"/>
      <w:bookmarkStart w:id="825" w:name="_Toc488083537"/>
      <w:bookmarkStart w:id="826" w:name="_Toc234382852"/>
      <w:r>
        <w:rPr>
          <w:rFonts w:hint="eastAsia" w:ascii="宋体" w:hAnsi="宋体" w:cs="宋体"/>
          <w:b/>
          <w:bCs/>
          <w:kern w:val="44"/>
          <w:sz w:val="24"/>
          <w:szCs w:val="24"/>
        </w:rPr>
        <w:t>4.承包人</w:t>
      </w:r>
      <w:bookmarkEnd w:id="817"/>
      <w:bookmarkEnd w:id="818"/>
      <w:bookmarkEnd w:id="819"/>
      <w:bookmarkEnd w:id="820"/>
      <w:bookmarkEnd w:id="821"/>
      <w:bookmarkEnd w:id="822"/>
      <w:bookmarkEnd w:id="823"/>
      <w:bookmarkEnd w:id="824"/>
      <w:bookmarkEnd w:id="825"/>
      <w:bookmarkEnd w:id="826"/>
    </w:p>
    <w:p w14:paraId="239A1A0E">
      <w:pPr>
        <w:keepNext/>
        <w:keepLines/>
        <w:spacing w:line="440" w:lineRule="exact"/>
        <w:ind w:firstLine="482" w:firstLineChars="200"/>
        <w:rPr>
          <w:rFonts w:hint="eastAsia" w:ascii="宋体" w:hAnsi="宋体" w:cs="宋体"/>
          <w:b/>
          <w:bCs/>
          <w:kern w:val="44"/>
          <w:sz w:val="24"/>
          <w:szCs w:val="24"/>
        </w:rPr>
      </w:pPr>
      <w:bookmarkStart w:id="827" w:name="_Toc513132299"/>
      <w:bookmarkStart w:id="828" w:name="_Toc480282304"/>
      <w:bookmarkStart w:id="829" w:name="_Toc479237729"/>
      <w:bookmarkStart w:id="830" w:name="_Toc3475541"/>
      <w:bookmarkStart w:id="831" w:name="_Toc234382853"/>
      <w:bookmarkStart w:id="832" w:name="_Toc192710472"/>
      <w:bookmarkStart w:id="833" w:name="_Toc488083538"/>
      <w:bookmarkStart w:id="834" w:name="_Toc513212819"/>
      <w:bookmarkStart w:id="835" w:name="_Toc512689666"/>
      <w:bookmarkStart w:id="836" w:name="_Toc479265558"/>
      <w:r>
        <w:rPr>
          <w:rFonts w:hint="eastAsia" w:ascii="宋体" w:hAnsi="宋体" w:cs="宋体"/>
          <w:b/>
          <w:bCs/>
          <w:kern w:val="44"/>
          <w:sz w:val="24"/>
          <w:szCs w:val="24"/>
        </w:rPr>
        <w:t>4.1承包工的一般义务</w:t>
      </w:r>
      <w:bookmarkEnd w:id="827"/>
      <w:bookmarkEnd w:id="828"/>
      <w:bookmarkEnd w:id="829"/>
      <w:bookmarkEnd w:id="830"/>
      <w:bookmarkEnd w:id="831"/>
      <w:bookmarkEnd w:id="832"/>
      <w:bookmarkEnd w:id="833"/>
      <w:bookmarkEnd w:id="834"/>
      <w:bookmarkEnd w:id="835"/>
      <w:bookmarkEnd w:id="836"/>
    </w:p>
    <w:p w14:paraId="2A59AC0B">
      <w:pPr>
        <w:widowControl/>
        <w:spacing w:line="440" w:lineRule="exact"/>
        <w:ind w:firstLine="480" w:firstLineChars="200"/>
        <w:jc w:val="left"/>
        <w:rPr>
          <w:rFonts w:ascii="宋体" w:hAnsi="宋体"/>
          <w:kern w:val="0"/>
          <w:sz w:val="24"/>
          <w:szCs w:val="24"/>
        </w:rPr>
      </w:pPr>
      <w:r>
        <w:rPr>
          <w:rFonts w:ascii="宋体" w:hAnsi="宋体"/>
          <w:kern w:val="0"/>
          <w:sz w:val="24"/>
          <w:szCs w:val="24"/>
        </w:rPr>
        <w:t>4.1.9</w:t>
      </w:r>
      <w:r>
        <w:rPr>
          <w:rFonts w:hint="eastAsia" w:ascii="宋体" w:hAnsi="宋体"/>
          <w:kern w:val="0"/>
          <w:sz w:val="24"/>
          <w:szCs w:val="24"/>
        </w:rPr>
        <w:t>工程的维护和照管</w:t>
      </w:r>
    </w:p>
    <w:p w14:paraId="5904E78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4FAC976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47AC263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）在承包人负责照管与维护期间，如果本工程或材料、设备等发生损失或损害，除不可抗力原因之外，承包人均应自费弥补，并达到合同要求。承包人还应对按第</w:t>
      </w:r>
      <w:r>
        <w:rPr>
          <w:rFonts w:ascii="宋体" w:hAnsi="宋体" w:cs="宋体"/>
          <w:kern w:val="0"/>
          <w:sz w:val="24"/>
          <w:szCs w:val="24"/>
        </w:rPr>
        <w:t>19</w:t>
      </w:r>
      <w:r>
        <w:rPr>
          <w:rFonts w:hint="eastAsia" w:ascii="宋体" w:hAnsi="宋体" w:cs="宋体"/>
          <w:kern w:val="0"/>
          <w:sz w:val="24"/>
          <w:szCs w:val="24"/>
        </w:rPr>
        <w:t>条规定而实施作业的过程中由承包人造成的对工程的任何损失或损害负责。</w:t>
      </w:r>
    </w:p>
    <w:p w14:paraId="00E53EF9">
      <w:pPr>
        <w:spacing w:line="440" w:lineRule="exact"/>
        <w:ind w:firstLine="480" w:firstLineChars="200"/>
        <w:rPr>
          <w:rFonts w:ascii="宋体" w:hAnsi="宋体" w:cs="宋体"/>
          <w:kern w:val="0"/>
          <w:sz w:val="24"/>
          <w:szCs w:val="24"/>
        </w:rPr>
      </w:pPr>
      <w:r>
        <w:rPr>
          <w:rFonts w:ascii="宋体" w:hAnsi="宋体" w:cs="宋体"/>
          <w:kern w:val="0"/>
          <w:sz w:val="24"/>
          <w:szCs w:val="24"/>
        </w:rPr>
        <w:t>4.1.10</w:t>
      </w:r>
      <w:r>
        <w:rPr>
          <w:rFonts w:hint="eastAsia" w:ascii="宋体" w:hAnsi="宋体" w:cs="宋体"/>
          <w:kern w:val="0"/>
          <w:sz w:val="24"/>
          <w:szCs w:val="24"/>
        </w:rPr>
        <w:t>其他义务</w:t>
      </w:r>
    </w:p>
    <w:p w14:paraId="660D7F9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4C4A010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）临时占地由承包人向当地政府土地管理部门申请，并办理租用手续，承包人按有关规定直接支付其费用，发包人对此将予以协调。</w:t>
      </w:r>
    </w:p>
    <w:p w14:paraId="085190D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临时占地范围包括承包人驻地的办公室、食堂、宿舍、道路和机械设备停放场、材料堆放场地、弃土场、预制场、拌合场、仓库、进场临时道路、临时便道、便桥等。承包人应在“临时占地计划表”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w:t>
      </w:r>
      <w:r>
        <w:rPr>
          <w:rFonts w:ascii="宋体" w:hAnsi="宋体" w:cs="宋体"/>
          <w:kern w:val="0"/>
          <w:sz w:val="24"/>
          <w:szCs w:val="24"/>
        </w:rPr>
        <w:t>100</w:t>
      </w:r>
      <w:r>
        <w:rPr>
          <w:rFonts w:hint="eastAsia" w:ascii="宋体" w:hAnsi="宋体" w:cs="宋体"/>
          <w:kern w:val="0"/>
          <w:sz w:val="24"/>
          <w:szCs w:val="24"/>
        </w:rPr>
        <w:t>章中由承包人按总额报价。</w:t>
      </w:r>
    </w:p>
    <w:p w14:paraId="156ED4C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临时占地退还前，承包人应自费恢复到临时占地使用前的状态。如因承包人撤离后未按要求对临时占地进行恢复或虽进行了恢复但未达到使用标准的，将由发包人委托第三方对其恢复，所发生的费用将从应付给承包人的任何款项内扣除。</w:t>
      </w:r>
    </w:p>
    <w:p w14:paraId="0F9B08F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除项目专用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62B0BCD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承包人应严格遵守国家有关解决拖欠工程款和民工工资的法律、法规，及时支付工程中的材料、设备贷款及民工工资等费用。承包人不得以任何借口拖欠材料、设备贷款及民工工资等费用，如果出现此种现象，发包人有权代为支付其拖欠的材料、设备贷款及民工工资，并从应付给承包人的工程款中扣除相应款项。对恶意拖欠和拒不按计划支付的，作为不良记录纳入公路建设市场信用信息管理系统。</w:t>
      </w:r>
    </w:p>
    <w:p w14:paraId="25B7144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的项目负责人部是民工工资支付行为的主体，承包人的项目负责人是民工工资支付的责任人。项目负责人部要建立全体民工花名册和工资支付表，确保将工资直接发放给民工本人，或委托银行发放民工工资，严禁发放给“包工头”或其他不具备用工主体资格的组织和个人。</w:t>
      </w:r>
    </w:p>
    <w:p w14:paraId="11D6C80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工资支付表应如实记录支付单位、支付时间、支付对象、支付数额、支付对象的身份证号和签字等信息。民工花名册和工资支付表应报监理人备查。</w:t>
      </w:r>
    </w:p>
    <w:p w14:paraId="1AC5A6A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w:t>
      </w:r>
      <w:r>
        <w:rPr>
          <w:rFonts w:ascii="宋体" w:hAnsi="宋体" w:cs="宋体"/>
          <w:kern w:val="0"/>
          <w:sz w:val="24"/>
          <w:szCs w:val="24"/>
        </w:rPr>
        <w:t>承包人应分解工程价款中的人工费用，在工程项目所在地银行开设民工工资(劳务费)专用账户，专项用于支付民工工资。发包人应按照本合同约定的比例 或承包人提供的人 工费用数额，将应付工程款中的人工费单独拨付到 承包人开设 的 民工工资(劳务费)专用账户。民工工资(劳务费   )专用账户应向人力资源社会保 障部门和交通运输主 管部门备案，并委托开户银行 负责 日常监管， 确保专款专用 。 开户银行发现账户资金不足、被挪用等情况，应及时向人力资源社会保障部门和交 通运输主管部门报告。</w:t>
      </w:r>
    </w:p>
    <w:p w14:paraId="66D24F9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（5）</w:t>
      </w:r>
      <w:r>
        <w:rPr>
          <w:rFonts w:ascii="宋体" w:hAnsi="宋体" w:cs="宋体"/>
          <w:kern w:val="0"/>
          <w:sz w:val="24"/>
          <w:szCs w:val="24"/>
        </w:rPr>
        <w:t>承包人应严格执行招标文件技术规范对施工 标准化提出的具体要求，结合本单位施工能力和技术优势，积极采取有利于标准化施工的组织方式和工艺流程，加强工地建设、工艺控制、人员管理和内业 资料管理，强化对施工一线操作人员的 培训，改善职工生产生活条件，与此相关的费用承包人应列入工程量清单100章中。</w:t>
      </w:r>
    </w:p>
    <w:p w14:paraId="269AD6F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（6）承包人应履行项目专用合同条款约定的其他义务。</w:t>
      </w:r>
    </w:p>
    <w:p w14:paraId="7CC4070D">
      <w:pPr>
        <w:keepNext/>
        <w:keepLines/>
        <w:spacing w:line="440" w:lineRule="exact"/>
        <w:ind w:firstLine="482" w:firstLineChars="200"/>
        <w:rPr>
          <w:rFonts w:ascii="宋体" w:hAnsi="宋体" w:eastAsia="黑体" w:cs="宋体"/>
          <w:b/>
          <w:bCs/>
          <w:kern w:val="44"/>
          <w:sz w:val="24"/>
          <w:szCs w:val="24"/>
        </w:rPr>
      </w:pPr>
      <w:bookmarkStart w:id="837" w:name="_Toc512689667"/>
      <w:bookmarkStart w:id="838" w:name="_Toc3475542"/>
      <w:bookmarkStart w:id="839" w:name="_Toc192710473"/>
      <w:bookmarkStart w:id="840" w:name="_Toc513212820"/>
      <w:bookmarkStart w:id="841" w:name="_Toc513132300"/>
      <w:bookmarkStart w:id="842" w:name="_Toc488083539"/>
      <w:bookmarkStart w:id="843" w:name="_Toc234382854"/>
      <w:bookmarkStart w:id="844" w:name="_Toc480282305"/>
      <w:bookmarkStart w:id="845" w:name="_Toc479237730"/>
      <w:bookmarkStart w:id="846" w:name="_Toc479265559"/>
      <w:r>
        <w:rPr>
          <w:rFonts w:hint="eastAsia" w:ascii="宋体" w:hAnsi="宋体" w:cs="宋体"/>
          <w:b/>
          <w:bCs/>
          <w:kern w:val="44"/>
          <w:sz w:val="24"/>
          <w:szCs w:val="24"/>
        </w:rPr>
        <w:t>4.2履约保证金</w:t>
      </w:r>
      <w:bookmarkEnd w:id="837"/>
      <w:bookmarkEnd w:id="838"/>
      <w:bookmarkEnd w:id="839"/>
      <w:bookmarkEnd w:id="840"/>
      <w:bookmarkEnd w:id="841"/>
    </w:p>
    <w:p w14:paraId="605C9098">
      <w:pPr>
        <w:spacing w:line="440" w:lineRule="exact"/>
        <w:ind w:firstLine="480" w:firstLineChars="200"/>
        <w:rPr>
          <w:rFonts w:ascii="宋体" w:hAnsi="宋体" w:cs="宋体"/>
          <w:kern w:val="0"/>
          <w:sz w:val="24"/>
          <w:szCs w:val="24"/>
        </w:rPr>
      </w:pPr>
      <w:bookmarkStart w:id="847" w:name="_Toc513132301"/>
      <w:bookmarkStart w:id="848" w:name="_Toc512689668"/>
      <w:bookmarkStart w:id="849" w:name="_Toc513212821"/>
      <w:r>
        <w:rPr>
          <w:rFonts w:ascii="宋体" w:hAnsi="宋体" w:cs="宋体"/>
          <w:kern w:val="0"/>
          <w:sz w:val="24"/>
          <w:szCs w:val="24"/>
        </w:rPr>
        <w:t>本款细化为:</w:t>
      </w:r>
      <w:bookmarkEnd w:id="847"/>
      <w:bookmarkEnd w:id="848"/>
      <w:bookmarkEnd w:id="849"/>
    </w:p>
    <w:p w14:paraId="15F5DC11">
      <w:pPr>
        <w:spacing w:line="440" w:lineRule="exact"/>
        <w:ind w:firstLine="480" w:firstLineChars="200"/>
        <w:rPr>
          <w:rFonts w:ascii="宋体" w:hAnsi="宋体" w:cs="宋体"/>
          <w:kern w:val="0"/>
          <w:sz w:val="24"/>
          <w:szCs w:val="24"/>
        </w:rPr>
      </w:pPr>
      <w:bookmarkStart w:id="850" w:name="_Toc512689669"/>
      <w:bookmarkStart w:id="851" w:name="_Toc513132302"/>
      <w:bookmarkStart w:id="852" w:name="_Toc513212822"/>
      <w:r>
        <w:rPr>
          <w:rFonts w:ascii="宋体" w:hAnsi="宋体" w:cs="宋体"/>
          <w:kern w:val="0"/>
          <w:sz w:val="24"/>
          <w:szCs w:val="24"/>
        </w:rPr>
        <w:t>承包人应保证其履约保证金在发包人签发交工验 收证书且承包人按照合同约定 缴纳质量保证金前一直有效。发包人应在收到承包人 缴纳的质量保证金后 28 天内把 履约保证金退还给承包 人。</w:t>
      </w:r>
      <w:bookmarkEnd w:id="850"/>
      <w:bookmarkEnd w:id="851"/>
      <w:bookmarkEnd w:id="852"/>
    </w:p>
    <w:p w14:paraId="2787FE05">
      <w:pPr>
        <w:spacing w:line="440" w:lineRule="exact"/>
        <w:ind w:firstLine="480" w:firstLineChars="200"/>
        <w:rPr>
          <w:rFonts w:ascii="宋体" w:hAnsi="宋体" w:cs="宋体"/>
          <w:kern w:val="0"/>
          <w:sz w:val="24"/>
          <w:szCs w:val="24"/>
        </w:rPr>
      </w:pPr>
      <w:bookmarkStart w:id="853" w:name="_Toc512689670"/>
      <w:bookmarkStart w:id="854" w:name="_Toc513212823"/>
      <w:bookmarkStart w:id="855" w:name="_Toc513132303"/>
      <w:r>
        <w:rPr>
          <w:rFonts w:ascii="宋体" w:hAnsi="宋体" w:cs="宋体"/>
          <w:kern w:val="0"/>
          <w:sz w:val="24"/>
          <w:szCs w:val="24"/>
        </w:rPr>
        <w:t>承包人拒绝按照本合同约定缴纳质量保证金的，发包人有权从竣工付款证书中 扣留相应金额作为质 量保证金，或者直接将履约保证金金额用于保证承包人在缺陷 责任期内履行缺陷修复义务 。</w:t>
      </w:r>
      <w:bookmarkEnd w:id="853"/>
      <w:bookmarkEnd w:id="854"/>
      <w:bookmarkEnd w:id="855"/>
    </w:p>
    <w:p w14:paraId="5899D469">
      <w:pPr>
        <w:keepNext/>
        <w:keepLines/>
        <w:spacing w:line="440" w:lineRule="exact"/>
        <w:ind w:firstLine="482" w:firstLineChars="200"/>
        <w:rPr>
          <w:rFonts w:hint="eastAsia" w:ascii="宋体" w:hAnsi="宋体" w:cs="宋体"/>
          <w:b/>
          <w:bCs/>
          <w:kern w:val="44"/>
          <w:sz w:val="24"/>
          <w:szCs w:val="24"/>
        </w:rPr>
      </w:pPr>
      <w:bookmarkStart w:id="856" w:name="_Toc192710474"/>
      <w:bookmarkStart w:id="857" w:name="_Toc3475543"/>
      <w:bookmarkStart w:id="858" w:name="_Toc512689671"/>
      <w:bookmarkStart w:id="859" w:name="_Toc513132304"/>
      <w:bookmarkStart w:id="860" w:name="_Toc513212824"/>
      <w:r>
        <w:rPr>
          <w:rFonts w:hint="eastAsia" w:ascii="宋体" w:hAnsi="宋体" w:cs="宋体"/>
          <w:b/>
          <w:bCs/>
          <w:kern w:val="44"/>
          <w:sz w:val="24"/>
          <w:szCs w:val="24"/>
        </w:rPr>
        <w:t>4.3 分包</w:t>
      </w:r>
      <w:bookmarkEnd w:id="842"/>
      <w:bookmarkEnd w:id="843"/>
      <w:bookmarkEnd w:id="844"/>
      <w:bookmarkEnd w:id="845"/>
      <w:bookmarkEnd w:id="846"/>
      <w:bookmarkEnd w:id="856"/>
      <w:bookmarkEnd w:id="857"/>
      <w:bookmarkEnd w:id="858"/>
      <w:bookmarkEnd w:id="859"/>
      <w:bookmarkEnd w:id="860"/>
    </w:p>
    <w:p w14:paraId="5461279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4.3.2</w:t>
      </w:r>
      <w:r>
        <w:rPr>
          <w:rFonts w:hint="eastAsia" w:ascii="宋体" w:hAnsi="宋体" w:cs="宋体"/>
          <w:kern w:val="0"/>
          <w:sz w:val="24"/>
          <w:szCs w:val="24"/>
        </w:rPr>
        <w:t>项～第</w:t>
      </w:r>
      <w:r>
        <w:rPr>
          <w:rFonts w:ascii="宋体" w:hAnsi="宋体" w:cs="宋体"/>
          <w:kern w:val="0"/>
          <w:sz w:val="24"/>
          <w:szCs w:val="24"/>
        </w:rPr>
        <w:t>4.3.4</w:t>
      </w:r>
      <w:r>
        <w:rPr>
          <w:rFonts w:hint="eastAsia" w:ascii="宋体" w:hAnsi="宋体" w:cs="宋体"/>
          <w:kern w:val="0"/>
          <w:sz w:val="24"/>
          <w:szCs w:val="24"/>
        </w:rPr>
        <w:t>项细化为：</w:t>
      </w:r>
    </w:p>
    <w:p w14:paraId="4F85943F">
      <w:pPr>
        <w:spacing w:line="440" w:lineRule="exact"/>
        <w:ind w:firstLine="480" w:firstLineChars="200"/>
        <w:rPr>
          <w:rFonts w:hint="eastAsia" w:ascii="宋体" w:hAnsi="宋体" w:cs="宋体"/>
          <w:kern w:val="0"/>
          <w:sz w:val="24"/>
          <w:szCs w:val="24"/>
        </w:rPr>
      </w:pPr>
      <w:r>
        <w:rPr>
          <w:rFonts w:ascii="宋体" w:hAnsi="宋体" w:cs="宋体"/>
          <w:kern w:val="0"/>
          <w:sz w:val="24"/>
          <w:szCs w:val="24"/>
        </w:rPr>
        <w:t xml:space="preserve">4.3.2 </w:t>
      </w:r>
      <w:r>
        <w:rPr>
          <w:rFonts w:hint="eastAsia" w:ascii="宋体" w:hAnsi="宋体" w:cs="宋体"/>
          <w:kern w:val="0"/>
          <w:sz w:val="24"/>
          <w:szCs w:val="24"/>
        </w:rPr>
        <w:t>承包人不得将工程主体、关键性工作分包给第三人。经发包人同意，承包人可将工程的其他部分或工作分包给第三人。分包包括专业分包和劳务分包。</w:t>
      </w:r>
    </w:p>
    <w:p w14:paraId="005D0F3C">
      <w:pPr>
        <w:spacing w:line="440" w:lineRule="exact"/>
        <w:ind w:firstLine="480" w:firstLineChars="200"/>
        <w:rPr>
          <w:rFonts w:ascii="宋体" w:hAnsi="宋体" w:cs="宋体"/>
          <w:kern w:val="0"/>
          <w:sz w:val="24"/>
          <w:szCs w:val="24"/>
        </w:rPr>
      </w:pPr>
      <w:r>
        <w:rPr>
          <w:rFonts w:ascii="宋体" w:hAnsi="宋体" w:cs="宋体"/>
          <w:kern w:val="0"/>
          <w:sz w:val="24"/>
          <w:szCs w:val="24"/>
        </w:rPr>
        <w:t>4.3.3</w:t>
      </w:r>
      <w:r>
        <w:rPr>
          <w:rFonts w:hint="eastAsia" w:ascii="宋体" w:hAnsi="宋体" w:cs="宋体"/>
          <w:kern w:val="0"/>
          <w:sz w:val="24"/>
          <w:szCs w:val="24"/>
        </w:rPr>
        <w:t>专业分包</w:t>
      </w:r>
    </w:p>
    <w:p w14:paraId="21A09C0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在工程施工过程中，承包人进行专业分包必须遵守以下规定：</w:t>
      </w:r>
    </w:p>
    <w:p w14:paraId="1888296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）允许专业分包的工程范围仅限于</w:t>
      </w:r>
      <w:r>
        <w:rPr>
          <w:rFonts w:ascii="宋体" w:hAnsi="宋体" w:cs="宋体"/>
          <w:kern w:val="0"/>
          <w:sz w:val="24"/>
          <w:szCs w:val="24"/>
        </w:rPr>
        <w:t>非关键性工程或者适合专业化队伍施工的专项工程。未列入投标文件的专项工程，承包人不得分包。但因工程变更增加了有特殊性技术要求、特殊工艺或者涉及专利保护等的专项工程，且按规定无须再进行招标的，由承包人提出书面申请，经发包人书面同意，可以分包。</w:t>
      </w:r>
    </w:p>
    <w:p w14:paraId="70A5D2B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）专业分包人的资格能力（含安全生产能力）应与其分包工程的标准和规模相适应，具备相应的专业承包资质。</w:t>
      </w:r>
    </w:p>
    <w:p w14:paraId="151DE630">
      <w:pPr>
        <w:spacing w:line="440" w:lineRule="exact"/>
        <w:ind w:firstLine="480" w:firstLineChars="200"/>
        <w:rPr>
          <w:rFonts w:ascii="宋体" w:hAnsi="宋体" w:cs="宋体"/>
          <w:kern w:val="0"/>
          <w:sz w:val="24"/>
          <w:szCs w:val="24"/>
        </w:rPr>
      </w:pPr>
      <w:r>
        <w:rPr>
          <w:rFonts w:ascii="宋体" w:hAnsi="宋体" w:cs="宋体"/>
          <w:kern w:val="0"/>
          <w:sz w:val="24"/>
          <w:szCs w:val="24"/>
        </w:rPr>
        <w:t>a.具有经工商登记的法人资格:</w:t>
      </w:r>
    </w:p>
    <w:p w14:paraId="45BD01C5">
      <w:pPr>
        <w:spacing w:line="440" w:lineRule="exact"/>
        <w:ind w:firstLine="480" w:firstLineChars="200"/>
        <w:rPr>
          <w:rFonts w:ascii="宋体" w:hAnsi="宋体" w:cs="宋体"/>
          <w:kern w:val="0"/>
          <w:sz w:val="24"/>
          <w:szCs w:val="24"/>
        </w:rPr>
      </w:pPr>
      <w:r>
        <w:rPr>
          <w:rFonts w:ascii="宋体" w:hAnsi="宋体" w:cs="宋体"/>
          <w:kern w:val="0"/>
          <w:sz w:val="24"/>
          <w:szCs w:val="24"/>
        </w:rPr>
        <w:t>b.具有从事类似工程经验的管理与技术 人员;</w:t>
      </w:r>
    </w:p>
    <w:p w14:paraId="1296FAAD">
      <w:pPr>
        <w:spacing w:line="440" w:lineRule="exact"/>
        <w:ind w:firstLine="480" w:firstLineChars="200"/>
        <w:rPr>
          <w:rFonts w:ascii="宋体" w:hAnsi="宋体" w:cs="宋体"/>
          <w:kern w:val="0"/>
          <w:sz w:val="24"/>
          <w:szCs w:val="24"/>
        </w:rPr>
      </w:pPr>
      <w:r>
        <w:rPr>
          <w:rFonts w:ascii="宋体" w:hAnsi="宋体" w:cs="宋体"/>
          <w:kern w:val="0"/>
          <w:sz w:val="24"/>
          <w:szCs w:val="24"/>
        </w:rPr>
        <w:t>c.具有(自有或租赁)分包 工程所需 的施工设备。</w:t>
      </w:r>
    </w:p>
    <w:p w14:paraId="5CD082E4">
      <w:pPr>
        <w:spacing w:line="440" w:lineRule="exact"/>
        <w:ind w:firstLine="480" w:firstLineChars="200"/>
        <w:rPr>
          <w:rFonts w:ascii="宋体" w:hAnsi="宋体" w:cs="宋体"/>
          <w:kern w:val="0"/>
          <w:sz w:val="24"/>
          <w:szCs w:val="24"/>
        </w:rPr>
      </w:pPr>
      <w:r>
        <w:rPr>
          <w:rFonts w:ascii="宋体" w:hAnsi="宋体" w:cs="宋体"/>
          <w:kern w:val="0"/>
          <w:sz w:val="24"/>
          <w:szCs w:val="24"/>
        </w:rPr>
        <w:t>承包人应向监理人提交专业分包人的资格能力证明材料，经监理人审查并报发包人批准后，可以将相应专业工程分包给该专业分包人 。</w:t>
      </w:r>
    </w:p>
    <w:p w14:paraId="7D9B47B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）专业分工程不得再次分包。</w:t>
      </w:r>
    </w:p>
    <w:p w14:paraId="6511A85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）承包人和专业分包人应当</w:t>
      </w:r>
      <w:r>
        <w:rPr>
          <w:rFonts w:ascii="宋体" w:hAnsi="宋体" w:cs="宋体"/>
          <w:kern w:val="0"/>
          <w:sz w:val="24"/>
          <w:szCs w:val="24"/>
        </w:rPr>
        <w:t>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w:t>
      </w:r>
      <w:r>
        <w:rPr>
          <w:rFonts w:hint="eastAsia" w:ascii="宋体" w:hAnsi="宋体" w:cs="宋体"/>
          <w:kern w:val="0"/>
          <w:sz w:val="24"/>
          <w:szCs w:val="24"/>
        </w:rPr>
        <w:t>，</w:t>
      </w:r>
      <w:r>
        <w:rPr>
          <w:rFonts w:ascii="宋体" w:hAnsi="宋体" w:cs="宋体"/>
          <w:kern w:val="0"/>
          <w:sz w:val="24"/>
          <w:szCs w:val="24"/>
        </w:rPr>
        <w:t>确保工程款的支付。承包人应在工程实施前，将经监理人审查同意后的分包合同报发包人备案。</w:t>
      </w:r>
    </w:p>
    <w:p w14:paraId="53B6688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w:t>
      </w:r>
      <w:r>
        <w:rPr>
          <w:rFonts w:ascii="宋体" w:hAnsi="宋体" w:cs="宋体"/>
          <w:kern w:val="0"/>
          <w:sz w:val="24"/>
          <w:szCs w:val="24"/>
        </w:rPr>
        <w:t>专业分包人应当设立项目管理机构，对所分包工程的施工活动实施管理</w:t>
      </w:r>
      <w:r>
        <w:rPr>
          <w:rFonts w:hint="eastAsia" w:ascii="宋体" w:hAnsi="宋体" w:cs="宋体"/>
          <w:kern w:val="0"/>
          <w:sz w:val="24"/>
          <w:szCs w:val="24"/>
        </w:rPr>
        <w:t>。</w:t>
      </w:r>
      <w:r>
        <w:rPr>
          <w:rFonts w:ascii="宋体" w:hAnsi="宋体" w:cs="宋体"/>
          <w:kern w:val="0"/>
          <w:sz w:val="24"/>
          <w:szCs w:val="24"/>
        </w:rPr>
        <w:t>项目管理机构应当具有与分包工程的规模、技术复杂程度相适应的技术、经济管理人员，其中项目负责人和技术、财务、计量、质量、安全等主要管理人员必须是专业分包人本单位人员</w:t>
      </w:r>
      <w:r>
        <w:rPr>
          <w:rFonts w:hint="eastAsia" w:ascii="宋体" w:hAnsi="宋体" w:cs="宋体"/>
          <w:kern w:val="0"/>
          <w:sz w:val="24"/>
          <w:szCs w:val="24"/>
        </w:rPr>
        <w:t>。</w:t>
      </w:r>
    </w:p>
    <w:p w14:paraId="6E74321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w:t>
      </w:r>
      <w:r>
        <w:rPr>
          <w:rFonts w:ascii="宋体" w:hAnsi="宋体" w:cs="宋体"/>
          <w:kern w:val="0"/>
          <w:sz w:val="24"/>
          <w:szCs w:val="24"/>
        </w:rPr>
        <w:t>承包人应当建立健全相关分包管理制度和台账，对专业分包工程的质量、 安全、进度和专 业分包人的 行为等实施全过程管理 ，按照本办法规定和合同约定对 专业分包工程的实施向发包人负责，并承担赔偿责任。专业分包合   同不免除承包合 同中规定的承包人的责任或者义务 。</w:t>
      </w:r>
    </w:p>
    <w:p w14:paraId="50116DF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（7）</w:t>
      </w:r>
      <w:r>
        <w:rPr>
          <w:rFonts w:ascii="宋体" w:hAnsi="宋体" w:cs="宋体"/>
          <w:kern w:val="0"/>
          <w:sz w:val="24"/>
          <w:szCs w:val="24"/>
        </w:rPr>
        <w:t>专业分包人应当依据专业分包合同的约定，组织分包工程的施工，并对分包工程的质量、安全和进度等实施有效控制。专业分包人对其分包的工程向承包人负责，并就所分包的工程向发包人承担连带责任。</w:t>
      </w:r>
    </w:p>
    <w:p w14:paraId="191E477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（8）</w:t>
      </w:r>
      <w:r>
        <w:rPr>
          <w:rFonts w:ascii="宋体" w:hAnsi="宋体" w:cs="宋体"/>
          <w:kern w:val="0"/>
          <w:sz w:val="24"/>
          <w:szCs w:val="24"/>
        </w:rPr>
        <w:t>承包人对施工现场安全负总责，并对专业分包人的安全生产进行培训和管理。专业分包人应将其专业分包工程的施工组织设计和施工安全方案报承包人备案</w:t>
      </w:r>
      <w:r>
        <w:rPr>
          <w:rFonts w:hint="eastAsia" w:ascii="宋体" w:hAnsi="宋体" w:cs="宋体"/>
          <w:kern w:val="0"/>
          <w:sz w:val="24"/>
          <w:szCs w:val="24"/>
        </w:rPr>
        <w:t>。</w:t>
      </w:r>
      <w:r>
        <w:rPr>
          <w:rFonts w:ascii="宋体" w:hAnsi="宋体" w:cs="宋体"/>
          <w:kern w:val="0"/>
          <w:sz w:val="24"/>
          <w:szCs w:val="24"/>
        </w:rPr>
        <w:t>专业分包人对分包施 工现场安全负责，发现事故隐患，应及时处理 。</w:t>
      </w:r>
    </w:p>
    <w:p w14:paraId="2216CEA7">
      <w:pPr>
        <w:spacing w:line="440" w:lineRule="exact"/>
        <w:ind w:firstLine="480" w:firstLineChars="200"/>
        <w:rPr>
          <w:rFonts w:ascii="宋体" w:hAnsi="宋体" w:cs="宋体"/>
          <w:kern w:val="0"/>
          <w:sz w:val="24"/>
          <w:szCs w:val="24"/>
        </w:rPr>
      </w:pPr>
      <w:r>
        <w:rPr>
          <w:rFonts w:ascii="宋体" w:hAnsi="宋体" w:cs="宋体"/>
          <w:kern w:val="0"/>
          <w:sz w:val="24"/>
          <w:szCs w:val="24"/>
        </w:rPr>
        <w:t>违反上述规定之一者属违规分包 。</w:t>
      </w:r>
    </w:p>
    <w:p w14:paraId="72E7160E">
      <w:pPr>
        <w:spacing w:line="440" w:lineRule="exact"/>
        <w:ind w:firstLine="480" w:firstLineChars="200"/>
        <w:rPr>
          <w:rFonts w:ascii="宋体" w:hAnsi="宋体" w:cs="宋体"/>
          <w:kern w:val="0"/>
          <w:sz w:val="24"/>
          <w:szCs w:val="24"/>
        </w:rPr>
      </w:pPr>
      <w:r>
        <w:rPr>
          <w:rFonts w:ascii="宋体" w:hAnsi="宋体" w:cs="宋体"/>
          <w:kern w:val="0"/>
          <w:sz w:val="24"/>
          <w:szCs w:val="24"/>
        </w:rPr>
        <w:t>4.3.4</w:t>
      </w:r>
      <w:r>
        <w:rPr>
          <w:rFonts w:hint="eastAsia" w:ascii="宋体" w:hAnsi="宋体" w:cs="宋体"/>
          <w:kern w:val="0"/>
          <w:sz w:val="24"/>
          <w:szCs w:val="24"/>
        </w:rPr>
        <w:t>劳务分包</w:t>
      </w:r>
    </w:p>
    <w:p w14:paraId="503C1DD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在工程施工过程中，承包人进行劳务分包必须遵守以下规定：</w:t>
      </w:r>
    </w:p>
    <w:p w14:paraId="74C6D46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）劳务分包人应具有劳务分包资质。</w:t>
      </w:r>
    </w:p>
    <w:p w14:paraId="2636080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劳务分包应当依法签订劳务分包合同，劳务分包合同必须由承包人的法定代表人或其委托代理人与劳务分包人直接签订，不得由他人代签。承包人的项目负责人部、项目负责人、施工班组等不具备用工主体资格，不能与劳务分包人签订劳务分包合同。承包人应向发包人和监理人提交劳务分包合同副本并报项目所在地劳动保障部门备案。</w:t>
      </w:r>
    </w:p>
    <w:p w14:paraId="5980139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）承包人雇用的劳务作业应加入到承包人的施工班组统一管理。有关施工质量、施工安全、施工进度、环境保护、技术方案、试验检测、材料保管与供应、机械设备等都必须由承包人管理与调配，不得以包代管。</w:t>
      </w:r>
    </w:p>
    <w:p w14:paraId="1ADD3C4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）承包人应当对劳务分包人员进行安全培训和管理，劳务分包人不得将其分包的劳务作业再次分包。</w:t>
      </w:r>
    </w:p>
    <w:p w14:paraId="5DABE38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违反上述规定之一者属违规分包。</w:t>
      </w:r>
    </w:p>
    <w:p w14:paraId="5D9F0B2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4.3.6</w:t>
      </w:r>
      <w:r>
        <w:rPr>
          <w:rFonts w:hint="eastAsia" w:ascii="宋体" w:hAnsi="宋体" w:cs="宋体"/>
          <w:kern w:val="0"/>
          <w:sz w:val="24"/>
          <w:szCs w:val="24"/>
        </w:rPr>
        <w:t>项、4.3.7项：</w:t>
      </w:r>
    </w:p>
    <w:p w14:paraId="5AB55EE4">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4.3.6 </w:t>
      </w:r>
      <w:r>
        <w:rPr>
          <w:rFonts w:hint="eastAsia" w:ascii="宋体" w:hAnsi="宋体" w:cs="宋体"/>
          <w:kern w:val="0"/>
          <w:sz w:val="24"/>
          <w:szCs w:val="24"/>
        </w:rPr>
        <w:t>发包人对承包人与分包人之间的法律与经济纠纷不承担任何责任和义务。</w:t>
      </w:r>
    </w:p>
    <w:p w14:paraId="2693087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4.3.7本项目的各项分包工作均应遵守《公路工程施工分包管理办法》的有关规定。</w:t>
      </w:r>
    </w:p>
    <w:p w14:paraId="745C857D">
      <w:pPr>
        <w:keepNext/>
        <w:keepLines/>
        <w:spacing w:line="440" w:lineRule="exact"/>
        <w:ind w:firstLine="482" w:firstLineChars="200"/>
        <w:rPr>
          <w:rFonts w:hint="eastAsia" w:ascii="宋体" w:hAnsi="宋体" w:cs="宋体"/>
          <w:b/>
          <w:bCs/>
          <w:kern w:val="44"/>
          <w:sz w:val="24"/>
          <w:szCs w:val="24"/>
        </w:rPr>
      </w:pPr>
      <w:bookmarkStart w:id="861" w:name="_Toc488083540"/>
      <w:bookmarkStart w:id="862" w:name="_Toc480282306"/>
      <w:bookmarkStart w:id="863" w:name="_Toc479237731"/>
      <w:bookmarkStart w:id="864" w:name="_Toc513132305"/>
      <w:bookmarkStart w:id="865" w:name="_Toc3475544"/>
      <w:bookmarkStart w:id="866" w:name="_Toc512689672"/>
      <w:bookmarkStart w:id="867" w:name="_Toc192710475"/>
      <w:bookmarkStart w:id="868" w:name="_Toc234382855"/>
      <w:bookmarkStart w:id="869" w:name="_Toc479265560"/>
      <w:bookmarkStart w:id="870" w:name="_Toc513212825"/>
      <w:r>
        <w:rPr>
          <w:rFonts w:hint="eastAsia" w:ascii="宋体" w:hAnsi="宋体" w:cs="宋体"/>
          <w:b/>
          <w:bCs/>
          <w:kern w:val="44"/>
          <w:sz w:val="24"/>
          <w:szCs w:val="24"/>
        </w:rPr>
        <w:t>4.4联合体</w:t>
      </w:r>
      <w:bookmarkEnd w:id="861"/>
      <w:bookmarkEnd w:id="862"/>
      <w:bookmarkEnd w:id="863"/>
      <w:bookmarkEnd w:id="864"/>
      <w:bookmarkEnd w:id="865"/>
      <w:bookmarkEnd w:id="866"/>
      <w:bookmarkEnd w:id="867"/>
      <w:bookmarkEnd w:id="868"/>
      <w:bookmarkEnd w:id="869"/>
      <w:bookmarkEnd w:id="870"/>
    </w:p>
    <w:p w14:paraId="11EFAC7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本款增加第</w:t>
      </w:r>
      <w:r>
        <w:rPr>
          <w:rFonts w:ascii="宋体" w:hAnsi="宋体" w:cs="宋体"/>
          <w:kern w:val="0"/>
          <w:sz w:val="24"/>
          <w:szCs w:val="24"/>
        </w:rPr>
        <w:t>4.4.4</w:t>
      </w:r>
      <w:r>
        <w:rPr>
          <w:rFonts w:hint="eastAsia" w:ascii="宋体" w:hAnsi="宋体" w:cs="宋体"/>
          <w:kern w:val="0"/>
          <w:sz w:val="24"/>
          <w:szCs w:val="24"/>
        </w:rPr>
        <w:t>项：</w:t>
      </w:r>
    </w:p>
    <w:p w14:paraId="1F14B556">
      <w:pPr>
        <w:spacing w:line="440" w:lineRule="exact"/>
        <w:ind w:firstLine="480" w:firstLineChars="200"/>
        <w:rPr>
          <w:rFonts w:ascii="宋体" w:hAnsi="宋体" w:cs="宋体"/>
          <w:kern w:val="0"/>
          <w:sz w:val="24"/>
          <w:szCs w:val="24"/>
        </w:rPr>
      </w:pPr>
      <w:r>
        <w:rPr>
          <w:rFonts w:ascii="宋体" w:hAnsi="宋体" w:cs="宋体"/>
          <w:kern w:val="0"/>
          <w:sz w:val="24"/>
          <w:szCs w:val="24"/>
        </w:rPr>
        <w:t>4.4.4</w:t>
      </w:r>
      <w:r>
        <w:rPr>
          <w:rFonts w:hint="eastAsia" w:ascii="宋体" w:hAnsi="宋体" w:cs="宋体"/>
          <w:kern w:val="0"/>
          <w:sz w:val="24"/>
          <w:szCs w:val="24"/>
        </w:rPr>
        <w:t>未经发包人事先同意，联合体的组成与结构不得变动。</w:t>
      </w:r>
    </w:p>
    <w:p w14:paraId="250BEEA2">
      <w:pPr>
        <w:keepNext/>
        <w:keepLines/>
        <w:spacing w:line="440" w:lineRule="exact"/>
        <w:ind w:firstLine="482" w:firstLineChars="200"/>
        <w:rPr>
          <w:rFonts w:hint="eastAsia" w:ascii="宋体" w:hAnsi="宋体" w:cs="宋体"/>
          <w:b/>
          <w:bCs/>
          <w:kern w:val="44"/>
          <w:sz w:val="24"/>
          <w:szCs w:val="24"/>
        </w:rPr>
      </w:pPr>
      <w:bookmarkStart w:id="871" w:name="_Toc480282307"/>
      <w:bookmarkStart w:id="872" w:name="_Toc488083541"/>
      <w:bookmarkStart w:id="873" w:name="_Toc479265561"/>
      <w:bookmarkStart w:id="874" w:name="_Toc234382856"/>
      <w:bookmarkStart w:id="875" w:name="_Toc192710476"/>
      <w:bookmarkStart w:id="876" w:name="_Toc513212826"/>
      <w:bookmarkStart w:id="877" w:name="_Toc512689673"/>
      <w:bookmarkStart w:id="878" w:name="_Toc3475545"/>
      <w:bookmarkStart w:id="879" w:name="_Toc479237732"/>
      <w:bookmarkStart w:id="880" w:name="_Toc513132306"/>
      <w:r>
        <w:rPr>
          <w:rFonts w:hint="eastAsia" w:ascii="宋体" w:hAnsi="宋体" w:cs="宋体"/>
          <w:b/>
          <w:bCs/>
          <w:kern w:val="44"/>
          <w:sz w:val="24"/>
          <w:szCs w:val="24"/>
        </w:rPr>
        <w:t>4.6承包人人员的管理</w:t>
      </w:r>
      <w:bookmarkEnd w:id="871"/>
      <w:bookmarkEnd w:id="872"/>
      <w:bookmarkEnd w:id="873"/>
      <w:bookmarkEnd w:id="874"/>
      <w:bookmarkEnd w:id="875"/>
      <w:bookmarkEnd w:id="876"/>
      <w:bookmarkEnd w:id="877"/>
      <w:bookmarkEnd w:id="878"/>
      <w:bookmarkEnd w:id="879"/>
      <w:bookmarkEnd w:id="880"/>
    </w:p>
    <w:p w14:paraId="1F659DF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4.6.3</w:t>
      </w:r>
      <w:r>
        <w:rPr>
          <w:rFonts w:hint="eastAsia" w:ascii="宋体" w:hAnsi="宋体" w:cs="宋体"/>
          <w:kern w:val="0"/>
          <w:sz w:val="24"/>
          <w:szCs w:val="24"/>
        </w:rPr>
        <w:t>项细化为：</w:t>
      </w:r>
    </w:p>
    <w:p w14:paraId="5CF8FCA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02AAD10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4.6.5</w:t>
      </w:r>
      <w:r>
        <w:rPr>
          <w:rFonts w:hint="eastAsia" w:ascii="宋体" w:hAnsi="宋体" w:cs="宋体"/>
          <w:kern w:val="0"/>
          <w:sz w:val="24"/>
          <w:szCs w:val="24"/>
        </w:rPr>
        <w:t>项：</w:t>
      </w:r>
    </w:p>
    <w:p w14:paraId="639EB1B6">
      <w:pPr>
        <w:spacing w:line="440" w:lineRule="exact"/>
        <w:ind w:firstLine="480" w:firstLineChars="200"/>
        <w:rPr>
          <w:rFonts w:ascii="宋体" w:hAnsi="宋体" w:cs="宋体"/>
          <w:kern w:val="0"/>
          <w:sz w:val="24"/>
          <w:szCs w:val="24"/>
        </w:rPr>
      </w:pPr>
      <w:r>
        <w:rPr>
          <w:rFonts w:ascii="宋体" w:hAnsi="宋体" w:cs="宋体"/>
          <w:kern w:val="0"/>
          <w:sz w:val="24"/>
          <w:szCs w:val="24"/>
        </w:rPr>
        <w:t>4.6.5</w:t>
      </w:r>
      <w:r>
        <w:rPr>
          <w:rFonts w:hint="eastAsia" w:ascii="宋体" w:hAnsi="宋体" w:cs="宋体"/>
          <w:kern w:val="0"/>
          <w:sz w:val="24"/>
          <w:szCs w:val="24"/>
        </w:rPr>
        <w:t>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次增加的费用和（或）工期延误由承包人承担。</w:t>
      </w:r>
    </w:p>
    <w:p w14:paraId="2C7BC8B3">
      <w:pPr>
        <w:keepNext/>
        <w:keepLines/>
        <w:spacing w:line="440" w:lineRule="exact"/>
        <w:ind w:firstLine="482" w:firstLineChars="200"/>
        <w:rPr>
          <w:rFonts w:hint="eastAsia" w:ascii="宋体" w:hAnsi="宋体" w:cs="宋体"/>
          <w:b/>
          <w:bCs/>
          <w:kern w:val="44"/>
          <w:sz w:val="24"/>
          <w:szCs w:val="24"/>
        </w:rPr>
      </w:pPr>
      <w:bookmarkStart w:id="881" w:name="_Toc488083542"/>
      <w:bookmarkStart w:id="882" w:name="_Toc513132307"/>
      <w:bookmarkStart w:id="883" w:name="_Toc234382857"/>
      <w:bookmarkStart w:id="884" w:name="_Toc513212827"/>
      <w:bookmarkStart w:id="885" w:name="_Toc192710477"/>
      <w:bookmarkStart w:id="886" w:name="_Toc3475546"/>
      <w:bookmarkStart w:id="887" w:name="_Toc479237733"/>
      <w:bookmarkStart w:id="888" w:name="_Toc480282308"/>
      <w:bookmarkStart w:id="889" w:name="_Toc512689674"/>
      <w:bookmarkStart w:id="890" w:name="_Toc479265562"/>
      <w:r>
        <w:rPr>
          <w:rFonts w:hint="eastAsia" w:ascii="宋体" w:hAnsi="宋体" w:cs="宋体"/>
          <w:b/>
          <w:bCs/>
          <w:kern w:val="44"/>
          <w:sz w:val="24"/>
          <w:szCs w:val="24"/>
        </w:rPr>
        <w:t>4.7撤换承包人项目负责人和其他人员</w:t>
      </w:r>
      <w:bookmarkEnd w:id="881"/>
      <w:bookmarkEnd w:id="882"/>
      <w:bookmarkEnd w:id="883"/>
      <w:bookmarkEnd w:id="884"/>
      <w:bookmarkEnd w:id="885"/>
      <w:bookmarkEnd w:id="886"/>
      <w:bookmarkEnd w:id="887"/>
      <w:bookmarkEnd w:id="888"/>
      <w:bookmarkEnd w:id="889"/>
      <w:bookmarkEnd w:id="890"/>
    </w:p>
    <w:p w14:paraId="777B39D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5B3CBEA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对其项目负责人和其他人员进行有效管理。监理人要求撤换不能胜任本职工作、行为不端或玩忽职守的承包人项目负责人和其他人员的，承包人应予以撤换，同时委派经发包人与监理人同意的新的项目负责人和其他人员。</w:t>
      </w:r>
    </w:p>
    <w:p w14:paraId="42155DA0">
      <w:pPr>
        <w:keepNext/>
        <w:keepLines/>
        <w:spacing w:line="440" w:lineRule="exact"/>
        <w:ind w:firstLine="482" w:firstLineChars="200"/>
        <w:rPr>
          <w:rFonts w:hint="eastAsia" w:ascii="宋体" w:hAnsi="宋体" w:cs="宋体"/>
          <w:b/>
          <w:bCs/>
          <w:kern w:val="44"/>
          <w:sz w:val="24"/>
          <w:szCs w:val="24"/>
        </w:rPr>
      </w:pPr>
      <w:bookmarkStart w:id="891" w:name="_Toc192710478"/>
      <w:bookmarkStart w:id="892" w:name="_Toc512689675"/>
      <w:bookmarkStart w:id="893" w:name="_Toc513212828"/>
      <w:bookmarkStart w:id="894" w:name="_Toc479237734"/>
      <w:bookmarkStart w:id="895" w:name="_Toc488083543"/>
      <w:bookmarkStart w:id="896" w:name="_Toc479265563"/>
      <w:bookmarkStart w:id="897" w:name="_Toc513132308"/>
      <w:bookmarkStart w:id="898" w:name="_Toc234382858"/>
      <w:bookmarkStart w:id="899" w:name="_Toc480282309"/>
      <w:bookmarkStart w:id="900" w:name="_Toc3475547"/>
      <w:r>
        <w:rPr>
          <w:rFonts w:hint="eastAsia" w:ascii="宋体" w:hAnsi="宋体" w:cs="宋体"/>
          <w:b/>
          <w:bCs/>
          <w:kern w:val="44"/>
          <w:sz w:val="24"/>
          <w:szCs w:val="24"/>
        </w:rPr>
        <w:t>4.9工程价款应专款专用</w:t>
      </w:r>
      <w:bookmarkEnd w:id="891"/>
      <w:bookmarkEnd w:id="892"/>
      <w:bookmarkEnd w:id="893"/>
      <w:bookmarkEnd w:id="894"/>
      <w:bookmarkEnd w:id="895"/>
      <w:bookmarkEnd w:id="896"/>
      <w:bookmarkEnd w:id="897"/>
      <w:bookmarkEnd w:id="898"/>
      <w:bookmarkEnd w:id="899"/>
      <w:bookmarkEnd w:id="900"/>
    </w:p>
    <w:p w14:paraId="25A7D55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7DD7CFA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0EE1D74C">
      <w:pPr>
        <w:keepNext/>
        <w:keepLines/>
        <w:spacing w:line="440" w:lineRule="exact"/>
        <w:ind w:firstLine="482" w:firstLineChars="200"/>
        <w:rPr>
          <w:rFonts w:hint="eastAsia" w:ascii="宋体" w:hAnsi="宋体" w:cs="宋体"/>
          <w:b/>
          <w:bCs/>
          <w:kern w:val="44"/>
          <w:sz w:val="24"/>
          <w:szCs w:val="24"/>
        </w:rPr>
      </w:pPr>
      <w:bookmarkStart w:id="901" w:name="_Toc234382859"/>
      <w:bookmarkStart w:id="902" w:name="_Toc479237735"/>
      <w:bookmarkStart w:id="903" w:name="_Toc488083544"/>
      <w:bookmarkStart w:id="904" w:name="_Toc513212829"/>
      <w:bookmarkStart w:id="905" w:name="_Toc480282310"/>
      <w:bookmarkStart w:id="906" w:name="_Toc479265564"/>
      <w:bookmarkStart w:id="907" w:name="_Toc513132309"/>
      <w:bookmarkStart w:id="908" w:name="_Toc192710479"/>
      <w:bookmarkStart w:id="909" w:name="_Toc3475548"/>
      <w:bookmarkStart w:id="910" w:name="_Toc512689676"/>
      <w:r>
        <w:rPr>
          <w:rFonts w:hint="eastAsia" w:ascii="宋体" w:hAnsi="宋体" w:cs="宋体"/>
          <w:b/>
          <w:bCs/>
          <w:kern w:val="44"/>
          <w:sz w:val="24"/>
          <w:szCs w:val="24"/>
        </w:rPr>
        <w:t>4.10承包人现场查勘</w:t>
      </w:r>
      <w:bookmarkEnd w:id="901"/>
      <w:bookmarkEnd w:id="902"/>
      <w:bookmarkEnd w:id="903"/>
      <w:bookmarkEnd w:id="904"/>
      <w:bookmarkEnd w:id="905"/>
      <w:bookmarkEnd w:id="906"/>
      <w:bookmarkEnd w:id="907"/>
      <w:bookmarkEnd w:id="908"/>
      <w:bookmarkEnd w:id="909"/>
      <w:bookmarkEnd w:id="910"/>
    </w:p>
    <w:p w14:paraId="70A95D1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4.10.1</w:t>
      </w:r>
      <w:r>
        <w:rPr>
          <w:rFonts w:hint="eastAsia" w:ascii="宋体" w:hAnsi="宋体" w:cs="宋体"/>
          <w:kern w:val="0"/>
          <w:sz w:val="24"/>
          <w:szCs w:val="24"/>
        </w:rPr>
        <w:t>项细化为：</w:t>
      </w:r>
    </w:p>
    <w:p w14:paraId="6EFBD20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发包人提供的本合同工程的水文、地质、气象和料场分布、取土场、弃土场位置等资料均属于参考资料，并不构成合同文件的组成部分，承包人应对自己就上述资料的解释、推论和应用负责，发包人不对承包人据此做出的判断和决策承担任何责任。</w:t>
      </w:r>
    </w:p>
    <w:p w14:paraId="71E110A5">
      <w:pPr>
        <w:keepNext/>
        <w:keepLines/>
        <w:spacing w:line="440" w:lineRule="exact"/>
        <w:ind w:firstLine="482" w:firstLineChars="200"/>
        <w:rPr>
          <w:rFonts w:hint="eastAsia" w:ascii="宋体" w:hAnsi="宋体" w:cs="宋体"/>
          <w:b/>
          <w:bCs/>
          <w:kern w:val="44"/>
          <w:sz w:val="24"/>
          <w:szCs w:val="24"/>
        </w:rPr>
      </w:pPr>
      <w:bookmarkStart w:id="911" w:name="_Toc479265565"/>
      <w:bookmarkStart w:id="912" w:name="_Toc3475549"/>
      <w:bookmarkStart w:id="913" w:name="_Toc513132310"/>
      <w:bookmarkStart w:id="914" w:name="_Toc512689677"/>
      <w:bookmarkStart w:id="915" w:name="_Toc480282311"/>
      <w:bookmarkStart w:id="916" w:name="_Toc234382860"/>
      <w:bookmarkStart w:id="917" w:name="_Toc488083545"/>
      <w:bookmarkStart w:id="918" w:name="_Toc479237736"/>
      <w:bookmarkStart w:id="919" w:name="_Toc192710480"/>
      <w:bookmarkStart w:id="920" w:name="_Toc513212830"/>
      <w:r>
        <w:rPr>
          <w:rFonts w:hint="eastAsia" w:ascii="宋体" w:hAnsi="宋体" w:cs="宋体"/>
          <w:b/>
          <w:bCs/>
          <w:kern w:val="44"/>
          <w:sz w:val="24"/>
          <w:szCs w:val="24"/>
        </w:rPr>
        <w:t>4.11不利物质条件</w:t>
      </w:r>
      <w:bookmarkEnd w:id="911"/>
      <w:bookmarkEnd w:id="912"/>
      <w:bookmarkEnd w:id="913"/>
      <w:bookmarkEnd w:id="914"/>
      <w:bookmarkEnd w:id="915"/>
      <w:bookmarkEnd w:id="916"/>
      <w:bookmarkEnd w:id="917"/>
      <w:bookmarkEnd w:id="918"/>
      <w:bookmarkEnd w:id="919"/>
      <w:bookmarkEnd w:id="920"/>
    </w:p>
    <w:p w14:paraId="1D16BAE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4.11.2</w:t>
      </w:r>
      <w:r>
        <w:rPr>
          <w:rFonts w:hint="eastAsia" w:ascii="宋体" w:hAnsi="宋体" w:cs="宋体"/>
          <w:kern w:val="0"/>
          <w:sz w:val="24"/>
          <w:szCs w:val="24"/>
        </w:rPr>
        <w:t>项细化为：</w:t>
      </w:r>
    </w:p>
    <w:p w14:paraId="5288F421">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4.11.2 </w:t>
      </w:r>
      <w:r>
        <w:rPr>
          <w:rFonts w:hint="eastAsia" w:ascii="宋体" w:hAnsi="宋体" w:cs="宋体"/>
          <w:kern w:val="0"/>
          <w:sz w:val="24"/>
          <w:szCs w:val="24"/>
        </w:rPr>
        <w:t>承包人遇到不可预见的不利物质条件时，应采取适应不利物质条件的合理措施继续施工，并及时通知监理人。监理人应当及时发出指示，指示构成变更的，按第</w:t>
      </w:r>
      <w:r>
        <w:rPr>
          <w:rFonts w:ascii="宋体" w:hAnsi="宋体" w:cs="宋体"/>
          <w:kern w:val="0"/>
          <w:sz w:val="24"/>
          <w:szCs w:val="24"/>
        </w:rPr>
        <w:t>15</w:t>
      </w:r>
      <w:r>
        <w:rPr>
          <w:rFonts w:hint="eastAsia" w:ascii="宋体" w:hAnsi="宋体" w:cs="宋体"/>
          <w:kern w:val="0"/>
          <w:sz w:val="24"/>
          <w:szCs w:val="24"/>
        </w:rPr>
        <w:t>条约定办理。监理人没有发出指示的，承包人因采取合理措施而增加的费用和（或）工期延误，由发包人承担。</w:t>
      </w:r>
    </w:p>
    <w:p w14:paraId="4129921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4.11.3</w:t>
      </w:r>
      <w:r>
        <w:rPr>
          <w:rFonts w:hint="eastAsia" w:ascii="宋体" w:hAnsi="宋体" w:cs="宋体"/>
          <w:kern w:val="0"/>
          <w:sz w:val="24"/>
          <w:szCs w:val="24"/>
        </w:rPr>
        <w:t>项：</w:t>
      </w:r>
    </w:p>
    <w:p w14:paraId="00A2E8D2">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4.11.3 </w:t>
      </w:r>
      <w:r>
        <w:rPr>
          <w:rFonts w:hint="eastAsia" w:ascii="宋体" w:hAnsi="宋体" w:cs="宋体"/>
          <w:kern w:val="0"/>
          <w:sz w:val="24"/>
          <w:szCs w:val="24"/>
        </w:rPr>
        <w:t>可预见的不利物质条件</w:t>
      </w:r>
    </w:p>
    <w:p w14:paraId="11E14C8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）对于项目专用合同条款中已经明确指出的不利物质条件无论承包人是否有其经历和经验均视为承包人在接受合同时已预见其影响，并已在签约合同价中计入因其影响而可能发生的一切费用。</w:t>
      </w:r>
    </w:p>
    <w:p w14:paraId="211E7DD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）对于项目专用合同条款未明确指出，但是在不利物质条件发生之前，监理人已经指示承包人有可能发生，但承包人未能及时采取有效措施，而导致的损失和后果均由承包人承担。</w:t>
      </w:r>
    </w:p>
    <w:p w14:paraId="0EBD849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补充第</w:t>
      </w:r>
      <w:r>
        <w:rPr>
          <w:rFonts w:ascii="宋体" w:hAnsi="宋体" w:cs="宋体"/>
          <w:kern w:val="0"/>
          <w:sz w:val="24"/>
          <w:szCs w:val="24"/>
        </w:rPr>
        <w:t>4.12</w:t>
      </w:r>
      <w:r>
        <w:rPr>
          <w:rFonts w:hint="eastAsia" w:ascii="宋体" w:hAnsi="宋体" w:cs="宋体"/>
          <w:kern w:val="0"/>
          <w:sz w:val="24"/>
          <w:szCs w:val="24"/>
        </w:rPr>
        <w:t>款、4.13款：</w:t>
      </w:r>
    </w:p>
    <w:p w14:paraId="5F7ED6CD">
      <w:pPr>
        <w:keepNext/>
        <w:keepLines/>
        <w:spacing w:line="440" w:lineRule="exact"/>
        <w:ind w:firstLine="482" w:firstLineChars="200"/>
        <w:rPr>
          <w:rFonts w:hint="eastAsia" w:ascii="宋体" w:hAnsi="宋体" w:cs="宋体"/>
          <w:b/>
          <w:bCs/>
          <w:kern w:val="44"/>
          <w:sz w:val="24"/>
          <w:szCs w:val="24"/>
        </w:rPr>
      </w:pPr>
      <w:bookmarkStart w:id="921" w:name="_Toc3475550"/>
      <w:bookmarkStart w:id="922" w:name="_Toc512689678"/>
      <w:bookmarkStart w:id="923" w:name="_Toc192710481"/>
      <w:bookmarkStart w:id="924" w:name="_Toc479265566"/>
      <w:bookmarkStart w:id="925" w:name="_Toc234382861"/>
      <w:bookmarkStart w:id="926" w:name="_Toc488083546"/>
      <w:bookmarkStart w:id="927" w:name="_Toc480282312"/>
      <w:bookmarkStart w:id="928" w:name="_Toc513212831"/>
      <w:bookmarkStart w:id="929" w:name="_Toc513132311"/>
      <w:bookmarkStart w:id="930" w:name="_Toc479237737"/>
      <w:r>
        <w:rPr>
          <w:rFonts w:hint="eastAsia" w:ascii="宋体" w:hAnsi="宋体" w:cs="宋体"/>
          <w:b/>
          <w:bCs/>
          <w:kern w:val="44"/>
          <w:sz w:val="24"/>
          <w:szCs w:val="24"/>
        </w:rPr>
        <w:t>4.12电子投标文件的完备性</w:t>
      </w:r>
      <w:bookmarkEnd w:id="921"/>
      <w:bookmarkEnd w:id="922"/>
      <w:bookmarkEnd w:id="923"/>
      <w:bookmarkEnd w:id="924"/>
      <w:bookmarkEnd w:id="925"/>
      <w:bookmarkEnd w:id="926"/>
      <w:bookmarkEnd w:id="927"/>
      <w:bookmarkEnd w:id="928"/>
      <w:bookmarkEnd w:id="929"/>
      <w:bookmarkEnd w:id="930"/>
    </w:p>
    <w:p w14:paraId="26D49A0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合同双方一致认为，承包人在递交电子投标文件前，对本合同工程的电子投标文件和已标价工程量清单中开列的单价和总额价已查明正确的和完备的。投标的单价和总额价应已包括了合同中规定的承包人的全部义务（包括提供货物、材料、设备、服务的义务，并包括了暂列金额和暂估价范围内的额外工作的义务）以及为实施和完成本合同工程和其缺陷修复所必需的一切工作和条件。</w:t>
      </w:r>
    </w:p>
    <w:p w14:paraId="4A234F33">
      <w:pPr>
        <w:keepNext/>
        <w:keepLines/>
        <w:spacing w:line="440" w:lineRule="exact"/>
        <w:ind w:firstLine="482" w:firstLineChars="200"/>
        <w:rPr>
          <w:rFonts w:hint="eastAsia" w:ascii="宋体" w:hAnsi="宋体" w:cs="宋体"/>
          <w:b/>
          <w:bCs/>
          <w:kern w:val="44"/>
          <w:sz w:val="24"/>
          <w:szCs w:val="24"/>
        </w:rPr>
      </w:pPr>
      <w:bookmarkStart w:id="931" w:name="_Toc512689679"/>
      <w:bookmarkStart w:id="932" w:name="_Toc192710482"/>
      <w:bookmarkStart w:id="933" w:name="_Toc513132312"/>
      <w:bookmarkStart w:id="934" w:name="_Toc513212832"/>
      <w:bookmarkStart w:id="935" w:name="_Toc3475551"/>
      <w:r>
        <w:rPr>
          <w:rFonts w:hint="eastAsia" w:ascii="宋体" w:hAnsi="宋体" w:cs="宋体"/>
          <w:b/>
          <w:bCs/>
          <w:kern w:val="44"/>
          <w:sz w:val="24"/>
          <w:szCs w:val="24"/>
        </w:rPr>
        <w:t>4.13开展党建工作要求</w:t>
      </w:r>
      <w:bookmarkEnd w:id="931"/>
      <w:bookmarkEnd w:id="932"/>
      <w:bookmarkEnd w:id="933"/>
      <w:bookmarkEnd w:id="934"/>
      <w:bookmarkEnd w:id="935"/>
    </w:p>
    <w:p w14:paraId="398DA2A9">
      <w:pPr>
        <w:spacing w:line="440" w:lineRule="exact"/>
        <w:ind w:firstLine="480" w:firstLineChars="200"/>
        <w:rPr>
          <w:rFonts w:ascii="宋体" w:hAnsi="宋体" w:cs="宋体"/>
          <w:kern w:val="0"/>
          <w:sz w:val="24"/>
          <w:szCs w:val="24"/>
        </w:rPr>
      </w:pPr>
      <w:r>
        <w:rPr>
          <w:rFonts w:ascii="宋体" w:hAnsi="宋体" w:cs="宋体"/>
          <w:kern w:val="0"/>
          <w:sz w:val="24"/>
          <w:szCs w:val="24"/>
        </w:rPr>
        <w:t>对于政府技资的国家高速公路项目，或承包人为国有控股或参股企业的，承包人应按规定在项目现场设立基层党组织。承包人为非国有控股或参股企业的</w:t>
      </w:r>
      <w:r>
        <w:rPr>
          <w:rFonts w:hint="eastAsia" w:ascii="宋体" w:hAnsi="宋体" w:cs="宋体"/>
          <w:kern w:val="0"/>
          <w:sz w:val="24"/>
          <w:szCs w:val="24"/>
        </w:rPr>
        <w:t>，</w:t>
      </w:r>
      <w:r>
        <w:rPr>
          <w:rFonts w:ascii="宋体" w:hAnsi="宋体" w:cs="宋体"/>
          <w:kern w:val="0"/>
          <w:sz w:val="24"/>
          <w:szCs w:val="24"/>
        </w:rPr>
        <w:t>应创造条件使党员能够参加党组织生活并接受相应管理。</w:t>
      </w:r>
    </w:p>
    <w:p w14:paraId="65C87803">
      <w:pPr>
        <w:spacing w:line="440" w:lineRule="exact"/>
        <w:ind w:firstLine="480" w:firstLineChars="200"/>
        <w:rPr>
          <w:rFonts w:ascii="宋体" w:hAnsi="宋体" w:cs="宋体"/>
          <w:kern w:val="0"/>
          <w:sz w:val="24"/>
          <w:szCs w:val="24"/>
        </w:rPr>
      </w:pPr>
      <w:r>
        <w:rPr>
          <w:rFonts w:ascii="宋体" w:hAnsi="宋体" w:cs="宋体"/>
          <w:kern w:val="0"/>
          <w:sz w:val="24"/>
          <w:szCs w:val="24"/>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401F51F7">
      <w:pPr>
        <w:keepNext/>
        <w:keepLines/>
        <w:spacing w:line="440" w:lineRule="exact"/>
        <w:ind w:firstLine="482" w:firstLineChars="200"/>
        <w:rPr>
          <w:rFonts w:hint="eastAsia" w:ascii="宋体" w:hAnsi="宋体" w:cs="宋体"/>
          <w:b/>
          <w:bCs/>
          <w:kern w:val="44"/>
          <w:sz w:val="24"/>
          <w:szCs w:val="24"/>
        </w:rPr>
      </w:pPr>
      <w:bookmarkStart w:id="936" w:name="_Toc479237738"/>
      <w:bookmarkStart w:id="937" w:name="_Toc513132313"/>
      <w:bookmarkStart w:id="938" w:name="_Toc479265567"/>
      <w:bookmarkStart w:id="939" w:name="_Toc480282313"/>
      <w:bookmarkStart w:id="940" w:name="_Toc234382862"/>
      <w:bookmarkStart w:id="941" w:name="_Toc488083547"/>
      <w:bookmarkStart w:id="942" w:name="_Toc512689680"/>
      <w:bookmarkStart w:id="943" w:name="_Toc3475552"/>
      <w:bookmarkStart w:id="944" w:name="_Toc513212833"/>
      <w:bookmarkStart w:id="945" w:name="_Toc192710483"/>
      <w:r>
        <w:rPr>
          <w:rFonts w:hint="eastAsia" w:ascii="宋体" w:hAnsi="宋体" w:cs="宋体"/>
          <w:b/>
          <w:bCs/>
          <w:kern w:val="44"/>
          <w:sz w:val="24"/>
          <w:szCs w:val="24"/>
        </w:rPr>
        <w:t>5．材料和工程设备</w:t>
      </w:r>
      <w:bookmarkEnd w:id="936"/>
      <w:bookmarkEnd w:id="937"/>
      <w:bookmarkEnd w:id="938"/>
      <w:bookmarkEnd w:id="939"/>
      <w:bookmarkEnd w:id="940"/>
      <w:bookmarkEnd w:id="941"/>
      <w:bookmarkEnd w:id="942"/>
      <w:bookmarkEnd w:id="943"/>
      <w:bookmarkEnd w:id="944"/>
      <w:bookmarkEnd w:id="945"/>
    </w:p>
    <w:p w14:paraId="4B437C49">
      <w:pPr>
        <w:keepNext/>
        <w:keepLines/>
        <w:spacing w:line="440" w:lineRule="exact"/>
        <w:ind w:firstLine="482" w:firstLineChars="200"/>
        <w:rPr>
          <w:rFonts w:hint="eastAsia" w:ascii="宋体" w:hAnsi="宋体" w:cs="宋体"/>
          <w:b/>
          <w:bCs/>
          <w:kern w:val="44"/>
          <w:sz w:val="24"/>
          <w:szCs w:val="24"/>
        </w:rPr>
      </w:pPr>
      <w:bookmarkStart w:id="946" w:name="_Toc488083548"/>
      <w:bookmarkStart w:id="947" w:name="_Toc234382863"/>
      <w:bookmarkStart w:id="948" w:name="_Toc479237739"/>
      <w:bookmarkStart w:id="949" w:name="_Toc513212834"/>
      <w:bookmarkStart w:id="950" w:name="_Toc192710484"/>
      <w:bookmarkStart w:id="951" w:name="_Toc479265568"/>
      <w:bookmarkStart w:id="952" w:name="_Toc513132314"/>
      <w:bookmarkStart w:id="953" w:name="_Toc3475553"/>
      <w:bookmarkStart w:id="954" w:name="_Toc512689681"/>
      <w:bookmarkStart w:id="955" w:name="_Toc480282314"/>
      <w:r>
        <w:rPr>
          <w:rFonts w:hint="eastAsia" w:ascii="宋体" w:hAnsi="宋体" w:cs="宋体"/>
          <w:b/>
          <w:bCs/>
          <w:kern w:val="44"/>
          <w:sz w:val="24"/>
          <w:szCs w:val="24"/>
        </w:rPr>
        <w:t>5.2发包人提供的材料和工程设备</w:t>
      </w:r>
      <w:bookmarkEnd w:id="946"/>
      <w:bookmarkEnd w:id="947"/>
      <w:bookmarkEnd w:id="948"/>
      <w:bookmarkEnd w:id="949"/>
      <w:bookmarkEnd w:id="950"/>
      <w:bookmarkEnd w:id="951"/>
      <w:bookmarkEnd w:id="952"/>
      <w:bookmarkEnd w:id="953"/>
      <w:bookmarkEnd w:id="954"/>
      <w:bookmarkEnd w:id="955"/>
    </w:p>
    <w:p w14:paraId="1FCF24E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5.2.3</w:t>
      </w:r>
      <w:r>
        <w:rPr>
          <w:rFonts w:hint="eastAsia" w:ascii="宋体" w:hAnsi="宋体" w:cs="宋体"/>
          <w:kern w:val="0"/>
          <w:sz w:val="24"/>
          <w:szCs w:val="24"/>
        </w:rPr>
        <w:t>项补充：</w:t>
      </w:r>
    </w:p>
    <w:p w14:paraId="1B8DAB0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44836339">
      <w:pPr>
        <w:keepNext/>
        <w:keepLines/>
        <w:spacing w:line="440" w:lineRule="exact"/>
        <w:ind w:firstLine="482" w:firstLineChars="200"/>
        <w:rPr>
          <w:rFonts w:hint="eastAsia" w:ascii="宋体" w:hAnsi="宋体" w:cs="宋体"/>
          <w:b/>
          <w:bCs/>
          <w:kern w:val="44"/>
          <w:sz w:val="24"/>
          <w:szCs w:val="24"/>
        </w:rPr>
      </w:pPr>
      <w:bookmarkStart w:id="956" w:name="_Toc3475554"/>
      <w:bookmarkStart w:id="957" w:name="_Toc480282315"/>
      <w:bookmarkStart w:id="958" w:name="_Toc479265569"/>
      <w:bookmarkStart w:id="959" w:name="_Toc234382864"/>
      <w:bookmarkStart w:id="960" w:name="_Toc479237740"/>
      <w:bookmarkStart w:id="961" w:name="_Toc512689682"/>
      <w:bookmarkStart w:id="962" w:name="_Toc513212835"/>
      <w:bookmarkStart w:id="963" w:name="_Toc192710485"/>
      <w:bookmarkStart w:id="964" w:name="_Toc513132315"/>
      <w:bookmarkStart w:id="965" w:name="_Toc488083549"/>
      <w:r>
        <w:rPr>
          <w:rFonts w:hint="eastAsia" w:ascii="宋体" w:hAnsi="宋体" w:cs="宋体"/>
          <w:b/>
          <w:bCs/>
          <w:kern w:val="44"/>
          <w:sz w:val="24"/>
          <w:szCs w:val="24"/>
        </w:rPr>
        <w:t>6．施工设备和临时设施</w:t>
      </w:r>
      <w:bookmarkEnd w:id="956"/>
      <w:bookmarkEnd w:id="957"/>
      <w:bookmarkEnd w:id="958"/>
      <w:bookmarkEnd w:id="959"/>
      <w:bookmarkEnd w:id="960"/>
      <w:bookmarkEnd w:id="961"/>
      <w:bookmarkEnd w:id="962"/>
      <w:bookmarkEnd w:id="963"/>
      <w:bookmarkEnd w:id="964"/>
      <w:bookmarkEnd w:id="965"/>
    </w:p>
    <w:p w14:paraId="5835D914">
      <w:pPr>
        <w:keepNext/>
        <w:keepLines/>
        <w:spacing w:line="440" w:lineRule="exact"/>
        <w:ind w:firstLine="482" w:firstLineChars="200"/>
        <w:rPr>
          <w:rFonts w:hint="eastAsia" w:ascii="宋体" w:hAnsi="宋体" w:cs="宋体"/>
          <w:b/>
          <w:bCs/>
          <w:kern w:val="44"/>
          <w:sz w:val="24"/>
          <w:szCs w:val="24"/>
        </w:rPr>
      </w:pPr>
      <w:bookmarkStart w:id="966" w:name="_Toc480282316"/>
      <w:bookmarkStart w:id="967" w:name="_Toc479265570"/>
      <w:bookmarkStart w:id="968" w:name="_Toc234382865"/>
      <w:bookmarkStart w:id="969" w:name="_Toc513132316"/>
      <w:bookmarkStart w:id="970" w:name="_Toc513212836"/>
      <w:bookmarkStart w:id="971" w:name="_Toc488083550"/>
      <w:bookmarkStart w:id="972" w:name="_Toc192710486"/>
      <w:bookmarkStart w:id="973" w:name="_Toc3475555"/>
      <w:bookmarkStart w:id="974" w:name="_Toc512689683"/>
      <w:bookmarkStart w:id="975" w:name="_Toc479237741"/>
      <w:r>
        <w:rPr>
          <w:rFonts w:hint="eastAsia" w:ascii="宋体" w:hAnsi="宋体" w:cs="宋体"/>
          <w:b/>
          <w:bCs/>
          <w:kern w:val="44"/>
          <w:sz w:val="24"/>
          <w:szCs w:val="24"/>
        </w:rPr>
        <w:t>6.2承包人提供的施工设备和临时设施</w:t>
      </w:r>
      <w:bookmarkEnd w:id="966"/>
      <w:bookmarkEnd w:id="967"/>
      <w:bookmarkEnd w:id="968"/>
      <w:bookmarkEnd w:id="969"/>
      <w:bookmarkEnd w:id="970"/>
      <w:bookmarkEnd w:id="971"/>
      <w:bookmarkEnd w:id="972"/>
      <w:bookmarkEnd w:id="973"/>
      <w:bookmarkEnd w:id="974"/>
      <w:bookmarkEnd w:id="975"/>
    </w:p>
    <w:p w14:paraId="73B2039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6.1.2</w:t>
      </w:r>
      <w:r>
        <w:rPr>
          <w:rFonts w:hint="eastAsia" w:ascii="宋体" w:hAnsi="宋体" w:cs="宋体"/>
          <w:kern w:val="0"/>
          <w:sz w:val="24"/>
          <w:szCs w:val="24"/>
        </w:rPr>
        <w:t>项约定为：</w:t>
      </w:r>
    </w:p>
    <w:p w14:paraId="2D7EC59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承包人应自行承担修建临时设施的费用，需要临时占地的，应由承包人按第</w:t>
      </w:r>
      <w:r>
        <w:rPr>
          <w:rFonts w:ascii="宋体" w:hAnsi="宋体" w:cs="宋体"/>
          <w:kern w:val="0"/>
          <w:sz w:val="24"/>
          <w:szCs w:val="24"/>
        </w:rPr>
        <w:t>4.1.10</w:t>
      </w:r>
      <w:r>
        <w:rPr>
          <w:rFonts w:hint="eastAsia" w:ascii="宋体" w:hAnsi="宋体" w:cs="宋体"/>
          <w:kern w:val="0"/>
          <w:sz w:val="24"/>
          <w:szCs w:val="24"/>
        </w:rPr>
        <w:t>项（</w:t>
      </w:r>
      <w:r>
        <w:rPr>
          <w:rFonts w:ascii="宋体" w:hAnsi="宋体" w:cs="宋体"/>
          <w:kern w:val="0"/>
          <w:sz w:val="24"/>
          <w:szCs w:val="24"/>
        </w:rPr>
        <w:t>1</w:t>
      </w:r>
      <w:r>
        <w:rPr>
          <w:rFonts w:hint="eastAsia" w:ascii="宋体" w:hAnsi="宋体" w:cs="宋体"/>
          <w:kern w:val="0"/>
          <w:sz w:val="24"/>
          <w:szCs w:val="24"/>
        </w:rPr>
        <w:t>）目的规定办理。</w:t>
      </w:r>
    </w:p>
    <w:p w14:paraId="14AACC34">
      <w:pPr>
        <w:keepNext/>
        <w:keepLines/>
        <w:spacing w:line="440" w:lineRule="exact"/>
        <w:ind w:firstLine="482" w:firstLineChars="200"/>
        <w:rPr>
          <w:rFonts w:hint="eastAsia" w:ascii="宋体" w:hAnsi="宋体" w:cs="宋体"/>
          <w:b/>
          <w:bCs/>
          <w:kern w:val="44"/>
          <w:sz w:val="24"/>
          <w:szCs w:val="24"/>
        </w:rPr>
      </w:pPr>
      <w:bookmarkStart w:id="976" w:name="_Toc488083551"/>
      <w:bookmarkStart w:id="977" w:name="_Toc513132317"/>
      <w:bookmarkStart w:id="978" w:name="_Toc234382866"/>
      <w:bookmarkStart w:id="979" w:name="_Toc479265571"/>
      <w:bookmarkStart w:id="980" w:name="_Toc480282317"/>
      <w:bookmarkStart w:id="981" w:name="_Toc192710487"/>
      <w:bookmarkStart w:id="982" w:name="_Toc513212837"/>
      <w:bookmarkStart w:id="983" w:name="_Toc3475556"/>
      <w:bookmarkStart w:id="984" w:name="_Toc512689684"/>
      <w:bookmarkStart w:id="985" w:name="_Toc479237742"/>
      <w:r>
        <w:rPr>
          <w:rFonts w:hint="eastAsia" w:ascii="宋体" w:hAnsi="宋体" w:cs="宋体"/>
          <w:b/>
          <w:bCs/>
          <w:kern w:val="44"/>
          <w:sz w:val="24"/>
          <w:szCs w:val="24"/>
        </w:rPr>
        <w:t>6.3要求承包人增加或更换施工设备</w:t>
      </w:r>
      <w:bookmarkEnd w:id="976"/>
      <w:bookmarkEnd w:id="977"/>
      <w:bookmarkEnd w:id="978"/>
      <w:bookmarkEnd w:id="979"/>
      <w:bookmarkEnd w:id="980"/>
      <w:bookmarkEnd w:id="981"/>
      <w:bookmarkEnd w:id="982"/>
      <w:bookmarkEnd w:id="983"/>
      <w:bookmarkEnd w:id="984"/>
      <w:bookmarkEnd w:id="985"/>
    </w:p>
    <w:p w14:paraId="055CFA3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60611400">
      <w:pPr>
        <w:spacing w:line="440" w:lineRule="exact"/>
        <w:ind w:firstLine="480" w:firstLineChars="200"/>
        <w:rPr>
          <w:rFonts w:ascii="宋体"/>
          <w:kern w:val="0"/>
          <w:sz w:val="24"/>
          <w:szCs w:val="24"/>
        </w:rPr>
      </w:pPr>
      <w:r>
        <w:rPr>
          <w:rFonts w:hint="eastAsia" w:ascii="宋体" w:hAnsi="宋体" w:cs="宋体"/>
          <w:kern w:val="0"/>
          <w:sz w:val="24"/>
          <w:szCs w:val="24"/>
        </w:rPr>
        <w:t>承包人承诺的施工设备必须按时达到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4A1B49DF">
      <w:pPr>
        <w:keepNext/>
        <w:keepLines/>
        <w:spacing w:line="440" w:lineRule="exact"/>
        <w:ind w:firstLine="482" w:firstLineChars="200"/>
        <w:rPr>
          <w:rFonts w:hint="eastAsia" w:ascii="宋体" w:hAnsi="宋体" w:cs="宋体"/>
          <w:b/>
          <w:bCs/>
          <w:kern w:val="44"/>
          <w:sz w:val="24"/>
          <w:szCs w:val="24"/>
        </w:rPr>
      </w:pPr>
      <w:bookmarkStart w:id="986" w:name="_Toc488083552"/>
      <w:bookmarkStart w:id="987" w:name="_Toc479265572"/>
      <w:bookmarkStart w:id="988" w:name="_Toc3475557"/>
      <w:bookmarkStart w:id="989" w:name="_Toc512689685"/>
      <w:bookmarkStart w:id="990" w:name="_Toc513132318"/>
      <w:bookmarkStart w:id="991" w:name="_Toc479237743"/>
      <w:bookmarkStart w:id="992" w:name="_Toc513212838"/>
      <w:bookmarkStart w:id="993" w:name="_Toc480282318"/>
      <w:bookmarkStart w:id="994" w:name="_Toc234382867"/>
      <w:bookmarkStart w:id="995" w:name="_Toc192710488"/>
      <w:r>
        <w:rPr>
          <w:rFonts w:hint="eastAsia" w:ascii="宋体" w:hAnsi="宋体" w:cs="宋体"/>
          <w:b/>
          <w:bCs/>
          <w:kern w:val="44"/>
          <w:sz w:val="24"/>
          <w:szCs w:val="24"/>
        </w:rPr>
        <w:t>7．交通运输</w:t>
      </w:r>
      <w:bookmarkEnd w:id="986"/>
      <w:bookmarkEnd w:id="987"/>
      <w:bookmarkEnd w:id="988"/>
      <w:bookmarkEnd w:id="989"/>
      <w:bookmarkEnd w:id="990"/>
      <w:bookmarkEnd w:id="991"/>
      <w:bookmarkEnd w:id="992"/>
      <w:bookmarkEnd w:id="993"/>
      <w:bookmarkEnd w:id="994"/>
      <w:bookmarkEnd w:id="995"/>
    </w:p>
    <w:p w14:paraId="64957BF0">
      <w:pPr>
        <w:keepNext/>
        <w:keepLines/>
        <w:spacing w:line="440" w:lineRule="exact"/>
        <w:ind w:firstLine="482" w:firstLineChars="200"/>
        <w:rPr>
          <w:rFonts w:hint="eastAsia" w:ascii="宋体" w:hAnsi="宋体" w:cs="宋体"/>
          <w:b/>
          <w:bCs/>
          <w:kern w:val="44"/>
          <w:sz w:val="24"/>
          <w:szCs w:val="24"/>
        </w:rPr>
      </w:pPr>
      <w:bookmarkStart w:id="996" w:name="_Toc488083553"/>
      <w:bookmarkStart w:id="997" w:name="_Toc479237744"/>
      <w:bookmarkStart w:id="998" w:name="_Toc479265573"/>
      <w:bookmarkStart w:id="999" w:name="_Toc513132319"/>
      <w:bookmarkStart w:id="1000" w:name="_Toc480282319"/>
      <w:bookmarkStart w:id="1001" w:name="_Toc192710489"/>
      <w:bookmarkStart w:id="1002" w:name="_Toc234382868"/>
      <w:bookmarkStart w:id="1003" w:name="_Toc512689686"/>
      <w:bookmarkStart w:id="1004" w:name="_Toc3475558"/>
      <w:bookmarkStart w:id="1005" w:name="_Toc513212839"/>
      <w:r>
        <w:rPr>
          <w:rFonts w:hint="eastAsia" w:ascii="宋体" w:hAnsi="宋体" w:cs="宋体"/>
          <w:b/>
          <w:bCs/>
          <w:kern w:val="44"/>
          <w:sz w:val="24"/>
          <w:szCs w:val="24"/>
        </w:rPr>
        <w:t>7.1道路通行权和场外设施</w:t>
      </w:r>
      <w:bookmarkEnd w:id="996"/>
      <w:bookmarkEnd w:id="997"/>
      <w:bookmarkEnd w:id="998"/>
      <w:bookmarkEnd w:id="999"/>
      <w:bookmarkEnd w:id="1000"/>
      <w:bookmarkEnd w:id="1001"/>
      <w:bookmarkEnd w:id="1002"/>
      <w:bookmarkEnd w:id="1003"/>
      <w:bookmarkEnd w:id="1004"/>
      <w:bookmarkEnd w:id="1005"/>
    </w:p>
    <w:p w14:paraId="15FD93A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68D1CC3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根据合同工程的施工需要，负责办理取得出入施工场地的专用和临时道路的通行权，以及取得为工程建设所需修建场外设施的权利，并承担有权费用。需要发包人协调时，发包人应协助承包人办理相关手续。</w:t>
      </w:r>
    </w:p>
    <w:p w14:paraId="4EBA50A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9.2.5</w:t>
      </w:r>
      <w:r>
        <w:rPr>
          <w:rFonts w:hint="eastAsia" w:ascii="宋体" w:hAnsi="宋体" w:cs="宋体"/>
          <w:kern w:val="0"/>
          <w:sz w:val="24"/>
          <w:szCs w:val="24"/>
        </w:rPr>
        <w:t>项细化为：</w:t>
      </w:r>
    </w:p>
    <w:p w14:paraId="3FDE1F8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除项目用合同条款另有约定外，安全生产费用应为投标价（不含安全生产费及建筑工程一切险及第三者责任险的保险费）的</w:t>
      </w:r>
      <w:r>
        <w:rPr>
          <w:rFonts w:ascii="宋体" w:hAnsi="宋体" w:cs="宋体"/>
          <w:kern w:val="0"/>
          <w:sz w:val="24"/>
          <w:szCs w:val="24"/>
        </w:rPr>
        <w:t>1</w:t>
      </w:r>
      <w:r>
        <w:rPr>
          <w:rFonts w:hint="eastAsia" w:ascii="宋体" w:hAnsi="宋体" w:cs="宋体"/>
          <w:kern w:val="0"/>
          <w:sz w:val="24"/>
          <w:szCs w:val="24"/>
        </w:rPr>
        <w:t>.5</w:t>
      </w:r>
      <w:r>
        <w:rPr>
          <w:rFonts w:ascii="宋体" w:hAnsi="宋体" w:cs="宋体"/>
          <w:kern w:val="0"/>
          <w:sz w:val="24"/>
          <w:szCs w:val="24"/>
        </w:rPr>
        <w:t>%</w:t>
      </w:r>
      <w:r>
        <w:rPr>
          <w:rFonts w:hint="eastAsia" w:ascii="宋体" w:hAnsi="宋体" w:cs="宋体"/>
          <w:kern w:val="0"/>
          <w:sz w:val="24"/>
          <w:szCs w:val="24"/>
        </w:rPr>
        <w:t>（若发包人公布了投标控制价上限时，按投标控制价上限的1.5</w:t>
      </w:r>
      <w:r>
        <w:rPr>
          <w:rFonts w:ascii="宋体" w:hAnsi="宋体" w:cs="宋体"/>
          <w:kern w:val="0"/>
          <w:sz w:val="24"/>
          <w:szCs w:val="24"/>
        </w:rPr>
        <w:t>%</w:t>
      </w:r>
      <w:r>
        <w:rPr>
          <w:rFonts w:hint="eastAsia" w:ascii="宋体" w:hAnsi="宋体" w:cs="宋体"/>
          <w:kern w:val="0"/>
          <w:sz w:val="24"/>
          <w:szCs w:val="24"/>
        </w:rPr>
        <w:t>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w:t>
      </w:r>
      <w:r>
        <w:rPr>
          <w:rFonts w:ascii="宋体" w:hAnsi="宋体" w:cs="宋体"/>
          <w:kern w:val="0"/>
          <w:sz w:val="24"/>
          <w:szCs w:val="24"/>
        </w:rPr>
        <w:t>3.5</w:t>
      </w:r>
      <w:r>
        <w:rPr>
          <w:rFonts w:hint="eastAsia" w:ascii="宋体" w:hAnsi="宋体" w:cs="宋体"/>
          <w:kern w:val="0"/>
          <w:sz w:val="24"/>
          <w:szCs w:val="24"/>
        </w:rPr>
        <w:t>款商定或确定。</w:t>
      </w:r>
    </w:p>
    <w:p w14:paraId="3A71FF6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9.2.8</w:t>
      </w:r>
      <w:r>
        <w:rPr>
          <w:rFonts w:hint="eastAsia" w:ascii="宋体" w:hAnsi="宋体" w:cs="宋体"/>
          <w:kern w:val="0"/>
          <w:sz w:val="24"/>
          <w:szCs w:val="24"/>
        </w:rPr>
        <w:t>项～</w:t>
      </w:r>
      <w:r>
        <w:rPr>
          <w:rFonts w:ascii="宋体" w:hAnsi="宋体" w:cs="宋体"/>
          <w:kern w:val="0"/>
          <w:sz w:val="24"/>
          <w:szCs w:val="24"/>
        </w:rPr>
        <w:t>9.2.11</w:t>
      </w:r>
      <w:r>
        <w:rPr>
          <w:rFonts w:hint="eastAsia" w:ascii="宋体" w:hAnsi="宋体" w:cs="宋体"/>
          <w:kern w:val="0"/>
          <w:sz w:val="24"/>
          <w:szCs w:val="24"/>
        </w:rPr>
        <w:t>项：</w:t>
      </w:r>
    </w:p>
    <w:p w14:paraId="1F81682E">
      <w:pPr>
        <w:spacing w:line="440" w:lineRule="exact"/>
        <w:ind w:firstLine="480" w:firstLineChars="200"/>
        <w:rPr>
          <w:rFonts w:ascii="宋体" w:hAnsi="宋体" w:cs="宋体"/>
          <w:kern w:val="0"/>
          <w:sz w:val="24"/>
          <w:szCs w:val="24"/>
        </w:rPr>
      </w:pPr>
      <w:r>
        <w:rPr>
          <w:rFonts w:ascii="宋体" w:hAnsi="宋体" w:cs="宋体"/>
          <w:kern w:val="0"/>
          <w:sz w:val="24"/>
          <w:szCs w:val="24"/>
        </w:rPr>
        <w:t>9.2.9</w:t>
      </w:r>
      <w:r>
        <w:rPr>
          <w:rFonts w:hint="eastAsia" w:ascii="宋体" w:hAnsi="宋体" w:cs="宋体"/>
          <w:kern w:val="0"/>
          <w:sz w:val="24"/>
          <w:szCs w:val="24"/>
        </w:rPr>
        <w:t>为保护本合同工程免遭损坏，或为了现场附近和过往群众的安全与方便，在确有必要的时候和地方，或当监理人或有关主管部门要求时，承包人应自费提供照明、警卫、护栅、警告标志等安全防护设施。</w:t>
      </w:r>
    </w:p>
    <w:p w14:paraId="40B01802">
      <w:pPr>
        <w:spacing w:line="440" w:lineRule="exact"/>
        <w:ind w:firstLine="480" w:firstLineChars="200"/>
        <w:rPr>
          <w:rFonts w:ascii="宋体" w:hAnsi="宋体" w:cs="宋体"/>
          <w:kern w:val="0"/>
          <w:sz w:val="24"/>
          <w:szCs w:val="24"/>
        </w:rPr>
      </w:pPr>
      <w:r>
        <w:rPr>
          <w:rFonts w:ascii="宋体" w:hAnsi="宋体" w:cs="宋体"/>
          <w:kern w:val="0"/>
          <w:sz w:val="24"/>
          <w:szCs w:val="24"/>
        </w:rPr>
        <w:t>9.4.8</w:t>
      </w:r>
      <w:r>
        <w:rPr>
          <w:rFonts w:hint="eastAsia" w:ascii="宋体" w:hAnsi="宋体" w:cs="宋体"/>
          <w:kern w:val="0"/>
          <w:sz w:val="24"/>
          <w:szCs w:val="24"/>
        </w:rPr>
        <w:t>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40510B55">
      <w:pPr>
        <w:spacing w:line="440" w:lineRule="exact"/>
        <w:ind w:firstLine="480" w:firstLineChars="200"/>
        <w:rPr>
          <w:rFonts w:ascii="宋体" w:hAnsi="宋体" w:cs="宋体"/>
          <w:kern w:val="0"/>
          <w:sz w:val="24"/>
          <w:szCs w:val="24"/>
        </w:rPr>
      </w:pPr>
      <w:r>
        <w:rPr>
          <w:rFonts w:ascii="宋体" w:hAnsi="宋体" w:cs="宋体"/>
          <w:kern w:val="0"/>
          <w:sz w:val="24"/>
          <w:szCs w:val="24"/>
        </w:rPr>
        <w:t>9.4.9</w:t>
      </w:r>
      <w:r>
        <w:rPr>
          <w:rFonts w:hint="eastAsia" w:ascii="宋体" w:hAnsi="宋体" w:cs="宋体"/>
          <w:kern w:val="0"/>
          <w:sz w:val="24"/>
          <w:szCs w:val="24"/>
        </w:rPr>
        <w:t>在施工期间，承包人应随时保持现场整洁，施工设备和材料、工程设备应整齐妥善存放和储存，废料与垃圾及不再需要的临时设施应及时从现场清除、拆除并运走。</w:t>
      </w:r>
    </w:p>
    <w:p w14:paraId="28FA400A">
      <w:pPr>
        <w:keepNext/>
        <w:keepLines/>
        <w:spacing w:line="440" w:lineRule="exact"/>
        <w:ind w:firstLine="482" w:firstLineChars="200"/>
        <w:rPr>
          <w:rFonts w:hint="eastAsia" w:ascii="宋体" w:hAnsi="宋体" w:cs="宋体"/>
          <w:b/>
          <w:bCs/>
          <w:kern w:val="44"/>
          <w:sz w:val="24"/>
          <w:szCs w:val="24"/>
        </w:rPr>
      </w:pPr>
      <w:bookmarkStart w:id="1006" w:name="_Toc192710495"/>
      <w:bookmarkStart w:id="1007" w:name="_Toc480282325"/>
      <w:bookmarkStart w:id="1008" w:name="_Toc234382874"/>
      <w:bookmarkStart w:id="1009" w:name="_Toc479265579"/>
      <w:bookmarkStart w:id="1010" w:name="_Toc513212845"/>
      <w:bookmarkStart w:id="1011" w:name="_Toc3475564"/>
      <w:bookmarkStart w:id="1012" w:name="_Toc513132325"/>
      <w:bookmarkStart w:id="1013" w:name="_Toc479237750"/>
      <w:bookmarkStart w:id="1014" w:name="_Toc512689692"/>
      <w:bookmarkStart w:id="1015" w:name="_Toc488083559"/>
      <w:r>
        <w:rPr>
          <w:rFonts w:hint="eastAsia" w:ascii="宋体" w:hAnsi="宋体" w:cs="宋体"/>
          <w:b/>
          <w:bCs/>
          <w:kern w:val="44"/>
          <w:sz w:val="24"/>
          <w:szCs w:val="24"/>
        </w:rPr>
        <w:t>10．进度计划</w:t>
      </w:r>
      <w:bookmarkEnd w:id="1006"/>
      <w:bookmarkEnd w:id="1007"/>
      <w:bookmarkEnd w:id="1008"/>
      <w:bookmarkEnd w:id="1009"/>
      <w:bookmarkEnd w:id="1010"/>
      <w:bookmarkEnd w:id="1011"/>
      <w:bookmarkEnd w:id="1012"/>
      <w:bookmarkEnd w:id="1013"/>
      <w:bookmarkEnd w:id="1014"/>
      <w:bookmarkEnd w:id="1015"/>
    </w:p>
    <w:p w14:paraId="48CF8AA8">
      <w:pPr>
        <w:keepNext/>
        <w:keepLines/>
        <w:spacing w:line="440" w:lineRule="exact"/>
        <w:ind w:firstLine="482" w:firstLineChars="200"/>
        <w:rPr>
          <w:rFonts w:hint="eastAsia" w:ascii="宋体" w:hAnsi="宋体" w:cs="宋体"/>
          <w:b/>
          <w:bCs/>
          <w:kern w:val="44"/>
          <w:sz w:val="24"/>
          <w:szCs w:val="24"/>
        </w:rPr>
      </w:pPr>
      <w:bookmarkStart w:id="1016" w:name="_Toc488083560"/>
      <w:bookmarkStart w:id="1017" w:name="_Toc512689693"/>
      <w:bookmarkStart w:id="1018" w:name="_Toc234382875"/>
      <w:bookmarkStart w:id="1019" w:name="_Toc3475565"/>
      <w:bookmarkStart w:id="1020" w:name="_Toc513132326"/>
      <w:bookmarkStart w:id="1021" w:name="_Toc479237751"/>
      <w:bookmarkStart w:id="1022" w:name="_Toc479265580"/>
      <w:bookmarkStart w:id="1023" w:name="_Toc513212846"/>
      <w:bookmarkStart w:id="1024" w:name="_Toc480282326"/>
      <w:bookmarkStart w:id="1025" w:name="_Toc192710496"/>
      <w:r>
        <w:rPr>
          <w:rFonts w:hint="eastAsia" w:ascii="宋体" w:hAnsi="宋体" w:cs="宋体"/>
          <w:b/>
          <w:bCs/>
          <w:kern w:val="44"/>
          <w:sz w:val="24"/>
          <w:szCs w:val="24"/>
        </w:rPr>
        <w:t>10.1合同进度计划</w:t>
      </w:r>
      <w:bookmarkEnd w:id="1016"/>
      <w:bookmarkEnd w:id="1017"/>
      <w:bookmarkEnd w:id="1018"/>
      <w:bookmarkEnd w:id="1019"/>
      <w:bookmarkEnd w:id="1020"/>
      <w:bookmarkEnd w:id="1021"/>
      <w:bookmarkEnd w:id="1022"/>
      <w:bookmarkEnd w:id="1023"/>
      <w:bookmarkEnd w:id="1024"/>
      <w:bookmarkEnd w:id="1025"/>
    </w:p>
    <w:p w14:paraId="669D92E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77D82A6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承包人编制施工方案说明的内容见项目专用合同条款。</w:t>
      </w:r>
    </w:p>
    <w:p w14:paraId="325E9A7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承包人向监理人报送施工进度计划和施工方案说明的期限：签订合同协议书后</w:t>
      </w:r>
      <w:r>
        <w:rPr>
          <w:rFonts w:ascii="宋体" w:hAnsi="宋体" w:cs="宋体"/>
          <w:kern w:val="0"/>
          <w:sz w:val="24"/>
          <w:szCs w:val="24"/>
        </w:rPr>
        <w:t>28</w:t>
      </w:r>
      <w:r>
        <w:rPr>
          <w:rFonts w:hint="eastAsia" w:ascii="宋体" w:hAnsi="宋体" w:cs="宋体"/>
          <w:kern w:val="0"/>
          <w:sz w:val="24"/>
          <w:szCs w:val="24"/>
        </w:rPr>
        <w:t>天之内。</w:t>
      </w:r>
    </w:p>
    <w:p w14:paraId="7758946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监理人应在</w:t>
      </w:r>
      <w:r>
        <w:rPr>
          <w:rFonts w:ascii="宋体" w:hAnsi="宋体" w:cs="宋体"/>
          <w:kern w:val="0"/>
          <w:sz w:val="24"/>
          <w:szCs w:val="24"/>
        </w:rPr>
        <w:t>14</w:t>
      </w:r>
      <w:r>
        <w:rPr>
          <w:rFonts w:hint="eastAsia" w:ascii="宋体" w:hAnsi="宋体" w:cs="宋体"/>
          <w:kern w:val="0"/>
          <w:sz w:val="24"/>
          <w:szCs w:val="24"/>
        </w:rPr>
        <w:t>天内对承包人施工进度计划和施工方案说明予以批复或提出修改意见。</w:t>
      </w:r>
    </w:p>
    <w:p w14:paraId="79C0ACB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合同进度计划应按照关键线路网络图和主要工作横道图两种形式分别编绘，并应包括每月预计完成的工作量和形象进度。</w:t>
      </w:r>
    </w:p>
    <w:p w14:paraId="4A553742">
      <w:pPr>
        <w:keepNext/>
        <w:keepLines/>
        <w:spacing w:line="440" w:lineRule="exact"/>
        <w:ind w:firstLine="482" w:firstLineChars="200"/>
        <w:rPr>
          <w:rFonts w:hint="eastAsia" w:ascii="宋体" w:hAnsi="宋体" w:cs="宋体"/>
          <w:b/>
          <w:bCs/>
          <w:kern w:val="44"/>
          <w:sz w:val="24"/>
          <w:szCs w:val="24"/>
        </w:rPr>
      </w:pPr>
      <w:bookmarkStart w:id="1026" w:name="_Toc512689694"/>
      <w:bookmarkStart w:id="1027" w:name="_Toc513212847"/>
      <w:bookmarkStart w:id="1028" w:name="_Toc3475566"/>
      <w:bookmarkStart w:id="1029" w:name="_Toc488083561"/>
      <w:bookmarkStart w:id="1030" w:name="_Toc479237752"/>
      <w:bookmarkStart w:id="1031" w:name="_Toc192710497"/>
      <w:bookmarkStart w:id="1032" w:name="_Toc234382876"/>
      <w:bookmarkStart w:id="1033" w:name="_Toc480282327"/>
      <w:bookmarkStart w:id="1034" w:name="_Toc479265581"/>
      <w:bookmarkStart w:id="1035" w:name="_Toc513132327"/>
      <w:r>
        <w:rPr>
          <w:rFonts w:hint="eastAsia" w:ascii="宋体" w:hAnsi="宋体" w:cs="宋体"/>
          <w:b/>
          <w:bCs/>
          <w:kern w:val="44"/>
          <w:sz w:val="24"/>
          <w:szCs w:val="24"/>
        </w:rPr>
        <w:t>10.2合同进度计划的修订</w:t>
      </w:r>
      <w:bookmarkEnd w:id="1026"/>
      <w:bookmarkEnd w:id="1027"/>
      <w:bookmarkEnd w:id="1028"/>
      <w:bookmarkEnd w:id="1029"/>
      <w:bookmarkEnd w:id="1030"/>
      <w:bookmarkEnd w:id="1031"/>
      <w:bookmarkEnd w:id="1032"/>
      <w:bookmarkEnd w:id="1033"/>
      <w:bookmarkEnd w:id="1034"/>
      <w:bookmarkEnd w:id="1035"/>
    </w:p>
    <w:p w14:paraId="35BAF70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46B4B8A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承包人提交合同进度计划修订申请报告，并附有关措施和相关资料的期限：实际进度发生滞后的当月</w:t>
      </w:r>
      <w:r>
        <w:rPr>
          <w:rFonts w:ascii="宋体" w:hAnsi="宋体" w:cs="宋体"/>
          <w:kern w:val="0"/>
          <w:sz w:val="24"/>
          <w:szCs w:val="24"/>
        </w:rPr>
        <w:t>25</w:t>
      </w:r>
      <w:r>
        <w:rPr>
          <w:rFonts w:hint="eastAsia" w:ascii="宋体" w:hAnsi="宋体" w:cs="宋体"/>
          <w:kern w:val="0"/>
          <w:sz w:val="24"/>
          <w:szCs w:val="24"/>
        </w:rPr>
        <w:t>日前。</w:t>
      </w:r>
    </w:p>
    <w:p w14:paraId="27EFE03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监理人批复修订合同进度计划的期限：收到修订合同进度计划后</w:t>
      </w:r>
      <w:r>
        <w:rPr>
          <w:rFonts w:ascii="宋体" w:hAnsi="宋体" w:cs="宋体"/>
          <w:kern w:val="0"/>
          <w:sz w:val="24"/>
          <w:szCs w:val="24"/>
        </w:rPr>
        <w:t>14</w:t>
      </w:r>
      <w:r>
        <w:rPr>
          <w:rFonts w:hint="eastAsia" w:ascii="宋体" w:hAnsi="宋体" w:cs="宋体"/>
          <w:kern w:val="0"/>
          <w:sz w:val="24"/>
          <w:szCs w:val="24"/>
        </w:rPr>
        <w:t>天内。</w:t>
      </w:r>
    </w:p>
    <w:p w14:paraId="31DC221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补充第</w:t>
      </w:r>
      <w:r>
        <w:rPr>
          <w:rFonts w:ascii="宋体" w:hAnsi="宋体" w:cs="宋体"/>
          <w:kern w:val="0"/>
          <w:sz w:val="24"/>
          <w:szCs w:val="24"/>
        </w:rPr>
        <w:t>10.3</w:t>
      </w:r>
      <w:r>
        <w:rPr>
          <w:rFonts w:hint="eastAsia" w:ascii="宋体" w:hAnsi="宋体" w:cs="宋体"/>
          <w:kern w:val="0"/>
          <w:sz w:val="24"/>
          <w:szCs w:val="24"/>
        </w:rPr>
        <w:t>、</w:t>
      </w:r>
      <w:r>
        <w:rPr>
          <w:rFonts w:ascii="宋体" w:hAnsi="宋体" w:cs="宋体"/>
          <w:kern w:val="0"/>
          <w:sz w:val="24"/>
          <w:szCs w:val="24"/>
        </w:rPr>
        <w:t>10.4</w:t>
      </w:r>
      <w:r>
        <w:rPr>
          <w:rFonts w:hint="eastAsia" w:ascii="宋体" w:hAnsi="宋体" w:cs="宋体"/>
          <w:kern w:val="0"/>
          <w:sz w:val="24"/>
          <w:szCs w:val="24"/>
        </w:rPr>
        <w:t>款：</w:t>
      </w:r>
    </w:p>
    <w:p w14:paraId="4F33FD48">
      <w:pPr>
        <w:keepNext/>
        <w:keepLines/>
        <w:spacing w:line="440" w:lineRule="exact"/>
        <w:ind w:firstLine="482" w:firstLineChars="200"/>
        <w:rPr>
          <w:rFonts w:hint="eastAsia" w:ascii="宋体" w:hAnsi="宋体" w:cs="宋体"/>
          <w:b/>
          <w:bCs/>
          <w:kern w:val="44"/>
          <w:sz w:val="24"/>
          <w:szCs w:val="24"/>
        </w:rPr>
      </w:pPr>
      <w:bookmarkStart w:id="1036" w:name="_Toc512689695"/>
      <w:bookmarkStart w:id="1037" w:name="_Toc234382877"/>
      <w:bookmarkStart w:id="1038" w:name="_Toc513212848"/>
      <w:bookmarkStart w:id="1039" w:name="_Toc480282328"/>
      <w:bookmarkStart w:id="1040" w:name="_Toc3475567"/>
      <w:bookmarkStart w:id="1041" w:name="_Toc488083562"/>
      <w:bookmarkStart w:id="1042" w:name="_Toc479237753"/>
      <w:bookmarkStart w:id="1043" w:name="_Toc192710498"/>
      <w:bookmarkStart w:id="1044" w:name="_Toc513132328"/>
      <w:bookmarkStart w:id="1045" w:name="_Toc479265582"/>
      <w:r>
        <w:rPr>
          <w:rFonts w:hint="eastAsia" w:ascii="宋体" w:hAnsi="宋体" w:cs="宋体"/>
          <w:b/>
          <w:bCs/>
          <w:kern w:val="44"/>
          <w:sz w:val="24"/>
          <w:szCs w:val="24"/>
        </w:rPr>
        <w:t>10.3年度施工计划</w:t>
      </w:r>
      <w:bookmarkEnd w:id="1036"/>
      <w:bookmarkEnd w:id="1037"/>
      <w:bookmarkEnd w:id="1038"/>
      <w:bookmarkEnd w:id="1039"/>
      <w:bookmarkEnd w:id="1040"/>
      <w:bookmarkEnd w:id="1041"/>
      <w:bookmarkEnd w:id="1042"/>
      <w:bookmarkEnd w:id="1043"/>
      <w:bookmarkEnd w:id="1044"/>
      <w:bookmarkEnd w:id="1045"/>
    </w:p>
    <w:p w14:paraId="2733014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承包人应在每年</w:t>
      </w:r>
      <w:r>
        <w:rPr>
          <w:rFonts w:ascii="宋体" w:hAnsi="宋体" w:cs="宋体"/>
          <w:kern w:val="0"/>
          <w:sz w:val="24"/>
          <w:szCs w:val="24"/>
        </w:rPr>
        <w:t>11</w:t>
      </w:r>
      <w:r>
        <w:rPr>
          <w:rFonts w:hint="eastAsia" w:ascii="宋体" w:hAnsi="宋体" w:cs="宋体"/>
          <w:kern w:val="0"/>
          <w:sz w:val="24"/>
          <w:szCs w:val="24"/>
        </w:rPr>
        <w:t>月底前，根据已同意的合同进度计划或其修订的计划，向监理人提交</w:t>
      </w:r>
      <w:r>
        <w:rPr>
          <w:rFonts w:ascii="宋体" w:hAnsi="宋体" w:cs="宋体"/>
          <w:kern w:val="0"/>
          <w:sz w:val="24"/>
          <w:szCs w:val="24"/>
        </w:rPr>
        <w:t>2</w:t>
      </w:r>
      <w:r>
        <w:rPr>
          <w:rFonts w:hint="eastAsia" w:ascii="宋体" w:hAnsi="宋体" w:cs="宋体"/>
          <w:kern w:val="0"/>
          <w:sz w:val="24"/>
          <w:szCs w:val="24"/>
        </w:rPr>
        <w:t>份格式和内容符合监理人合理规定的下一年度的施工计划，以供审查。该计划应包括本年度估计完成的和下一年度预计完成的分项工程数量和工作量，以及为实施此计划将采取的措施。</w:t>
      </w:r>
    </w:p>
    <w:p w14:paraId="70A66882">
      <w:pPr>
        <w:keepNext/>
        <w:keepLines/>
        <w:spacing w:line="440" w:lineRule="exact"/>
        <w:ind w:firstLine="482" w:firstLineChars="200"/>
        <w:rPr>
          <w:rFonts w:hint="eastAsia" w:ascii="宋体" w:hAnsi="宋体" w:cs="宋体"/>
          <w:b/>
          <w:bCs/>
          <w:kern w:val="44"/>
          <w:sz w:val="24"/>
          <w:szCs w:val="24"/>
        </w:rPr>
      </w:pPr>
      <w:bookmarkStart w:id="1046" w:name="_Toc513212849"/>
      <w:bookmarkStart w:id="1047" w:name="_Toc512689696"/>
      <w:bookmarkStart w:id="1048" w:name="_Toc479237754"/>
      <w:bookmarkStart w:id="1049" w:name="_Toc192710499"/>
      <w:bookmarkStart w:id="1050" w:name="_Toc480282329"/>
      <w:bookmarkStart w:id="1051" w:name="_Toc513132329"/>
      <w:bookmarkStart w:id="1052" w:name="_Toc479265583"/>
      <w:bookmarkStart w:id="1053" w:name="_Toc488083563"/>
      <w:bookmarkStart w:id="1054" w:name="_Toc234382878"/>
      <w:bookmarkStart w:id="1055" w:name="_Toc3475568"/>
      <w:r>
        <w:rPr>
          <w:rFonts w:hint="eastAsia" w:ascii="宋体" w:hAnsi="宋体" w:cs="宋体"/>
          <w:b/>
          <w:bCs/>
          <w:kern w:val="44"/>
          <w:sz w:val="24"/>
          <w:szCs w:val="24"/>
        </w:rPr>
        <w:t>10.4合同用款计划</w:t>
      </w:r>
      <w:bookmarkEnd w:id="1046"/>
      <w:bookmarkEnd w:id="1047"/>
      <w:bookmarkEnd w:id="1048"/>
      <w:bookmarkEnd w:id="1049"/>
      <w:bookmarkEnd w:id="1050"/>
      <w:bookmarkEnd w:id="1051"/>
      <w:bookmarkEnd w:id="1052"/>
      <w:bookmarkEnd w:id="1053"/>
      <w:bookmarkEnd w:id="1054"/>
      <w:bookmarkEnd w:id="1055"/>
    </w:p>
    <w:p w14:paraId="788B03F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承包人应在签订本合同协议书后</w:t>
      </w:r>
      <w:r>
        <w:rPr>
          <w:rFonts w:ascii="宋体" w:hAnsi="宋体" w:cs="宋体"/>
          <w:kern w:val="0"/>
          <w:sz w:val="24"/>
          <w:szCs w:val="24"/>
        </w:rPr>
        <w:t>28</w:t>
      </w:r>
      <w:r>
        <w:rPr>
          <w:rFonts w:hint="eastAsia" w:ascii="宋体" w:hAnsi="宋体" w:cs="宋体"/>
          <w:kern w:val="0"/>
          <w:sz w:val="24"/>
          <w:szCs w:val="24"/>
        </w:rPr>
        <w:t>天之内，按招标文件中规定的格式，向监理人提交</w:t>
      </w:r>
      <w:r>
        <w:rPr>
          <w:rFonts w:ascii="宋体" w:hAnsi="宋体" w:cs="宋体"/>
          <w:kern w:val="0"/>
          <w:sz w:val="24"/>
          <w:szCs w:val="24"/>
        </w:rPr>
        <w:t>2</w:t>
      </w:r>
      <w:r>
        <w:rPr>
          <w:rFonts w:hint="eastAsia" w:ascii="宋体" w:hAnsi="宋体" w:cs="宋体"/>
          <w:kern w:val="0"/>
          <w:sz w:val="24"/>
          <w:szCs w:val="24"/>
        </w:rPr>
        <w:t>份按合同规定承包人有权得到支付的详细的季度合同用款计划，以备监理人查阅。如果监理人提出要求，承包人还应按季度提交修订的合同用款计划。</w:t>
      </w:r>
    </w:p>
    <w:p w14:paraId="7B99FAB3">
      <w:pPr>
        <w:keepNext/>
        <w:keepLines/>
        <w:spacing w:line="440" w:lineRule="exact"/>
        <w:ind w:firstLine="482" w:firstLineChars="200"/>
        <w:rPr>
          <w:rFonts w:hint="eastAsia" w:ascii="宋体" w:hAnsi="宋体" w:cs="宋体"/>
          <w:b/>
          <w:bCs/>
          <w:kern w:val="44"/>
          <w:sz w:val="24"/>
          <w:szCs w:val="24"/>
        </w:rPr>
      </w:pPr>
      <w:bookmarkStart w:id="1056" w:name="_Toc488083564"/>
      <w:bookmarkStart w:id="1057" w:name="_Toc234382879"/>
      <w:bookmarkStart w:id="1058" w:name="_Toc480282330"/>
      <w:bookmarkStart w:id="1059" w:name="_Toc479265584"/>
      <w:bookmarkStart w:id="1060" w:name="_Toc513212850"/>
      <w:bookmarkStart w:id="1061" w:name="_Toc513132330"/>
      <w:bookmarkStart w:id="1062" w:name="_Toc479237755"/>
      <w:bookmarkStart w:id="1063" w:name="_Toc3475569"/>
      <w:bookmarkStart w:id="1064" w:name="_Toc192710500"/>
      <w:bookmarkStart w:id="1065" w:name="_Toc512689697"/>
      <w:r>
        <w:rPr>
          <w:rFonts w:hint="eastAsia" w:ascii="宋体" w:hAnsi="宋体" w:cs="宋体"/>
          <w:b/>
          <w:bCs/>
          <w:kern w:val="44"/>
          <w:sz w:val="24"/>
          <w:szCs w:val="24"/>
        </w:rPr>
        <w:t>11．开工和竣工</w:t>
      </w:r>
      <w:bookmarkEnd w:id="1056"/>
      <w:bookmarkEnd w:id="1057"/>
      <w:bookmarkEnd w:id="1058"/>
      <w:bookmarkEnd w:id="1059"/>
      <w:bookmarkEnd w:id="1060"/>
      <w:bookmarkEnd w:id="1061"/>
      <w:bookmarkEnd w:id="1062"/>
      <w:bookmarkEnd w:id="1063"/>
      <w:bookmarkEnd w:id="1064"/>
      <w:bookmarkEnd w:id="1065"/>
    </w:p>
    <w:p w14:paraId="4292B04C">
      <w:pPr>
        <w:keepNext/>
        <w:keepLines/>
        <w:spacing w:line="440" w:lineRule="exact"/>
        <w:ind w:firstLine="482" w:firstLineChars="200"/>
        <w:rPr>
          <w:rFonts w:hint="eastAsia" w:ascii="宋体" w:hAnsi="宋体" w:cs="宋体"/>
          <w:b/>
          <w:bCs/>
          <w:kern w:val="44"/>
          <w:sz w:val="24"/>
          <w:szCs w:val="24"/>
        </w:rPr>
      </w:pPr>
      <w:bookmarkStart w:id="1066" w:name="_Toc513212851"/>
      <w:bookmarkStart w:id="1067" w:name="_Toc192710501"/>
      <w:bookmarkStart w:id="1068" w:name="_Toc488083565"/>
      <w:bookmarkStart w:id="1069" w:name="_Toc479237756"/>
      <w:bookmarkStart w:id="1070" w:name="_Toc234382880"/>
      <w:bookmarkStart w:id="1071" w:name="_Toc512689698"/>
      <w:bookmarkStart w:id="1072" w:name="_Toc513132331"/>
      <w:bookmarkStart w:id="1073" w:name="_Toc3475570"/>
      <w:bookmarkStart w:id="1074" w:name="_Toc479265585"/>
      <w:bookmarkStart w:id="1075" w:name="_Toc480282331"/>
      <w:r>
        <w:rPr>
          <w:rFonts w:hint="eastAsia" w:ascii="宋体" w:hAnsi="宋体" w:cs="宋体"/>
          <w:b/>
          <w:bCs/>
          <w:kern w:val="44"/>
          <w:sz w:val="24"/>
          <w:szCs w:val="24"/>
        </w:rPr>
        <w:t>11.1开工</w:t>
      </w:r>
      <w:bookmarkEnd w:id="1066"/>
      <w:bookmarkEnd w:id="1067"/>
      <w:bookmarkEnd w:id="1068"/>
      <w:bookmarkEnd w:id="1069"/>
      <w:bookmarkEnd w:id="1070"/>
      <w:bookmarkEnd w:id="1071"/>
      <w:bookmarkEnd w:id="1072"/>
      <w:bookmarkEnd w:id="1073"/>
      <w:bookmarkEnd w:id="1074"/>
      <w:bookmarkEnd w:id="1075"/>
    </w:p>
    <w:p w14:paraId="5D131AF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11.1.2</w:t>
      </w:r>
      <w:r>
        <w:rPr>
          <w:rFonts w:hint="eastAsia" w:ascii="宋体" w:hAnsi="宋体" w:cs="宋体"/>
          <w:kern w:val="0"/>
          <w:sz w:val="24"/>
          <w:szCs w:val="24"/>
        </w:rPr>
        <w:t>项补充：</w:t>
      </w:r>
    </w:p>
    <w:p w14:paraId="0167AF6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承包人应在分部工程开工前14天向监理人提交分部工程开工报审表，若承包人的开工准备、工作计划和质量控制方法是可接受的且已获得批准，则经监理人书面同意，分部工程才能开工。</w:t>
      </w:r>
    </w:p>
    <w:p w14:paraId="7D10C2D6">
      <w:pPr>
        <w:keepNext/>
        <w:keepLines/>
        <w:spacing w:line="440" w:lineRule="exact"/>
        <w:ind w:firstLine="482" w:firstLineChars="200"/>
        <w:rPr>
          <w:rFonts w:hint="eastAsia" w:ascii="宋体" w:hAnsi="宋体" w:cs="宋体"/>
          <w:b/>
          <w:bCs/>
          <w:kern w:val="44"/>
          <w:sz w:val="24"/>
          <w:szCs w:val="24"/>
        </w:rPr>
      </w:pPr>
      <w:bookmarkStart w:id="1076" w:name="_Toc512689699"/>
      <w:bookmarkStart w:id="1077" w:name="_Toc479237757"/>
      <w:bookmarkStart w:id="1078" w:name="_Toc480282332"/>
      <w:bookmarkStart w:id="1079" w:name="_Toc234382881"/>
      <w:bookmarkStart w:id="1080" w:name="_Toc3475571"/>
      <w:bookmarkStart w:id="1081" w:name="_Toc192710502"/>
      <w:bookmarkStart w:id="1082" w:name="_Toc513132332"/>
      <w:bookmarkStart w:id="1083" w:name="_Toc488083566"/>
      <w:bookmarkStart w:id="1084" w:name="_Toc479265586"/>
      <w:bookmarkStart w:id="1085" w:name="_Toc513212852"/>
      <w:r>
        <w:rPr>
          <w:rFonts w:hint="eastAsia" w:ascii="宋体" w:hAnsi="宋体" w:cs="宋体"/>
          <w:b/>
          <w:bCs/>
          <w:kern w:val="44"/>
          <w:sz w:val="24"/>
          <w:szCs w:val="24"/>
        </w:rPr>
        <w:t>11.3发包人的工期延误</w:t>
      </w:r>
      <w:bookmarkEnd w:id="1076"/>
      <w:bookmarkEnd w:id="1077"/>
      <w:bookmarkEnd w:id="1078"/>
      <w:bookmarkEnd w:id="1079"/>
      <w:bookmarkEnd w:id="1080"/>
      <w:bookmarkEnd w:id="1081"/>
      <w:bookmarkEnd w:id="1082"/>
      <w:bookmarkEnd w:id="1083"/>
      <w:bookmarkEnd w:id="1084"/>
      <w:bookmarkEnd w:id="1085"/>
    </w:p>
    <w:p w14:paraId="48D59817">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本款补充：</w:t>
      </w:r>
    </w:p>
    <w:p w14:paraId="14EB2278">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即使由于上述原因造成工期延误，如果受影响的工程并非处在工程施工进度网络计划的关键线路上，则承包人无权要求延长总工期。</w:t>
      </w:r>
    </w:p>
    <w:p w14:paraId="1EA16582">
      <w:pPr>
        <w:keepNext/>
        <w:keepLines/>
        <w:spacing w:line="440" w:lineRule="exact"/>
        <w:ind w:firstLine="482" w:firstLineChars="200"/>
        <w:rPr>
          <w:rFonts w:hint="eastAsia" w:ascii="宋体" w:hAnsi="宋体" w:cs="宋体"/>
          <w:b/>
          <w:bCs/>
          <w:kern w:val="44"/>
          <w:sz w:val="24"/>
          <w:szCs w:val="24"/>
        </w:rPr>
      </w:pPr>
      <w:bookmarkStart w:id="1086" w:name="_Toc513132333"/>
      <w:bookmarkStart w:id="1087" w:name="_Toc512689700"/>
      <w:bookmarkStart w:id="1088" w:name="_Toc479265587"/>
      <w:bookmarkStart w:id="1089" w:name="_Toc480282333"/>
      <w:bookmarkStart w:id="1090" w:name="_Toc513212853"/>
      <w:bookmarkStart w:id="1091" w:name="_Toc488083567"/>
      <w:bookmarkStart w:id="1092" w:name="_Toc3475572"/>
      <w:bookmarkStart w:id="1093" w:name="_Toc234382882"/>
      <w:bookmarkStart w:id="1094" w:name="_Toc479237758"/>
      <w:bookmarkStart w:id="1095" w:name="_Toc192710503"/>
      <w:r>
        <w:rPr>
          <w:rFonts w:hint="eastAsia" w:ascii="宋体" w:hAnsi="宋体" w:cs="宋体"/>
          <w:b/>
          <w:bCs/>
          <w:kern w:val="44"/>
          <w:sz w:val="24"/>
          <w:szCs w:val="24"/>
        </w:rPr>
        <w:t>11.4异常恶劣的气候条件</w:t>
      </w:r>
      <w:bookmarkEnd w:id="1086"/>
      <w:bookmarkEnd w:id="1087"/>
      <w:bookmarkEnd w:id="1088"/>
      <w:bookmarkEnd w:id="1089"/>
      <w:bookmarkEnd w:id="1090"/>
      <w:bookmarkEnd w:id="1091"/>
      <w:bookmarkEnd w:id="1092"/>
      <w:bookmarkEnd w:id="1093"/>
      <w:bookmarkEnd w:id="1094"/>
      <w:bookmarkEnd w:id="1095"/>
    </w:p>
    <w:p w14:paraId="11369F4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796F76B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异常气候条件是指项目所在地</w:t>
      </w:r>
      <w:r>
        <w:rPr>
          <w:rFonts w:ascii="宋体" w:hAnsi="宋体" w:cs="宋体"/>
          <w:kern w:val="0"/>
          <w:sz w:val="24"/>
          <w:szCs w:val="24"/>
        </w:rPr>
        <w:t>30</w:t>
      </w:r>
      <w:r>
        <w:rPr>
          <w:rFonts w:hint="eastAsia" w:ascii="宋体" w:hAnsi="宋体" w:cs="宋体"/>
          <w:kern w:val="0"/>
          <w:sz w:val="24"/>
          <w:szCs w:val="24"/>
        </w:rPr>
        <w:t>年一遇的罕见气候现象（包括温度、降水、降雪、风等）。异常恶劣的气候条件在项目专用合同条款中作具体规定。</w:t>
      </w:r>
    </w:p>
    <w:p w14:paraId="2EDFAD2B">
      <w:pPr>
        <w:keepNext/>
        <w:keepLines/>
        <w:spacing w:line="440" w:lineRule="exact"/>
        <w:ind w:firstLine="482" w:firstLineChars="200"/>
        <w:rPr>
          <w:rFonts w:hint="eastAsia" w:ascii="宋体" w:hAnsi="宋体" w:cs="宋体"/>
          <w:b/>
          <w:bCs/>
          <w:kern w:val="44"/>
          <w:sz w:val="24"/>
          <w:szCs w:val="24"/>
        </w:rPr>
      </w:pPr>
      <w:bookmarkStart w:id="1096" w:name="_Toc479265588"/>
      <w:bookmarkStart w:id="1097" w:name="_Toc512689701"/>
      <w:bookmarkStart w:id="1098" w:name="_Toc513212854"/>
      <w:bookmarkStart w:id="1099" w:name="_Toc488083568"/>
      <w:bookmarkStart w:id="1100" w:name="_Toc513132334"/>
      <w:bookmarkStart w:id="1101" w:name="_Toc480282334"/>
      <w:bookmarkStart w:id="1102" w:name="_Toc3475573"/>
      <w:bookmarkStart w:id="1103" w:name="_Toc192710504"/>
      <w:bookmarkStart w:id="1104" w:name="_Toc479237759"/>
      <w:bookmarkStart w:id="1105" w:name="_Toc234382883"/>
      <w:r>
        <w:rPr>
          <w:rFonts w:hint="eastAsia" w:ascii="宋体" w:hAnsi="宋体" w:cs="宋体"/>
          <w:b/>
          <w:bCs/>
          <w:kern w:val="44"/>
          <w:sz w:val="24"/>
          <w:szCs w:val="24"/>
        </w:rPr>
        <w:t>11.5承包人的工期延误</w:t>
      </w:r>
      <w:bookmarkEnd w:id="1096"/>
      <w:bookmarkEnd w:id="1097"/>
      <w:bookmarkEnd w:id="1098"/>
      <w:bookmarkEnd w:id="1099"/>
      <w:bookmarkEnd w:id="1100"/>
      <w:bookmarkEnd w:id="1101"/>
      <w:bookmarkEnd w:id="1102"/>
      <w:bookmarkEnd w:id="1103"/>
      <w:bookmarkEnd w:id="1104"/>
      <w:bookmarkEnd w:id="1105"/>
    </w:p>
    <w:p w14:paraId="61F34F2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71216AA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）承包人应严格执行监理人批准的合同进度计划，对工作量计划和形象进度计划分别控制。除</w:t>
      </w:r>
      <w:r>
        <w:rPr>
          <w:rFonts w:ascii="宋体" w:hAnsi="宋体" w:cs="宋体"/>
          <w:kern w:val="0"/>
          <w:sz w:val="24"/>
          <w:szCs w:val="24"/>
        </w:rPr>
        <w:t>11.3</w:t>
      </w:r>
      <w:r>
        <w:rPr>
          <w:rFonts w:hint="eastAsia" w:ascii="宋体" w:hAnsi="宋体" w:cs="宋体"/>
          <w:kern w:val="0"/>
          <w:sz w:val="24"/>
          <w:szCs w:val="24"/>
        </w:rPr>
        <w:t>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753584D0">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）如果承包人在接到监理人通知后的</w:t>
      </w:r>
      <w:r>
        <w:rPr>
          <w:rFonts w:ascii="宋体" w:hAnsi="宋体" w:cs="宋体"/>
          <w:kern w:val="0"/>
          <w:sz w:val="24"/>
          <w:szCs w:val="24"/>
        </w:rPr>
        <w:t>14</w:t>
      </w:r>
      <w:r>
        <w:rPr>
          <w:rFonts w:hint="eastAsia" w:ascii="宋体" w:hAnsi="宋体" w:cs="宋体"/>
          <w:kern w:val="0"/>
          <w:sz w:val="24"/>
          <w:szCs w:val="24"/>
        </w:rPr>
        <w:t>天内，未能采取加快工程进度的措施，致使实际工程进度进一步滞后，或承包人虽采取了一些措施，仍无法按预计工期交工时，监理人应立即通知发包人。发包人在向承包人发出书面警告通知</w:t>
      </w:r>
      <w:r>
        <w:rPr>
          <w:rFonts w:ascii="宋体" w:hAnsi="宋体" w:cs="宋体"/>
          <w:kern w:val="0"/>
          <w:sz w:val="24"/>
          <w:szCs w:val="24"/>
        </w:rPr>
        <w:t>14</w:t>
      </w:r>
      <w:r>
        <w:rPr>
          <w:rFonts w:hint="eastAsia" w:ascii="宋体" w:hAnsi="宋体" w:cs="宋体"/>
          <w:kern w:val="0"/>
          <w:sz w:val="24"/>
          <w:szCs w:val="24"/>
        </w:rPr>
        <w:t>天后，发包人可按第</w:t>
      </w:r>
      <w:r>
        <w:rPr>
          <w:rFonts w:ascii="宋体" w:hAnsi="宋体" w:cs="宋体"/>
          <w:kern w:val="0"/>
          <w:sz w:val="24"/>
          <w:szCs w:val="24"/>
        </w:rPr>
        <w:t>22.1</w:t>
      </w:r>
      <w:r>
        <w:rPr>
          <w:rFonts w:hint="eastAsia" w:ascii="宋体" w:hAnsi="宋体" w:cs="宋体"/>
          <w:kern w:val="0"/>
          <w:sz w:val="24"/>
          <w:szCs w:val="24"/>
        </w:rPr>
        <w:t>款终止对承包人的雇用，也可将本合同工程中的一部分工作交由其他承包人或其他分包人完成。在不解除本合同规定的承包人责任和义务的同时，承包人应承担因此所增加的一切费用。</w:t>
      </w:r>
    </w:p>
    <w:p w14:paraId="0071321E">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（3）由于承包人原因造成工期延误，承包人应支付逾期交工违约金 。逾期交工违约金的计算方法在项目专用合同条款数据表中约定，时间自预定的交工日期起到交工验收证书中 写明的实际交工日期止(扣除己批准的延长工期)，按天计算。逾期交工违约金累计金额最高不超过项目专用合同条款数据表中写明的限额。发包人可以从应付或到期应付给承包人的任何 款项中或采用其他方法扣除此违约金。</w:t>
      </w:r>
    </w:p>
    <w:p w14:paraId="1190DA7F">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（4）承包人支付逾期竣工建约金，不免除承包人完成工程及修补缺陷的义务。</w:t>
      </w:r>
    </w:p>
    <w:p w14:paraId="2015A02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5）如果在合同工作完工之前，已对合同工程内按时完工的单位工程签发了工程接收证书，则合同工程的逾期竣工违约金，应按已签发工程接收证书的单位工程的价值占合同工程价值的比例予以减少，但本规定不应影响逾期竣工违约金的规定限额。</w:t>
      </w:r>
    </w:p>
    <w:p w14:paraId="0BD75FDF">
      <w:pPr>
        <w:keepNext/>
        <w:keepLines/>
        <w:spacing w:line="440" w:lineRule="exact"/>
        <w:ind w:firstLine="482" w:firstLineChars="200"/>
        <w:rPr>
          <w:rFonts w:hint="eastAsia" w:ascii="宋体" w:hAnsi="宋体" w:cs="宋体"/>
          <w:b/>
          <w:bCs/>
          <w:kern w:val="44"/>
          <w:sz w:val="24"/>
          <w:szCs w:val="24"/>
        </w:rPr>
      </w:pPr>
      <w:bookmarkStart w:id="1106" w:name="_Toc513132335"/>
      <w:bookmarkStart w:id="1107" w:name="_Toc192710505"/>
      <w:bookmarkStart w:id="1108" w:name="_Toc488083569"/>
      <w:bookmarkStart w:id="1109" w:name="_Toc480282335"/>
      <w:bookmarkStart w:id="1110" w:name="_Toc479237760"/>
      <w:bookmarkStart w:id="1111" w:name="_Toc234382884"/>
      <w:bookmarkStart w:id="1112" w:name="_Toc3475574"/>
      <w:bookmarkStart w:id="1113" w:name="_Toc512689702"/>
      <w:bookmarkStart w:id="1114" w:name="_Toc513212855"/>
      <w:bookmarkStart w:id="1115" w:name="_Toc479265589"/>
      <w:r>
        <w:rPr>
          <w:rFonts w:hint="eastAsia" w:ascii="宋体" w:hAnsi="宋体" w:cs="宋体"/>
          <w:b/>
          <w:bCs/>
          <w:kern w:val="44"/>
          <w:sz w:val="24"/>
          <w:szCs w:val="24"/>
        </w:rPr>
        <w:t>11．6工期提前</w:t>
      </w:r>
      <w:bookmarkEnd w:id="1106"/>
      <w:bookmarkEnd w:id="1107"/>
      <w:bookmarkEnd w:id="1108"/>
      <w:bookmarkEnd w:id="1109"/>
      <w:bookmarkEnd w:id="1110"/>
      <w:bookmarkEnd w:id="1111"/>
      <w:bookmarkEnd w:id="1112"/>
      <w:bookmarkEnd w:id="1113"/>
      <w:bookmarkEnd w:id="1114"/>
      <w:bookmarkEnd w:id="1115"/>
    </w:p>
    <w:p w14:paraId="21AB5546">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本款补充：</w:t>
      </w:r>
    </w:p>
    <w:p w14:paraId="02836E66">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发包人不得随意要求承包人提前交工，承包人也不得随意提出提前交工的建议。如遇特殊情况，确需将工期提前的，发包人和承包人必须采取有效措施，确保工程质量。</w:t>
      </w:r>
    </w:p>
    <w:p w14:paraId="51EA66C9">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0B7BF141">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补充11.7款：</w:t>
      </w:r>
    </w:p>
    <w:p w14:paraId="435CE48F">
      <w:pPr>
        <w:keepNext/>
        <w:keepLines/>
        <w:spacing w:line="440" w:lineRule="exact"/>
        <w:ind w:firstLine="482" w:firstLineChars="200"/>
        <w:rPr>
          <w:rFonts w:hint="eastAsia" w:ascii="宋体" w:hAnsi="宋体" w:cs="宋体"/>
          <w:b/>
          <w:bCs/>
          <w:kern w:val="44"/>
          <w:sz w:val="24"/>
          <w:szCs w:val="24"/>
        </w:rPr>
      </w:pPr>
      <w:bookmarkStart w:id="1116" w:name="_Toc479265590"/>
      <w:bookmarkStart w:id="1117" w:name="_Toc234382885"/>
      <w:bookmarkStart w:id="1118" w:name="_Toc480282336"/>
      <w:bookmarkStart w:id="1119" w:name="_Toc479237761"/>
      <w:bookmarkStart w:id="1120" w:name="_Toc488083570"/>
      <w:bookmarkStart w:id="1121" w:name="_Toc512689703"/>
      <w:bookmarkStart w:id="1122" w:name="_Toc192710506"/>
      <w:bookmarkStart w:id="1123" w:name="_Toc3475575"/>
      <w:bookmarkStart w:id="1124" w:name="_Toc513212856"/>
      <w:bookmarkStart w:id="1125" w:name="_Toc513132336"/>
      <w:r>
        <w:rPr>
          <w:rFonts w:hint="eastAsia" w:ascii="宋体" w:hAnsi="宋体" w:cs="宋体"/>
          <w:b/>
          <w:bCs/>
          <w:kern w:val="44"/>
          <w:sz w:val="24"/>
          <w:szCs w:val="24"/>
        </w:rPr>
        <w:t>11．7工作时间的限制</w:t>
      </w:r>
      <w:bookmarkEnd w:id="1116"/>
      <w:bookmarkEnd w:id="1117"/>
      <w:bookmarkEnd w:id="1118"/>
      <w:bookmarkEnd w:id="1119"/>
      <w:bookmarkEnd w:id="1120"/>
      <w:bookmarkEnd w:id="1121"/>
      <w:bookmarkEnd w:id="1122"/>
      <w:bookmarkEnd w:id="1123"/>
      <w:bookmarkEnd w:id="1124"/>
      <w:bookmarkEnd w:id="1125"/>
    </w:p>
    <w:p w14:paraId="47FAD3B5">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承包人在夜间或国家规定的节假日进行永久工程的施工，应向监理人报告，以便监理人履行监理人履行监理职责和义务。</w:t>
      </w:r>
    </w:p>
    <w:p w14:paraId="42625D41">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但是，为了抢救生命或保护财产，或为了工程的安全、质量而不可避免地短暂作业，则不必事先向监理人报告。但承包人应在事后立即向监理人报告。</w:t>
      </w:r>
    </w:p>
    <w:p w14:paraId="08C349B5">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本款规定不适用于习惯上或施工本身要求实行连续生产的作业。</w:t>
      </w:r>
    </w:p>
    <w:p w14:paraId="2EEE3883">
      <w:pPr>
        <w:keepNext/>
        <w:keepLines/>
        <w:spacing w:line="440" w:lineRule="exact"/>
        <w:ind w:firstLine="482" w:firstLineChars="200"/>
        <w:rPr>
          <w:rFonts w:hint="eastAsia" w:ascii="宋体" w:hAnsi="宋体" w:cs="宋体"/>
          <w:b/>
          <w:bCs/>
          <w:kern w:val="44"/>
          <w:sz w:val="24"/>
          <w:szCs w:val="24"/>
        </w:rPr>
      </w:pPr>
      <w:bookmarkStart w:id="1126" w:name="_Toc479237762"/>
      <w:bookmarkStart w:id="1127" w:name="_Toc488083571"/>
      <w:bookmarkStart w:id="1128" w:name="_Toc192710507"/>
      <w:bookmarkStart w:id="1129" w:name="_Toc512689704"/>
      <w:bookmarkStart w:id="1130" w:name="_Toc234382886"/>
      <w:bookmarkStart w:id="1131" w:name="_Toc479265591"/>
      <w:bookmarkStart w:id="1132" w:name="_Toc513132337"/>
      <w:bookmarkStart w:id="1133" w:name="_Toc513212857"/>
      <w:bookmarkStart w:id="1134" w:name="_Toc3475576"/>
      <w:bookmarkStart w:id="1135" w:name="_Toc480282337"/>
      <w:r>
        <w:rPr>
          <w:rFonts w:hint="eastAsia" w:ascii="宋体" w:hAnsi="宋体" w:cs="宋体"/>
          <w:b/>
          <w:bCs/>
          <w:kern w:val="44"/>
          <w:sz w:val="24"/>
          <w:szCs w:val="24"/>
        </w:rPr>
        <w:t>12．暂停施工</w:t>
      </w:r>
      <w:bookmarkEnd w:id="1126"/>
      <w:bookmarkEnd w:id="1127"/>
      <w:bookmarkEnd w:id="1128"/>
      <w:bookmarkEnd w:id="1129"/>
      <w:bookmarkEnd w:id="1130"/>
      <w:bookmarkEnd w:id="1131"/>
      <w:bookmarkEnd w:id="1132"/>
      <w:bookmarkEnd w:id="1133"/>
      <w:bookmarkEnd w:id="1134"/>
      <w:bookmarkEnd w:id="1135"/>
    </w:p>
    <w:p w14:paraId="40687676">
      <w:pPr>
        <w:keepNext/>
        <w:keepLines/>
        <w:spacing w:line="440" w:lineRule="exact"/>
        <w:ind w:firstLine="482" w:firstLineChars="200"/>
        <w:rPr>
          <w:rFonts w:hint="eastAsia" w:ascii="宋体" w:hAnsi="宋体" w:cs="宋体"/>
          <w:b/>
          <w:bCs/>
          <w:kern w:val="44"/>
          <w:sz w:val="24"/>
          <w:szCs w:val="24"/>
        </w:rPr>
      </w:pPr>
      <w:bookmarkStart w:id="1136" w:name="_Toc3475577"/>
      <w:bookmarkStart w:id="1137" w:name="_Toc480282338"/>
      <w:bookmarkStart w:id="1138" w:name="_Toc513212858"/>
      <w:bookmarkStart w:id="1139" w:name="_Toc234382887"/>
      <w:bookmarkStart w:id="1140" w:name="_Toc479237763"/>
      <w:bookmarkStart w:id="1141" w:name="_Toc192710508"/>
      <w:bookmarkStart w:id="1142" w:name="_Toc512689705"/>
      <w:bookmarkStart w:id="1143" w:name="_Toc513132338"/>
      <w:bookmarkStart w:id="1144" w:name="_Toc488083572"/>
      <w:bookmarkStart w:id="1145" w:name="_Toc479265592"/>
      <w:r>
        <w:rPr>
          <w:rFonts w:hint="eastAsia" w:ascii="宋体" w:hAnsi="宋体" w:cs="宋体"/>
          <w:b/>
          <w:bCs/>
          <w:kern w:val="44"/>
          <w:sz w:val="24"/>
          <w:szCs w:val="24"/>
        </w:rPr>
        <w:t>12．1承包人暂停施工的责任</w:t>
      </w:r>
      <w:bookmarkEnd w:id="1136"/>
      <w:bookmarkEnd w:id="1137"/>
      <w:bookmarkEnd w:id="1138"/>
      <w:bookmarkEnd w:id="1139"/>
      <w:bookmarkEnd w:id="1140"/>
      <w:bookmarkEnd w:id="1141"/>
      <w:bookmarkEnd w:id="1142"/>
      <w:bookmarkEnd w:id="1143"/>
      <w:bookmarkEnd w:id="1144"/>
      <w:bookmarkEnd w:id="1145"/>
    </w:p>
    <w:p w14:paraId="221D37C4">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本款第（5）项细化为：</w:t>
      </w:r>
    </w:p>
    <w:p w14:paraId="158807FF">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（5）现场气候条件导致的必要停工（第11.4款规定的异常恶劣的气候条件除外）；</w:t>
      </w:r>
    </w:p>
    <w:p w14:paraId="0B27292C">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（6）项目专用合同条款约定的由承包人承担的其他暂停施工。</w:t>
      </w:r>
    </w:p>
    <w:p w14:paraId="016EA426">
      <w:pPr>
        <w:keepNext/>
        <w:keepLines/>
        <w:spacing w:line="440" w:lineRule="exact"/>
        <w:ind w:firstLine="482" w:firstLineChars="200"/>
        <w:rPr>
          <w:rFonts w:hint="eastAsia" w:ascii="宋体" w:hAnsi="宋体" w:cs="宋体"/>
          <w:b/>
          <w:bCs/>
          <w:kern w:val="44"/>
          <w:sz w:val="24"/>
          <w:szCs w:val="24"/>
        </w:rPr>
      </w:pPr>
      <w:bookmarkStart w:id="1146" w:name="_Toc480282339"/>
      <w:bookmarkStart w:id="1147" w:name="_Toc479265593"/>
      <w:bookmarkStart w:id="1148" w:name="_Toc3475578"/>
      <w:bookmarkStart w:id="1149" w:name="_Toc192710509"/>
      <w:bookmarkStart w:id="1150" w:name="_Toc513212859"/>
      <w:bookmarkStart w:id="1151" w:name="_Toc513132339"/>
      <w:bookmarkStart w:id="1152" w:name="_Toc512689706"/>
      <w:bookmarkStart w:id="1153" w:name="_Toc234382888"/>
      <w:bookmarkStart w:id="1154" w:name="_Toc488083573"/>
      <w:bookmarkStart w:id="1155" w:name="_Toc479237764"/>
      <w:r>
        <w:rPr>
          <w:rFonts w:hint="eastAsia" w:ascii="宋体" w:hAnsi="宋体" w:cs="宋体"/>
          <w:b/>
          <w:bCs/>
          <w:kern w:val="44"/>
          <w:sz w:val="24"/>
          <w:szCs w:val="24"/>
        </w:rPr>
        <w:t>13．工程质量</w:t>
      </w:r>
      <w:bookmarkEnd w:id="1146"/>
      <w:bookmarkEnd w:id="1147"/>
      <w:bookmarkEnd w:id="1148"/>
      <w:bookmarkEnd w:id="1149"/>
      <w:bookmarkEnd w:id="1150"/>
      <w:bookmarkEnd w:id="1151"/>
      <w:bookmarkEnd w:id="1152"/>
      <w:bookmarkEnd w:id="1153"/>
      <w:bookmarkEnd w:id="1154"/>
      <w:bookmarkEnd w:id="1155"/>
    </w:p>
    <w:p w14:paraId="618E3C3D">
      <w:pPr>
        <w:keepNext/>
        <w:keepLines/>
        <w:spacing w:line="440" w:lineRule="exact"/>
        <w:ind w:firstLine="482" w:firstLineChars="200"/>
        <w:rPr>
          <w:rFonts w:hint="eastAsia" w:ascii="宋体" w:hAnsi="宋体" w:cs="宋体"/>
          <w:b/>
          <w:bCs/>
          <w:kern w:val="44"/>
          <w:sz w:val="24"/>
          <w:szCs w:val="24"/>
        </w:rPr>
      </w:pPr>
      <w:bookmarkStart w:id="1156" w:name="_Toc513132340"/>
      <w:bookmarkStart w:id="1157" w:name="_Toc3475579"/>
      <w:bookmarkStart w:id="1158" w:name="_Toc479265594"/>
      <w:bookmarkStart w:id="1159" w:name="_Toc488083574"/>
      <w:bookmarkStart w:id="1160" w:name="_Toc513212860"/>
      <w:bookmarkStart w:id="1161" w:name="_Toc480282340"/>
      <w:bookmarkStart w:id="1162" w:name="_Toc512689707"/>
      <w:bookmarkStart w:id="1163" w:name="_Toc479237765"/>
      <w:bookmarkStart w:id="1164" w:name="_Toc192710510"/>
      <w:bookmarkStart w:id="1165" w:name="_Toc234382889"/>
      <w:r>
        <w:rPr>
          <w:rFonts w:hint="eastAsia" w:ascii="宋体" w:hAnsi="宋体" w:cs="宋体"/>
          <w:b/>
          <w:bCs/>
          <w:kern w:val="44"/>
          <w:sz w:val="24"/>
          <w:szCs w:val="24"/>
        </w:rPr>
        <w:t>13．1工程质量要求</w:t>
      </w:r>
      <w:bookmarkEnd w:id="1156"/>
      <w:bookmarkEnd w:id="1157"/>
      <w:bookmarkEnd w:id="1158"/>
      <w:bookmarkEnd w:id="1159"/>
      <w:bookmarkEnd w:id="1160"/>
      <w:bookmarkEnd w:id="1161"/>
      <w:bookmarkEnd w:id="1162"/>
      <w:bookmarkEnd w:id="1163"/>
      <w:bookmarkEnd w:id="1164"/>
      <w:bookmarkEnd w:id="1165"/>
    </w:p>
    <w:p w14:paraId="730DDD5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13.1.1</w:t>
      </w:r>
      <w:r>
        <w:rPr>
          <w:rFonts w:hint="eastAsia" w:ascii="宋体" w:hAnsi="宋体" w:cs="宋体"/>
          <w:kern w:val="0"/>
          <w:sz w:val="24"/>
          <w:szCs w:val="24"/>
        </w:rPr>
        <w:t>项约定为：</w:t>
      </w:r>
    </w:p>
    <w:p w14:paraId="6AC7199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工程质量验收按技术规范及《公路工程质量检验评定标准》执行。</w:t>
      </w:r>
    </w:p>
    <w:p w14:paraId="4494A21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13.1.4</w:t>
      </w:r>
      <w:r>
        <w:rPr>
          <w:rFonts w:hint="eastAsia" w:ascii="宋体" w:hAnsi="宋体" w:cs="宋体"/>
          <w:kern w:val="0"/>
          <w:sz w:val="24"/>
          <w:szCs w:val="24"/>
        </w:rPr>
        <w:t>和</w:t>
      </w:r>
      <w:r>
        <w:rPr>
          <w:rFonts w:ascii="宋体" w:hAnsi="宋体" w:cs="宋体"/>
          <w:kern w:val="0"/>
          <w:sz w:val="24"/>
          <w:szCs w:val="24"/>
        </w:rPr>
        <w:t>13.1.5</w:t>
      </w:r>
      <w:r>
        <w:rPr>
          <w:rFonts w:hint="eastAsia" w:ascii="宋体" w:hAnsi="宋体" w:cs="宋体"/>
          <w:kern w:val="0"/>
          <w:sz w:val="24"/>
          <w:szCs w:val="24"/>
        </w:rPr>
        <w:t>项：</w:t>
      </w:r>
    </w:p>
    <w:p w14:paraId="29983C62">
      <w:pPr>
        <w:spacing w:line="440" w:lineRule="exact"/>
        <w:ind w:firstLine="480" w:firstLineChars="200"/>
        <w:rPr>
          <w:rFonts w:ascii="宋体" w:hAnsi="宋体" w:cs="宋体"/>
          <w:kern w:val="0"/>
          <w:sz w:val="24"/>
          <w:szCs w:val="24"/>
        </w:rPr>
      </w:pPr>
      <w:r>
        <w:rPr>
          <w:rFonts w:ascii="宋体" w:hAnsi="宋体" w:cs="宋体"/>
          <w:kern w:val="0"/>
          <w:sz w:val="24"/>
          <w:szCs w:val="24"/>
        </w:rPr>
        <w:t>13.1.4</w:t>
      </w:r>
      <w:r>
        <w:rPr>
          <w:rFonts w:hint="eastAsia" w:ascii="宋体" w:hAnsi="宋体" w:cs="宋体"/>
          <w:kern w:val="0"/>
          <w:sz w:val="24"/>
          <w:szCs w:val="24"/>
        </w:rPr>
        <w:t>发包人和承包人应严格遵守《关于严格落实公路工程质量责任制的若干意见》的相关规定，认真执行工程质量责任登记制度并按要求填写工程质量责任登记表。</w:t>
      </w:r>
    </w:p>
    <w:p w14:paraId="3B58F464">
      <w:pPr>
        <w:spacing w:line="440" w:lineRule="exact"/>
        <w:ind w:firstLine="480" w:firstLineChars="200"/>
        <w:rPr>
          <w:rFonts w:ascii="宋体" w:hAnsi="宋体" w:cs="宋体"/>
          <w:kern w:val="0"/>
          <w:sz w:val="24"/>
          <w:szCs w:val="24"/>
        </w:rPr>
      </w:pPr>
      <w:r>
        <w:rPr>
          <w:rFonts w:ascii="宋体" w:hAnsi="宋体" w:cs="宋体"/>
          <w:kern w:val="0"/>
          <w:sz w:val="24"/>
          <w:szCs w:val="24"/>
        </w:rPr>
        <w:t>13.1.5</w:t>
      </w:r>
      <w:r>
        <w:rPr>
          <w:rFonts w:hint="eastAsia" w:ascii="宋体" w:hAnsi="宋体" w:cs="宋体"/>
          <w:kern w:val="0"/>
          <w:sz w:val="24"/>
          <w:szCs w:val="24"/>
        </w:rPr>
        <w:t>本项目严格执行质量责任追究制度。质量事故处理实行“四不放过”原则：事故原因调查不清不放过；事故责任者没有受到教育不放过；没有防范措施不放过；相关责任人没受到处理不放过。</w:t>
      </w:r>
    </w:p>
    <w:p w14:paraId="5B3ECC41">
      <w:pPr>
        <w:keepNext/>
        <w:keepLines/>
        <w:spacing w:line="440" w:lineRule="exact"/>
        <w:ind w:firstLine="482" w:firstLineChars="200"/>
        <w:rPr>
          <w:rFonts w:hint="eastAsia" w:ascii="宋体" w:hAnsi="宋体" w:cs="宋体"/>
          <w:b/>
          <w:bCs/>
          <w:kern w:val="44"/>
          <w:sz w:val="24"/>
          <w:szCs w:val="24"/>
        </w:rPr>
      </w:pPr>
      <w:bookmarkStart w:id="1166" w:name="_Toc480282341"/>
      <w:bookmarkStart w:id="1167" w:name="_Toc512689708"/>
      <w:bookmarkStart w:id="1168" w:name="_Toc513212861"/>
      <w:bookmarkStart w:id="1169" w:name="_Toc479265595"/>
      <w:bookmarkStart w:id="1170" w:name="_Toc479237766"/>
      <w:bookmarkStart w:id="1171" w:name="_Toc488083575"/>
      <w:bookmarkStart w:id="1172" w:name="_Toc192710511"/>
      <w:bookmarkStart w:id="1173" w:name="_Toc3475580"/>
      <w:bookmarkStart w:id="1174" w:name="_Toc234382890"/>
      <w:bookmarkStart w:id="1175" w:name="_Toc513132341"/>
      <w:r>
        <w:rPr>
          <w:rFonts w:hint="eastAsia" w:ascii="宋体" w:hAnsi="宋体" w:cs="宋体"/>
          <w:b/>
          <w:bCs/>
          <w:kern w:val="44"/>
          <w:sz w:val="24"/>
          <w:szCs w:val="24"/>
        </w:rPr>
        <w:t>13．2承包人的质量管理</w:t>
      </w:r>
      <w:bookmarkEnd w:id="1166"/>
      <w:bookmarkEnd w:id="1167"/>
      <w:bookmarkEnd w:id="1168"/>
      <w:bookmarkEnd w:id="1169"/>
      <w:bookmarkEnd w:id="1170"/>
      <w:bookmarkEnd w:id="1171"/>
      <w:bookmarkEnd w:id="1172"/>
      <w:bookmarkEnd w:id="1173"/>
      <w:bookmarkEnd w:id="1174"/>
      <w:bookmarkEnd w:id="1175"/>
    </w:p>
    <w:p w14:paraId="41B7B4C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13.2.1</w:t>
      </w:r>
      <w:r>
        <w:rPr>
          <w:rFonts w:hint="eastAsia" w:ascii="宋体" w:hAnsi="宋体" w:cs="宋体"/>
          <w:kern w:val="0"/>
          <w:sz w:val="24"/>
          <w:szCs w:val="24"/>
        </w:rPr>
        <w:t>项补充：</w:t>
      </w:r>
    </w:p>
    <w:p w14:paraId="4674C67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承包人提交工程质量保证措施文件的期限：签订合同协议书后</w:t>
      </w:r>
      <w:r>
        <w:rPr>
          <w:rFonts w:ascii="宋体" w:hAnsi="宋体" w:cs="宋体"/>
          <w:kern w:val="0"/>
          <w:sz w:val="24"/>
          <w:szCs w:val="24"/>
        </w:rPr>
        <w:t>28</w:t>
      </w:r>
      <w:r>
        <w:rPr>
          <w:rFonts w:hint="eastAsia" w:ascii="宋体" w:hAnsi="宋体" w:cs="宋体"/>
          <w:kern w:val="0"/>
          <w:sz w:val="24"/>
          <w:szCs w:val="24"/>
        </w:rPr>
        <w:t>天之内。</w:t>
      </w:r>
    </w:p>
    <w:p w14:paraId="5D95BEC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13.2.3</w:t>
      </w:r>
      <w:r>
        <w:rPr>
          <w:rFonts w:hint="eastAsia" w:ascii="宋体" w:hAnsi="宋体" w:cs="宋体"/>
          <w:kern w:val="0"/>
          <w:sz w:val="24"/>
          <w:szCs w:val="24"/>
        </w:rPr>
        <w:t>项～第</w:t>
      </w:r>
      <w:r>
        <w:rPr>
          <w:rFonts w:ascii="宋体" w:hAnsi="宋体" w:cs="宋体"/>
          <w:kern w:val="0"/>
          <w:sz w:val="24"/>
          <w:szCs w:val="24"/>
        </w:rPr>
        <w:t>13.2.6</w:t>
      </w:r>
      <w:r>
        <w:rPr>
          <w:rFonts w:hint="eastAsia" w:ascii="宋体" w:hAnsi="宋体" w:cs="宋体"/>
          <w:kern w:val="0"/>
          <w:sz w:val="24"/>
          <w:szCs w:val="24"/>
        </w:rPr>
        <w:t>项：</w:t>
      </w:r>
    </w:p>
    <w:p w14:paraId="237CC7BC">
      <w:pPr>
        <w:spacing w:line="440" w:lineRule="exact"/>
        <w:ind w:firstLine="480" w:firstLineChars="200"/>
        <w:rPr>
          <w:rFonts w:ascii="宋体" w:hAnsi="宋体" w:cs="宋体"/>
          <w:kern w:val="0"/>
          <w:sz w:val="24"/>
          <w:szCs w:val="24"/>
        </w:rPr>
      </w:pPr>
      <w:r>
        <w:rPr>
          <w:rFonts w:ascii="宋体" w:hAnsi="宋体" w:cs="宋体"/>
          <w:kern w:val="0"/>
          <w:sz w:val="24"/>
          <w:szCs w:val="24"/>
        </w:rPr>
        <w:t>13.2.3公路工程施行质量责任终身制 。承包人应当书面明确相应的项目负责人和质量负责人。承包人的相关人员按照国家法律法规和有关规定在工程合理使用年限内承担相应的质量责任。</w:t>
      </w:r>
    </w:p>
    <w:p w14:paraId="30B89807">
      <w:pPr>
        <w:spacing w:line="440" w:lineRule="exact"/>
        <w:ind w:firstLine="480" w:firstLineChars="200"/>
        <w:rPr>
          <w:rFonts w:ascii="宋体" w:hAnsi="宋体" w:cs="宋体"/>
          <w:kern w:val="0"/>
          <w:sz w:val="24"/>
          <w:szCs w:val="24"/>
        </w:rPr>
      </w:pPr>
      <w:r>
        <w:rPr>
          <w:rFonts w:ascii="宋体" w:hAnsi="宋体" w:cs="宋体"/>
          <w:kern w:val="0"/>
          <w:sz w:val="24"/>
          <w:szCs w:val="24"/>
        </w:rPr>
        <w:t>13.2.4承包人应当建立健全工程质量保证体系，制定质量管理制度，强化工程质量管理措施，完善工程质量目标保障机制;严格遵守国家有关法律、法规和规章，严格执行公路工程强制性技术标准</w:t>
      </w:r>
      <w:r>
        <w:rPr>
          <w:rFonts w:hint="eastAsia" w:ascii="宋体" w:hAnsi="宋体" w:cs="宋体"/>
          <w:kern w:val="0"/>
          <w:sz w:val="24"/>
          <w:szCs w:val="24"/>
        </w:rPr>
        <w:t>、</w:t>
      </w:r>
      <w:r>
        <w:rPr>
          <w:rFonts w:ascii="宋体" w:hAnsi="宋体" w:cs="宋体"/>
          <w:kern w:val="0"/>
          <w:sz w:val="24"/>
          <w:szCs w:val="24"/>
        </w:rPr>
        <w:t>各类技术规范及规程，全面履行工程合同义务 。</w:t>
      </w:r>
    </w:p>
    <w:p w14:paraId="2F08FC5F">
      <w:pPr>
        <w:spacing w:line="440" w:lineRule="exact"/>
        <w:ind w:firstLine="480" w:firstLineChars="200"/>
        <w:rPr>
          <w:rFonts w:ascii="宋体" w:hAnsi="宋体" w:cs="宋体"/>
          <w:kern w:val="0"/>
          <w:sz w:val="24"/>
          <w:szCs w:val="24"/>
        </w:rPr>
      </w:pPr>
      <w:r>
        <w:rPr>
          <w:rFonts w:ascii="宋体" w:hAnsi="宋体" w:cs="宋体"/>
          <w:kern w:val="0"/>
          <w:sz w:val="24"/>
          <w:szCs w:val="24"/>
        </w:rPr>
        <w:t>13.2.5承包人对工程施工质量负责</w:t>
      </w:r>
      <w:r>
        <w:rPr>
          <w:rFonts w:hint="eastAsia" w:ascii="宋体" w:hAnsi="宋体" w:cs="宋体"/>
          <w:kern w:val="0"/>
          <w:sz w:val="24"/>
          <w:szCs w:val="24"/>
        </w:rPr>
        <w:t>，</w:t>
      </w:r>
      <w:r>
        <w:rPr>
          <w:rFonts w:ascii="宋体" w:hAnsi="宋体" w:cs="宋体"/>
          <w:kern w:val="0"/>
          <w:sz w:val="24"/>
          <w:szCs w:val="24"/>
        </w:rPr>
        <w:t>应当按合同约定设立现场质量管理机构、配备工程技术人员和质量管理人员，落实工程施工质量责任制 。</w:t>
      </w:r>
    </w:p>
    <w:p w14:paraId="4D58F6CB">
      <w:pPr>
        <w:spacing w:line="440" w:lineRule="exact"/>
        <w:ind w:firstLine="480" w:firstLineChars="200"/>
        <w:rPr>
          <w:rFonts w:hint="eastAsia" w:ascii="宋体" w:hAnsi="宋体" w:cs="宋体"/>
          <w:kern w:val="0"/>
          <w:sz w:val="24"/>
          <w:szCs w:val="24"/>
        </w:rPr>
      </w:pPr>
      <w:r>
        <w:rPr>
          <w:rFonts w:ascii="宋体" w:hAnsi="宋体" w:cs="宋体"/>
          <w:kern w:val="0"/>
          <w:sz w:val="24"/>
          <w:szCs w:val="24"/>
        </w:rPr>
        <w:t>13.2.6承包人应当严格按照工程设计图纸、施工技术标准和合同约定施工，对原材料 、混合料 、构配件、工程实体、机电设备等进行检验 :按规定施行班组自检、工序交接检、专职质检员检验的质量控制程序:对分项工程、分部工程和单位工程进行质量自评。检验或者自评不合格的，不得进入下道工序或者投入使用。</w:t>
      </w:r>
    </w:p>
    <w:p w14:paraId="5BCDD789">
      <w:pPr>
        <w:keepNext/>
        <w:keepLines/>
        <w:spacing w:line="440" w:lineRule="exact"/>
        <w:ind w:firstLine="482" w:firstLineChars="200"/>
        <w:rPr>
          <w:rFonts w:hint="eastAsia" w:ascii="宋体" w:hAnsi="宋体" w:cs="宋体"/>
          <w:b/>
          <w:bCs/>
          <w:kern w:val="44"/>
          <w:sz w:val="24"/>
          <w:szCs w:val="24"/>
        </w:rPr>
      </w:pPr>
      <w:bookmarkStart w:id="1176" w:name="_Toc512689709"/>
      <w:bookmarkStart w:id="1177" w:name="_Toc513132342"/>
      <w:bookmarkStart w:id="1178" w:name="_Toc192710512"/>
      <w:bookmarkStart w:id="1179" w:name="_Toc3475581"/>
      <w:bookmarkStart w:id="1180" w:name="_Toc479237767"/>
      <w:bookmarkStart w:id="1181" w:name="_Toc480282342"/>
      <w:bookmarkStart w:id="1182" w:name="_Toc513212862"/>
      <w:bookmarkStart w:id="1183" w:name="_Toc234382891"/>
      <w:bookmarkStart w:id="1184" w:name="_Toc479265596"/>
      <w:bookmarkStart w:id="1185" w:name="_Toc488083576"/>
      <w:r>
        <w:rPr>
          <w:rFonts w:hint="eastAsia" w:ascii="宋体" w:hAnsi="宋体" w:cs="宋体"/>
          <w:b/>
          <w:bCs/>
          <w:kern w:val="44"/>
          <w:sz w:val="24"/>
          <w:szCs w:val="24"/>
        </w:rPr>
        <w:t>13．4监理人的质量检查</w:t>
      </w:r>
      <w:bookmarkEnd w:id="1176"/>
      <w:bookmarkEnd w:id="1177"/>
      <w:bookmarkEnd w:id="1178"/>
      <w:bookmarkEnd w:id="1179"/>
      <w:bookmarkEnd w:id="1180"/>
      <w:bookmarkEnd w:id="1181"/>
      <w:bookmarkEnd w:id="1182"/>
      <w:bookmarkEnd w:id="1183"/>
      <w:bookmarkEnd w:id="1184"/>
      <w:bookmarkEnd w:id="1185"/>
    </w:p>
    <w:p w14:paraId="7546409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w:t>
      </w:r>
    </w:p>
    <w:p w14:paraId="11E41CC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监理人及其委派的检验人员，应能进入工程现场，以及材料或工程设备的制造、加工或制配的车间和场所，包括不属于承包人的车间或场所进行检查，承包人应为此提供便利和协助。</w:t>
      </w:r>
    </w:p>
    <w:p w14:paraId="3050B23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监理人可以将材料或工程设备的检查委托给一家独立的有质量检验认证资格的检验单位。该独立检验单位的检验结果应视为监理人完成的。监理人应将这种委托的通知书不少于</w:t>
      </w:r>
      <w:r>
        <w:rPr>
          <w:rFonts w:ascii="宋体" w:hAnsi="宋体" w:cs="宋体"/>
          <w:kern w:val="0"/>
          <w:sz w:val="24"/>
          <w:szCs w:val="24"/>
        </w:rPr>
        <w:t>7</w:t>
      </w:r>
      <w:r>
        <w:rPr>
          <w:rFonts w:hint="eastAsia" w:ascii="宋体" w:hAnsi="宋体" w:cs="宋体"/>
          <w:kern w:val="0"/>
          <w:sz w:val="24"/>
          <w:szCs w:val="24"/>
        </w:rPr>
        <w:t>天交给承包人。</w:t>
      </w:r>
    </w:p>
    <w:p w14:paraId="2F94675F">
      <w:pPr>
        <w:keepNext/>
        <w:keepLines/>
        <w:spacing w:line="440" w:lineRule="exact"/>
        <w:ind w:firstLine="482" w:firstLineChars="200"/>
        <w:rPr>
          <w:rFonts w:hint="eastAsia" w:ascii="宋体" w:hAnsi="宋体" w:cs="宋体"/>
          <w:b/>
          <w:bCs/>
          <w:kern w:val="44"/>
          <w:sz w:val="24"/>
          <w:szCs w:val="24"/>
        </w:rPr>
      </w:pPr>
      <w:bookmarkStart w:id="1186" w:name="_Toc488083578"/>
      <w:bookmarkStart w:id="1187" w:name="_Toc3475583"/>
      <w:bookmarkStart w:id="1188" w:name="_Toc192710514"/>
      <w:bookmarkStart w:id="1189" w:name="_Toc479265598"/>
      <w:bookmarkStart w:id="1190" w:name="_Toc513212864"/>
      <w:bookmarkStart w:id="1191" w:name="_Toc513132344"/>
      <w:bookmarkStart w:id="1192" w:name="_Toc234382893"/>
      <w:bookmarkStart w:id="1193" w:name="_Toc512689711"/>
      <w:bookmarkStart w:id="1194" w:name="_Toc480282344"/>
      <w:bookmarkStart w:id="1195" w:name="_Toc479237769"/>
      <w:r>
        <w:rPr>
          <w:rFonts w:hint="eastAsia" w:ascii="宋体" w:hAnsi="宋体" w:cs="宋体"/>
          <w:b/>
          <w:bCs/>
          <w:kern w:val="44"/>
          <w:sz w:val="24"/>
          <w:szCs w:val="24"/>
        </w:rPr>
        <w:t>13．6清除不合格工程</w:t>
      </w:r>
      <w:bookmarkEnd w:id="1186"/>
      <w:bookmarkEnd w:id="1187"/>
      <w:bookmarkEnd w:id="1188"/>
      <w:bookmarkEnd w:id="1189"/>
      <w:bookmarkEnd w:id="1190"/>
      <w:bookmarkEnd w:id="1191"/>
      <w:bookmarkEnd w:id="1192"/>
      <w:bookmarkEnd w:id="1193"/>
      <w:bookmarkEnd w:id="1194"/>
      <w:bookmarkEnd w:id="1195"/>
    </w:p>
    <w:p w14:paraId="4A4B505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13.6.1</w:t>
      </w:r>
      <w:r>
        <w:rPr>
          <w:rFonts w:hint="eastAsia" w:ascii="宋体" w:hAnsi="宋体" w:cs="宋体"/>
          <w:kern w:val="0"/>
          <w:sz w:val="24"/>
          <w:szCs w:val="24"/>
        </w:rPr>
        <w:t>项细化为：</w:t>
      </w:r>
    </w:p>
    <w:p w14:paraId="381DF13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4BDEBFA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）如果承包人未在规定时间内执行监理人的指示，发包人有权雇用他人执行，由此增加的费用和（或）工期延误由承包人承担。</w:t>
      </w:r>
    </w:p>
    <w:p w14:paraId="1ABA70B4">
      <w:pPr>
        <w:keepNext/>
        <w:keepLines/>
        <w:spacing w:line="440" w:lineRule="exact"/>
        <w:ind w:firstLine="482" w:firstLineChars="200"/>
        <w:rPr>
          <w:rFonts w:hint="eastAsia" w:ascii="宋体" w:hAnsi="宋体" w:cs="宋体"/>
          <w:b/>
          <w:bCs/>
          <w:kern w:val="44"/>
          <w:sz w:val="24"/>
          <w:szCs w:val="24"/>
        </w:rPr>
      </w:pPr>
      <w:bookmarkStart w:id="1196" w:name="_Toc479265599"/>
      <w:bookmarkStart w:id="1197" w:name="_Toc512689712"/>
      <w:bookmarkStart w:id="1198" w:name="_Toc192710515"/>
      <w:bookmarkStart w:id="1199" w:name="_Toc488083579"/>
      <w:bookmarkStart w:id="1200" w:name="_Toc234382894"/>
      <w:bookmarkStart w:id="1201" w:name="_Toc3475584"/>
      <w:bookmarkStart w:id="1202" w:name="_Toc480282345"/>
      <w:bookmarkStart w:id="1203" w:name="_Toc513132345"/>
      <w:bookmarkStart w:id="1204" w:name="_Toc513212865"/>
      <w:bookmarkStart w:id="1205" w:name="_Toc479237770"/>
      <w:r>
        <w:rPr>
          <w:rFonts w:hint="eastAsia" w:ascii="宋体" w:hAnsi="宋体" w:cs="宋体"/>
          <w:b/>
          <w:bCs/>
          <w:kern w:val="44"/>
          <w:sz w:val="24"/>
          <w:szCs w:val="24"/>
        </w:rPr>
        <w:t>14．试验和检验</w:t>
      </w:r>
      <w:bookmarkEnd w:id="1196"/>
      <w:bookmarkEnd w:id="1197"/>
      <w:bookmarkEnd w:id="1198"/>
      <w:bookmarkEnd w:id="1199"/>
      <w:bookmarkEnd w:id="1200"/>
      <w:bookmarkEnd w:id="1201"/>
      <w:bookmarkEnd w:id="1202"/>
      <w:bookmarkEnd w:id="1203"/>
      <w:bookmarkEnd w:id="1204"/>
      <w:bookmarkEnd w:id="1205"/>
    </w:p>
    <w:p w14:paraId="21E5E48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补充第</w:t>
      </w:r>
      <w:r>
        <w:rPr>
          <w:rFonts w:ascii="宋体" w:hAnsi="宋体" w:cs="宋体"/>
          <w:kern w:val="0"/>
          <w:sz w:val="24"/>
          <w:szCs w:val="24"/>
        </w:rPr>
        <w:t>14.4</w:t>
      </w:r>
      <w:r>
        <w:rPr>
          <w:rFonts w:hint="eastAsia" w:ascii="宋体" w:hAnsi="宋体" w:cs="宋体"/>
          <w:kern w:val="0"/>
          <w:sz w:val="24"/>
          <w:szCs w:val="24"/>
        </w:rPr>
        <w:t>款：</w:t>
      </w:r>
    </w:p>
    <w:p w14:paraId="69196FF5">
      <w:pPr>
        <w:keepNext/>
        <w:keepLines/>
        <w:spacing w:line="440" w:lineRule="exact"/>
        <w:ind w:firstLine="482" w:firstLineChars="200"/>
        <w:rPr>
          <w:rFonts w:hint="eastAsia" w:ascii="宋体" w:hAnsi="宋体" w:cs="宋体"/>
          <w:b/>
          <w:bCs/>
          <w:kern w:val="44"/>
          <w:sz w:val="24"/>
          <w:szCs w:val="24"/>
        </w:rPr>
      </w:pPr>
      <w:bookmarkStart w:id="1206" w:name="_Toc480282346"/>
      <w:bookmarkStart w:id="1207" w:name="_Toc488083580"/>
      <w:bookmarkStart w:id="1208" w:name="_Toc3475585"/>
      <w:bookmarkStart w:id="1209" w:name="_Toc512689713"/>
      <w:bookmarkStart w:id="1210" w:name="_Toc479265600"/>
      <w:bookmarkStart w:id="1211" w:name="_Toc513212866"/>
      <w:bookmarkStart w:id="1212" w:name="_Toc479237771"/>
      <w:bookmarkStart w:id="1213" w:name="_Toc513132346"/>
      <w:bookmarkStart w:id="1214" w:name="_Toc234382895"/>
      <w:bookmarkStart w:id="1215" w:name="_Toc192710516"/>
      <w:r>
        <w:rPr>
          <w:rFonts w:hint="eastAsia" w:ascii="宋体" w:hAnsi="宋体" w:cs="宋体"/>
          <w:b/>
          <w:bCs/>
          <w:kern w:val="44"/>
          <w:sz w:val="24"/>
          <w:szCs w:val="24"/>
        </w:rPr>
        <w:t>14．4试验和检验费用</w:t>
      </w:r>
      <w:bookmarkEnd w:id="1206"/>
      <w:bookmarkEnd w:id="1207"/>
      <w:bookmarkEnd w:id="1208"/>
      <w:bookmarkEnd w:id="1209"/>
      <w:bookmarkEnd w:id="1210"/>
      <w:bookmarkEnd w:id="1211"/>
      <w:bookmarkEnd w:id="1212"/>
      <w:bookmarkEnd w:id="1213"/>
      <w:bookmarkEnd w:id="1214"/>
      <w:bookmarkEnd w:id="1215"/>
    </w:p>
    <w:p w14:paraId="1482763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）承包人应负责提供合同和技术规范规定的试验和检验所需的全部样品，并承担其费用。</w:t>
      </w:r>
    </w:p>
    <w:p w14:paraId="65FCC96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）在合同中明确规定的试验和检验，包括无须在工程量清单中单独列项和已在工程量清单中单独列项的试验和检验，其试验和检验的费用由承包人承担。</w:t>
      </w:r>
    </w:p>
    <w:p w14:paraId="226740B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如果监理人所要求做的试验和检验为合同未规定的或是在该材料或工程设备的制造、加工、制配场地以外的场地进行的，则检验结束后，如表明操作工艺或材料、工程设备未能符合合同规定，其费用应由承包人承担，否则，其费用应由发包人承担。</w:t>
      </w:r>
    </w:p>
    <w:p w14:paraId="7003D820">
      <w:pPr>
        <w:keepNext/>
        <w:keepLines/>
        <w:spacing w:line="440" w:lineRule="exact"/>
        <w:ind w:firstLine="482" w:firstLineChars="200"/>
        <w:rPr>
          <w:rFonts w:hint="eastAsia" w:ascii="宋体" w:hAnsi="宋体" w:cs="宋体"/>
          <w:b/>
          <w:bCs/>
          <w:kern w:val="44"/>
          <w:sz w:val="24"/>
          <w:szCs w:val="24"/>
        </w:rPr>
      </w:pPr>
      <w:bookmarkStart w:id="1216" w:name="_Toc488083581"/>
      <w:bookmarkStart w:id="1217" w:name="_Toc512689714"/>
      <w:bookmarkStart w:id="1218" w:name="_Toc192710517"/>
      <w:bookmarkStart w:id="1219" w:name="_Toc479237772"/>
      <w:bookmarkStart w:id="1220" w:name="_Toc513212867"/>
      <w:bookmarkStart w:id="1221" w:name="_Toc479265601"/>
      <w:bookmarkStart w:id="1222" w:name="_Toc3475586"/>
      <w:bookmarkStart w:id="1223" w:name="_Toc234382896"/>
      <w:bookmarkStart w:id="1224" w:name="_Toc480282347"/>
      <w:bookmarkStart w:id="1225" w:name="_Toc513132347"/>
      <w:r>
        <w:rPr>
          <w:rFonts w:hint="eastAsia" w:ascii="宋体" w:hAnsi="宋体" w:cs="宋体"/>
          <w:b/>
          <w:bCs/>
          <w:kern w:val="44"/>
          <w:sz w:val="24"/>
          <w:szCs w:val="24"/>
        </w:rPr>
        <w:t>15．变更</w:t>
      </w:r>
      <w:bookmarkEnd w:id="1216"/>
      <w:bookmarkEnd w:id="1217"/>
      <w:bookmarkEnd w:id="1218"/>
      <w:bookmarkEnd w:id="1219"/>
      <w:bookmarkEnd w:id="1220"/>
      <w:bookmarkEnd w:id="1221"/>
      <w:bookmarkEnd w:id="1222"/>
      <w:bookmarkEnd w:id="1223"/>
      <w:bookmarkEnd w:id="1224"/>
      <w:bookmarkEnd w:id="1225"/>
    </w:p>
    <w:p w14:paraId="65F1E226">
      <w:pPr>
        <w:keepNext/>
        <w:keepLines/>
        <w:spacing w:line="440" w:lineRule="exact"/>
        <w:ind w:firstLine="482" w:firstLineChars="200"/>
        <w:rPr>
          <w:rFonts w:hint="eastAsia" w:ascii="宋体" w:hAnsi="宋体" w:cs="宋体"/>
          <w:b/>
          <w:bCs/>
          <w:kern w:val="44"/>
          <w:sz w:val="24"/>
          <w:szCs w:val="24"/>
        </w:rPr>
      </w:pPr>
      <w:bookmarkStart w:id="1226" w:name="_Toc513212868"/>
      <w:bookmarkStart w:id="1227" w:name="_Toc192710518"/>
      <w:bookmarkStart w:id="1228" w:name="_Toc3475587"/>
      <w:bookmarkStart w:id="1229" w:name="_Toc512689715"/>
      <w:bookmarkStart w:id="1230" w:name="_Toc479265602"/>
      <w:bookmarkStart w:id="1231" w:name="_Toc480282348"/>
      <w:bookmarkStart w:id="1232" w:name="_Toc479237773"/>
      <w:bookmarkStart w:id="1233" w:name="_Toc513132348"/>
      <w:bookmarkStart w:id="1234" w:name="_Toc488083582"/>
      <w:bookmarkStart w:id="1235" w:name="_Toc234382897"/>
      <w:r>
        <w:rPr>
          <w:rFonts w:hint="eastAsia" w:ascii="宋体" w:hAnsi="宋体" w:cs="宋体"/>
          <w:b/>
          <w:bCs/>
          <w:kern w:val="44"/>
          <w:sz w:val="24"/>
          <w:szCs w:val="24"/>
        </w:rPr>
        <w:t>15．1变更的范围和内容</w:t>
      </w:r>
      <w:bookmarkEnd w:id="1226"/>
      <w:bookmarkEnd w:id="1227"/>
      <w:bookmarkEnd w:id="1228"/>
      <w:bookmarkEnd w:id="1229"/>
      <w:bookmarkEnd w:id="1230"/>
      <w:bookmarkEnd w:id="1231"/>
      <w:bookmarkEnd w:id="1232"/>
      <w:bookmarkEnd w:id="1233"/>
      <w:bookmarkEnd w:id="1234"/>
      <w:bookmarkEnd w:id="1235"/>
    </w:p>
    <w:p w14:paraId="70CF89F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本款第（</w:t>
      </w:r>
      <w:r>
        <w:rPr>
          <w:rFonts w:ascii="宋体" w:hAnsi="宋体" w:cs="宋体"/>
          <w:kern w:val="0"/>
          <w:sz w:val="24"/>
          <w:szCs w:val="24"/>
        </w:rPr>
        <w:t>1</w:t>
      </w:r>
      <w:r>
        <w:rPr>
          <w:rFonts w:hint="eastAsia" w:ascii="宋体" w:hAnsi="宋体" w:cs="宋体"/>
          <w:kern w:val="0"/>
          <w:sz w:val="24"/>
          <w:szCs w:val="24"/>
        </w:rPr>
        <w:t>）项细化为：</w:t>
      </w:r>
    </w:p>
    <w:p w14:paraId="1C50A5C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）取消合同中任何一项工作，但被取消的工作不能转由发包人或其他人实施，由于承包人违约造成的情况除外；</w:t>
      </w:r>
    </w:p>
    <w:p w14:paraId="5196E6CB">
      <w:pPr>
        <w:keepNext/>
        <w:keepLines/>
        <w:spacing w:line="440" w:lineRule="exact"/>
        <w:ind w:firstLine="482" w:firstLineChars="200"/>
        <w:rPr>
          <w:rFonts w:hint="eastAsia" w:ascii="宋体" w:hAnsi="宋体" w:cs="宋体"/>
          <w:b/>
          <w:bCs/>
          <w:kern w:val="44"/>
          <w:sz w:val="24"/>
          <w:szCs w:val="24"/>
        </w:rPr>
      </w:pPr>
      <w:bookmarkStart w:id="1236" w:name="_Toc513132349"/>
      <w:bookmarkStart w:id="1237" w:name="_Toc234382898"/>
      <w:bookmarkStart w:id="1238" w:name="_Toc488083583"/>
      <w:bookmarkStart w:id="1239" w:name="_Toc512689716"/>
      <w:bookmarkStart w:id="1240" w:name="_Toc192710519"/>
      <w:bookmarkStart w:id="1241" w:name="_Toc479237774"/>
      <w:bookmarkStart w:id="1242" w:name="_Toc513212869"/>
      <w:bookmarkStart w:id="1243" w:name="_Toc480282349"/>
      <w:bookmarkStart w:id="1244" w:name="_Toc3475588"/>
      <w:bookmarkStart w:id="1245" w:name="_Toc479265603"/>
      <w:r>
        <w:rPr>
          <w:rFonts w:hint="eastAsia" w:ascii="宋体" w:hAnsi="宋体" w:cs="宋体"/>
          <w:b/>
          <w:bCs/>
          <w:kern w:val="44"/>
          <w:sz w:val="24"/>
          <w:szCs w:val="24"/>
        </w:rPr>
        <w:t>15．3变更程序</w:t>
      </w:r>
      <w:bookmarkEnd w:id="1236"/>
      <w:bookmarkEnd w:id="1237"/>
      <w:bookmarkEnd w:id="1238"/>
      <w:bookmarkEnd w:id="1239"/>
      <w:bookmarkEnd w:id="1240"/>
      <w:bookmarkEnd w:id="1241"/>
      <w:bookmarkEnd w:id="1242"/>
      <w:bookmarkEnd w:id="1243"/>
      <w:bookmarkEnd w:id="1244"/>
      <w:bookmarkEnd w:id="1245"/>
    </w:p>
    <w:p w14:paraId="3E0B66E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15.3.4</w:t>
      </w:r>
      <w:r>
        <w:rPr>
          <w:rFonts w:hint="eastAsia" w:ascii="宋体" w:hAnsi="宋体" w:cs="宋体"/>
          <w:kern w:val="0"/>
          <w:sz w:val="24"/>
          <w:szCs w:val="24"/>
        </w:rPr>
        <w:t>项：</w:t>
      </w:r>
    </w:p>
    <w:p w14:paraId="65A62020">
      <w:pPr>
        <w:spacing w:line="440" w:lineRule="exact"/>
        <w:ind w:firstLine="480" w:firstLineChars="200"/>
        <w:rPr>
          <w:rFonts w:ascii="宋体" w:hAnsi="宋体" w:cs="宋体"/>
          <w:kern w:val="0"/>
          <w:sz w:val="24"/>
          <w:szCs w:val="24"/>
        </w:rPr>
      </w:pPr>
      <w:r>
        <w:rPr>
          <w:rFonts w:ascii="宋体" w:hAnsi="宋体" w:cs="宋体"/>
          <w:kern w:val="0"/>
          <w:sz w:val="24"/>
          <w:szCs w:val="24"/>
        </w:rPr>
        <w:t>15.3.4</w:t>
      </w:r>
      <w:r>
        <w:rPr>
          <w:rFonts w:hint="eastAsia" w:ascii="宋体" w:hAnsi="宋体" w:cs="宋体"/>
          <w:kern w:val="0"/>
          <w:sz w:val="24"/>
          <w:szCs w:val="24"/>
        </w:rPr>
        <w:t>设计变更程序应执行《公路工程设计变更管理办法》的相关规定。</w:t>
      </w:r>
    </w:p>
    <w:p w14:paraId="2D8AD0F0">
      <w:pPr>
        <w:keepNext/>
        <w:keepLines/>
        <w:spacing w:line="440" w:lineRule="exact"/>
        <w:ind w:firstLine="482" w:firstLineChars="200"/>
        <w:rPr>
          <w:rFonts w:hint="eastAsia" w:ascii="宋体" w:hAnsi="宋体" w:cs="宋体"/>
          <w:b/>
          <w:bCs/>
          <w:kern w:val="44"/>
          <w:sz w:val="24"/>
          <w:szCs w:val="24"/>
        </w:rPr>
      </w:pPr>
      <w:bookmarkStart w:id="1246" w:name="_Toc479265604"/>
      <w:bookmarkStart w:id="1247" w:name="_Toc512689717"/>
      <w:bookmarkStart w:id="1248" w:name="_Toc488083584"/>
      <w:bookmarkStart w:id="1249" w:name="_Toc513212870"/>
      <w:bookmarkStart w:id="1250" w:name="_Toc480282350"/>
      <w:bookmarkStart w:id="1251" w:name="_Toc479237775"/>
      <w:bookmarkStart w:id="1252" w:name="_Toc234382899"/>
      <w:bookmarkStart w:id="1253" w:name="_Toc192710520"/>
      <w:bookmarkStart w:id="1254" w:name="_Toc3475589"/>
      <w:bookmarkStart w:id="1255" w:name="_Toc513132350"/>
      <w:r>
        <w:rPr>
          <w:rFonts w:hint="eastAsia" w:ascii="宋体" w:hAnsi="宋体" w:cs="宋体"/>
          <w:b/>
          <w:bCs/>
          <w:kern w:val="44"/>
          <w:sz w:val="24"/>
          <w:szCs w:val="24"/>
        </w:rPr>
        <w:t>15．4变更的估价原则</w:t>
      </w:r>
      <w:bookmarkEnd w:id="1246"/>
      <w:bookmarkEnd w:id="1247"/>
      <w:bookmarkEnd w:id="1248"/>
      <w:bookmarkEnd w:id="1249"/>
      <w:bookmarkEnd w:id="1250"/>
      <w:bookmarkEnd w:id="1251"/>
      <w:bookmarkEnd w:id="1252"/>
      <w:bookmarkEnd w:id="1253"/>
      <w:bookmarkEnd w:id="1254"/>
      <w:bookmarkEnd w:id="1255"/>
    </w:p>
    <w:p w14:paraId="1D86C63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3A80CD5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除项目专用合同条款另有约定外，因变更引起的价格调整按照本款约定处理。</w:t>
      </w:r>
    </w:p>
    <w:p w14:paraId="13085A9D">
      <w:pPr>
        <w:spacing w:line="440" w:lineRule="exact"/>
        <w:ind w:firstLine="480" w:firstLineChars="200"/>
        <w:rPr>
          <w:rFonts w:ascii="宋体" w:hAnsi="宋体" w:cs="宋体"/>
          <w:kern w:val="0"/>
          <w:sz w:val="24"/>
          <w:szCs w:val="24"/>
        </w:rPr>
      </w:pPr>
      <w:r>
        <w:rPr>
          <w:rFonts w:ascii="宋体" w:hAnsi="宋体" w:cs="宋体"/>
          <w:kern w:val="0"/>
          <w:sz w:val="24"/>
          <w:szCs w:val="24"/>
        </w:rPr>
        <w:t>15.4.1</w:t>
      </w:r>
      <w:r>
        <w:rPr>
          <w:rFonts w:hint="eastAsia" w:ascii="宋体" w:hAnsi="宋体" w:cs="宋体"/>
          <w:kern w:val="0"/>
          <w:sz w:val="24"/>
          <w:szCs w:val="24"/>
        </w:rPr>
        <w:t>如果取消某项工作，则该项工作的总额价不予以支付；</w:t>
      </w:r>
    </w:p>
    <w:p w14:paraId="554A4665">
      <w:pPr>
        <w:spacing w:line="440" w:lineRule="exact"/>
        <w:ind w:firstLine="480" w:firstLineChars="200"/>
        <w:rPr>
          <w:rFonts w:ascii="宋体" w:hAnsi="宋体" w:cs="宋体"/>
          <w:kern w:val="0"/>
          <w:sz w:val="24"/>
          <w:szCs w:val="24"/>
        </w:rPr>
      </w:pPr>
      <w:r>
        <w:rPr>
          <w:rFonts w:ascii="宋体" w:hAnsi="宋体" w:cs="宋体"/>
          <w:kern w:val="0"/>
          <w:sz w:val="24"/>
          <w:szCs w:val="24"/>
        </w:rPr>
        <w:t>15.4.2</w:t>
      </w:r>
      <w:r>
        <w:rPr>
          <w:rFonts w:hint="eastAsia" w:ascii="宋体" w:hAnsi="宋体" w:cs="宋体"/>
          <w:kern w:val="0"/>
          <w:sz w:val="24"/>
          <w:szCs w:val="24"/>
        </w:rPr>
        <w:t>已标价工程量清单中有适用于变更工作的子目的，采用该子目的单价。</w:t>
      </w:r>
    </w:p>
    <w:p w14:paraId="7BEE6A7B">
      <w:pPr>
        <w:spacing w:line="440" w:lineRule="exact"/>
        <w:ind w:firstLine="480" w:firstLineChars="200"/>
        <w:rPr>
          <w:rFonts w:ascii="宋体" w:hAnsi="宋体" w:cs="宋体"/>
          <w:kern w:val="0"/>
          <w:sz w:val="24"/>
          <w:szCs w:val="24"/>
        </w:rPr>
      </w:pPr>
      <w:r>
        <w:rPr>
          <w:rFonts w:ascii="宋体" w:hAnsi="宋体" w:cs="宋体"/>
          <w:kern w:val="0"/>
          <w:sz w:val="24"/>
          <w:szCs w:val="24"/>
        </w:rPr>
        <w:t>15.4.3</w:t>
      </w:r>
      <w:r>
        <w:rPr>
          <w:rFonts w:hint="eastAsia" w:ascii="宋体" w:hAnsi="宋体" w:cs="宋体"/>
          <w:kern w:val="0"/>
          <w:sz w:val="24"/>
          <w:szCs w:val="24"/>
        </w:rPr>
        <w:t>已标价工程量清单中无适用于变更工作的子目，但有类似子目的，可在合理范围内参照类似子目的单价，由监理人按第</w:t>
      </w:r>
      <w:r>
        <w:rPr>
          <w:rFonts w:ascii="宋体" w:hAnsi="宋体" w:cs="宋体"/>
          <w:kern w:val="0"/>
          <w:sz w:val="24"/>
          <w:szCs w:val="24"/>
        </w:rPr>
        <w:t>3.5</w:t>
      </w:r>
      <w:r>
        <w:rPr>
          <w:rFonts w:hint="eastAsia" w:ascii="宋体" w:hAnsi="宋体" w:cs="宋体"/>
          <w:kern w:val="0"/>
          <w:sz w:val="24"/>
          <w:szCs w:val="24"/>
        </w:rPr>
        <w:t>款商定或确定变更工作的单价。</w:t>
      </w:r>
    </w:p>
    <w:p w14:paraId="4BCA102A">
      <w:pPr>
        <w:spacing w:line="440" w:lineRule="exact"/>
        <w:ind w:firstLine="480" w:firstLineChars="200"/>
        <w:rPr>
          <w:rFonts w:ascii="宋体" w:hAnsi="宋体" w:cs="宋体"/>
          <w:kern w:val="0"/>
          <w:sz w:val="24"/>
          <w:szCs w:val="24"/>
        </w:rPr>
      </w:pPr>
      <w:r>
        <w:rPr>
          <w:rFonts w:ascii="宋体" w:hAnsi="宋体" w:cs="宋体"/>
          <w:kern w:val="0"/>
          <w:sz w:val="24"/>
          <w:szCs w:val="24"/>
        </w:rPr>
        <w:t>15.4.4</w:t>
      </w:r>
      <w:r>
        <w:rPr>
          <w:rFonts w:hint="eastAsia" w:ascii="宋体" w:hAnsi="宋体" w:cs="宋体"/>
          <w:kern w:val="0"/>
          <w:sz w:val="24"/>
          <w:szCs w:val="24"/>
        </w:rPr>
        <w:t>已标价工程量清单中无适用或类似子目的单价，可在综合考虑承包人在投标时所提供的单价分析表的基础上，由监理人按第</w:t>
      </w:r>
      <w:r>
        <w:rPr>
          <w:rFonts w:ascii="宋体" w:hAnsi="宋体" w:cs="宋体"/>
          <w:kern w:val="0"/>
          <w:sz w:val="24"/>
          <w:szCs w:val="24"/>
        </w:rPr>
        <w:t>3.5</w:t>
      </w:r>
      <w:r>
        <w:rPr>
          <w:rFonts w:hint="eastAsia" w:ascii="宋体" w:hAnsi="宋体" w:cs="宋体"/>
          <w:kern w:val="0"/>
          <w:sz w:val="24"/>
          <w:szCs w:val="24"/>
        </w:rPr>
        <w:t>款商定或确定变更工作的单价。</w:t>
      </w:r>
    </w:p>
    <w:p w14:paraId="3F3921BD">
      <w:pPr>
        <w:spacing w:line="440" w:lineRule="exact"/>
        <w:ind w:firstLine="480" w:firstLineChars="200"/>
        <w:rPr>
          <w:rFonts w:ascii="宋体" w:hAnsi="宋体" w:cs="宋体"/>
          <w:kern w:val="0"/>
          <w:sz w:val="24"/>
          <w:szCs w:val="24"/>
        </w:rPr>
      </w:pPr>
      <w:r>
        <w:rPr>
          <w:rFonts w:ascii="宋体" w:hAnsi="宋体" w:cs="宋体"/>
          <w:kern w:val="0"/>
          <w:sz w:val="24"/>
          <w:szCs w:val="24"/>
        </w:rPr>
        <w:t>15.4.5</w:t>
      </w:r>
      <w:r>
        <w:rPr>
          <w:rFonts w:hint="eastAsia" w:ascii="宋体" w:hAnsi="宋体" w:cs="宋体"/>
          <w:kern w:val="0"/>
          <w:sz w:val="24"/>
          <w:szCs w:val="24"/>
        </w:rPr>
        <w:t>如果本工程的变更指示是因承包人过错、承包人建反合同或承包人责任造成的，则这种违约引起的任何额外费用应由承包人承担。</w:t>
      </w:r>
    </w:p>
    <w:p w14:paraId="35FD3816">
      <w:pPr>
        <w:keepNext/>
        <w:keepLines/>
        <w:spacing w:line="440" w:lineRule="exact"/>
        <w:ind w:firstLine="482" w:firstLineChars="200"/>
        <w:rPr>
          <w:rFonts w:hint="eastAsia" w:ascii="宋体" w:hAnsi="宋体" w:cs="宋体"/>
          <w:b/>
          <w:bCs/>
          <w:kern w:val="44"/>
          <w:sz w:val="24"/>
          <w:szCs w:val="24"/>
        </w:rPr>
      </w:pPr>
      <w:bookmarkStart w:id="1256" w:name="_Toc488083585"/>
      <w:bookmarkStart w:id="1257" w:name="_Toc192710521"/>
      <w:bookmarkStart w:id="1258" w:name="_Toc479265605"/>
      <w:bookmarkStart w:id="1259" w:name="_Toc513212871"/>
      <w:bookmarkStart w:id="1260" w:name="_Toc480282351"/>
      <w:bookmarkStart w:id="1261" w:name="_Toc479237776"/>
      <w:bookmarkStart w:id="1262" w:name="_Toc234382900"/>
      <w:bookmarkStart w:id="1263" w:name="_Toc512689718"/>
      <w:bookmarkStart w:id="1264" w:name="_Toc513132351"/>
      <w:bookmarkStart w:id="1265" w:name="_Toc3475590"/>
      <w:r>
        <w:rPr>
          <w:rFonts w:hint="eastAsia" w:ascii="宋体" w:hAnsi="宋体" w:cs="宋体"/>
          <w:b/>
          <w:bCs/>
          <w:kern w:val="44"/>
          <w:sz w:val="24"/>
          <w:szCs w:val="24"/>
        </w:rPr>
        <w:t>15.5承包人的合理化建议</w:t>
      </w:r>
      <w:bookmarkEnd w:id="1256"/>
      <w:bookmarkEnd w:id="1257"/>
      <w:bookmarkEnd w:id="1258"/>
      <w:bookmarkEnd w:id="1259"/>
      <w:bookmarkEnd w:id="1260"/>
      <w:bookmarkEnd w:id="1261"/>
      <w:bookmarkEnd w:id="1262"/>
      <w:bookmarkEnd w:id="1263"/>
      <w:bookmarkEnd w:id="1264"/>
      <w:bookmarkEnd w:id="1265"/>
    </w:p>
    <w:p w14:paraId="13A770A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15.5.2</w:t>
      </w:r>
      <w:r>
        <w:rPr>
          <w:rFonts w:hint="eastAsia" w:ascii="宋体" w:hAnsi="宋体" w:cs="宋体"/>
          <w:kern w:val="0"/>
          <w:sz w:val="24"/>
          <w:szCs w:val="24"/>
        </w:rPr>
        <w:t>项约定为：</w:t>
      </w:r>
    </w:p>
    <w:p w14:paraId="26D4675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承包人提出的合理化建议缩短了工期，发包人按第</w:t>
      </w:r>
      <w:r>
        <w:rPr>
          <w:rFonts w:ascii="宋体" w:hAnsi="宋体" w:cs="宋体"/>
          <w:kern w:val="0"/>
          <w:sz w:val="24"/>
          <w:szCs w:val="24"/>
        </w:rPr>
        <w:t>11.6</w:t>
      </w:r>
      <w:r>
        <w:rPr>
          <w:rFonts w:hint="eastAsia" w:ascii="宋体" w:hAnsi="宋体" w:cs="宋体"/>
          <w:kern w:val="0"/>
          <w:sz w:val="24"/>
          <w:szCs w:val="24"/>
        </w:rPr>
        <w:t>款的规定给予奖励。</w:t>
      </w:r>
    </w:p>
    <w:p w14:paraId="3524108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承包人提出的合理化建议降低了合同价格或者提高了工程经济效益的，发包人按项目专用合同条款数据表中规定的金额给予奖励。</w:t>
      </w:r>
    </w:p>
    <w:p w14:paraId="1FDEFB13">
      <w:pPr>
        <w:keepNext/>
        <w:keepLines/>
        <w:spacing w:line="440" w:lineRule="exact"/>
        <w:ind w:firstLine="482" w:firstLineChars="200"/>
        <w:rPr>
          <w:rFonts w:hint="eastAsia" w:ascii="宋体" w:hAnsi="宋体" w:cs="宋体"/>
          <w:b/>
          <w:bCs/>
          <w:kern w:val="44"/>
          <w:sz w:val="24"/>
          <w:szCs w:val="24"/>
        </w:rPr>
      </w:pPr>
      <w:bookmarkStart w:id="1266" w:name="_Toc3475591"/>
      <w:bookmarkStart w:id="1267" w:name="_Toc513132352"/>
      <w:bookmarkStart w:id="1268" w:name="_Toc512689719"/>
      <w:bookmarkStart w:id="1269" w:name="_Toc480282352"/>
      <w:bookmarkStart w:id="1270" w:name="_Toc479237777"/>
      <w:bookmarkStart w:id="1271" w:name="_Toc234382901"/>
      <w:bookmarkStart w:id="1272" w:name="_Toc488083586"/>
      <w:bookmarkStart w:id="1273" w:name="_Toc479265606"/>
      <w:bookmarkStart w:id="1274" w:name="_Toc192710522"/>
      <w:bookmarkStart w:id="1275" w:name="_Toc513212872"/>
      <w:r>
        <w:rPr>
          <w:rFonts w:hint="eastAsia" w:ascii="宋体" w:hAnsi="宋体" w:cs="宋体"/>
          <w:b/>
          <w:bCs/>
          <w:kern w:val="44"/>
          <w:sz w:val="24"/>
          <w:szCs w:val="24"/>
        </w:rPr>
        <w:t>15.6暂列金额</w:t>
      </w:r>
      <w:bookmarkEnd w:id="1266"/>
      <w:bookmarkEnd w:id="1267"/>
      <w:bookmarkEnd w:id="1268"/>
      <w:bookmarkEnd w:id="1269"/>
      <w:bookmarkEnd w:id="1270"/>
      <w:bookmarkEnd w:id="1271"/>
      <w:bookmarkEnd w:id="1272"/>
      <w:bookmarkEnd w:id="1273"/>
      <w:bookmarkEnd w:id="1274"/>
      <w:bookmarkEnd w:id="1275"/>
    </w:p>
    <w:p w14:paraId="3F79715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74EDE476">
      <w:pPr>
        <w:spacing w:line="440" w:lineRule="exact"/>
        <w:ind w:firstLine="480" w:firstLineChars="200"/>
        <w:rPr>
          <w:rFonts w:ascii="宋体" w:hAnsi="宋体" w:cs="宋体"/>
          <w:kern w:val="0"/>
          <w:sz w:val="24"/>
          <w:szCs w:val="24"/>
        </w:rPr>
      </w:pPr>
      <w:r>
        <w:rPr>
          <w:rFonts w:ascii="宋体" w:hAnsi="宋体" w:cs="宋体"/>
          <w:kern w:val="0"/>
          <w:sz w:val="24"/>
          <w:szCs w:val="24"/>
        </w:rPr>
        <w:t>15.6.l</w:t>
      </w:r>
      <w:r>
        <w:rPr>
          <w:rFonts w:hint="eastAsia" w:ascii="宋体" w:hAnsi="宋体" w:cs="宋体"/>
          <w:kern w:val="0"/>
          <w:sz w:val="24"/>
          <w:szCs w:val="24"/>
        </w:rPr>
        <w:t>暂列金额应由监理人报发包人批准后指令全部或部分地使用，或者根本不予动用。</w:t>
      </w:r>
    </w:p>
    <w:p w14:paraId="610A058F">
      <w:pPr>
        <w:spacing w:line="440" w:lineRule="exact"/>
        <w:ind w:firstLine="480" w:firstLineChars="200"/>
        <w:rPr>
          <w:rFonts w:ascii="宋体" w:hAnsi="宋体" w:cs="宋体"/>
          <w:kern w:val="0"/>
          <w:sz w:val="24"/>
          <w:szCs w:val="24"/>
        </w:rPr>
      </w:pPr>
      <w:r>
        <w:rPr>
          <w:rFonts w:ascii="宋体" w:hAnsi="宋体" w:cs="宋体"/>
          <w:kern w:val="0"/>
          <w:sz w:val="24"/>
          <w:szCs w:val="24"/>
        </w:rPr>
        <w:t>15.6.2</w:t>
      </w:r>
      <w:r>
        <w:rPr>
          <w:rFonts w:hint="eastAsia" w:ascii="宋体" w:hAnsi="宋体" w:cs="宋体"/>
          <w:kern w:val="0"/>
          <w:sz w:val="24"/>
          <w:szCs w:val="24"/>
        </w:rPr>
        <w:t>对于经发包人批准的每一笔暂列金额，监理人有权向承包人发出实施工程或提供材料、工程设备或服务的指令。这些指令应由承包人完成，监理人应根据第</w:t>
      </w:r>
      <w:r>
        <w:rPr>
          <w:rFonts w:ascii="宋体" w:hAnsi="宋体" w:cs="宋体"/>
          <w:kern w:val="0"/>
          <w:sz w:val="24"/>
          <w:szCs w:val="24"/>
        </w:rPr>
        <w:t>15.4</w:t>
      </w:r>
      <w:r>
        <w:rPr>
          <w:rFonts w:hint="eastAsia" w:ascii="宋体" w:hAnsi="宋体" w:cs="宋体"/>
          <w:kern w:val="0"/>
          <w:sz w:val="24"/>
          <w:szCs w:val="24"/>
        </w:rPr>
        <w:t>款约定的变更估价原则和第</w:t>
      </w:r>
      <w:r>
        <w:rPr>
          <w:rFonts w:ascii="宋体" w:hAnsi="宋体" w:cs="宋体"/>
          <w:kern w:val="0"/>
          <w:sz w:val="24"/>
          <w:szCs w:val="24"/>
        </w:rPr>
        <w:t>15.7</w:t>
      </w:r>
      <w:r>
        <w:rPr>
          <w:rFonts w:hint="eastAsia" w:ascii="宋体" w:hAnsi="宋体" w:cs="宋体"/>
          <w:kern w:val="0"/>
          <w:sz w:val="24"/>
          <w:szCs w:val="24"/>
        </w:rPr>
        <w:t>款的规定，对合同价格进行相应调整。</w:t>
      </w:r>
    </w:p>
    <w:p w14:paraId="4B7CF801">
      <w:pPr>
        <w:spacing w:line="440" w:lineRule="exact"/>
        <w:ind w:firstLine="480" w:firstLineChars="200"/>
        <w:rPr>
          <w:rFonts w:ascii="宋体" w:hAnsi="宋体" w:cs="宋体"/>
          <w:kern w:val="0"/>
          <w:sz w:val="24"/>
          <w:szCs w:val="24"/>
        </w:rPr>
      </w:pPr>
      <w:r>
        <w:rPr>
          <w:rFonts w:ascii="宋体" w:hAnsi="宋体" w:cs="宋体"/>
          <w:kern w:val="0"/>
          <w:sz w:val="24"/>
          <w:szCs w:val="24"/>
        </w:rPr>
        <w:t>15.6.3</w:t>
      </w:r>
      <w:r>
        <w:rPr>
          <w:rFonts w:hint="eastAsia" w:ascii="宋体" w:hAnsi="宋体" w:cs="宋体"/>
          <w:kern w:val="0"/>
          <w:sz w:val="24"/>
          <w:szCs w:val="24"/>
        </w:rPr>
        <w:t>当监理人提出要求时，承包人应提供有关暂列金额支出的所有报价单、发票、凭证和账单或收据，除非该工作是根据已标价工程量清单列明的单价或总额价进行的估价。</w:t>
      </w:r>
    </w:p>
    <w:p w14:paraId="7FEA2B2E">
      <w:pPr>
        <w:keepNext/>
        <w:keepLines/>
        <w:spacing w:line="440" w:lineRule="exact"/>
        <w:ind w:firstLine="482" w:firstLineChars="200"/>
        <w:rPr>
          <w:rFonts w:hint="eastAsia" w:ascii="宋体" w:hAnsi="宋体" w:cs="宋体"/>
          <w:b/>
          <w:bCs/>
          <w:kern w:val="44"/>
          <w:sz w:val="24"/>
          <w:szCs w:val="24"/>
        </w:rPr>
      </w:pPr>
      <w:bookmarkStart w:id="1276" w:name="_Toc480282353"/>
      <w:bookmarkStart w:id="1277" w:name="_Toc513212873"/>
      <w:bookmarkStart w:id="1278" w:name="_Toc192710523"/>
      <w:bookmarkStart w:id="1279" w:name="_Toc512689720"/>
      <w:bookmarkStart w:id="1280" w:name="_Toc513132353"/>
      <w:bookmarkStart w:id="1281" w:name="_Toc3475592"/>
      <w:bookmarkStart w:id="1282" w:name="_Toc234382902"/>
      <w:bookmarkStart w:id="1283" w:name="_Toc479237778"/>
      <w:bookmarkStart w:id="1284" w:name="_Toc479265607"/>
      <w:bookmarkStart w:id="1285" w:name="_Toc488083587"/>
      <w:r>
        <w:rPr>
          <w:rFonts w:hint="eastAsia" w:ascii="宋体" w:hAnsi="宋体" w:cs="宋体"/>
          <w:b/>
          <w:bCs/>
          <w:kern w:val="44"/>
          <w:sz w:val="24"/>
          <w:szCs w:val="24"/>
        </w:rPr>
        <w:t>16.价格调整</w:t>
      </w:r>
      <w:bookmarkEnd w:id="1276"/>
      <w:bookmarkEnd w:id="1277"/>
      <w:bookmarkEnd w:id="1278"/>
      <w:bookmarkEnd w:id="1279"/>
      <w:bookmarkEnd w:id="1280"/>
      <w:bookmarkEnd w:id="1281"/>
      <w:bookmarkEnd w:id="1282"/>
      <w:bookmarkEnd w:id="1283"/>
      <w:bookmarkEnd w:id="1284"/>
      <w:bookmarkEnd w:id="1285"/>
    </w:p>
    <w:p w14:paraId="4777A242">
      <w:pPr>
        <w:keepNext/>
        <w:keepLines/>
        <w:spacing w:line="440" w:lineRule="exact"/>
        <w:ind w:firstLine="482" w:firstLineChars="200"/>
        <w:rPr>
          <w:rFonts w:hint="eastAsia" w:ascii="宋体" w:hAnsi="宋体" w:cs="宋体"/>
          <w:b/>
          <w:bCs/>
          <w:kern w:val="44"/>
          <w:sz w:val="24"/>
          <w:szCs w:val="24"/>
        </w:rPr>
      </w:pPr>
      <w:bookmarkStart w:id="1286" w:name="_Toc479265608"/>
      <w:bookmarkStart w:id="1287" w:name="_Toc513212874"/>
      <w:bookmarkStart w:id="1288" w:name="_Toc513132354"/>
      <w:bookmarkStart w:id="1289" w:name="_Toc480282354"/>
      <w:bookmarkStart w:id="1290" w:name="_Toc234382903"/>
      <w:bookmarkStart w:id="1291" w:name="_Toc192710524"/>
      <w:bookmarkStart w:id="1292" w:name="_Toc512689721"/>
      <w:bookmarkStart w:id="1293" w:name="_Toc479237779"/>
      <w:bookmarkStart w:id="1294" w:name="_Toc488083588"/>
      <w:bookmarkStart w:id="1295" w:name="_Toc3475593"/>
      <w:r>
        <w:rPr>
          <w:rFonts w:hint="eastAsia" w:ascii="宋体" w:hAnsi="宋体" w:cs="宋体"/>
          <w:b/>
          <w:bCs/>
          <w:kern w:val="44"/>
          <w:sz w:val="24"/>
          <w:szCs w:val="24"/>
        </w:rPr>
        <w:t>16.1物价波动引起的价格调整</w:t>
      </w:r>
      <w:bookmarkEnd w:id="1286"/>
      <w:bookmarkEnd w:id="1287"/>
      <w:bookmarkEnd w:id="1288"/>
      <w:bookmarkEnd w:id="1289"/>
      <w:bookmarkEnd w:id="1290"/>
      <w:bookmarkEnd w:id="1291"/>
      <w:bookmarkEnd w:id="1292"/>
      <w:bookmarkEnd w:id="1293"/>
      <w:bookmarkEnd w:id="1294"/>
      <w:bookmarkEnd w:id="1295"/>
    </w:p>
    <w:p w14:paraId="1D00028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56C9EA9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）除项目专用合同条款另有约定外，因物价波动引起的价格调整应按项目专用合同条款数据表的规定，按照第</w:t>
      </w:r>
      <w:r>
        <w:rPr>
          <w:rFonts w:ascii="宋体" w:hAnsi="宋体" w:cs="宋体"/>
          <w:kern w:val="0"/>
          <w:sz w:val="24"/>
          <w:szCs w:val="24"/>
        </w:rPr>
        <w:t>16.1.1</w:t>
      </w:r>
      <w:r>
        <w:rPr>
          <w:rFonts w:hint="eastAsia" w:ascii="宋体" w:hAnsi="宋体" w:cs="宋体"/>
          <w:kern w:val="0"/>
          <w:sz w:val="24"/>
          <w:szCs w:val="24"/>
        </w:rPr>
        <w:t>项或第</w:t>
      </w:r>
      <w:r>
        <w:rPr>
          <w:rFonts w:ascii="宋体" w:hAnsi="宋体" w:cs="宋体"/>
          <w:kern w:val="0"/>
          <w:sz w:val="24"/>
          <w:szCs w:val="24"/>
        </w:rPr>
        <w:t>16.1.2</w:t>
      </w:r>
      <w:r>
        <w:rPr>
          <w:rFonts w:hint="eastAsia" w:ascii="宋体" w:hAnsi="宋体" w:cs="宋体"/>
          <w:kern w:val="0"/>
          <w:sz w:val="24"/>
          <w:szCs w:val="24"/>
        </w:rPr>
        <w:t>项约定的原则处理；或者</w:t>
      </w:r>
    </w:p>
    <w:p w14:paraId="48825B6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）在合同执行期间（包括工期拖延期间），由于人工、材料和设备价格的上涨而引起工程施工成本增加的风险由承包人自行承担，合同价格不会因此而调整。</w:t>
      </w:r>
    </w:p>
    <w:p w14:paraId="395EF1A8">
      <w:pPr>
        <w:spacing w:line="440" w:lineRule="exact"/>
        <w:ind w:firstLine="480" w:firstLineChars="200"/>
        <w:rPr>
          <w:rFonts w:ascii="宋体" w:hAnsi="宋体" w:cs="宋体"/>
          <w:kern w:val="0"/>
          <w:sz w:val="24"/>
          <w:szCs w:val="24"/>
        </w:rPr>
      </w:pPr>
      <w:r>
        <w:rPr>
          <w:rFonts w:ascii="宋体" w:hAnsi="宋体" w:cs="宋体"/>
          <w:kern w:val="0"/>
          <w:sz w:val="24"/>
          <w:szCs w:val="24"/>
        </w:rPr>
        <w:t>16.1.1</w:t>
      </w:r>
      <w:r>
        <w:rPr>
          <w:rFonts w:hint="eastAsia" w:ascii="宋体" w:hAnsi="宋体" w:cs="宋体"/>
          <w:kern w:val="0"/>
          <w:sz w:val="24"/>
          <w:szCs w:val="24"/>
        </w:rPr>
        <w:t>采用价格指数调整价格差额</w:t>
      </w:r>
    </w:p>
    <w:p w14:paraId="679B19F1">
      <w:pPr>
        <w:spacing w:line="440" w:lineRule="exact"/>
        <w:ind w:firstLine="480" w:firstLineChars="200"/>
        <w:rPr>
          <w:rFonts w:ascii="宋体" w:hAnsi="宋体" w:cs="宋体"/>
          <w:kern w:val="0"/>
          <w:sz w:val="24"/>
          <w:szCs w:val="24"/>
        </w:rPr>
      </w:pPr>
      <w:r>
        <w:rPr>
          <w:rFonts w:ascii="宋体" w:hAnsi="宋体" w:cs="宋体"/>
          <w:kern w:val="0"/>
          <w:sz w:val="24"/>
          <w:szCs w:val="24"/>
        </w:rPr>
        <w:t>16.1.1</w:t>
      </w:r>
      <w:r>
        <w:rPr>
          <w:rFonts w:hint="eastAsia" w:ascii="宋体" w:hAnsi="宋体" w:cs="宋体"/>
          <w:kern w:val="0"/>
          <w:sz w:val="24"/>
          <w:szCs w:val="24"/>
        </w:rPr>
        <w:t>价格调整公式</w:t>
      </w:r>
    </w:p>
    <w:p w14:paraId="3010175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价格调整公式后增加备注如下：</w:t>
      </w:r>
    </w:p>
    <w:p w14:paraId="6856CC6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式中，</w:t>
      </w:r>
      <w:r>
        <w:rPr>
          <w:rFonts w:ascii="宋体" w:hAnsi="宋体" w:cs="宋体"/>
          <w:kern w:val="0"/>
          <w:sz w:val="24"/>
          <w:szCs w:val="24"/>
        </w:rPr>
        <w:t xml:space="preserve">A </w:t>
      </w:r>
      <w:r>
        <w:rPr>
          <w:rFonts w:hint="eastAsia" w:ascii="宋体" w:hAnsi="宋体" w:cs="宋体"/>
          <w:kern w:val="0"/>
          <w:sz w:val="24"/>
          <w:szCs w:val="24"/>
        </w:rPr>
        <w:t>＝</w:t>
      </w:r>
      <w:r>
        <w:rPr>
          <w:rFonts w:ascii="宋体" w:hAnsi="宋体" w:cs="宋体"/>
          <w:kern w:val="0"/>
          <w:sz w:val="24"/>
          <w:szCs w:val="24"/>
        </w:rPr>
        <w:t xml:space="preserve"> 1 </w:t>
      </w:r>
      <w:r>
        <w:rPr>
          <w:rFonts w:hint="eastAsia" w:ascii="宋体" w:hAnsi="宋体" w:cs="宋体"/>
          <w:kern w:val="0"/>
          <w:sz w:val="24"/>
          <w:szCs w:val="24"/>
        </w:rPr>
        <w:t>－</w:t>
      </w: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 xml:space="preserve">B1 </w:t>
      </w:r>
      <w:r>
        <w:rPr>
          <w:rFonts w:hint="eastAsia" w:ascii="宋体" w:hAnsi="宋体" w:cs="宋体"/>
          <w:kern w:val="0"/>
          <w:sz w:val="24"/>
          <w:szCs w:val="24"/>
        </w:rPr>
        <w:t>＋</w:t>
      </w:r>
      <w:r>
        <w:rPr>
          <w:rFonts w:ascii="宋体" w:hAnsi="宋体" w:cs="宋体"/>
          <w:kern w:val="0"/>
          <w:sz w:val="24"/>
          <w:szCs w:val="24"/>
        </w:rPr>
        <w:t xml:space="preserve"> B2 </w:t>
      </w:r>
      <w:r>
        <w:rPr>
          <w:rFonts w:hint="eastAsia" w:ascii="宋体" w:hAnsi="宋体" w:cs="宋体"/>
          <w:kern w:val="0"/>
          <w:sz w:val="24"/>
          <w:szCs w:val="24"/>
        </w:rPr>
        <w:t>＋</w:t>
      </w:r>
      <w:r>
        <w:rPr>
          <w:rFonts w:ascii="宋体" w:hAnsi="宋体" w:cs="宋体"/>
          <w:kern w:val="0"/>
          <w:sz w:val="24"/>
          <w:szCs w:val="24"/>
        </w:rPr>
        <w:t xml:space="preserve"> B3 </w:t>
      </w:r>
      <w:r>
        <w:rPr>
          <w:rFonts w:hint="eastAsia" w:ascii="宋体" w:hAnsi="宋体" w:cs="宋体"/>
          <w:kern w:val="0"/>
          <w:sz w:val="24"/>
          <w:szCs w:val="24"/>
        </w:rPr>
        <w:t>＋</w:t>
      </w:r>
      <w:r>
        <w:rPr>
          <w:rFonts w:ascii="宋体" w:hAnsi="宋体" w:cs="宋体"/>
          <w:kern w:val="0"/>
          <w:sz w:val="24"/>
          <w:szCs w:val="24"/>
        </w:rPr>
        <w:t xml:space="preserve"> ... </w:t>
      </w:r>
      <w:r>
        <w:rPr>
          <w:rFonts w:hint="eastAsia" w:ascii="宋体" w:hAnsi="宋体" w:cs="宋体"/>
          <w:kern w:val="0"/>
          <w:sz w:val="24"/>
          <w:szCs w:val="24"/>
        </w:rPr>
        <w:t>＋</w:t>
      </w:r>
      <w:r>
        <w:rPr>
          <w:rFonts w:ascii="宋体" w:hAnsi="宋体" w:cs="宋体"/>
          <w:kern w:val="0"/>
          <w:sz w:val="24"/>
          <w:szCs w:val="24"/>
        </w:rPr>
        <w:t xml:space="preserve"> Bn </w:t>
      </w:r>
      <w:r>
        <w:rPr>
          <w:rFonts w:hint="eastAsia" w:ascii="宋体" w:hAnsi="宋体" w:cs="宋体"/>
          <w:kern w:val="0"/>
          <w:sz w:val="24"/>
          <w:szCs w:val="24"/>
        </w:rPr>
        <w:t>）</w:t>
      </w:r>
    </w:p>
    <w:p w14:paraId="7A2D110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本目最后一段文字细化为：</w:t>
      </w:r>
    </w:p>
    <w:p w14:paraId="4854472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在采用价格调整公式进行调价时，还应遵守以下规定：</w:t>
      </w:r>
    </w:p>
    <w:p w14:paraId="5537A5F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4524FA9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06702F8F">
      <w:pPr>
        <w:keepNext/>
        <w:keepLines/>
        <w:spacing w:line="440" w:lineRule="exact"/>
        <w:ind w:firstLine="482" w:firstLineChars="200"/>
        <w:rPr>
          <w:rFonts w:hint="eastAsia" w:ascii="宋体" w:hAnsi="宋体" w:cs="宋体"/>
          <w:b/>
          <w:bCs/>
          <w:kern w:val="44"/>
          <w:sz w:val="24"/>
          <w:szCs w:val="24"/>
        </w:rPr>
      </w:pPr>
      <w:bookmarkStart w:id="1296" w:name="_Toc480282355"/>
      <w:bookmarkStart w:id="1297" w:name="_Toc479265609"/>
      <w:bookmarkStart w:id="1298" w:name="_Toc513212875"/>
      <w:bookmarkStart w:id="1299" w:name="_Toc512689722"/>
      <w:bookmarkStart w:id="1300" w:name="_Toc479237780"/>
      <w:bookmarkStart w:id="1301" w:name="_Toc3475594"/>
      <w:bookmarkStart w:id="1302" w:name="_Toc513132355"/>
      <w:bookmarkStart w:id="1303" w:name="_Toc234382904"/>
      <w:bookmarkStart w:id="1304" w:name="_Toc192710525"/>
      <w:bookmarkStart w:id="1305" w:name="_Toc488083589"/>
      <w:r>
        <w:rPr>
          <w:rFonts w:hint="eastAsia" w:ascii="宋体" w:hAnsi="宋体" w:cs="宋体"/>
          <w:b/>
          <w:bCs/>
          <w:kern w:val="44"/>
          <w:sz w:val="24"/>
          <w:szCs w:val="24"/>
        </w:rPr>
        <w:t>17.计量与支付</w:t>
      </w:r>
      <w:bookmarkEnd w:id="1296"/>
      <w:bookmarkEnd w:id="1297"/>
      <w:bookmarkEnd w:id="1298"/>
      <w:bookmarkEnd w:id="1299"/>
      <w:bookmarkEnd w:id="1300"/>
      <w:bookmarkEnd w:id="1301"/>
      <w:bookmarkEnd w:id="1302"/>
      <w:bookmarkEnd w:id="1303"/>
      <w:bookmarkEnd w:id="1304"/>
      <w:bookmarkEnd w:id="1305"/>
    </w:p>
    <w:p w14:paraId="25ABCDCE">
      <w:pPr>
        <w:keepNext/>
        <w:keepLines/>
        <w:spacing w:line="440" w:lineRule="exact"/>
        <w:ind w:firstLine="482" w:firstLineChars="200"/>
        <w:rPr>
          <w:rFonts w:hint="eastAsia" w:ascii="宋体" w:hAnsi="宋体" w:cs="宋体"/>
          <w:b/>
          <w:bCs/>
          <w:kern w:val="44"/>
          <w:sz w:val="24"/>
          <w:szCs w:val="24"/>
        </w:rPr>
      </w:pPr>
      <w:bookmarkStart w:id="1306" w:name="_Toc479265610"/>
      <w:bookmarkStart w:id="1307" w:name="_Toc3475595"/>
      <w:bookmarkStart w:id="1308" w:name="_Toc480282356"/>
      <w:bookmarkStart w:id="1309" w:name="_Toc488083590"/>
      <w:bookmarkStart w:id="1310" w:name="_Toc192710526"/>
      <w:bookmarkStart w:id="1311" w:name="_Toc479237781"/>
      <w:bookmarkStart w:id="1312" w:name="_Toc512689723"/>
      <w:bookmarkStart w:id="1313" w:name="_Toc234382905"/>
      <w:bookmarkStart w:id="1314" w:name="_Toc513212876"/>
      <w:bookmarkStart w:id="1315" w:name="_Toc513132356"/>
      <w:r>
        <w:rPr>
          <w:rFonts w:hint="eastAsia" w:ascii="宋体" w:hAnsi="宋体" w:cs="宋体"/>
          <w:b/>
          <w:bCs/>
          <w:kern w:val="44"/>
          <w:sz w:val="24"/>
          <w:szCs w:val="24"/>
        </w:rPr>
        <w:t>17.1计量</w:t>
      </w:r>
      <w:bookmarkEnd w:id="1306"/>
      <w:bookmarkEnd w:id="1307"/>
      <w:bookmarkEnd w:id="1308"/>
      <w:bookmarkEnd w:id="1309"/>
      <w:bookmarkEnd w:id="1310"/>
      <w:bookmarkEnd w:id="1311"/>
      <w:bookmarkEnd w:id="1312"/>
      <w:bookmarkEnd w:id="1313"/>
      <w:bookmarkEnd w:id="1314"/>
      <w:bookmarkEnd w:id="1315"/>
    </w:p>
    <w:p w14:paraId="40A60CDF">
      <w:pPr>
        <w:spacing w:line="440" w:lineRule="exact"/>
        <w:ind w:firstLine="480" w:firstLineChars="200"/>
        <w:rPr>
          <w:rFonts w:ascii="宋体" w:hAnsi="宋体" w:cs="宋体"/>
          <w:kern w:val="0"/>
          <w:sz w:val="24"/>
          <w:szCs w:val="24"/>
        </w:rPr>
      </w:pPr>
      <w:r>
        <w:rPr>
          <w:rFonts w:ascii="宋体" w:hAnsi="宋体" w:cs="宋体"/>
          <w:kern w:val="0"/>
          <w:sz w:val="24"/>
          <w:szCs w:val="24"/>
        </w:rPr>
        <w:t>17.1.2</w:t>
      </w:r>
      <w:r>
        <w:rPr>
          <w:rFonts w:hint="eastAsia" w:ascii="宋体" w:hAnsi="宋体" w:cs="宋体"/>
          <w:kern w:val="0"/>
          <w:sz w:val="24"/>
          <w:szCs w:val="24"/>
        </w:rPr>
        <w:t>计量方法</w:t>
      </w:r>
    </w:p>
    <w:p w14:paraId="3D0F9B9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本项约定为：</w:t>
      </w:r>
    </w:p>
    <w:p w14:paraId="4865673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工程的计量应以净值为准，除非项目专用合同条款另有约定。工程量清单中各个子目的具体计量方法按本合同文件技术标准中的规定执行。</w:t>
      </w:r>
    </w:p>
    <w:p w14:paraId="28AC1DFE">
      <w:pPr>
        <w:spacing w:line="440" w:lineRule="exact"/>
        <w:ind w:firstLine="480" w:firstLineChars="200"/>
        <w:rPr>
          <w:rFonts w:ascii="宋体" w:hAnsi="宋体" w:cs="宋体"/>
          <w:kern w:val="0"/>
          <w:sz w:val="24"/>
          <w:szCs w:val="24"/>
        </w:rPr>
      </w:pPr>
      <w:r>
        <w:rPr>
          <w:rFonts w:ascii="宋体" w:hAnsi="宋体" w:cs="宋体"/>
          <w:kern w:val="0"/>
          <w:sz w:val="24"/>
          <w:szCs w:val="24"/>
        </w:rPr>
        <w:t>17.1.4</w:t>
      </w:r>
      <w:r>
        <w:rPr>
          <w:rFonts w:hint="eastAsia" w:ascii="宋体" w:hAnsi="宋体" w:cs="宋体"/>
          <w:kern w:val="0"/>
          <w:sz w:val="24"/>
          <w:szCs w:val="24"/>
        </w:rPr>
        <w:t>单价子目的计量</w:t>
      </w:r>
    </w:p>
    <w:p w14:paraId="7550B91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w:t>
      </w:r>
    </w:p>
    <w:p w14:paraId="0E30AFA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）承包人未在已标价工程量清单中填入单价或总额价的工程子目，将被认为其已包含在本合同的其他子目的单价和总额价中，发包人将不另行支付。</w:t>
      </w:r>
    </w:p>
    <w:p w14:paraId="3E20E862">
      <w:pPr>
        <w:keepNext/>
        <w:keepLines/>
        <w:spacing w:line="440" w:lineRule="exact"/>
        <w:ind w:firstLine="482" w:firstLineChars="200"/>
        <w:rPr>
          <w:rFonts w:hint="eastAsia" w:ascii="宋体" w:hAnsi="宋体" w:cs="宋体"/>
          <w:b/>
          <w:bCs/>
          <w:kern w:val="44"/>
          <w:sz w:val="24"/>
          <w:szCs w:val="24"/>
        </w:rPr>
      </w:pPr>
      <w:bookmarkStart w:id="1316" w:name="_Toc479265611"/>
      <w:bookmarkStart w:id="1317" w:name="_Toc513132357"/>
      <w:bookmarkStart w:id="1318" w:name="_Toc192710527"/>
      <w:bookmarkStart w:id="1319" w:name="_Toc512689724"/>
      <w:bookmarkStart w:id="1320" w:name="_Toc513212877"/>
      <w:bookmarkStart w:id="1321" w:name="_Toc488083591"/>
      <w:bookmarkStart w:id="1322" w:name="_Toc480282357"/>
      <w:bookmarkStart w:id="1323" w:name="_Toc479237782"/>
      <w:bookmarkStart w:id="1324" w:name="_Toc234382906"/>
      <w:bookmarkStart w:id="1325" w:name="_Toc3475596"/>
      <w:r>
        <w:rPr>
          <w:rFonts w:hint="eastAsia" w:ascii="宋体" w:hAnsi="宋体" w:cs="宋体"/>
          <w:b/>
          <w:bCs/>
          <w:kern w:val="44"/>
          <w:sz w:val="24"/>
          <w:szCs w:val="24"/>
        </w:rPr>
        <w:t>17.2预付款</w:t>
      </w:r>
      <w:bookmarkEnd w:id="1316"/>
      <w:bookmarkEnd w:id="1317"/>
      <w:bookmarkEnd w:id="1318"/>
      <w:bookmarkEnd w:id="1319"/>
      <w:bookmarkEnd w:id="1320"/>
      <w:bookmarkEnd w:id="1321"/>
      <w:bookmarkEnd w:id="1322"/>
      <w:bookmarkEnd w:id="1323"/>
      <w:bookmarkEnd w:id="1324"/>
      <w:bookmarkEnd w:id="1325"/>
    </w:p>
    <w:p w14:paraId="0FE6F345">
      <w:pPr>
        <w:spacing w:line="440" w:lineRule="exact"/>
        <w:ind w:firstLine="480" w:firstLineChars="200"/>
        <w:rPr>
          <w:rFonts w:ascii="宋体" w:hAnsi="宋体" w:cs="宋体"/>
          <w:kern w:val="0"/>
          <w:sz w:val="24"/>
          <w:szCs w:val="24"/>
        </w:rPr>
      </w:pPr>
      <w:r>
        <w:rPr>
          <w:rFonts w:ascii="宋体" w:hAnsi="宋体" w:cs="宋体"/>
          <w:kern w:val="0"/>
          <w:sz w:val="24"/>
          <w:szCs w:val="24"/>
        </w:rPr>
        <w:t>17.2.1</w:t>
      </w:r>
      <w:r>
        <w:rPr>
          <w:rFonts w:hint="eastAsia" w:ascii="宋体" w:hAnsi="宋体" w:cs="宋体"/>
          <w:kern w:val="0"/>
          <w:sz w:val="24"/>
          <w:szCs w:val="24"/>
        </w:rPr>
        <w:t>预付款</w:t>
      </w:r>
    </w:p>
    <w:p w14:paraId="3F158BB8">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本项目无预付款</w:t>
      </w:r>
    </w:p>
    <w:p w14:paraId="3DF98ED4">
      <w:pPr>
        <w:keepNext/>
        <w:keepLines/>
        <w:spacing w:line="440" w:lineRule="exact"/>
        <w:ind w:firstLine="482" w:firstLineChars="200"/>
        <w:rPr>
          <w:rFonts w:hint="eastAsia" w:ascii="宋体" w:hAnsi="宋体" w:cs="宋体"/>
          <w:b/>
          <w:bCs/>
          <w:kern w:val="44"/>
          <w:sz w:val="24"/>
          <w:szCs w:val="24"/>
        </w:rPr>
      </w:pPr>
      <w:bookmarkStart w:id="1326" w:name="_Toc513212878"/>
      <w:bookmarkStart w:id="1327" w:name="_Toc479237783"/>
      <w:bookmarkStart w:id="1328" w:name="_Toc488083592"/>
      <w:bookmarkStart w:id="1329" w:name="_Toc480282358"/>
      <w:bookmarkStart w:id="1330" w:name="_Toc234382907"/>
      <w:bookmarkStart w:id="1331" w:name="_Toc3475597"/>
      <w:bookmarkStart w:id="1332" w:name="_Toc513132358"/>
      <w:bookmarkStart w:id="1333" w:name="_Toc512689725"/>
      <w:bookmarkStart w:id="1334" w:name="_Toc192710528"/>
      <w:bookmarkStart w:id="1335" w:name="_Toc479265612"/>
      <w:r>
        <w:rPr>
          <w:rFonts w:hint="eastAsia" w:ascii="宋体" w:hAnsi="宋体" w:cs="宋体"/>
          <w:b/>
          <w:bCs/>
          <w:kern w:val="44"/>
          <w:sz w:val="24"/>
          <w:szCs w:val="24"/>
        </w:rPr>
        <w:t>17.3工程进度付款</w:t>
      </w:r>
      <w:bookmarkEnd w:id="1326"/>
      <w:bookmarkEnd w:id="1327"/>
      <w:bookmarkEnd w:id="1328"/>
      <w:bookmarkEnd w:id="1329"/>
      <w:bookmarkEnd w:id="1330"/>
      <w:bookmarkEnd w:id="1331"/>
      <w:bookmarkEnd w:id="1332"/>
      <w:bookmarkEnd w:id="1333"/>
      <w:bookmarkEnd w:id="1334"/>
      <w:bookmarkEnd w:id="1335"/>
    </w:p>
    <w:p w14:paraId="405904AC">
      <w:pPr>
        <w:spacing w:line="440" w:lineRule="exact"/>
        <w:ind w:firstLine="480" w:firstLineChars="200"/>
        <w:rPr>
          <w:rFonts w:ascii="宋体" w:hAnsi="宋体" w:cs="宋体"/>
          <w:kern w:val="0"/>
          <w:sz w:val="24"/>
          <w:szCs w:val="24"/>
        </w:rPr>
      </w:pPr>
      <w:r>
        <w:rPr>
          <w:rFonts w:ascii="宋体" w:hAnsi="宋体" w:cs="宋体"/>
          <w:kern w:val="0"/>
          <w:sz w:val="24"/>
          <w:szCs w:val="24"/>
        </w:rPr>
        <w:t>17.3.3</w:t>
      </w:r>
      <w:r>
        <w:rPr>
          <w:rFonts w:hint="eastAsia" w:ascii="宋体" w:hAnsi="宋体" w:cs="宋体"/>
          <w:kern w:val="0"/>
          <w:sz w:val="24"/>
          <w:szCs w:val="24"/>
        </w:rPr>
        <w:t>进度付款证书和支付时间</w:t>
      </w:r>
    </w:p>
    <w:p w14:paraId="0202ED8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1</w:t>
      </w:r>
      <w:r>
        <w:rPr>
          <w:rFonts w:hint="eastAsia" w:ascii="宋体" w:hAnsi="宋体" w:cs="宋体"/>
          <w:kern w:val="0"/>
          <w:sz w:val="24"/>
          <w:szCs w:val="24"/>
        </w:rPr>
        <w:t>）目补充：</w:t>
      </w:r>
      <w:r>
        <w:rPr>
          <w:rFonts w:ascii="宋体" w:hAnsi="宋体" w:cs="宋体"/>
          <w:kern w:val="0"/>
          <w:sz w:val="24"/>
          <w:szCs w:val="24"/>
        </w:rPr>
        <w:tab/>
      </w:r>
    </w:p>
    <w:p w14:paraId="34DB6FE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45A44C2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2</w:t>
      </w:r>
      <w:r>
        <w:rPr>
          <w:rFonts w:hint="eastAsia" w:ascii="宋体" w:hAnsi="宋体" w:cs="宋体"/>
          <w:kern w:val="0"/>
          <w:sz w:val="24"/>
          <w:szCs w:val="24"/>
        </w:rPr>
        <w:t>）目约定为：</w:t>
      </w:r>
    </w:p>
    <w:p w14:paraId="218AB3BA">
      <w:pPr>
        <w:spacing w:line="440" w:lineRule="exact"/>
        <w:ind w:firstLine="480" w:firstLineChars="200"/>
        <w:rPr>
          <w:rFonts w:ascii="宋体" w:hAnsi="宋体" w:cs="宋体"/>
          <w:kern w:val="0"/>
          <w:sz w:val="24"/>
          <w:szCs w:val="24"/>
        </w:rPr>
      </w:pPr>
      <w:r>
        <w:rPr>
          <w:rFonts w:ascii="宋体" w:hAnsi="宋体" w:cs="宋体"/>
          <w:kern w:val="0"/>
          <w:sz w:val="24"/>
          <w:szCs w:val="24"/>
        </w:rPr>
        <w:t>发包人应在监理人收到进度付款申请单且承包人提交了合格的增值税专用发票后的28 天内，将进度应付款支付给承包人。</w:t>
      </w:r>
    </w:p>
    <w:p w14:paraId="39A2F53E">
      <w:pPr>
        <w:spacing w:line="440" w:lineRule="exact"/>
        <w:ind w:firstLine="480" w:firstLineChars="200"/>
        <w:rPr>
          <w:rFonts w:hint="eastAsia" w:ascii="宋体" w:hAnsi="宋体" w:cs="宋体"/>
          <w:kern w:val="0"/>
          <w:sz w:val="24"/>
          <w:szCs w:val="24"/>
        </w:rPr>
      </w:pPr>
      <w:r>
        <w:rPr>
          <w:rFonts w:ascii="宋体" w:hAnsi="宋体" w:cs="宋体"/>
          <w:kern w:val="0"/>
          <w:sz w:val="24"/>
          <w:szCs w:val="24"/>
        </w:rPr>
        <w:t>发包人不按期支付的，按项目专用合同条款数据表中约定的利率向承包人支付逾期付款违约金 。违约金计算基数为发包人的全部未付款额，时间从应付而未付该款额之日算起(不计复利)。</w:t>
      </w:r>
    </w:p>
    <w:p w14:paraId="423D14A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本款补充第17.3.5项：</w:t>
      </w:r>
    </w:p>
    <w:p w14:paraId="1EC87383">
      <w:pPr>
        <w:spacing w:line="440" w:lineRule="exact"/>
        <w:ind w:firstLine="480" w:firstLineChars="200"/>
        <w:rPr>
          <w:rFonts w:ascii="宋体" w:hAnsi="宋体" w:cs="宋体"/>
          <w:kern w:val="0"/>
          <w:sz w:val="24"/>
          <w:szCs w:val="24"/>
        </w:rPr>
      </w:pPr>
      <w:r>
        <w:rPr>
          <w:rFonts w:ascii="宋体" w:hAnsi="宋体" w:cs="宋体"/>
          <w:kern w:val="0"/>
          <w:sz w:val="24"/>
          <w:szCs w:val="24"/>
        </w:rPr>
        <w:t>17.3.</w:t>
      </w:r>
      <w:r>
        <w:rPr>
          <w:rFonts w:hint="eastAsia" w:ascii="宋体" w:hAnsi="宋体" w:cs="宋体"/>
          <w:kern w:val="0"/>
          <w:sz w:val="24"/>
          <w:szCs w:val="24"/>
        </w:rPr>
        <w:t>5农民工工资保证金</w:t>
      </w:r>
    </w:p>
    <w:p w14:paraId="408E74E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（1）为确保施工过程中农民工工资实时、足额发放到位，承包人应按照项目专用合同条款约定的时间和金额缴存农民工工资保证金。</w:t>
      </w:r>
    </w:p>
    <w:p w14:paraId="7923452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农民工工资保证金可采用银行保函或现金</w:t>
      </w:r>
      <w:r>
        <w:rPr>
          <w:rFonts w:hint="eastAsia" w:ascii="宋体" w:hAnsi="宋体" w:cs="宋体"/>
          <w:kern w:val="0"/>
          <w:sz w:val="24"/>
          <w:szCs w:val="24"/>
        </w:rPr>
        <w:t>、</w:t>
      </w:r>
      <w:r>
        <w:rPr>
          <w:rFonts w:ascii="宋体" w:hAnsi="宋体" w:cs="宋体"/>
          <w:kern w:val="0"/>
          <w:sz w:val="24"/>
          <w:szCs w:val="24"/>
        </w:rPr>
        <w:t>支票形式。采用银行保函时，出具保函的银行须具有相应担保能力，且按照发包人批准的格式出具，所需费用由承包人承担。</w:t>
      </w:r>
    </w:p>
    <w:p w14:paraId="56A7C39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农民工工资保证金的扣留条件、返还时间按照项目专用合同条款的约定执行。</w:t>
      </w:r>
    </w:p>
    <w:p w14:paraId="0E3BD6CB">
      <w:pPr>
        <w:keepNext/>
        <w:keepLines/>
        <w:spacing w:line="440" w:lineRule="exact"/>
        <w:ind w:firstLine="482" w:firstLineChars="200"/>
        <w:rPr>
          <w:rFonts w:hint="eastAsia" w:ascii="宋体" w:hAnsi="宋体" w:cs="宋体"/>
          <w:b/>
          <w:bCs/>
          <w:kern w:val="44"/>
          <w:sz w:val="24"/>
          <w:szCs w:val="24"/>
        </w:rPr>
      </w:pPr>
      <w:bookmarkStart w:id="1336" w:name="_Toc513132359"/>
      <w:bookmarkStart w:id="1337" w:name="_Toc480282359"/>
      <w:bookmarkStart w:id="1338" w:name="_Toc513212879"/>
      <w:bookmarkStart w:id="1339" w:name="_Toc488083593"/>
      <w:bookmarkStart w:id="1340" w:name="_Toc3475598"/>
      <w:bookmarkStart w:id="1341" w:name="_Toc512689726"/>
      <w:bookmarkStart w:id="1342" w:name="_Toc192710529"/>
      <w:bookmarkStart w:id="1343" w:name="_Toc234382908"/>
      <w:bookmarkStart w:id="1344" w:name="_Toc479265613"/>
      <w:bookmarkStart w:id="1345" w:name="_Toc479237784"/>
      <w:r>
        <w:rPr>
          <w:rFonts w:hint="eastAsia" w:ascii="宋体" w:hAnsi="宋体" w:cs="宋体"/>
          <w:b/>
          <w:bCs/>
          <w:kern w:val="44"/>
          <w:sz w:val="24"/>
          <w:szCs w:val="24"/>
        </w:rPr>
        <w:t>17.4质量保证金</w:t>
      </w:r>
      <w:bookmarkEnd w:id="1336"/>
      <w:bookmarkEnd w:id="1337"/>
      <w:bookmarkEnd w:id="1338"/>
      <w:bookmarkEnd w:id="1339"/>
      <w:bookmarkEnd w:id="1340"/>
      <w:bookmarkEnd w:id="1341"/>
      <w:bookmarkEnd w:id="1342"/>
      <w:bookmarkEnd w:id="1343"/>
      <w:bookmarkEnd w:id="1344"/>
      <w:bookmarkEnd w:id="1345"/>
    </w:p>
    <w:p w14:paraId="13D5DA8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17.4.1</w:t>
      </w:r>
      <w:r>
        <w:rPr>
          <w:rFonts w:hint="eastAsia" w:ascii="宋体" w:hAnsi="宋体" w:cs="宋体"/>
          <w:kern w:val="0"/>
          <w:sz w:val="24"/>
          <w:szCs w:val="24"/>
        </w:rPr>
        <w:t>、17.4.2项细化为：</w:t>
      </w:r>
    </w:p>
    <w:p w14:paraId="18C312F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17.4.1</w:t>
      </w:r>
      <w:r>
        <w:rPr>
          <w:rFonts w:ascii="宋体" w:hAnsi="宋体" w:cs="宋体"/>
          <w:kern w:val="0"/>
          <w:sz w:val="24"/>
          <w:szCs w:val="24"/>
        </w:rPr>
        <w:t>交工验收证书签发后 14 天内 ，承包人应向发包人缴纳质量保证金</w:t>
      </w:r>
      <w:r>
        <w:rPr>
          <w:rFonts w:hint="eastAsia" w:ascii="宋体" w:hAnsi="宋体" w:cs="宋体"/>
          <w:kern w:val="0"/>
          <w:sz w:val="24"/>
          <w:szCs w:val="24"/>
        </w:rPr>
        <w:t>最高不超过合同价格的 3%</w:t>
      </w:r>
      <w:r>
        <w:rPr>
          <w:rFonts w:ascii="宋体" w:hAnsi="宋体" w:cs="宋体"/>
          <w:kern w:val="0"/>
          <w:sz w:val="24"/>
          <w:szCs w:val="24"/>
        </w:rPr>
        <w:t>。质量保证金可采用银行保函或现金、支票形式，金额应符合项目专用合同条款数据表的规定。采用银行保函时，出具保函的银行须具有相应担保能力，且按照发包人批准的格式出具，所需费用由承包人承担 。</w:t>
      </w:r>
    </w:p>
    <w:p w14:paraId="32B1D7B9">
      <w:pPr>
        <w:spacing w:line="440" w:lineRule="exact"/>
        <w:ind w:firstLine="480" w:firstLineChars="200"/>
        <w:rPr>
          <w:rFonts w:ascii="宋体" w:hAnsi="宋体" w:cs="宋体"/>
          <w:kern w:val="0"/>
          <w:sz w:val="24"/>
          <w:szCs w:val="24"/>
        </w:rPr>
      </w:pPr>
      <w:r>
        <w:rPr>
          <w:rFonts w:ascii="宋体" w:hAnsi="宋体" w:cs="宋体"/>
          <w:kern w:val="0"/>
          <w:sz w:val="24"/>
          <w:szCs w:val="24"/>
        </w:rPr>
        <w:t>质量保证金采用现金、支票形式提交的，发包人应在项目专用合同条款数据表中明确是否计付利息以及利息的计算方式。</w:t>
      </w:r>
    </w:p>
    <w:p w14:paraId="407B2DC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17.4.2</w:t>
      </w:r>
      <w:r>
        <w:rPr>
          <w:rFonts w:ascii="宋体" w:hAnsi="宋体" w:cs="宋体"/>
          <w:kern w:val="0"/>
          <w:sz w:val="24"/>
          <w:szCs w:val="24"/>
        </w:rPr>
        <w:t>在第1.1.4.5 目约定的缺陷责任期满，且质量监督机构已按规定对工程质量检测鉴定合格，承包人向发包人申请到期应返还承包人剩余的质量保证金金额， 发包人应在14 天内会同承包人按照合同约定的内容核实承包人是否完成缺陷责任</w:t>
      </w:r>
      <w:r>
        <w:rPr>
          <w:rFonts w:hint="eastAsia" w:ascii="宋体" w:hAnsi="宋体" w:cs="宋体"/>
          <w:kern w:val="0"/>
          <w:sz w:val="24"/>
          <w:szCs w:val="24"/>
        </w:rPr>
        <w:t>。</w:t>
      </w:r>
      <w:r>
        <w:rPr>
          <w:rFonts w:ascii="宋体" w:hAnsi="宋体" w:cs="宋体"/>
          <w:kern w:val="0"/>
          <w:sz w:val="24"/>
          <w:szCs w:val="24"/>
        </w:rPr>
        <w:t>如无异议，发包人应当在核实后将剩余保证金返还承包人。</w:t>
      </w:r>
    </w:p>
    <w:p w14:paraId="1D8BCF25">
      <w:pPr>
        <w:keepNext/>
        <w:keepLines/>
        <w:spacing w:line="440" w:lineRule="exact"/>
        <w:ind w:firstLine="482" w:firstLineChars="200"/>
        <w:rPr>
          <w:rFonts w:hint="eastAsia" w:ascii="宋体" w:hAnsi="宋体" w:cs="宋体"/>
          <w:b/>
          <w:bCs/>
          <w:kern w:val="44"/>
          <w:sz w:val="24"/>
          <w:szCs w:val="24"/>
        </w:rPr>
      </w:pPr>
      <w:bookmarkStart w:id="1346" w:name="_Toc479265614"/>
      <w:bookmarkStart w:id="1347" w:name="_Toc513212880"/>
      <w:bookmarkStart w:id="1348" w:name="_Toc479237785"/>
      <w:bookmarkStart w:id="1349" w:name="_Toc480282360"/>
      <w:bookmarkStart w:id="1350" w:name="_Toc513132360"/>
      <w:bookmarkStart w:id="1351" w:name="_Toc512689727"/>
      <w:bookmarkStart w:id="1352" w:name="_Toc488083594"/>
      <w:bookmarkStart w:id="1353" w:name="_Toc3475599"/>
      <w:bookmarkStart w:id="1354" w:name="_Toc192710530"/>
      <w:bookmarkStart w:id="1355" w:name="_Toc234382909"/>
      <w:r>
        <w:rPr>
          <w:rFonts w:hint="eastAsia" w:ascii="宋体" w:hAnsi="宋体" w:cs="宋体"/>
          <w:b/>
          <w:bCs/>
          <w:kern w:val="44"/>
          <w:sz w:val="24"/>
          <w:szCs w:val="24"/>
        </w:rPr>
        <w:t>17.5交工结算</w:t>
      </w:r>
      <w:bookmarkEnd w:id="1346"/>
      <w:bookmarkEnd w:id="1347"/>
      <w:bookmarkEnd w:id="1348"/>
      <w:bookmarkEnd w:id="1349"/>
      <w:bookmarkEnd w:id="1350"/>
      <w:bookmarkEnd w:id="1351"/>
      <w:bookmarkEnd w:id="1352"/>
      <w:bookmarkEnd w:id="1353"/>
      <w:bookmarkEnd w:id="1354"/>
      <w:bookmarkEnd w:id="1355"/>
    </w:p>
    <w:p w14:paraId="39C69A7E">
      <w:pPr>
        <w:spacing w:line="440" w:lineRule="exact"/>
        <w:ind w:firstLine="480" w:firstLineChars="200"/>
        <w:rPr>
          <w:rFonts w:ascii="宋体" w:hAnsi="宋体" w:cs="宋体"/>
          <w:kern w:val="0"/>
          <w:sz w:val="24"/>
          <w:szCs w:val="24"/>
        </w:rPr>
      </w:pPr>
      <w:r>
        <w:rPr>
          <w:rFonts w:ascii="宋体" w:hAnsi="宋体" w:cs="宋体"/>
          <w:kern w:val="0"/>
          <w:sz w:val="24"/>
          <w:szCs w:val="24"/>
        </w:rPr>
        <w:t>17.5.l</w:t>
      </w:r>
      <w:r>
        <w:rPr>
          <w:rFonts w:hint="eastAsia" w:ascii="宋体" w:hAnsi="宋体" w:cs="宋体"/>
          <w:kern w:val="0"/>
          <w:sz w:val="24"/>
          <w:szCs w:val="24"/>
        </w:rPr>
        <w:t>交工付款申请单</w:t>
      </w:r>
    </w:p>
    <w:p w14:paraId="3E4426C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l</w:t>
      </w:r>
      <w:r>
        <w:rPr>
          <w:rFonts w:hint="eastAsia" w:ascii="宋体" w:hAnsi="宋体" w:cs="宋体"/>
          <w:kern w:val="0"/>
          <w:sz w:val="24"/>
          <w:szCs w:val="24"/>
        </w:rPr>
        <w:t>）目约定为：</w:t>
      </w:r>
    </w:p>
    <w:p w14:paraId="7D2ACC1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承包人向监理人提交交工付款申请单（包括相关证明材料）的份数在项目专用合同条款数据表中约定；期限：交工验收证书签发后</w:t>
      </w:r>
      <w:r>
        <w:rPr>
          <w:rFonts w:ascii="宋体" w:hAnsi="宋体" w:cs="宋体"/>
          <w:kern w:val="0"/>
          <w:sz w:val="24"/>
          <w:szCs w:val="24"/>
        </w:rPr>
        <w:t>42</w:t>
      </w:r>
      <w:r>
        <w:rPr>
          <w:rFonts w:hint="eastAsia" w:ascii="宋体" w:hAnsi="宋体" w:cs="宋体"/>
          <w:kern w:val="0"/>
          <w:sz w:val="24"/>
          <w:szCs w:val="24"/>
        </w:rPr>
        <w:t>天内。</w:t>
      </w:r>
    </w:p>
    <w:p w14:paraId="4C8B392E">
      <w:pPr>
        <w:keepNext/>
        <w:keepLines/>
        <w:spacing w:line="440" w:lineRule="exact"/>
        <w:ind w:firstLine="482" w:firstLineChars="200"/>
        <w:rPr>
          <w:rFonts w:hint="eastAsia" w:ascii="宋体" w:hAnsi="宋体" w:cs="宋体"/>
          <w:b/>
          <w:bCs/>
          <w:kern w:val="44"/>
          <w:sz w:val="24"/>
          <w:szCs w:val="24"/>
        </w:rPr>
      </w:pPr>
      <w:bookmarkStart w:id="1356" w:name="_Toc192710531"/>
      <w:bookmarkStart w:id="1357" w:name="_Toc513132361"/>
      <w:bookmarkStart w:id="1358" w:name="_Toc488083595"/>
      <w:bookmarkStart w:id="1359" w:name="_Toc480282361"/>
      <w:bookmarkStart w:id="1360" w:name="_Toc479265615"/>
      <w:bookmarkStart w:id="1361" w:name="_Toc234382910"/>
      <w:bookmarkStart w:id="1362" w:name="_Toc479237786"/>
      <w:bookmarkStart w:id="1363" w:name="_Toc3475600"/>
      <w:bookmarkStart w:id="1364" w:name="_Toc512689728"/>
      <w:bookmarkStart w:id="1365" w:name="_Toc513212881"/>
      <w:r>
        <w:rPr>
          <w:rFonts w:hint="eastAsia" w:ascii="宋体" w:hAnsi="宋体" w:cs="宋体"/>
          <w:b/>
          <w:bCs/>
          <w:kern w:val="44"/>
          <w:sz w:val="24"/>
          <w:szCs w:val="24"/>
        </w:rPr>
        <w:t>17.6最终结清</w:t>
      </w:r>
      <w:bookmarkEnd w:id="1356"/>
      <w:bookmarkEnd w:id="1357"/>
      <w:bookmarkEnd w:id="1358"/>
      <w:bookmarkEnd w:id="1359"/>
      <w:bookmarkEnd w:id="1360"/>
      <w:bookmarkEnd w:id="1361"/>
      <w:bookmarkEnd w:id="1362"/>
      <w:bookmarkEnd w:id="1363"/>
      <w:bookmarkEnd w:id="1364"/>
      <w:bookmarkEnd w:id="1365"/>
    </w:p>
    <w:p w14:paraId="5D579562">
      <w:pPr>
        <w:spacing w:line="440" w:lineRule="exact"/>
        <w:ind w:firstLine="480" w:firstLineChars="200"/>
        <w:rPr>
          <w:rFonts w:ascii="宋体" w:hAnsi="宋体" w:cs="宋体"/>
          <w:kern w:val="0"/>
          <w:sz w:val="24"/>
          <w:szCs w:val="24"/>
        </w:rPr>
      </w:pPr>
      <w:r>
        <w:rPr>
          <w:rFonts w:ascii="宋体" w:hAnsi="宋体" w:cs="宋体"/>
          <w:kern w:val="0"/>
          <w:sz w:val="24"/>
          <w:szCs w:val="24"/>
        </w:rPr>
        <w:t>17.6.1</w:t>
      </w:r>
      <w:r>
        <w:rPr>
          <w:rFonts w:hint="eastAsia" w:ascii="宋体" w:hAnsi="宋体" w:cs="宋体"/>
          <w:kern w:val="0"/>
          <w:sz w:val="24"/>
          <w:szCs w:val="24"/>
        </w:rPr>
        <w:t>最终结清申请单</w:t>
      </w:r>
    </w:p>
    <w:p w14:paraId="206E7B6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1</w:t>
      </w:r>
      <w:r>
        <w:rPr>
          <w:rFonts w:hint="eastAsia" w:ascii="宋体" w:hAnsi="宋体" w:cs="宋体"/>
          <w:kern w:val="0"/>
          <w:sz w:val="24"/>
          <w:szCs w:val="24"/>
        </w:rPr>
        <w:t>）目约定为：</w:t>
      </w:r>
    </w:p>
    <w:p w14:paraId="34E9D3C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承包人向监理人提交最终结清申请单（包括相关证明材料）的份数在项目专用合同条款数据表中约定；期限：缺陷责任期终止证书签发后</w:t>
      </w:r>
      <w:r>
        <w:rPr>
          <w:rFonts w:ascii="宋体" w:hAnsi="宋体" w:cs="宋体"/>
          <w:kern w:val="0"/>
          <w:sz w:val="24"/>
          <w:szCs w:val="24"/>
        </w:rPr>
        <w:t>28</w:t>
      </w:r>
      <w:r>
        <w:rPr>
          <w:rFonts w:hint="eastAsia" w:ascii="宋体" w:hAnsi="宋体" w:cs="宋体"/>
          <w:kern w:val="0"/>
          <w:sz w:val="24"/>
          <w:szCs w:val="24"/>
        </w:rPr>
        <w:t>天内。</w:t>
      </w:r>
    </w:p>
    <w:p w14:paraId="12402F0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最终结清申请单中的总金额应认为是代表了根据合同规定应付给承包人的全部款项的最后结算。</w:t>
      </w:r>
    </w:p>
    <w:p w14:paraId="48768741">
      <w:pPr>
        <w:keepNext/>
        <w:keepLines/>
        <w:spacing w:line="440" w:lineRule="exact"/>
        <w:ind w:firstLine="482" w:firstLineChars="200"/>
        <w:rPr>
          <w:rFonts w:hint="eastAsia" w:ascii="宋体" w:hAnsi="宋体" w:cs="宋体"/>
          <w:b/>
          <w:bCs/>
          <w:kern w:val="44"/>
          <w:sz w:val="24"/>
          <w:szCs w:val="24"/>
        </w:rPr>
      </w:pPr>
      <w:bookmarkStart w:id="1366" w:name="_Toc512689729"/>
      <w:bookmarkStart w:id="1367" w:name="_Toc513132362"/>
      <w:bookmarkStart w:id="1368" w:name="_Toc479237787"/>
      <w:bookmarkStart w:id="1369" w:name="_Toc480282362"/>
      <w:bookmarkStart w:id="1370" w:name="_Toc488083596"/>
      <w:bookmarkStart w:id="1371" w:name="_Toc479265616"/>
      <w:bookmarkStart w:id="1372" w:name="_Toc234382911"/>
      <w:bookmarkStart w:id="1373" w:name="_Toc513212882"/>
      <w:bookmarkStart w:id="1374" w:name="_Toc3475601"/>
      <w:bookmarkStart w:id="1375" w:name="_Toc192710532"/>
      <w:r>
        <w:rPr>
          <w:rFonts w:hint="eastAsia" w:ascii="宋体" w:hAnsi="宋体" w:cs="宋体"/>
          <w:b/>
          <w:bCs/>
          <w:kern w:val="44"/>
          <w:sz w:val="24"/>
          <w:szCs w:val="24"/>
        </w:rPr>
        <w:t>18．交工验收</w:t>
      </w:r>
      <w:bookmarkEnd w:id="1366"/>
      <w:bookmarkEnd w:id="1367"/>
      <w:bookmarkEnd w:id="1368"/>
      <w:bookmarkEnd w:id="1369"/>
      <w:bookmarkEnd w:id="1370"/>
      <w:bookmarkEnd w:id="1371"/>
      <w:bookmarkEnd w:id="1372"/>
      <w:bookmarkEnd w:id="1373"/>
      <w:bookmarkEnd w:id="1374"/>
      <w:bookmarkEnd w:id="1375"/>
    </w:p>
    <w:p w14:paraId="4AF266AE">
      <w:pPr>
        <w:keepNext/>
        <w:keepLines/>
        <w:spacing w:line="440" w:lineRule="exact"/>
        <w:ind w:firstLine="482" w:firstLineChars="200"/>
        <w:rPr>
          <w:rFonts w:ascii="宋体" w:hAnsi="Calibri" w:eastAsia="黑体"/>
          <w:b/>
          <w:bCs/>
          <w:kern w:val="44"/>
          <w:sz w:val="24"/>
          <w:szCs w:val="24"/>
        </w:rPr>
      </w:pPr>
      <w:bookmarkStart w:id="1376" w:name="_Toc513132363"/>
      <w:bookmarkStart w:id="1377" w:name="_Toc513212883"/>
      <w:bookmarkStart w:id="1378" w:name="_Toc512689730"/>
      <w:bookmarkStart w:id="1379" w:name="_Toc488083597"/>
      <w:bookmarkStart w:id="1380" w:name="_Toc3475602"/>
      <w:bookmarkStart w:id="1381" w:name="_Toc479265617"/>
      <w:bookmarkStart w:id="1382" w:name="_Toc479237788"/>
      <w:bookmarkStart w:id="1383" w:name="_Toc192710533"/>
      <w:bookmarkStart w:id="1384" w:name="_Toc234382912"/>
      <w:bookmarkStart w:id="1385" w:name="_Toc480282363"/>
      <w:r>
        <w:rPr>
          <w:rFonts w:hint="eastAsia" w:ascii="宋体" w:hAnsi="宋体" w:cs="宋体"/>
          <w:b/>
          <w:bCs/>
          <w:kern w:val="44"/>
          <w:sz w:val="24"/>
          <w:szCs w:val="24"/>
        </w:rPr>
        <w:t>18.2交工验收申请报告</w:t>
      </w:r>
      <w:bookmarkEnd w:id="1376"/>
      <w:bookmarkEnd w:id="1377"/>
      <w:bookmarkEnd w:id="1378"/>
      <w:bookmarkEnd w:id="1379"/>
      <w:bookmarkEnd w:id="1380"/>
      <w:bookmarkEnd w:id="1381"/>
      <w:bookmarkEnd w:id="1382"/>
      <w:bookmarkEnd w:id="1383"/>
      <w:bookmarkEnd w:id="1384"/>
      <w:bookmarkEnd w:id="1385"/>
    </w:p>
    <w:p w14:paraId="05C04334">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本款第（</w:t>
      </w:r>
      <w:r>
        <w:rPr>
          <w:rFonts w:ascii="宋体" w:hAnsi="宋体" w:cs="宋体"/>
          <w:kern w:val="0"/>
          <w:sz w:val="24"/>
          <w:szCs w:val="24"/>
        </w:rPr>
        <w:t>2</w:t>
      </w:r>
      <w:r>
        <w:rPr>
          <w:rFonts w:hint="eastAsia" w:ascii="宋体" w:hAnsi="宋体" w:cs="宋体"/>
          <w:kern w:val="0"/>
          <w:sz w:val="24"/>
          <w:szCs w:val="24"/>
        </w:rPr>
        <w:t>）项约定为：</w:t>
      </w:r>
    </w:p>
    <w:p w14:paraId="6D16161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竣工资料的内容：承包人应按照《公路工程竣（交）工验收办法》和相关规定编制竣工资料。</w:t>
      </w:r>
    </w:p>
    <w:p w14:paraId="7ED36DF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竣工资料的份数在项目专用合同条款数据表中约定。</w:t>
      </w:r>
    </w:p>
    <w:p w14:paraId="04207E21">
      <w:pPr>
        <w:keepNext/>
        <w:keepLines/>
        <w:spacing w:line="440" w:lineRule="exact"/>
        <w:ind w:firstLine="482" w:firstLineChars="200"/>
        <w:rPr>
          <w:rFonts w:ascii="宋体" w:hAnsi="Calibri" w:eastAsia="黑体"/>
          <w:b/>
          <w:bCs/>
          <w:kern w:val="44"/>
          <w:sz w:val="24"/>
          <w:szCs w:val="24"/>
        </w:rPr>
      </w:pPr>
      <w:bookmarkStart w:id="1386" w:name="_Toc479265618"/>
      <w:bookmarkStart w:id="1387" w:name="_Toc479237789"/>
      <w:bookmarkStart w:id="1388" w:name="_Toc513212884"/>
      <w:bookmarkStart w:id="1389" w:name="_Toc488083598"/>
      <w:bookmarkStart w:id="1390" w:name="_Toc234382913"/>
      <w:bookmarkStart w:id="1391" w:name="_Toc3475603"/>
      <w:bookmarkStart w:id="1392" w:name="_Toc512689731"/>
      <w:bookmarkStart w:id="1393" w:name="_Toc480282364"/>
      <w:bookmarkStart w:id="1394" w:name="_Toc192710534"/>
      <w:bookmarkStart w:id="1395" w:name="_Toc513132364"/>
      <w:r>
        <w:rPr>
          <w:rFonts w:hint="eastAsia" w:ascii="宋体" w:hAnsi="宋体" w:cs="宋体"/>
          <w:b/>
          <w:bCs/>
          <w:kern w:val="44"/>
          <w:sz w:val="24"/>
          <w:szCs w:val="24"/>
        </w:rPr>
        <w:t>18.3 验收</w:t>
      </w:r>
      <w:bookmarkEnd w:id="1386"/>
      <w:bookmarkEnd w:id="1387"/>
      <w:bookmarkEnd w:id="1388"/>
      <w:bookmarkEnd w:id="1389"/>
      <w:bookmarkEnd w:id="1390"/>
      <w:bookmarkEnd w:id="1391"/>
      <w:bookmarkEnd w:id="1392"/>
      <w:bookmarkEnd w:id="1393"/>
      <w:bookmarkEnd w:id="1394"/>
      <w:bookmarkEnd w:id="1395"/>
    </w:p>
    <w:p w14:paraId="0B2FC64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18.3.2</w:t>
      </w:r>
      <w:r>
        <w:rPr>
          <w:rFonts w:hint="eastAsia" w:ascii="宋体" w:hAnsi="宋体" w:cs="宋体"/>
          <w:kern w:val="0"/>
          <w:sz w:val="24"/>
          <w:szCs w:val="24"/>
        </w:rPr>
        <w:t>项补充：</w:t>
      </w:r>
    </w:p>
    <w:p w14:paraId="45D75CB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交工验收由发包人主持，由发包人、监理人、质监、设计、施工、运营、管理养护等有关部门代表组成交工验收小组，对本项目的工程质量进行评定，并写出交工验收报告报交通主管部门备案。承包人应按发包人的要求提交竣工资料，完成交工验收准备工作。</w:t>
      </w:r>
    </w:p>
    <w:p w14:paraId="2C7F804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18.3.5</w:t>
      </w:r>
      <w:r>
        <w:rPr>
          <w:rFonts w:hint="eastAsia" w:ascii="宋体" w:hAnsi="宋体" w:cs="宋体"/>
          <w:kern w:val="0"/>
          <w:sz w:val="24"/>
          <w:szCs w:val="24"/>
        </w:rPr>
        <w:t>项约定为：</w:t>
      </w:r>
    </w:p>
    <w:p w14:paraId="33012B2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经验收合格工程的实际交工日期，以最终提交交工验收申请报告的日期为准，并在交工验收证书中写明。</w:t>
      </w:r>
    </w:p>
    <w:p w14:paraId="7564349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本款补充第</w:t>
      </w:r>
      <w:r>
        <w:rPr>
          <w:rFonts w:ascii="宋体" w:hAnsi="宋体" w:cs="宋体"/>
          <w:kern w:val="0"/>
          <w:sz w:val="24"/>
          <w:szCs w:val="24"/>
        </w:rPr>
        <w:t>18.3.7</w:t>
      </w:r>
      <w:r>
        <w:rPr>
          <w:rFonts w:hint="eastAsia" w:ascii="宋体" w:hAnsi="宋体" w:cs="宋体"/>
          <w:kern w:val="0"/>
          <w:sz w:val="24"/>
          <w:szCs w:val="24"/>
        </w:rPr>
        <w:t>项：</w:t>
      </w:r>
    </w:p>
    <w:p w14:paraId="57D1363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组织办理交工验收和签发交工验收证书的费用由发包人承担。但按照第</w:t>
      </w:r>
      <w:r>
        <w:rPr>
          <w:rFonts w:ascii="宋体" w:hAnsi="宋体" w:cs="宋体"/>
          <w:kern w:val="0"/>
          <w:sz w:val="24"/>
          <w:szCs w:val="24"/>
        </w:rPr>
        <w:t>18.3.4</w:t>
      </w:r>
      <w:r>
        <w:rPr>
          <w:rFonts w:hint="eastAsia" w:ascii="宋体" w:hAnsi="宋体" w:cs="宋体"/>
          <w:kern w:val="0"/>
          <w:sz w:val="24"/>
          <w:szCs w:val="24"/>
        </w:rPr>
        <w:t>项规定达不到合格标准的交工验收费用由承包人承担。</w:t>
      </w:r>
    </w:p>
    <w:p w14:paraId="313F74AB">
      <w:pPr>
        <w:widowControl/>
        <w:tabs>
          <w:tab w:val="left" w:pos="3193"/>
        </w:tabs>
        <w:spacing w:line="440" w:lineRule="exact"/>
        <w:ind w:firstLine="480" w:firstLineChars="200"/>
        <w:jc w:val="left"/>
        <w:rPr>
          <w:rFonts w:ascii="宋体"/>
          <w:kern w:val="0"/>
          <w:sz w:val="24"/>
          <w:szCs w:val="24"/>
        </w:rPr>
      </w:pPr>
      <w:r>
        <w:rPr>
          <w:rFonts w:hint="eastAsia" w:ascii="宋体" w:hAnsi="宋体" w:cs="宋体"/>
          <w:kern w:val="0"/>
          <w:sz w:val="24"/>
          <w:szCs w:val="24"/>
        </w:rPr>
        <w:t>本条补充第</w:t>
      </w:r>
      <w:r>
        <w:rPr>
          <w:rFonts w:ascii="宋体" w:hAnsi="宋体" w:cs="宋体"/>
          <w:kern w:val="0"/>
          <w:sz w:val="24"/>
          <w:szCs w:val="24"/>
        </w:rPr>
        <w:t>18.9</w:t>
      </w:r>
      <w:r>
        <w:rPr>
          <w:rFonts w:hint="eastAsia" w:ascii="宋体" w:hAnsi="宋体" w:cs="宋体"/>
          <w:kern w:val="0"/>
          <w:sz w:val="24"/>
          <w:szCs w:val="24"/>
        </w:rPr>
        <w:t>款：</w:t>
      </w:r>
    </w:p>
    <w:p w14:paraId="072F059F">
      <w:pPr>
        <w:keepNext/>
        <w:keepLines/>
        <w:spacing w:line="440" w:lineRule="exact"/>
        <w:ind w:firstLine="482" w:firstLineChars="200"/>
        <w:rPr>
          <w:rFonts w:hint="eastAsia" w:ascii="宋体" w:hAnsi="宋体" w:cs="宋体"/>
          <w:b/>
          <w:bCs/>
          <w:kern w:val="44"/>
          <w:sz w:val="24"/>
          <w:szCs w:val="24"/>
        </w:rPr>
      </w:pPr>
      <w:bookmarkStart w:id="1396" w:name="_Toc479237790"/>
      <w:bookmarkStart w:id="1397" w:name="_Toc192710535"/>
      <w:bookmarkStart w:id="1398" w:name="_Toc512689732"/>
      <w:bookmarkStart w:id="1399" w:name="_Toc488083599"/>
      <w:bookmarkStart w:id="1400" w:name="_Toc234382914"/>
      <w:bookmarkStart w:id="1401" w:name="_Toc513212885"/>
      <w:bookmarkStart w:id="1402" w:name="_Toc479265619"/>
      <w:bookmarkStart w:id="1403" w:name="_Toc480282365"/>
      <w:bookmarkStart w:id="1404" w:name="_Toc513132365"/>
      <w:bookmarkStart w:id="1405" w:name="_Toc3475604"/>
      <w:r>
        <w:rPr>
          <w:rFonts w:hint="eastAsia" w:ascii="宋体" w:hAnsi="宋体" w:cs="宋体"/>
          <w:b/>
          <w:bCs/>
          <w:kern w:val="44"/>
          <w:sz w:val="24"/>
          <w:szCs w:val="24"/>
        </w:rPr>
        <w:t>18.9竣工文件</w:t>
      </w:r>
      <w:bookmarkEnd w:id="1396"/>
      <w:bookmarkEnd w:id="1397"/>
      <w:bookmarkEnd w:id="1398"/>
      <w:bookmarkEnd w:id="1399"/>
      <w:bookmarkEnd w:id="1400"/>
      <w:bookmarkEnd w:id="1401"/>
      <w:bookmarkEnd w:id="1402"/>
      <w:bookmarkEnd w:id="1403"/>
      <w:bookmarkEnd w:id="1404"/>
      <w:bookmarkEnd w:id="1405"/>
    </w:p>
    <w:p w14:paraId="0D0D45E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承包人应按照《公路工程竣（交）工验收办法》中的相关规定，在缺陷责任期内为竣工验收补充军工资了，并在签发缺陷责任期终止证书之前提交。</w:t>
      </w:r>
    </w:p>
    <w:p w14:paraId="7FC6C29B">
      <w:pPr>
        <w:keepNext/>
        <w:keepLines/>
        <w:spacing w:line="440" w:lineRule="exact"/>
        <w:ind w:firstLine="482" w:firstLineChars="200"/>
        <w:rPr>
          <w:rFonts w:hint="eastAsia" w:ascii="宋体" w:hAnsi="宋体" w:cs="宋体"/>
          <w:b/>
          <w:bCs/>
          <w:kern w:val="44"/>
          <w:sz w:val="24"/>
          <w:szCs w:val="24"/>
        </w:rPr>
      </w:pPr>
      <w:bookmarkStart w:id="1406" w:name="_Toc479265620"/>
      <w:bookmarkStart w:id="1407" w:name="_Toc513212886"/>
      <w:bookmarkStart w:id="1408" w:name="_Toc488083600"/>
      <w:bookmarkStart w:id="1409" w:name="_Toc479237791"/>
      <w:bookmarkStart w:id="1410" w:name="_Toc513132366"/>
      <w:bookmarkStart w:id="1411" w:name="_Toc234382915"/>
      <w:bookmarkStart w:id="1412" w:name="_Toc480282366"/>
      <w:bookmarkStart w:id="1413" w:name="_Toc192710536"/>
      <w:bookmarkStart w:id="1414" w:name="_Toc512689733"/>
      <w:bookmarkStart w:id="1415" w:name="_Toc3475605"/>
      <w:r>
        <w:rPr>
          <w:rFonts w:hint="eastAsia" w:ascii="宋体" w:hAnsi="宋体" w:cs="宋体"/>
          <w:b/>
          <w:bCs/>
          <w:kern w:val="44"/>
          <w:sz w:val="24"/>
          <w:szCs w:val="24"/>
        </w:rPr>
        <w:t>19．缺陷责任与保修责任</w:t>
      </w:r>
      <w:bookmarkEnd w:id="1406"/>
      <w:bookmarkEnd w:id="1407"/>
      <w:bookmarkEnd w:id="1408"/>
      <w:bookmarkEnd w:id="1409"/>
      <w:bookmarkEnd w:id="1410"/>
      <w:bookmarkEnd w:id="1411"/>
      <w:bookmarkEnd w:id="1412"/>
      <w:bookmarkEnd w:id="1413"/>
      <w:bookmarkEnd w:id="1414"/>
      <w:bookmarkEnd w:id="1415"/>
    </w:p>
    <w:p w14:paraId="5DF97B2A">
      <w:pPr>
        <w:keepNext/>
        <w:keepLines/>
        <w:spacing w:line="440" w:lineRule="exact"/>
        <w:ind w:firstLine="482" w:firstLineChars="200"/>
        <w:rPr>
          <w:rFonts w:hint="eastAsia" w:ascii="宋体" w:hAnsi="宋体" w:cs="宋体"/>
          <w:b/>
          <w:bCs/>
          <w:kern w:val="44"/>
          <w:sz w:val="24"/>
          <w:szCs w:val="24"/>
        </w:rPr>
      </w:pPr>
      <w:bookmarkStart w:id="1416" w:name="_Toc513212887"/>
      <w:bookmarkStart w:id="1417" w:name="_Toc513132367"/>
      <w:bookmarkStart w:id="1418" w:name="_Toc234382916"/>
      <w:bookmarkStart w:id="1419" w:name="_Toc512689734"/>
      <w:bookmarkStart w:id="1420" w:name="_Toc192710537"/>
      <w:bookmarkStart w:id="1421" w:name="_Toc3475606"/>
      <w:bookmarkStart w:id="1422" w:name="_Toc480282367"/>
      <w:bookmarkStart w:id="1423" w:name="_Toc488083601"/>
      <w:bookmarkStart w:id="1424" w:name="_Toc479265621"/>
      <w:bookmarkStart w:id="1425" w:name="_Toc479237792"/>
      <w:r>
        <w:rPr>
          <w:rFonts w:hint="eastAsia" w:ascii="宋体" w:hAnsi="宋体" w:cs="宋体"/>
          <w:b/>
          <w:bCs/>
          <w:kern w:val="44"/>
          <w:sz w:val="24"/>
          <w:szCs w:val="24"/>
        </w:rPr>
        <w:t>19.2缺陷责任</w:t>
      </w:r>
      <w:bookmarkEnd w:id="1416"/>
      <w:bookmarkEnd w:id="1417"/>
      <w:bookmarkEnd w:id="1418"/>
      <w:bookmarkEnd w:id="1419"/>
      <w:bookmarkEnd w:id="1420"/>
      <w:bookmarkEnd w:id="1421"/>
      <w:bookmarkEnd w:id="1422"/>
      <w:bookmarkEnd w:id="1423"/>
      <w:bookmarkEnd w:id="1424"/>
      <w:bookmarkEnd w:id="1425"/>
    </w:p>
    <w:p w14:paraId="28EF677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19.2.2</w:t>
      </w:r>
      <w:r>
        <w:rPr>
          <w:rFonts w:hint="eastAsia" w:ascii="宋体" w:hAnsi="宋体" w:cs="宋体"/>
          <w:kern w:val="0"/>
          <w:sz w:val="24"/>
          <w:szCs w:val="24"/>
        </w:rPr>
        <w:t>项补充：</w:t>
      </w:r>
    </w:p>
    <w:p w14:paraId="39BEBB5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在缺陷责任期内，承包人应尽快完成在交工验收证书中写明的未完成工作，并完成对本工程缺陷的修复或监理人指令的修补工作。</w:t>
      </w:r>
    </w:p>
    <w:p w14:paraId="05F90D71">
      <w:pPr>
        <w:keepNext/>
        <w:keepLines/>
        <w:spacing w:line="440" w:lineRule="exact"/>
        <w:ind w:firstLine="482" w:firstLineChars="200"/>
        <w:rPr>
          <w:rFonts w:hint="eastAsia" w:ascii="宋体" w:hAnsi="宋体" w:cs="宋体"/>
          <w:b/>
          <w:bCs/>
          <w:kern w:val="44"/>
          <w:sz w:val="24"/>
          <w:szCs w:val="24"/>
        </w:rPr>
      </w:pPr>
      <w:bookmarkStart w:id="1426" w:name="_Toc192710538"/>
      <w:bookmarkStart w:id="1427" w:name="_Toc513132368"/>
      <w:bookmarkStart w:id="1428" w:name="_Toc234382917"/>
      <w:bookmarkStart w:id="1429" w:name="_Toc480282368"/>
      <w:bookmarkStart w:id="1430" w:name="_Toc479265622"/>
      <w:bookmarkStart w:id="1431" w:name="_Toc3475607"/>
      <w:bookmarkStart w:id="1432" w:name="_Toc512689735"/>
      <w:bookmarkStart w:id="1433" w:name="_Toc479237793"/>
      <w:bookmarkStart w:id="1434" w:name="_Toc513212888"/>
      <w:bookmarkStart w:id="1435" w:name="_Toc488083602"/>
      <w:r>
        <w:rPr>
          <w:rFonts w:hint="eastAsia" w:ascii="宋体" w:hAnsi="宋体" w:cs="宋体"/>
          <w:b/>
          <w:bCs/>
          <w:kern w:val="44"/>
          <w:sz w:val="24"/>
          <w:szCs w:val="24"/>
        </w:rPr>
        <w:t>19.5承包人的进入权</w:t>
      </w:r>
      <w:bookmarkEnd w:id="1426"/>
      <w:bookmarkEnd w:id="1427"/>
      <w:bookmarkEnd w:id="1428"/>
      <w:bookmarkEnd w:id="1429"/>
      <w:bookmarkEnd w:id="1430"/>
      <w:bookmarkEnd w:id="1431"/>
      <w:bookmarkEnd w:id="1432"/>
      <w:bookmarkEnd w:id="1433"/>
      <w:bookmarkEnd w:id="1434"/>
      <w:bookmarkEnd w:id="1435"/>
    </w:p>
    <w:p w14:paraId="7B582D7B">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本款补充：</w:t>
      </w:r>
    </w:p>
    <w:p w14:paraId="7993376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承包人在缺陷修复施工过程中，应服从管养单位的有关安全管理规定，由于承包人自身原因造成的人员伤亡、设备和材料的损毁及罚款等责任由承包人自负。</w:t>
      </w:r>
    </w:p>
    <w:p w14:paraId="0EE1366A">
      <w:pPr>
        <w:keepNext/>
        <w:keepLines/>
        <w:spacing w:line="440" w:lineRule="exact"/>
        <w:ind w:firstLine="482" w:firstLineChars="200"/>
        <w:rPr>
          <w:rFonts w:hint="eastAsia" w:ascii="宋体" w:hAnsi="宋体" w:cs="宋体"/>
          <w:b/>
          <w:bCs/>
          <w:kern w:val="44"/>
          <w:sz w:val="24"/>
          <w:szCs w:val="24"/>
        </w:rPr>
      </w:pPr>
      <w:bookmarkStart w:id="1436" w:name="_Toc512689736"/>
      <w:bookmarkStart w:id="1437" w:name="_Toc513132369"/>
      <w:bookmarkStart w:id="1438" w:name="_Toc479237794"/>
      <w:bookmarkStart w:id="1439" w:name="_Toc3475608"/>
      <w:bookmarkStart w:id="1440" w:name="_Toc488083603"/>
      <w:bookmarkStart w:id="1441" w:name="_Toc513212889"/>
      <w:bookmarkStart w:id="1442" w:name="_Toc192710539"/>
      <w:bookmarkStart w:id="1443" w:name="_Toc234382918"/>
      <w:bookmarkStart w:id="1444" w:name="_Toc480282369"/>
      <w:bookmarkStart w:id="1445" w:name="_Toc479265623"/>
      <w:r>
        <w:rPr>
          <w:rFonts w:hint="eastAsia" w:ascii="宋体" w:hAnsi="宋体" w:cs="宋体"/>
          <w:b/>
          <w:bCs/>
          <w:kern w:val="44"/>
          <w:sz w:val="24"/>
          <w:szCs w:val="24"/>
        </w:rPr>
        <w:t>19.7保修责任</w:t>
      </w:r>
      <w:bookmarkEnd w:id="1436"/>
      <w:bookmarkEnd w:id="1437"/>
      <w:bookmarkEnd w:id="1438"/>
      <w:bookmarkEnd w:id="1439"/>
      <w:bookmarkEnd w:id="1440"/>
      <w:bookmarkEnd w:id="1441"/>
      <w:bookmarkEnd w:id="1442"/>
      <w:bookmarkEnd w:id="1443"/>
      <w:bookmarkEnd w:id="1444"/>
      <w:bookmarkEnd w:id="1445"/>
    </w:p>
    <w:p w14:paraId="00D2765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本款细化为：</w:t>
      </w:r>
    </w:p>
    <w:p w14:paraId="6219F15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3ADAD52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）在全部工程交工验收前，已经发包人提前验收的单位工程，其保修期的起算日期相应提前。</w:t>
      </w:r>
    </w:p>
    <w:p w14:paraId="27090F3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）工程保修期终止后</w:t>
      </w:r>
      <w:r>
        <w:rPr>
          <w:rFonts w:ascii="宋体" w:hAnsi="宋体" w:cs="宋体"/>
          <w:kern w:val="0"/>
          <w:sz w:val="24"/>
          <w:szCs w:val="24"/>
        </w:rPr>
        <w:t>28</w:t>
      </w:r>
      <w:r>
        <w:rPr>
          <w:rFonts w:hint="eastAsia" w:ascii="宋体" w:hAnsi="宋体" w:cs="宋体"/>
          <w:kern w:val="0"/>
          <w:sz w:val="24"/>
          <w:szCs w:val="24"/>
        </w:rPr>
        <w:t>天内，监理人签发保修期终止证书。</w:t>
      </w:r>
    </w:p>
    <w:p w14:paraId="795A7895">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）若承包人不履行保修义务和责任，则承包人应承担由于违约造成的法律后果，并由发包人将其违约行为上报省级交通主管部门，作为不良记录纳入公路建设时常信用信息管理系统。</w:t>
      </w:r>
    </w:p>
    <w:p w14:paraId="4B0CCCD9">
      <w:pPr>
        <w:keepNext/>
        <w:keepLines/>
        <w:spacing w:line="440" w:lineRule="exact"/>
        <w:ind w:firstLine="482" w:firstLineChars="200"/>
        <w:rPr>
          <w:rFonts w:hint="eastAsia" w:ascii="宋体" w:hAnsi="宋体" w:cs="宋体"/>
          <w:b/>
          <w:bCs/>
          <w:kern w:val="44"/>
          <w:sz w:val="24"/>
          <w:szCs w:val="24"/>
        </w:rPr>
      </w:pPr>
      <w:bookmarkStart w:id="1446" w:name="_Toc488083604"/>
      <w:bookmarkStart w:id="1447" w:name="_Toc479265624"/>
      <w:bookmarkStart w:id="1448" w:name="_Toc513132370"/>
      <w:bookmarkStart w:id="1449" w:name="_Toc192710540"/>
      <w:bookmarkStart w:id="1450" w:name="_Toc479237795"/>
      <w:bookmarkStart w:id="1451" w:name="_Toc480282370"/>
      <w:bookmarkStart w:id="1452" w:name="_Toc234382919"/>
      <w:bookmarkStart w:id="1453" w:name="_Toc513212890"/>
      <w:bookmarkStart w:id="1454" w:name="_Toc512689737"/>
      <w:bookmarkStart w:id="1455" w:name="_Toc3475609"/>
      <w:r>
        <w:rPr>
          <w:rFonts w:hint="eastAsia" w:ascii="宋体" w:hAnsi="宋体" w:cs="宋体"/>
          <w:b/>
          <w:bCs/>
          <w:kern w:val="44"/>
          <w:sz w:val="24"/>
          <w:szCs w:val="24"/>
        </w:rPr>
        <w:t>20.保险</w:t>
      </w:r>
      <w:bookmarkEnd w:id="1446"/>
      <w:bookmarkEnd w:id="1447"/>
      <w:bookmarkEnd w:id="1448"/>
      <w:bookmarkEnd w:id="1449"/>
      <w:bookmarkEnd w:id="1450"/>
      <w:bookmarkEnd w:id="1451"/>
      <w:bookmarkEnd w:id="1452"/>
      <w:bookmarkEnd w:id="1453"/>
      <w:bookmarkEnd w:id="1454"/>
      <w:bookmarkEnd w:id="1455"/>
    </w:p>
    <w:p w14:paraId="10EA4998">
      <w:pPr>
        <w:keepNext/>
        <w:keepLines/>
        <w:spacing w:line="440" w:lineRule="exact"/>
        <w:ind w:firstLine="482" w:firstLineChars="200"/>
        <w:rPr>
          <w:rFonts w:hint="eastAsia" w:ascii="宋体" w:hAnsi="宋体" w:cs="宋体"/>
          <w:b/>
          <w:bCs/>
          <w:kern w:val="44"/>
          <w:sz w:val="24"/>
          <w:szCs w:val="24"/>
        </w:rPr>
      </w:pPr>
      <w:bookmarkStart w:id="1456" w:name="_Toc192710541"/>
      <w:bookmarkStart w:id="1457" w:name="_Toc234382920"/>
      <w:bookmarkStart w:id="1458" w:name="_Toc513132371"/>
      <w:bookmarkStart w:id="1459" w:name="_Toc513212891"/>
      <w:bookmarkStart w:id="1460" w:name="_Toc3475610"/>
      <w:bookmarkStart w:id="1461" w:name="_Toc488083605"/>
      <w:bookmarkStart w:id="1462" w:name="_Toc480282371"/>
      <w:bookmarkStart w:id="1463" w:name="_Toc479237796"/>
      <w:bookmarkStart w:id="1464" w:name="_Toc512689738"/>
      <w:bookmarkStart w:id="1465" w:name="_Toc479265625"/>
      <w:r>
        <w:rPr>
          <w:rFonts w:hint="eastAsia" w:ascii="宋体" w:hAnsi="宋体" w:cs="宋体"/>
          <w:b/>
          <w:bCs/>
          <w:kern w:val="44"/>
          <w:sz w:val="24"/>
          <w:szCs w:val="24"/>
        </w:rPr>
        <w:t>20.1工程保险</w:t>
      </w:r>
      <w:bookmarkEnd w:id="1456"/>
      <w:bookmarkEnd w:id="1457"/>
      <w:bookmarkEnd w:id="1458"/>
      <w:bookmarkEnd w:id="1459"/>
      <w:bookmarkEnd w:id="1460"/>
      <w:bookmarkEnd w:id="1461"/>
      <w:bookmarkEnd w:id="1462"/>
      <w:bookmarkEnd w:id="1463"/>
      <w:bookmarkEnd w:id="1464"/>
      <w:bookmarkEnd w:id="1465"/>
    </w:p>
    <w:p w14:paraId="0545937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4873D99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建筑工程</w:t>
      </w:r>
      <w:r>
        <w:rPr>
          <w:rFonts w:ascii="宋体" w:hAnsi="宋体" w:cs="宋体"/>
          <w:kern w:val="0"/>
          <w:sz w:val="24"/>
          <w:szCs w:val="24"/>
        </w:rPr>
        <w:t>—</w:t>
      </w:r>
      <w:r>
        <w:rPr>
          <w:rFonts w:hint="eastAsia" w:ascii="宋体" w:hAnsi="宋体" w:cs="宋体"/>
          <w:kern w:val="0"/>
          <w:sz w:val="24"/>
          <w:szCs w:val="24"/>
        </w:rPr>
        <w:t>切险的投保内容：为本合同工程的永久工程、临时工程和设备及已运至施工工地用于永久工程的材料和设备所投的保险。</w:t>
      </w:r>
    </w:p>
    <w:p w14:paraId="10556D8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保险金额：工程量清单第</w:t>
      </w:r>
      <w:r>
        <w:rPr>
          <w:rFonts w:ascii="宋体" w:hAnsi="宋体" w:cs="宋体"/>
          <w:kern w:val="0"/>
          <w:sz w:val="24"/>
          <w:szCs w:val="24"/>
        </w:rPr>
        <w:t>100</w:t>
      </w:r>
      <w:r>
        <w:rPr>
          <w:rFonts w:hint="eastAsia" w:ascii="宋体" w:hAnsi="宋体" w:cs="宋体"/>
          <w:kern w:val="0"/>
          <w:sz w:val="24"/>
          <w:szCs w:val="24"/>
        </w:rPr>
        <w:t>章（不含建筑工程一切险及第三者责任险的保险费）至</w:t>
      </w:r>
      <w:r>
        <w:rPr>
          <w:rFonts w:ascii="宋体" w:hAnsi="宋体" w:cs="宋体"/>
          <w:kern w:val="0"/>
          <w:sz w:val="24"/>
          <w:szCs w:val="24"/>
        </w:rPr>
        <w:t>700</w:t>
      </w:r>
      <w:r>
        <w:rPr>
          <w:rFonts w:hint="eastAsia" w:ascii="宋体" w:hAnsi="宋体" w:cs="宋体"/>
          <w:kern w:val="0"/>
          <w:sz w:val="24"/>
          <w:szCs w:val="24"/>
        </w:rPr>
        <w:t>章的合计金额。</w:t>
      </w:r>
    </w:p>
    <w:p w14:paraId="17138D2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保险费率：在项目专用条款数据表中约定。</w:t>
      </w:r>
    </w:p>
    <w:p w14:paraId="4893AB7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保险期限：开工日起直至本合同工程签发缺陷责任期终止证书止（即合同工期＋缺陷责任期）</w:t>
      </w:r>
    </w:p>
    <w:p w14:paraId="45CC038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承包人应以发包人和承包人的共同名义投保建筑工程一切险。建筑工程一切险的保险费由承包人报价时列入工程量清单</w:t>
      </w:r>
      <w:r>
        <w:rPr>
          <w:rFonts w:ascii="宋体" w:hAnsi="宋体" w:cs="宋体"/>
          <w:kern w:val="0"/>
          <w:sz w:val="24"/>
          <w:szCs w:val="24"/>
        </w:rPr>
        <w:t>100</w:t>
      </w:r>
      <w:r>
        <w:rPr>
          <w:rFonts w:hint="eastAsia" w:ascii="宋体" w:hAnsi="宋体" w:cs="宋体"/>
          <w:kern w:val="0"/>
          <w:sz w:val="24"/>
          <w:szCs w:val="24"/>
        </w:rPr>
        <w:t>章内。发包人在接到保险单后，将按照保险单的费用直接向承包人支付。</w:t>
      </w:r>
    </w:p>
    <w:p w14:paraId="7E47DFB8">
      <w:pPr>
        <w:keepNext/>
        <w:keepLines/>
        <w:spacing w:line="440" w:lineRule="exact"/>
        <w:ind w:firstLine="482" w:firstLineChars="200"/>
        <w:rPr>
          <w:rFonts w:ascii="宋体" w:hAnsi="Calibri" w:eastAsia="黑体"/>
          <w:b/>
          <w:bCs/>
          <w:kern w:val="44"/>
          <w:sz w:val="24"/>
          <w:szCs w:val="24"/>
        </w:rPr>
      </w:pPr>
      <w:bookmarkStart w:id="1466" w:name="_Toc479237797"/>
      <w:bookmarkStart w:id="1467" w:name="_Toc234382921"/>
      <w:bookmarkStart w:id="1468" w:name="_Toc512689739"/>
      <w:bookmarkStart w:id="1469" w:name="_Toc513132372"/>
      <w:bookmarkStart w:id="1470" w:name="_Toc480282372"/>
      <w:bookmarkStart w:id="1471" w:name="_Toc479265626"/>
      <w:bookmarkStart w:id="1472" w:name="_Toc192710542"/>
      <w:bookmarkStart w:id="1473" w:name="_Toc513212892"/>
      <w:bookmarkStart w:id="1474" w:name="_Toc3475611"/>
      <w:bookmarkStart w:id="1475" w:name="_Toc488083606"/>
      <w:r>
        <w:rPr>
          <w:rFonts w:hint="eastAsia" w:ascii="宋体" w:hAnsi="宋体" w:cs="宋体"/>
          <w:b/>
          <w:bCs/>
          <w:kern w:val="44"/>
          <w:sz w:val="24"/>
          <w:szCs w:val="24"/>
        </w:rPr>
        <w:t>20.4第三者责任险</w:t>
      </w:r>
      <w:bookmarkEnd w:id="1466"/>
      <w:bookmarkEnd w:id="1467"/>
      <w:bookmarkEnd w:id="1468"/>
      <w:bookmarkEnd w:id="1469"/>
      <w:bookmarkEnd w:id="1470"/>
      <w:bookmarkEnd w:id="1471"/>
      <w:bookmarkEnd w:id="1472"/>
      <w:bookmarkEnd w:id="1473"/>
      <w:bookmarkEnd w:id="1474"/>
      <w:bookmarkEnd w:id="1475"/>
    </w:p>
    <w:p w14:paraId="4644D2E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20.4.2</w:t>
      </w:r>
      <w:r>
        <w:rPr>
          <w:rFonts w:hint="eastAsia" w:ascii="宋体" w:hAnsi="宋体" w:cs="宋体"/>
          <w:kern w:val="0"/>
          <w:sz w:val="24"/>
          <w:szCs w:val="24"/>
        </w:rPr>
        <w:t>项补充：</w:t>
      </w:r>
    </w:p>
    <w:p w14:paraId="2E81AB2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第三者责任险的保险费由承包人报价时列入工程量清单</w:t>
      </w:r>
      <w:r>
        <w:rPr>
          <w:rFonts w:ascii="宋体" w:hAnsi="宋体" w:cs="宋体"/>
          <w:kern w:val="0"/>
          <w:sz w:val="24"/>
          <w:szCs w:val="24"/>
        </w:rPr>
        <w:t>100</w:t>
      </w:r>
      <w:r>
        <w:rPr>
          <w:rFonts w:hint="eastAsia" w:ascii="宋体" w:hAnsi="宋体" w:cs="宋体"/>
          <w:kern w:val="0"/>
          <w:sz w:val="24"/>
          <w:szCs w:val="24"/>
        </w:rPr>
        <w:t>章内。发包人在接到保险单后，将按照保险单的费用直接向承包人支付。</w:t>
      </w:r>
    </w:p>
    <w:p w14:paraId="27904297">
      <w:pPr>
        <w:keepNext/>
        <w:keepLines/>
        <w:spacing w:line="440" w:lineRule="exact"/>
        <w:ind w:firstLine="482" w:firstLineChars="200"/>
        <w:rPr>
          <w:rFonts w:ascii="宋体" w:hAnsi="Calibri" w:eastAsia="黑体"/>
          <w:b/>
          <w:bCs/>
          <w:kern w:val="44"/>
          <w:sz w:val="24"/>
          <w:szCs w:val="24"/>
        </w:rPr>
      </w:pPr>
      <w:bookmarkStart w:id="1476" w:name="_Toc480282373"/>
      <w:bookmarkStart w:id="1477" w:name="_Toc488083607"/>
      <w:bookmarkStart w:id="1478" w:name="_Toc3475612"/>
      <w:bookmarkStart w:id="1479" w:name="_Toc479265627"/>
      <w:bookmarkStart w:id="1480" w:name="_Toc512689740"/>
      <w:bookmarkStart w:id="1481" w:name="_Toc234382922"/>
      <w:bookmarkStart w:id="1482" w:name="_Toc513212893"/>
      <w:bookmarkStart w:id="1483" w:name="_Toc192710543"/>
      <w:bookmarkStart w:id="1484" w:name="_Toc479237798"/>
      <w:bookmarkStart w:id="1485" w:name="_Toc513132373"/>
      <w:r>
        <w:rPr>
          <w:rFonts w:hint="eastAsia" w:ascii="宋体" w:hAnsi="宋体" w:cs="宋体"/>
          <w:b/>
          <w:bCs/>
          <w:kern w:val="44"/>
          <w:sz w:val="24"/>
          <w:szCs w:val="24"/>
        </w:rPr>
        <w:t>20.5其他保险</w:t>
      </w:r>
      <w:bookmarkEnd w:id="1476"/>
      <w:bookmarkEnd w:id="1477"/>
      <w:bookmarkEnd w:id="1478"/>
      <w:bookmarkEnd w:id="1479"/>
      <w:bookmarkEnd w:id="1480"/>
      <w:bookmarkEnd w:id="1481"/>
      <w:bookmarkEnd w:id="1482"/>
      <w:bookmarkEnd w:id="1483"/>
      <w:bookmarkEnd w:id="1484"/>
      <w:bookmarkEnd w:id="1485"/>
    </w:p>
    <w:p w14:paraId="5E6C96E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本款约定为：</w:t>
      </w:r>
    </w:p>
    <w:p w14:paraId="66BAF42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承包人应为其施工设备等办理保险，其投保金额应足以现场重量。办理本款保险的一切费用均由承包人承担，并包括在工程量清单的单价及总额价中，发包人不单独支付。</w:t>
      </w:r>
    </w:p>
    <w:p w14:paraId="38302995">
      <w:pPr>
        <w:keepNext/>
        <w:keepLines/>
        <w:spacing w:line="440" w:lineRule="exact"/>
        <w:ind w:firstLine="482" w:firstLineChars="200"/>
        <w:rPr>
          <w:rFonts w:ascii="宋体" w:hAnsi="Calibri" w:eastAsia="黑体"/>
          <w:b/>
          <w:bCs/>
          <w:kern w:val="44"/>
          <w:sz w:val="24"/>
          <w:szCs w:val="24"/>
        </w:rPr>
      </w:pPr>
      <w:bookmarkStart w:id="1486" w:name="_Toc512689741"/>
      <w:bookmarkStart w:id="1487" w:name="_Toc234382923"/>
      <w:bookmarkStart w:id="1488" w:name="_Toc480282374"/>
      <w:bookmarkStart w:id="1489" w:name="_Toc192710544"/>
      <w:bookmarkStart w:id="1490" w:name="_Toc488083608"/>
      <w:bookmarkStart w:id="1491" w:name="_Toc479265628"/>
      <w:bookmarkStart w:id="1492" w:name="_Toc3475613"/>
      <w:bookmarkStart w:id="1493" w:name="_Toc513132374"/>
      <w:bookmarkStart w:id="1494" w:name="_Toc479237799"/>
      <w:bookmarkStart w:id="1495" w:name="_Toc513212894"/>
      <w:r>
        <w:rPr>
          <w:rFonts w:hint="eastAsia" w:ascii="宋体" w:hAnsi="宋体" w:cs="宋体"/>
          <w:b/>
          <w:bCs/>
          <w:kern w:val="44"/>
          <w:sz w:val="24"/>
          <w:szCs w:val="24"/>
        </w:rPr>
        <w:t>20.6对各项保险的一般要求</w:t>
      </w:r>
      <w:bookmarkEnd w:id="1486"/>
      <w:bookmarkEnd w:id="1487"/>
      <w:bookmarkEnd w:id="1488"/>
      <w:bookmarkEnd w:id="1489"/>
      <w:bookmarkEnd w:id="1490"/>
      <w:bookmarkEnd w:id="1491"/>
      <w:bookmarkEnd w:id="1492"/>
      <w:bookmarkEnd w:id="1493"/>
      <w:bookmarkEnd w:id="1494"/>
      <w:bookmarkEnd w:id="1495"/>
    </w:p>
    <w:p w14:paraId="48EA8BAB">
      <w:pPr>
        <w:spacing w:line="440" w:lineRule="exact"/>
        <w:ind w:firstLine="480" w:firstLineChars="200"/>
        <w:rPr>
          <w:rFonts w:ascii="宋体" w:hAnsi="宋体" w:cs="宋体"/>
          <w:kern w:val="0"/>
          <w:sz w:val="24"/>
          <w:szCs w:val="24"/>
        </w:rPr>
      </w:pPr>
      <w:r>
        <w:rPr>
          <w:rFonts w:ascii="宋体" w:hAnsi="宋体" w:cs="宋体"/>
          <w:kern w:val="0"/>
          <w:sz w:val="24"/>
          <w:szCs w:val="24"/>
        </w:rPr>
        <w:t>20.6.1</w:t>
      </w:r>
      <w:r>
        <w:rPr>
          <w:rFonts w:hint="eastAsia" w:ascii="宋体" w:hAnsi="宋体" w:cs="宋体"/>
          <w:kern w:val="0"/>
          <w:sz w:val="24"/>
          <w:szCs w:val="24"/>
        </w:rPr>
        <w:t>保险凭证</w:t>
      </w:r>
    </w:p>
    <w:p w14:paraId="79333BF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本项约定为：</w:t>
      </w:r>
    </w:p>
    <w:p w14:paraId="67B01A4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承包人向发包人提交各项保险生效的证据和保险单副本的期限：开工后</w:t>
      </w:r>
      <w:r>
        <w:rPr>
          <w:rFonts w:ascii="宋体" w:hAnsi="宋体" w:cs="宋体"/>
          <w:kern w:val="0"/>
          <w:sz w:val="24"/>
          <w:szCs w:val="24"/>
        </w:rPr>
        <w:t>56</w:t>
      </w:r>
      <w:r>
        <w:rPr>
          <w:rFonts w:hint="eastAsia" w:ascii="宋体" w:hAnsi="宋体" w:cs="宋体"/>
          <w:kern w:val="0"/>
          <w:sz w:val="24"/>
          <w:szCs w:val="24"/>
        </w:rPr>
        <w:t>天内。</w:t>
      </w:r>
    </w:p>
    <w:p w14:paraId="34A5AAA4">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20.6.3 </w:t>
      </w:r>
      <w:r>
        <w:rPr>
          <w:rFonts w:hint="eastAsia" w:ascii="宋体" w:hAnsi="宋体" w:cs="宋体"/>
          <w:kern w:val="0"/>
          <w:sz w:val="24"/>
          <w:szCs w:val="24"/>
        </w:rPr>
        <w:t>持续保险</w:t>
      </w:r>
    </w:p>
    <w:p w14:paraId="3D7CCA9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w:t>
      </w:r>
    </w:p>
    <w:p w14:paraId="4DF393E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在整个合同期内，承包人应按合同条款保证足够的保险额。</w:t>
      </w:r>
    </w:p>
    <w:p w14:paraId="55A1CE25">
      <w:pPr>
        <w:spacing w:line="440" w:lineRule="exact"/>
        <w:ind w:firstLine="480" w:firstLineChars="200"/>
        <w:rPr>
          <w:rFonts w:ascii="宋体" w:hAnsi="宋体" w:cs="宋体"/>
          <w:kern w:val="0"/>
          <w:sz w:val="24"/>
          <w:szCs w:val="24"/>
        </w:rPr>
      </w:pPr>
      <w:r>
        <w:rPr>
          <w:rFonts w:ascii="宋体" w:hAnsi="宋体" w:cs="宋体"/>
          <w:kern w:val="0"/>
          <w:sz w:val="24"/>
          <w:szCs w:val="24"/>
        </w:rPr>
        <w:t>20.6.4</w:t>
      </w:r>
      <w:r>
        <w:rPr>
          <w:rFonts w:hint="eastAsia" w:ascii="宋体" w:hAnsi="宋体" w:cs="宋体"/>
          <w:kern w:val="0"/>
          <w:sz w:val="24"/>
          <w:szCs w:val="24"/>
        </w:rPr>
        <w:t>保险金不足的补偿</w:t>
      </w:r>
    </w:p>
    <w:p w14:paraId="19E68B1B">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3E1E35F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保险金不足补偿损失的（包括免赔额和超过赔偿限额的部分），应由承包人和（或）发包人按合同约定负责补偿。</w:t>
      </w:r>
    </w:p>
    <w:p w14:paraId="60A996A7">
      <w:pPr>
        <w:spacing w:line="440" w:lineRule="exact"/>
        <w:ind w:firstLine="480" w:firstLineChars="200"/>
        <w:rPr>
          <w:rFonts w:ascii="宋体" w:hAnsi="宋体" w:cs="宋体"/>
          <w:kern w:val="0"/>
          <w:sz w:val="24"/>
          <w:szCs w:val="24"/>
        </w:rPr>
      </w:pPr>
      <w:r>
        <w:rPr>
          <w:rFonts w:ascii="宋体" w:hAnsi="宋体" w:cs="宋体"/>
          <w:kern w:val="0"/>
          <w:sz w:val="24"/>
          <w:szCs w:val="24"/>
        </w:rPr>
        <w:t>20.6.5</w:t>
      </w:r>
      <w:r>
        <w:rPr>
          <w:rFonts w:hint="eastAsia" w:ascii="宋体" w:hAnsi="宋体" w:cs="宋体"/>
          <w:kern w:val="0"/>
          <w:sz w:val="24"/>
          <w:szCs w:val="24"/>
        </w:rPr>
        <w:t>未按约定投保的补救</w:t>
      </w:r>
    </w:p>
    <w:p w14:paraId="2FEE809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2</w:t>
      </w:r>
      <w:r>
        <w:rPr>
          <w:rFonts w:hint="eastAsia" w:ascii="宋体" w:hAnsi="宋体" w:cs="宋体"/>
          <w:kern w:val="0"/>
          <w:sz w:val="24"/>
          <w:szCs w:val="24"/>
        </w:rPr>
        <w:t>）目细化为：</w:t>
      </w:r>
    </w:p>
    <w:p w14:paraId="0995155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由于负有投保义务的一方当事人未按合同约定办理某项保险，或未按保险单规定的条件和期限及时间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597BF04E">
      <w:pPr>
        <w:keepNext/>
        <w:keepLines/>
        <w:spacing w:line="440" w:lineRule="exact"/>
        <w:ind w:firstLine="482" w:firstLineChars="200"/>
        <w:rPr>
          <w:rFonts w:hint="eastAsia" w:ascii="宋体" w:hAnsi="宋体" w:cs="宋体"/>
          <w:b/>
          <w:bCs/>
          <w:kern w:val="44"/>
          <w:sz w:val="24"/>
          <w:szCs w:val="24"/>
        </w:rPr>
      </w:pPr>
      <w:bookmarkStart w:id="1496" w:name="_Toc479237800"/>
      <w:bookmarkStart w:id="1497" w:name="_Toc480282375"/>
      <w:bookmarkStart w:id="1498" w:name="_Toc513132375"/>
      <w:bookmarkStart w:id="1499" w:name="_Toc479265629"/>
      <w:bookmarkStart w:id="1500" w:name="_Toc512689742"/>
      <w:bookmarkStart w:id="1501" w:name="_Toc192710545"/>
      <w:bookmarkStart w:id="1502" w:name="_Toc488083609"/>
      <w:bookmarkStart w:id="1503" w:name="_Toc3475614"/>
      <w:bookmarkStart w:id="1504" w:name="_Toc513212895"/>
      <w:bookmarkStart w:id="1505" w:name="_Toc234382924"/>
      <w:r>
        <w:rPr>
          <w:rFonts w:hint="eastAsia" w:ascii="宋体" w:hAnsi="宋体" w:cs="宋体"/>
          <w:b/>
          <w:bCs/>
          <w:kern w:val="44"/>
          <w:sz w:val="24"/>
          <w:szCs w:val="24"/>
        </w:rPr>
        <w:t>21．不可抗力</w:t>
      </w:r>
      <w:bookmarkEnd w:id="1496"/>
      <w:bookmarkEnd w:id="1497"/>
      <w:bookmarkEnd w:id="1498"/>
      <w:bookmarkEnd w:id="1499"/>
      <w:bookmarkEnd w:id="1500"/>
      <w:bookmarkEnd w:id="1501"/>
      <w:bookmarkEnd w:id="1502"/>
      <w:bookmarkEnd w:id="1503"/>
      <w:bookmarkEnd w:id="1504"/>
      <w:bookmarkEnd w:id="1505"/>
    </w:p>
    <w:p w14:paraId="00CF01AF">
      <w:pPr>
        <w:keepNext/>
        <w:keepLines/>
        <w:spacing w:line="440" w:lineRule="exact"/>
        <w:ind w:firstLine="482" w:firstLineChars="200"/>
        <w:rPr>
          <w:rFonts w:hint="eastAsia" w:ascii="宋体" w:hAnsi="宋体" w:cs="宋体"/>
          <w:b/>
          <w:bCs/>
          <w:kern w:val="44"/>
          <w:sz w:val="24"/>
          <w:szCs w:val="24"/>
        </w:rPr>
      </w:pPr>
      <w:bookmarkStart w:id="1506" w:name="_Toc3475615"/>
      <w:bookmarkStart w:id="1507" w:name="_Toc513132376"/>
      <w:bookmarkStart w:id="1508" w:name="_Toc479265630"/>
      <w:bookmarkStart w:id="1509" w:name="_Toc480282376"/>
      <w:bookmarkStart w:id="1510" w:name="_Toc192710546"/>
      <w:bookmarkStart w:id="1511" w:name="_Toc479237801"/>
      <w:bookmarkStart w:id="1512" w:name="_Toc488083610"/>
      <w:bookmarkStart w:id="1513" w:name="_Toc234382925"/>
      <w:bookmarkStart w:id="1514" w:name="_Toc512689743"/>
      <w:bookmarkStart w:id="1515" w:name="_Toc513212896"/>
      <w:r>
        <w:rPr>
          <w:rFonts w:hint="eastAsia" w:ascii="宋体" w:hAnsi="宋体" w:cs="宋体"/>
          <w:b/>
          <w:bCs/>
          <w:kern w:val="44"/>
          <w:sz w:val="24"/>
          <w:szCs w:val="24"/>
        </w:rPr>
        <w:t>21.1不可抗力的确认</w:t>
      </w:r>
      <w:bookmarkEnd w:id="1506"/>
      <w:bookmarkEnd w:id="1507"/>
      <w:bookmarkEnd w:id="1508"/>
      <w:bookmarkEnd w:id="1509"/>
      <w:bookmarkEnd w:id="1510"/>
      <w:bookmarkEnd w:id="1511"/>
      <w:bookmarkEnd w:id="1512"/>
      <w:bookmarkEnd w:id="1513"/>
      <w:bookmarkEnd w:id="1514"/>
      <w:bookmarkEnd w:id="1515"/>
    </w:p>
    <w:p w14:paraId="20151A42">
      <w:pPr>
        <w:spacing w:line="440" w:lineRule="exact"/>
        <w:ind w:firstLine="480" w:firstLineChars="200"/>
        <w:rPr>
          <w:rFonts w:ascii="宋体" w:hAnsi="宋体" w:cs="宋体"/>
          <w:kern w:val="0"/>
          <w:sz w:val="24"/>
          <w:szCs w:val="24"/>
        </w:rPr>
      </w:pPr>
      <w:r>
        <w:rPr>
          <w:rFonts w:ascii="宋体" w:hAnsi="宋体" w:cs="宋体"/>
          <w:kern w:val="0"/>
          <w:sz w:val="24"/>
          <w:szCs w:val="24"/>
        </w:rPr>
        <w:t>21.1.1</w:t>
      </w:r>
      <w:r>
        <w:rPr>
          <w:rFonts w:hint="eastAsia" w:ascii="宋体" w:hAnsi="宋体" w:cs="宋体"/>
          <w:kern w:val="0"/>
          <w:sz w:val="24"/>
          <w:szCs w:val="24"/>
        </w:rPr>
        <w:t>项细化为：</w:t>
      </w:r>
    </w:p>
    <w:p w14:paraId="71CA88E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不可抗力是指承包人和发包人在订立合同时不可预见，在工程施工过程中不可避免发生并不能克服的自然灾害和社会性突发事件。包括但不限于：</w:t>
      </w:r>
    </w:p>
    <w:p w14:paraId="15ECF2F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）地震、海啸、火山爆发、泥石流、暴雨（雪）、台风、龙卷风、水灾等自然灾害；</w:t>
      </w:r>
    </w:p>
    <w:p w14:paraId="510E075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）战争、骚乱、暴动，但纯属承包人或其分包人派遣与雇用的人员由于本合同工程施工原因引起者除外；</w:t>
      </w:r>
    </w:p>
    <w:p w14:paraId="0272D48D">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）核反应、辐射或放射性污染；</w:t>
      </w:r>
    </w:p>
    <w:p w14:paraId="24E690D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）空中飞行物体附落或非发包人或承包人责任造成的爆炸、火灾；</w:t>
      </w:r>
    </w:p>
    <w:p w14:paraId="4F81532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）瘟疫；</w:t>
      </w:r>
    </w:p>
    <w:p w14:paraId="0B182A1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）项目专用合同条款约定的其他情形。</w:t>
      </w:r>
    </w:p>
    <w:p w14:paraId="5284D82F">
      <w:pPr>
        <w:keepNext/>
        <w:keepLines/>
        <w:spacing w:line="440" w:lineRule="exact"/>
        <w:ind w:firstLine="482" w:firstLineChars="200"/>
        <w:rPr>
          <w:rFonts w:hint="eastAsia" w:ascii="宋体" w:hAnsi="宋体" w:cs="宋体"/>
          <w:b/>
          <w:bCs/>
          <w:kern w:val="44"/>
          <w:sz w:val="24"/>
          <w:szCs w:val="24"/>
        </w:rPr>
      </w:pPr>
      <w:bookmarkStart w:id="1516" w:name="_Toc513212897"/>
      <w:bookmarkStart w:id="1517" w:name="_Toc3475616"/>
      <w:bookmarkStart w:id="1518" w:name="_Toc480282377"/>
      <w:bookmarkStart w:id="1519" w:name="_Toc479265631"/>
      <w:bookmarkStart w:id="1520" w:name="_Toc488083611"/>
      <w:bookmarkStart w:id="1521" w:name="_Toc513132377"/>
      <w:bookmarkStart w:id="1522" w:name="_Toc479237802"/>
      <w:bookmarkStart w:id="1523" w:name="_Toc234382926"/>
      <w:bookmarkStart w:id="1524" w:name="_Toc192710547"/>
      <w:bookmarkStart w:id="1525" w:name="_Toc512689744"/>
      <w:r>
        <w:rPr>
          <w:rFonts w:hint="eastAsia" w:ascii="宋体" w:hAnsi="宋体" w:cs="宋体"/>
          <w:b/>
          <w:bCs/>
          <w:kern w:val="44"/>
          <w:sz w:val="24"/>
          <w:szCs w:val="24"/>
        </w:rPr>
        <w:t>21.3不可抗力后果及其处理</w:t>
      </w:r>
      <w:bookmarkEnd w:id="1516"/>
      <w:bookmarkEnd w:id="1517"/>
      <w:bookmarkEnd w:id="1518"/>
      <w:bookmarkEnd w:id="1519"/>
      <w:bookmarkEnd w:id="1520"/>
      <w:bookmarkEnd w:id="1521"/>
      <w:bookmarkEnd w:id="1522"/>
      <w:bookmarkEnd w:id="1523"/>
      <w:bookmarkEnd w:id="1524"/>
      <w:bookmarkEnd w:id="1525"/>
    </w:p>
    <w:p w14:paraId="2D8F00BA">
      <w:pPr>
        <w:spacing w:line="440" w:lineRule="exact"/>
        <w:ind w:firstLine="480" w:firstLineChars="200"/>
        <w:rPr>
          <w:rFonts w:ascii="宋体" w:hAnsi="宋体" w:cs="宋体"/>
          <w:kern w:val="0"/>
          <w:sz w:val="24"/>
          <w:szCs w:val="24"/>
        </w:rPr>
      </w:pPr>
      <w:r>
        <w:rPr>
          <w:rFonts w:ascii="宋体" w:hAnsi="宋体" w:cs="宋体"/>
          <w:kern w:val="0"/>
          <w:sz w:val="24"/>
          <w:szCs w:val="24"/>
        </w:rPr>
        <w:t>21.3.4</w:t>
      </w:r>
      <w:r>
        <w:rPr>
          <w:rFonts w:hint="eastAsia" w:ascii="宋体" w:hAnsi="宋体" w:cs="宋体"/>
          <w:kern w:val="0"/>
          <w:sz w:val="24"/>
          <w:szCs w:val="24"/>
        </w:rPr>
        <w:t>因不可抗力解除合同</w:t>
      </w:r>
    </w:p>
    <w:p w14:paraId="20E92B4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78308C4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合同一方当事人因不可抗力不能履行合同的，应当及时通知对方解除合同。合同解除后，承包人应按照第</w:t>
      </w:r>
      <w:r>
        <w:rPr>
          <w:rFonts w:ascii="宋体" w:hAnsi="宋体" w:cs="宋体"/>
          <w:kern w:val="0"/>
          <w:sz w:val="24"/>
          <w:szCs w:val="24"/>
        </w:rPr>
        <w:t>22.2.5</w:t>
      </w:r>
      <w:r>
        <w:rPr>
          <w:rFonts w:hint="eastAsia" w:ascii="宋体" w:hAnsi="宋体" w:cs="宋体"/>
          <w:kern w:val="0"/>
          <w:sz w:val="24"/>
          <w:szCs w:val="24"/>
        </w:rPr>
        <w:t>项约定撤离施工场地。已经订货的材料、设备由订货方负责退货或解除订货合同，不能退还的货款和因退货、解除订货合同发生的费作，由发包人承担，因未有时退货造成的损失由责任方承担。合同解除后的付款，参照第</w:t>
      </w:r>
      <w:r>
        <w:rPr>
          <w:rFonts w:ascii="宋体" w:hAnsi="宋体" w:cs="宋体"/>
          <w:kern w:val="0"/>
          <w:sz w:val="24"/>
          <w:szCs w:val="24"/>
        </w:rPr>
        <w:t xml:space="preserve">22.2.4 </w:t>
      </w:r>
      <w:r>
        <w:rPr>
          <w:rFonts w:hint="eastAsia" w:ascii="宋体" w:hAnsi="宋体" w:cs="宋体"/>
          <w:kern w:val="0"/>
          <w:sz w:val="24"/>
          <w:szCs w:val="24"/>
        </w:rPr>
        <w:t>项约定，由监理人按第</w:t>
      </w:r>
      <w:r>
        <w:rPr>
          <w:rFonts w:ascii="宋体" w:hAnsi="宋体" w:cs="宋体"/>
          <w:kern w:val="0"/>
          <w:sz w:val="24"/>
          <w:szCs w:val="24"/>
        </w:rPr>
        <w:t>3.5</w:t>
      </w:r>
      <w:r>
        <w:rPr>
          <w:rFonts w:hint="eastAsia" w:ascii="宋体" w:hAnsi="宋体" w:cs="宋体"/>
          <w:kern w:val="0"/>
          <w:sz w:val="24"/>
          <w:szCs w:val="24"/>
        </w:rPr>
        <w:t>款商定或确定，但由于解除合同应赔偿的承包人损失不予考虑。</w:t>
      </w:r>
    </w:p>
    <w:p w14:paraId="50DDCEA6">
      <w:pPr>
        <w:keepNext/>
        <w:keepLines/>
        <w:spacing w:line="440" w:lineRule="exact"/>
        <w:ind w:firstLine="482" w:firstLineChars="200"/>
        <w:rPr>
          <w:rFonts w:hint="eastAsia" w:ascii="宋体" w:hAnsi="宋体" w:cs="宋体"/>
          <w:b/>
          <w:bCs/>
          <w:kern w:val="44"/>
          <w:sz w:val="24"/>
          <w:szCs w:val="24"/>
        </w:rPr>
      </w:pPr>
      <w:bookmarkStart w:id="1526" w:name="_Toc488083612"/>
      <w:bookmarkStart w:id="1527" w:name="_Toc513212898"/>
      <w:bookmarkStart w:id="1528" w:name="_Toc512689745"/>
      <w:bookmarkStart w:id="1529" w:name="_Toc479237803"/>
      <w:bookmarkStart w:id="1530" w:name="_Toc3475617"/>
      <w:bookmarkStart w:id="1531" w:name="_Toc192710548"/>
      <w:bookmarkStart w:id="1532" w:name="_Toc513132378"/>
      <w:bookmarkStart w:id="1533" w:name="_Toc479265632"/>
      <w:bookmarkStart w:id="1534" w:name="_Toc480282378"/>
      <w:bookmarkStart w:id="1535" w:name="_Toc234382927"/>
      <w:r>
        <w:rPr>
          <w:rFonts w:hint="eastAsia" w:ascii="宋体" w:hAnsi="宋体" w:cs="宋体"/>
          <w:b/>
          <w:bCs/>
          <w:kern w:val="44"/>
          <w:sz w:val="24"/>
          <w:szCs w:val="24"/>
        </w:rPr>
        <w:t>22．违约</w:t>
      </w:r>
      <w:bookmarkEnd w:id="1526"/>
      <w:bookmarkEnd w:id="1527"/>
      <w:bookmarkEnd w:id="1528"/>
      <w:bookmarkEnd w:id="1529"/>
      <w:bookmarkEnd w:id="1530"/>
      <w:bookmarkEnd w:id="1531"/>
      <w:bookmarkEnd w:id="1532"/>
      <w:bookmarkEnd w:id="1533"/>
      <w:bookmarkEnd w:id="1534"/>
      <w:bookmarkEnd w:id="1535"/>
    </w:p>
    <w:p w14:paraId="12069845">
      <w:pPr>
        <w:keepNext/>
        <w:keepLines/>
        <w:spacing w:line="440" w:lineRule="exact"/>
        <w:ind w:firstLine="482" w:firstLineChars="200"/>
        <w:rPr>
          <w:rFonts w:hint="eastAsia" w:ascii="宋体" w:hAnsi="宋体" w:cs="宋体"/>
          <w:b/>
          <w:bCs/>
          <w:kern w:val="44"/>
          <w:sz w:val="24"/>
          <w:szCs w:val="24"/>
        </w:rPr>
      </w:pPr>
      <w:bookmarkStart w:id="1536" w:name="_Toc479265633"/>
      <w:bookmarkStart w:id="1537" w:name="_Toc513132379"/>
      <w:bookmarkStart w:id="1538" w:name="_Toc512689746"/>
      <w:bookmarkStart w:id="1539" w:name="_Toc3475618"/>
      <w:bookmarkStart w:id="1540" w:name="_Toc513212899"/>
      <w:bookmarkStart w:id="1541" w:name="_Toc488083613"/>
      <w:bookmarkStart w:id="1542" w:name="_Toc234382928"/>
      <w:bookmarkStart w:id="1543" w:name="_Toc192710549"/>
      <w:bookmarkStart w:id="1544" w:name="_Toc479237804"/>
      <w:bookmarkStart w:id="1545" w:name="_Toc480282379"/>
      <w:r>
        <w:rPr>
          <w:rFonts w:hint="eastAsia" w:ascii="宋体" w:hAnsi="宋体" w:cs="宋体"/>
          <w:b/>
          <w:bCs/>
          <w:kern w:val="44"/>
          <w:sz w:val="24"/>
          <w:szCs w:val="24"/>
        </w:rPr>
        <w:t>22.1承包人违约</w:t>
      </w:r>
      <w:bookmarkEnd w:id="1536"/>
      <w:bookmarkEnd w:id="1537"/>
      <w:bookmarkEnd w:id="1538"/>
      <w:bookmarkEnd w:id="1539"/>
      <w:bookmarkEnd w:id="1540"/>
      <w:bookmarkEnd w:id="1541"/>
      <w:bookmarkEnd w:id="1542"/>
      <w:bookmarkEnd w:id="1543"/>
      <w:bookmarkEnd w:id="1544"/>
      <w:bookmarkEnd w:id="1545"/>
    </w:p>
    <w:p w14:paraId="1B1ECC77">
      <w:pPr>
        <w:spacing w:line="440" w:lineRule="exact"/>
        <w:ind w:firstLine="480" w:firstLineChars="200"/>
        <w:rPr>
          <w:rFonts w:ascii="宋体" w:hAnsi="宋体" w:cs="宋体"/>
          <w:kern w:val="0"/>
          <w:sz w:val="24"/>
          <w:szCs w:val="24"/>
        </w:rPr>
      </w:pPr>
      <w:r>
        <w:rPr>
          <w:rFonts w:ascii="宋体" w:hAnsi="宋体" w:cs="宋体"/>
          <w:kern w:val="0"/>
          <w:sz w:val="24"/>
          <w:szCs w:val="24"/>
        </w:rPr>
        <w:t>22.1.1</w:t>
      </w:r>
      <w:r>
        <w:rPr>
          <w:rFonts w:hint="eastAsia" w:ascii="宋体" w:hAnsi="宋体" w:cs="宋体"/>
          <w:kern w:val="0"/>
          <w:sz w:val="24"/>
          <w:szCs w:val="24"/>
        </w:rPr>
        <w:t>承包人违约的情形</w:t>
      </w:r>
    </w:p>
    <w:p w14:paraId="4FDF1D6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2</w:t>
      </w:r>
      <w:r>
        <w:rPr>
          <w:rFonts w:hint="eastAsia" w:ascii="宋体" w:hAnsi="宋体" w:cs="宋体"/>
          <w:kern w:val="0"/>
          <w:sz w:val="24"/>
          <w:szCs w:val="24"/>
        </w:rPr>
        <w:t>）目细化为：</w:t>
      </w:r>
    </w:p>
    <w:p w14:paraId="07659D0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）承包人违反第</w:t>
      </w:r>
      <w:r>
        <w:rPr>
          <w:rFonts w:ascii="宋体" w:hAnsi="宋体" w:cs="宋体"/>
          <w:kern w:val="0"/>
          <w:sz w:val="24"/>
          <w:szCs w:val="24"/>
        </w:rPr>
        <w:t>5.3</w:t>
      </w:r>
      <w:r>
        <w:rPr>
          <w:rFonts w:hint="eastAsia" w:ascii="宋体" w:hAnsi="宋体" w:cs="宋体"/>
          <w:kern w:val="0"/>
          <w:sz w:val="24"/>
          <w:szCs w:val="24"/>
        </w:rPr>
        <w:t>款或第</w:t>
      </w:r>
      <w:r>
        <w:rPr>
          <w:rFonts w:ascii="宋体" w:hAnsi="宋体" w:cs="宋体"/>
          <w:kern w:val="0"/>
          <w:sz w:val="24"/>
          <w:szCs w:val="24"/>
        </w:rPr>
        <w:t>6.4</w:t>
      </w:r>
      <w:r>
        <w:rPr>
          <w:rFonts w:hint="eastAsia" w:ascii="宋体" w:hAnsi="宋体" w:cs="宋体"/>
          <w:kern w:val="0"/>
          <w:sz w:val="24"/>
          <w:szCs w:val="24"/>
        </w:rPr>
        <w:t>款的约定，未经监理人批准，私自将已按合同约定进入施工场地的施工设备、临时设施、材料或工程设备撤离施工场地；</w:t>
      </w:r>
    </w:p>
    <w:p w14:paraId="55D7B4D0">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7</w:t>
      </w:r>
      <w:r>
        <w:rPr>
          <w:rFonts w:hint="eastAsia" w:ascii="宋体" w:hAnsi="宋体" w:cs="宋体"/>
          <w:kern w:val="0"/>
          <w:sz w:val="24"/>
          <w:szCs w:val="24"/>
        </w:rPr>
        <w:t>）目细化为：</w:t>
      </w:r>
    </w:p>
    <w:p w14:paraId="522269C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）承包人未能按期开工；</w:t>
      </w:r>
    </w:p>
    <w:p w14:paraId="4172175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8</w:t>
      </w:r>
      <w:r>
        <w:rPr>
          <w:rFonts w:hint="eastAsia" w:ascii="宋体" w:hAnsi="宋体" w:cs="宋体"/>
          <w:kern w:val="0"/>
          <w:sz w:val="24"/>
          <w:szCs w:val="24"/>
        </w:rPr>
        <w:t>）承包人违反第</w:t>
      </w:r>
      <w:r>
        <w:rPr>
          <w:rFonts w:ascii="宋体" w:hAnsi="宋体" w:cs="宋体"/>
          <w:kern w:val="0"/>
          <w:sz w:val="24"/>
          <w:szCs w:val="24"/>
        </w:rPr>
        <w:t>4.6</w:t>
      </w:r>
      <w:r>
        <w:rPr>
          <w:rFonts w:hint="eastAsia" w:ascii="宋体" w:hAnsi="宋体" w:cs="宋体"/>
          <w:kern w:val="0"/>
          <w:sz w:val="24"/>
          <w:szCs w:val="24"/>
        </w:rPr>
        <w:t>款或</w:t>
      </w:r>
      <w:r>
        <w:rPr>
          <w:rFonts w:ascii="宋体" w:hAnsi="宋体" w:cs="宋体"/>
          <w:kern w:val="0"/>
          <w:sz w:val="24"/>
          <w:szCs w:val="24"/>
        </w:rPr>
        <w:t>6.3</w:t>
      </w:r>
      <w:r>
        <w:rPr>
          <w:rFonts w:hint="eastAsia" w:ascii="宋体" w:hAnsi="宋体" w:cs="宋体"/>
          <w:kern w:val="0"/>
          <w:sz w:val="24"/>
          <w:szCs w:val="24"/>
        </w:rPr>
        <w:t>款的规定，未按承诺或未按监理人的要求及时配备称职的主要管理人员、技术骨干或关键施工设备；</w:t>
      </w:r>
    </w:p>
    <w:p w14:paraId="6DA2B3C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9</w:t>
      </w:r>
      <w:r>
        <w:rPr>
          <w:rFonts w:hint="eastAsia" w:ascii="宋体" w:hAnsi="宋体" w:cs="宋体"/>
          <w:kern w:val="0"/>
          <w:sz w:val="24"/>
          <w:szCs w:val="24"/>
        </w:rPr>
        <w:t>）经监理人和发包人检查，发现承包人有安全问题或有违反安全管理规章制度的情况；</w:t>
      </w:r>
    </w:p>
    <w:p w14:paraId="10AB4B0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10</w:t>
      </w:r>
      <w:r>
        <w:rPr>
          <w:rFonts w:hint="eastAsia" w:ascii="宋体" w:hAnsi="宋体" w:cs="宋体"/>
          <w:kern w:val="0"/>
          <w:sz w:val="24"/>
          <w:szCs w:val="24"/>
        </w:rPr>
        <w:t>）承包人不按合同约定履行义务的其他情况。</w:t>
      </w:r>
    </w:p>
    <w:p w14:paraId="3CBE12C7">
      <w:pPr>
        <w:spacing w:line="440" w:lineRule="exact"/>
        <w:ind w:firstLine="480" w:firstLineChars="200"/>
        <w:rPr>
          <w:rFonts w:ascii="宋体" w:hAnsi="宋体" w:cs="宋体"/>
          <w:kern w:val="0"/>
          <w:sz w:val="24"/>
          <w:szCs w:val="24"/>
        </w:rPr>
      </w:pPr>
      <w:r>
        <w:rPr>
          <w:rFonts w:ascii="宋体" w:hAnsi="宋体" w:cs="宋体"/>
          <w:kern w:val="0"/>
          <w:sz w:val="24"/>
          <w:szCs w:val="24"/>
        </w:rPr>
        <w:t>22.1.2</w:t>
      </w:r>
      <w:r>
        <w:rPr>
          <w:rFonts w:hint="eastAsia" w:ascii="宋体" w:hAnsi="宋体" w:cs="宋体"/>
          <w:kern w:val="0"/>
          <w:sz w:val="24"/>
          <w:szCs w:val="24"/>
        </w:rPr>
        <w:t>对承包人违约的处理</w:t>
      </w:r>
    </w:p>
    <w:p w14:paraId="42DB48D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本项补充：</w:t>
      </w:r>
    </w:p>
    <w:p w14:paraId="59E1C1D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）承包人发生第</w:t>
      </w:r>
      <w:r>
        <w:rPr>
          <w:rFonts w:ascii="宋体" w:hAnsi="宋体" w:cs="宋体"/>
          <w:kern w:val="0"/>
          <w:sz w:val="24"/>
          <w:szCs w:val="24"/>
        </w:rPr>
        <w:t>22.1.1</w:t>
      </w:r>
      <w:r>
        <w:rPr>
          <w:rFonts w:hint="eastAsia" w:ascii="宋体" w:hAnsi="宋体" w:cs="宋体"/>
          <w:kern w:val="0"/>
          <w:sz w:val="24"/>
          <w:szCs w:val="24"/>
        </w:rPr>
        <w:t>项约定的违约情况时，无论发包人是否解除合同，发包人均有权向承包人课以项目专用合同条款中规定的违约金，并由发包人将其违约行为上报省级交通主管部门，作为不良记录纳入公路建设市场信用信息管理系统。</w:t>
      </w:r>
    </w:p>
    <w:p w14:paraId="373DCF8A">
      <w:pPr>
        <w:keepNext/>
        <w:keepLines/>
        <w:spacing w:line="440" w:lineRule="exact"/>
        <w:ind w:firstLine="482" w:firstLineChars="200"/>
        <w:rPr>
          <w:rFonts w:hint="eastAsia" w:ascii="宋体" w:hAnsi="宋体" w:cs="宋体"/>
          <w:b/>
          <w:bCs/>
          <w:kern w:val="44"/>
          <w:sz w:val="24"/>
          <w:szCs w:val="24"/>
        </w:rPr>
      </w:pPr>
      <w:bookmarkStart w:id="1546" w:name="_Toc3475619"/>
      <w:bookmarkStart w:id="1547" w:name="_Toc234382929"/>
      <w:bookmarkStart w:id="1548" w:name="_Toc513212900"/>
      <w:bookmarkStart w:id="1549" w:name="_Toc480282380"/>
      <w:bookmarkStart w:id="1550" w:name="_Toc513132380"/>
      <w:bookmarkStart w:id="1551" w:name="_Toc512689747"/>
      <w:bookmarkStart w:id="1552" w:name="_Toc192710550"/>
      <w:bookmarkStart w:id="1553" w:name="_Toc479265634"/>
      <w:bookmarkStart w:id="1554" w:name="_Toc488083614"/>
      <w:bookmarkStart w:id="1555" w:name="_Toc479237805"/>
      <w:r>
        <w:rPr>
          <w:rFonts w:hint="eastAsia" w:ascii="宋体" w:hAnsi="宋体" w:cs="宋体"/>
          <w:b/>
          <w:bCs/>
          <w:kern w:val="44"/>
          <w:sz w:val="24"/>
          <w:szCs w:val="24"/>
        </w:rPr>
        <w:t>22.2发包人违约</w:t>
      </w:r>
      <w:bookmarkEnd w:id="1546"/>
      <w:bookmarkEnd w:id="1547"/>
      <w:bookmarkEnd w:id="1548"/>
      <w:bookmarkEnd w:id="1549"/>
      <w:bookmarkEnd w:id="1550"/>
      <w:bookmarkEnd w:id="1551"/>
      <w:bookmarkEnd w:id="1552"/>
      <w:bookmarkEnd w:id="1553"/>
      <w:bookmarkEnd w:id="1554"/>
      <w:bookmarkEnd w:id="1555"/>
    </w:p>
    <w:p w14:paraId="58633749">
      <w:pPr>
        <w:spacing w:line="440" w:lineRule="exact"/>
        <w:ind w:firstLine="480" w:firstLineChars="200"/>
        <w:rPr>
          <w:rFonts w:ascii="宋体" w:hAnsi="宋体" w:cs="宋体"/>
          <w:kern w:val="0"/>
          <w:sz w:val="24"/>
          <w:szCs w:val="24"/>
        </w:rPr>
      </w:pPr>
      <w:r>
        <w:rPr>
          <w:rFonts w:ascii="宋体" w:hAnsi="宋体" w:cs="宋体"/>
          <w:kern w:val="0"/>
          <w:sz w:val="24"/>
          <w:szCs w:val="24"/>
        </w:rPr>
        <w:t>22.2.</w:t>
      </w:r>
      <w:r>
        <w:rPr>
          <w:rFonts w:hint="eastAsia" w:ascii="宋体" w:hAnsi="宋体" w:cs="宋体"/>
          <w:kern w:val="0"/>
          <w:sz w:val="24"/>
          <w:szCs w:val="24"/>
        </w:rPr>
        <w:t>1</w:t>
      </w:r>
      <w:r>
        <w:rPr>
          <w:rFonts w:ascii="宋体" w:hAnsi="宋体" w:cs="宋体"/>
          <w:kern w:val="0"/>
          <w:sz w:val="24"/>
          <w:szCs w:val="24"/>
        </w:rPr>
        <w:t xml:space="preserve"> </w:t>
      </w:r>
      <w:r>
        <w:rPr>
          <w:rFonts w:hint="eastAsia" w:ascii="宋体" w:hAnsi="宋体" w:cs="宋体"/>
          <w:kern w:val="0"/>
          <w:sz w:val="24"/>
          <w:szCs w:val="24"/>
        </w:rPr>
        <w:t>发包人违约的情形</w:t>
      </w:r>
    </w:p>
    <w:p w14:paraId="22CE923A">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本想（5）目细化为：</w:t>
      </w:r>
    </w:p>
    <w:p w14:paraId="1A69C13B">
      <w:pPr>
        <w:spacing w:line="440" w:lineRule="exact"/>
        <w:ind w:firstLine="480" w:firstLineChars="200"/>
        <w:rPr>
          <w:rFonts w:ascii="宋体" w:hAnsi="宋体" w:cs="宋体"/>
          <w:kern w:val="0"/>
          <w:sz w:val="24"/>
          <w:szCs w:val="24"/>
        </w:rPr>
      </w:pPr>
      <w:r>
        <w:rPr>
          <w:rFonts w:ascii="宋体" w:hAnsi="宋体" w:cs="宋体"/>
          <w:kern w:val="0"/>
          <w:sz w:val="24"/>
          <w:szCs w:val="24"/>
        </w:rPr>
        <w:t>(5)发包人无正当理由不按时返还履约保证金、质量保证金或农民工工资保证金的:</w:t>
      </w:r>
    </w:p>
    <w:p w14:paraId="1A07C95B">
      <w:pPr>
        <w:spacing w:line="440" w:lineRule="exact"/>
        <w:ind w:firstLine="480" w:firstLineChars="200"/>
        <w:rPr>
          <w:rFonts w:ascii="宋体" w:hAnsi="宋体" w:cs="宋体"/>
          <w:kern w:val="0"/>
          <w:sz w:val="24"/>
          <w:szCs w:val="24"/>
        </w:rPr>
      </w:pPr>
      <w:r>
        <w:rPr>
          <w:rFonts w:ascii="宋体" w:hAnsi="宋体" w:cs="宋体"/>
          <w:kern w:val="0"/>
          <w:sz w:val="24"/>
          <w:szCs w:val="24"/>
        </w:rPr>
        <w:t>(6)发包人不履行合同约定其他义务的 。</w:t>
      </w:r>
    </w:p>
    <w:p w14:paraId="21E7A09C">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22.2.2承包人有权暂停施工</w:t>
      </w:r>
    </w:p>
    <w:p w14:paraId="0F02D18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本项细化为：</w:t>
      </w:r>
    </w:p>
    <w:p w14:paraId="71D2AE9E">
      <w:pPr>
        <w:spacing w:line="440" w:lineRule="exact"/>
        <w:ind w:firstLine="480" w:firstLineChars="200"/>
        <w:rPr>
          <w:rFonts w:ascii="宋体" w:hAnsi="宋体" w:cs="宋体"/>
          <w:kern w:val="0"/>
          <w:sz w:val="24"/>
          <w:szCs w:val="24"/>
        </w:rPr>
      </w:pPr>
      <w:r>
        <w:rPr>
          <w:rFonts w:ascii="宋体" w:hAnsi="宋体" w:cs="宋体"/>
          <w:kern w:val="0"/>
          <w:sz w:val="24"/>
          <w:szCs w:val="24"/>
        </w:rPr>
        <w:t>发包人发生除第 22.2.1 ( 4 ) 、(5)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  。</w:t>
      </w:r>
    </w:p>
    <w:p w14:paraId="44394A76">
      <w:pPr>
        <w:spacing w:line="440" w:lineRule="exact"/>
        <w:ind w:firstLine="480" w:firstLineChars="200"/>
        <w:rPr>
          <w:rFonts w:ascii="宋体" w:hAnsi="宋体" w:cs="宋体"/>
          <w:kern w:val="0"/>
          <w:sz w:val="24"/>
          <w:szCs w:val="24"/>
        </w:rPr>
      </w:pPr>
      <w:r>
        <w:rPr>
          <w:rFonts w:ascii="宋体" w:hAnsi="宋体" w:cs="宋体"/>
          <w:kern w:val="0"/>
          <w:sz w:val="24"/>
          <w:szCs w:val="24"/>
        </w:rPr>
        <w:t>发包人发生第 22.2.1 (5) 目的违约情况时，承包人可向发包人发 出通知，要求 发包人采取有效措施纠正违约行为。发包 人收到承包人通知后的 28 天内仍不返还履 约保证金  、质量保证金或农民工工资保证金的，发包人应按项目专用合同条款的约 定向承包人支付逾期返还保证金的违约金。</w:t>
      </w:r>
    </w:p>
    <w:p w14:paraId="62BEEF0F">
      <w:pPr>
        <w:spacing w:line="440" w:lineRule="exact"/>
        <w:ind w:firstLine="480" w:firstLineChars="200"/>
        <w:rPr>
          <w:rFonts w:ascii="宋体" w:hAnsi="宋体" w:cs="宋体"/>
          <w:kern w:val="0"/>
          <w:sz w:val="24"/>
          <w:szCs w:val="24"/>
        </w:rPr>
      </w:pPr>
      <w:r>
        <w:rPr>
          <w:rFonts w:ascii="宋体" w:hAnsi="宋体" w:cs="宋体"/>
          <w:kern w:val="0"/>
          <w:sz w:val="24"/>
          <w:szCs w:val="24"/>
        </w:rPr>
        <w:t xml:space="preserve">22.2.4 </w:t>
      </w:r>
      <w:r>
        <w:rPr>
          <w:rFonts w:hint="eastAsia" w:ascii="宋体" w:hAnsi="宋体" w:cs="宋体"/>
          <w:kern w:val="0"/>
          <w:sz w:val="24"/>
          <w:szCs w:val="24"/>
        </w:rPr>
        <w:t>解除合同后的付款</w:t>
      </w:r>
    </w:p>
    <w:p w14:paraId="0FB94C1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本项（</w:t>
      </w:r>
      <w:r>
        <w:rPr>
          <w:rFonts w:ascii="宋体" w:hAnsi="宋体" w:cs="宋体"/>
          <w:kern w:val="0"/>
          <w:sz w:val="24"/>
          <w:szCs w:val="24"/>
        </w:rPr>
        <w:t>2</w:t>
      </w:r>
      <w:r>
        <w:rPr>
          <w:rFonts w:hint="eastAsia" w:ascii="宋体" w:hAnsi="宋体" w:cs="宋体"/>
          <w:kern w:val="0"/>
          <w:sz w:val="24"/>
          <w:szCs w:val="24"/>
        </w:rPr>
        <w:t>）目细化为：</w:t>
      </w:r>
    </w:p>
    <w:p w14:paraId="0708B78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）承包人为该工程施工订购并已付款的材料、工程设备和其他物品的金额，发包人付款后，该材料、工程设备和其他物品归发包人所有；</w:t>
      </w:r>
    </w:p>
    <w:p w14:paraId="669FD900">
      <w:pPr>
        <w:keepNext/>
        <w:keepLines/>
        <w:spacing w:line="440" w:lineRule="exact"/>
        <w:ind w:firstLine="482" w:firstLineChars="200"/>
        <w:rPr>
          <w:rFonts w:hint="eastAsia" w:ascii="宋体" w:hAnsi="宋体" w:cs="宋体"/>
          <w:b/>
          <w:bCs/>
          <w:kern w:val="44"/>
          <w:sz w:val="24"/>
          <w:szCs w:val="24"/>
        </w:rPr>
      </w:pPr>
      <w:bookmarkStart w:id="1556" w:name="_Toc488083615"/>
      <w:bookmarkStart w:id="1557" w:name="_Toc480282381"/>
      <w:bookmarkStart w:id="1558" w:name="_Toc512689748"/>
      <w:bookmarkStart w:id="1559" w:name="_Toc234382930"/>
      <w:bookmarkStart w:id="1560" w:name="_Toc479265635"/>
      <w:bookmarkStart w:id="1561" w:name="_Toc3475620"/>
      <w:bookmarkStart w:id="1562" w:name="_Toc192710551"/>
      <w:bookmarkStart w:id="1563" w:name="_Toc479237806"/>
      <w:bookmarkStart w:id="1564" w:name="_Toc513132381"/>
      <w:bookmarkStart w:id="1565" w:name="_Toc513212901"/>
      <w:r>
        <w:rPr>
          <w:rFonts w:hint="eastAsia" w:ascii="宋体" w:hAnsi="宋体" w:cs="宋体"/>
          <w:b/>
          <w:bCs/>
          <w:kern w:val="44"/>
          <w:sz w:val="24"/>
          <w:szCs w:val="24"/>
        </w:rPr>
        <w:t>23.索赔</w:t>
      </w:r>
      <w:bookmarkEnd w:id="1556"/>
      <w:bookmarkEnd w:id="1557"/>
      <w:bookmarkEnd w:id="1558"/>
      <w:bookmarkEnd w:id="1559"/>
      <w:bookmarkEnd w:id="1560"/>
      <w:bookmarkEnd w:id="1561"/>
      <w:bookmarkEnd w:id="1562"/>
      <w:bookmarkEnd w:id="1563"/>
      <w:bookmarkEnd w:id="1564"/>
      <w:bookmarkEnd w:id="1565"/>
    </w:p>
    <w:p w14:paraId="1A7242DD">
      <w:pPr>
        <w:keepNext/>
        <w:keepLines/>
        <w:spacing w:line="440" w:lineRule="exact"/>
        <w:ind w:firstLine="482" w:firstLineChars="200"/>
        <w:rPr>
          <w:rFonts w:hint="eastAsia" w:ascii="宋体" w:hAnsi="宋体" w:cs="宋体"/>
          <w:b/>
          <w:bCs/>
          <w:kern w:val="44"/>
          <w:sz w:val="24"/>
          <w:szCs w:val="24"/>
        </w:rPr>
      </w:pPr>
      <w:bookmarkStart w:id="1566" w:name="_Toc479265636"/>
      <w:bookmarkStart w:id="1567" w:name="_Toc488083616"/>
      <w:bookmarkStart w:id="1568" w:name="_Toc192710552"/>
      <w:bookmarkStart w:id="1569" w:name="_Toc3475621"/>
      <w:bookmarkStart w:id="1570" w:name="_Toc234382931"/>
      <w:bookmarkStart w:id="1571" w:name="_Toc512689749"/>
      <w:bookmarkStart w:id="1572" w:name="_Toc513212902"/>
      <w:bookmarkStart w:id="1573" w:name="_Toc513132382"/>
      <w:bookmarkStart w:id="1574" w:name="_Toc479237807"/>
      <w:bookmarkStart w:id="1575" w:name="_Toc480282382"/>
      <w:r>
        <w:rPr>
          <w:rFonts w:hint="eastAsia" w:ascii="宋体" w:hAnsi="宋体" w:cs="宋体"/>
          <w:b/>
          <w:bCs/>
          <w:kern w:val="44"/>
          <w:sz w:val="24"/>
          <w:szCs w:val="24"/>
        </w:rPr>
        <w:t>23.1承包人索赔的提出</w:t>
      </w:r>
      <w:bookmarkEnd w:id="1566"/>
      <w:bookmarkEnd w:id="1567"/>
      <w:bookmarkEnd w:id="1568"/>
      <w:bookmarkEnd w:id="1569"/>
      <w:bookmarkEnd w:id="1570"/>
      <w:bookmarkEnd w:id="1571"/>
      <w:bookmarkEnd w:id="1572"/>
      <w:bookmarkEnd w:id="1573"/>
      <w:bookmarkEnd w:id="1574"/>
      <w:bookmarkEnd w:id="1575"/>
    </w:p>
    <w:p w14:paraId="03125798">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本款第（</w:t>
      </w:r>
      <w:r>
        <w:rPr>
          <w:rFonts w:ascii="宋体" w:hAnsi="宋体" w:cs="宋体"/>
          <w:kern w:val="0"/>
          <w:sz w:val="24"/>
          <w:szCs w:val="24"/>
        </w:rPr>
        <w:t>4</w:t>
      </w:r>
      <w:r>
        <w:rPr>
          <w:rFonts w:hint="eastAsia" w:ascii="宋体" w:hAnsi="宋体" w:cs="宋体"/>
          <w:kern w:val="0"/>
          <w:sz w:val="24"/>
          <w:szCs w:val="24"/>
        </w:rPr>
        <w:t>）项细化为：</w:t>
      </w:r>
    </w:p>
    <w:p w14:paraId="7F2F0C22">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）在索赔事件影响结束后的</w:t>
      </w:r>
      <w:r>
        <w:rPr>
          <w:rFonts w:ascii="宋体" w:hAnsi="宋体" w:cs="宋体"/>
          <w:kern w:val="0"/>
          <w:sz w:val="24"/>
          <w:szCs w:val="24"/>
        </w:rPr>
        <w:t>28</w:t>
      </w:r>
      <w:r>
        <w:rPr>
          <w:rFonts w:hint="eastAsia" w:ascii="宋体" w:hAnsi="宋体" w:cs="宋体"/>
          <w:kern w:val="0"/>
          <w:sz w:val="24"/>
          <w:szCs w:val="24"/>
        </w:rPr>
        <w:t>天内，承包人应向监理人递交最终索赔通知书，说明最终要求索赔的追加付款金额和（或）延长的工期，并附必要的记录和证明材料。</w:t>
      </w:r>
    </w:p>
    <w:p w14:paraId="06514CE7">
      <w:pPr>
        <w:keepNext/>
        <w:keepLines/>
        <w:spacing w:line="440" w:lineRule="exact"/>
        <w:ind w:firstLine="482" w:firstLineChars="200"/>
        <w:rPr>
          <w:rFonts w:hint="eastAsia" w:ascii="宋体" w:hAnsi="宋体" w:cs="宋体"/>
          <w:b/>
          <w:bCs/>
          <w:kern w:val="44"/>
          <w:sz w:val="24"/>
          <w:szCs w:val="24"/>
        </w:rPr>
      </w:pPr>
      <w:bookmarkStart w:id="1576" w:name="_Toc192710553"/>
      <w:bookmarkStart w:id="1577" w:name="_Toc479265637"/>
      <w:bookmarkStart w:id="1578" w:name="_Toc513212903"/>
      <w:bookmarkStart w:id="1579" w:name="_Toc512689750"/>
      <w:bookmarkStart w:id="1580" w:name="_Toc3475622"/>
      <w:bookmarkStart w:id="1581" w:name="_Toc513132383"/>
      <w:bookmarkStart w:id="1582" w:name="_Toc234382932"/>
      <w:bookmarkStart w:id="1583" w:name="_Toc479237808"/>
      <w:bookmarkStart w:id="1584" w:name="_Toc480282383"/>
      <w:bookmarkStart w:id="1585" w:name="_Toc488083617"/>
      <w:r>
        <w:rPr>
          <w:rFonts w:hint="eastAsia" w:ascii="宋体" w:hAnsi="宋体" w:cs="宋体"/>
          <w:b/>
          <w:bCs/>
          <w:kern w:val="44"/>
          <w:sz w:val="24"/>
          <w:szCs w:val="24"/>
        </w:rPr>
        <w:t>23.2承包人索赔处理程序</w:t>
      </w:r>
      <w:bookmarkEnd w:id="1576"/>
      <w:bookmarkEnd w:id="1577"/>
      <w:bookmarkEnd w:id="1578"/>
      <w:bookmarkEnd w:id="1579"/>
      <w:bookmarkEnd w:id="1580"/>
      <w:bookmarkEnd w:id="1581"/>
      <w:bookmarkEnd w:id="1582"/>
      <w:bookmarkEnd w:id="1583"/>
      <w:bookmarkEnd w:id="1584"/>
      <w:bookmarkEnd w:id="1585"/>
    </w:p>
    <w:p w14:paraId="06E3AE2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本款第（</w:t>
      </w:r>
      <w:r>
        <w:rPr>
          <w:rFonts w:ascii="宋体" w:hAnsi="宋体" w:cs="宋体"/>
          <w:kern w:val="0"/>
          <w:sz w:val="24"/>
          <w:szCs w:val="24"/>
        </w:rPr>
        <w:t>2</w:t>
      </w:r>
      <w:r>
        <w:rPr>
          <w:rFonts w:hint="eastAsia" w:ascii="宋体" w:hAnsi="宋体" w:cs="宋体"/>
          <w:kern w:val="0"/>
          <w:sz w:val="24"/>
          <w:szCs w:val="24"/>
        </w:rPr>
        <w:t>）项细化为：</w:t>
      </w:r>
    </w:p>
    <w:p w14:paraId="5580DDBE">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）监理人应按第</w:t>
      </w:r>
      <w:r>
        <w:rPr>
          <w:rFonts w:ascii="宋体" w:hAnsi="宋体" w:cs="宋体"/>
          <w:kern w:val="0"/>
          <w:sz w:val="24"/>
          <w:szCs w:val="24"/>
        </w:rPr>
        <w:t>3.5</w:t>
      </w:r>
      <w:r>
        <w:rPr>
          <w:rFonts w:hint="eastAsia" w:ascii="宋体" w:hAnsi="宋体" w:cs="宋体"/>
          <w:kern w:val="0"/>
          <w:sz w:val="24"/>
          <w:szCs w:val="24"/>
        </w:rPr>
        <w:t>款商定或确定追加的付款和（或）延长的工期，并在收到上述索赔通知书或有关索赔的进一步证明材料后的</w:t>
      </w:r>
      <w:r>
        <w:rPr>
          <w:rFonts w:ascii="宋体" w:hAnsi="宋体" w:cs="宋体"/>
          <w:kern w:val="0"/>
          <w:sz w:val="24"/>
          <w:szCs w:val="24"/>
        </w:rPr>
        <w:t>42</w:t>
      </w:r>
      <w:r>
        <w:rPr>
          <w:rFonts w:hint="eastAsia" w:ascii="宋体" w:hAnsi="宋体" w:cs="宋体"/>
          <w:kern w:val="0"/>
          <w:sz w:val="24"/>
          <w:szCs w:val="24"/>
        </w:rPr>
        <w:t>天内，将索赔处理结果报发包人批准后答复承包人。如果承包人提出的索赔要求未能遵守第</w:t>
      </w:r>
      <w:r>
        <w:rPr>
          <w:rFonts w:ascii="宋体" w:hAnsi="宋体" w:cs="宋体"/>
          <w:kern w:val="0"/>
          <w:sz w:val="24"/>
          <w:szCs w:val="24"/>
        </w:rPr>
        <w:t>23.1</w:t>
      </w: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）项规定，则承包人只限于索赔由监理人按当时记当予以核实的那部分款额外负担和（或）工期延长天数。</w:t>
      </w:r>
    </w:p>
    <w:p w14:paraId="2E1C32AF">
      <w:pPr>
        <w:keepNext/>
        <w:keepLines/>
        <w:spacing w:line="440" w:lineRule="exact"/>
        <w:ind w:firstLine="482" w:firstLineChars="200"/>
        <w:rPr>
          <w:rFonts w:hint="eastAsia" w:ascii="宋体" w:hAnsi="宋体" w:cs="宋体"/>
          <w:b/>
          <w:bCs/>
          <w:kern w:val="44"/>
          <w:sz w:val="24"/>
          <w:szCs w:val="24"/>
        </w:rPr>
      </w:pPr>
      <w:bookmarkStart w:id="1586" w:name="_Toc480282384"/>
      <w:bookmarkStart w:id="1587" w:name="_Toc512689751"/>
      <w:bookmarkStart w:id="1588" w:name="_Toc479237809"/>
      <w:bookmarkStart w:id="1589" w:name="_Toc479265638"/>
      <w:bookmarkStart w:id="1590" w:name="_Toc488083618"/>
      <w:bookmarkStart w:id="1591" w:name="_Toc3475623"/>
      <w:bookmarkStart w:id="1592" w:name="_Toc234382933"/>
      <w:bookmarkStart w:id="1593" w:name="_Toc513132384"/>
      <w:bookmarkStart w:id="1594" w:name="_Toc192710554"/>
      <w:bookmarkStart w:id="1595" w:name="_Toc513212904"/>
      <w:r>
        <w:rPr>
          <w:rFonts w:hint="eastAsia" w:ascii="宋体" w:hAnsi="宋体" w:cs="宋体"/>
          <w:b/>
          <w:bCs/>
          <w:kern w:val="44"/>
          <w:sz w:val="24"/>
          <w:szCs w:val="24"/>
        </w:rPr>
        <w:t>24．争议的解决</w:t>
      </w:r>
      <w:bookmarkEnd w:id="1586"/>
      <w:bookmarkEnd w:id="1587"/>
      <w:bookmarkEnd w:id="1588"/>
      <w:bookmarkEnd w:id="1589"/>
      <w:bookmarkEnd w:id="1590"/>
      <w:bookmarkEnd w:id="1591"/>
      <w:bookmarkEnd w:id="1592"/>
      <w:bookmarkEnd w:id="1593"/>
      <w:bookmarkEnd w:id="1594"/>
      <w:bookmarkEnd w:id="1595"/>
    </w:p>
    <w:p w14:paraId="445BB006">
      <w:pPr>
        <w:keepNext/>
        <w:keepLines/>
        <w:spacing w:line="440" w:lineRule="exact"/>
        <w:ind w:firstLine="482" w:firstLineChars="200"/>
        <w:rPr>
          <w:rFonts w:hint="eastAsia" w:ascii="宋体" w:hAnsi="宋体" w:cs="宋体"/>
          <w:b/>
          <w:bCs/>
          <w:kern w:val="44"/>
          <w:sz w:val="24"/>
          <w:szCs w:val="24"/>
        </w:rPr>
      </w:pPr>
      <w:bookmarkStart w:id="1596" w:name="_Toc488083619"/>
      <w:bookmarkStart w:id="1597" w:name="_Toc480282385"/>
      <w:bookmarkStart w:id="1598" w:name="_Toc192710555"/>
      <w:bookmarkStart w:id="1599" w:name="_Toc479265639"/>
      <w:bookmarkStart w:id="1600" w:name="_Toc512689752"/>
      <w:bookmarkStart w:id="1601" w:name="_Toc513132385"/>
      <w:bookmarkStart w:id="1602" w:name="_Toc513212905"/>
      <w:bookmarkStart w:id="1603" w:name="_Toc234382934"/>
      <w:bookmarkStart w:id="1604" w:name="_Toc479237810"/>
      <w:bookmarkStart w:id="1605" w:name="_Toc3475624"/>
      <w:r>
        <w:rPr>
          <w:rFonts w:hint="eastAsia" w:ascii="宋体" w:hAnsi="宋体" w:cs="宋体"/>
          <w:b/>
          <w:bCs/>
          <w:kern w:val="44"/>
          <w:sz w:val="24"/>
          <w:szCs w:val="24"/>
        </w:rPr>
        <w:t>24.3争议评审</w:t>
      </w:r>
      <w:bookmarkEnd w:id="1596"/>
      <w:bookmarkEnd w:id="1597"/>
      <w:bookmarkEnd w:id="1598"/>
      <w:bookmarkEnd w:id="1599"/>
      <w:bookmarkEnd w:id="1600"/>
      <w:bookmarkEnd w:id="1601"/>
      <w:bookmarkEnd w:id="1602"/>
      <w:bookmarkEnd w:id="1603"/>
      <w:bookmarkEnd w:id="1604"/>
      <w:bookmarkEnd w:id="1605"/>
    </w:p>
    <w:p w14:paraId="22EF2A2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第</w:t>
      </w:r>
      <w:r>
        <w:rPr>
          <w:rFonts w:ascii="宋体" w:hAnsi="宋体" w:cs="宋体"/>
          <w:kern w:val="0"/>
          <w:sz w:val="24"/>
          <w:szCs w:val="24"/>
        </w:rPr>
        <w:t>24.3.1</w:t>
      </w:r>
      <w:r>
        <w:rPr>
          <w:rFonts w:hint="eastAsia" w:ascii="宋体" w:hAnsi="宋体" w:cs="宋体"/>
          <w:kern w:val="0"/>
          <w:sz w:val="24"/>
          <w:szCs w:val="24"/>
        </w:rPr>
        <w:t>项补充：</w:t>
      </w:r>
    </w:p>
    <w:p w14:paraId="7818294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争议评审组由</w:t>
      </w:r>
      <w:r>
        <w:rPr>
          <w:rFonts w:ascii="宋体" w:hAnsi="宋体" w:cs="宋体"/>
          <w:kern w:val="0"/>
          <w:sz w:val="24"/>
          <w:szCs w:val="24"/>
        </w:rPr>
        <w:t>3</w:t>
      </w:r>
      <w:r>
        <w:rPr>
          <w:rFonts w:hint="eastAsia" w:ascii="宋体" w:hAnsi="宋体" w:cs="宋体"/>
          <w:kern w:val="0"/>
          <w:sz w:val="24"/>
          <w:szCs w:val="24"/>
        </w:rPr>
        <w:t>人或</w:t>
      </w:r>
      <w:r>
        <w:rPr>
          <w:rFonts w:ascii="宋体" w:hAnsi="宋体" w:cs="宋体"/>
          <w:kern w:val="0"/>
          <w:sz w:val="24"/>
          <w:szCs w:val="24"/>
        </w:rPr>
        <w:t>5</w:t>
      </w:r>
      <w:r>
        <w:rPr>
          <w:rFonts w:hint="eastAsia" w:ascii="宋体" w:hAnsi="宋体" w:cs="宋体"/>
          <w:kern w:val="0"/>
          <w:sz w:val="24"/>
          <w:szCs w:val="24"/>
        </w:rPr>
        <w:t>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66A220F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本条补充第</w:t>
      </w:r>
      <w:r>
        <w:rPr>
          <w:rFonts w:ascii="宋体" w:hAnsi="宋体" w:cs="宋体"/>
          <w:kern w:val="0"/>
          <w:sz w:val="24"/>
          <w:szCs w:val="24"/>
        </w:rPr>
        <w:t>24.4</w:t>
      </w:r>
      <w:r>
        <w:rPr>
          <w:rFonts w:hint="eastAsia" w:ascii="宋体" w:hAnsi="宋体" w:cs="宋体"/>
          <w:kern w:val="0"/>
          <w:sz w:val="24"/>
          <w:szCs w:val="24"/>
        </w:rPr>
        <w:t>、第</w:t>
      </w:r>
      <w:r>
        <w:rPr>
          <w:rFonts w:ascii="宋体" w:hAnsi="宋体" w:cs="宋体"/>
          <w:kern w:val="0"/>
          <w:sz w:val="24"/>
          <w:szCs w:val="24"/>
        </w:rPr>
        <w:t>24.5</w:t>
      </w:r>
      <w:r>
        <w:rPr>
          <w:rFonts w:hint="eastAsia" w:ascii="宋体" w:hAnsi="宋体" w:cs="宋体"/>
          <w:kern w:val="0"/>
          <w:sz w:val="24"/>
          <w:szCs w:val="24"/>
        </w:rPr>
        <w:t>款（适用于采用仲裁方式最终解决争议的项目）：</w:t>
      </w:r>
    </w:p>
    <w:p w14:paraId="2CE37F37">
      <w:pPr>
        <w:keepNext/>
        <w:keepLines/>
        <w:spacing w:line="440" w:lineRule="exact"/>
        <w:ind w:firstLine="482" w:firstLineChars="200"/>
        <w:rPr>
          <w:rFonts w:hint="eastAsia" w:ascii="宋体" w:hAnsi="宋体" w:cs="宋体"/>
          <w:b/>
          <w:bCs/>
          <w:kern w:val="44"/>
          <w:sz w:val="24"/>
          <w:szCs w:val="24"/>
        </w:rPr>
      </w:pPr>
      <w:bookmarkStart w:id="1606" w:name="_Toc192710556"/>
      <w:bookmarkStart w:id="1607" w:name="_Toc479265640"/>
      <w:bookmarkStart w:id="1608" w:name="_Toc479237811"/>
      <w:bookmarkStart w:id="1609" w:name="_Toc480282386"/>
      <w:bookmarkStart w:id="1610" w:name="_Toc512689753"/>
      <w:bookmarkStart w:id="1611" w:name="_Toc488083620"/>
      <w:bookmarkStart w:id="1612" w:name="_Toc513212906"/>
      <w:bookmarkStart w:id="1613" w:name="_Toc513132386"/>
      <w:bookmarkStart w:id="1614" w:name="_Toc234382935"/>
      <w:bookmarkStart w:id="1615" w:name="_Toc3475625"/>
      <w:r>
        <w:rPr>
          <w:rFonts w:hint="eastAsia" w:ascii="宋体" w:hAnsi="宋体" w:cs="宋体"/>
          <w:b/>
          <w:bCs/>
          <w:kern w:val="44"/>
          <w:sz w:val="24"/>
          <w:szCs w:val="24"/>
        </w:rPr>
        <w:t>24.4仲裁</w:t>
      </w:r>
      <w:bookmarkEnd w:id="1606"/>
      <w:bookmarkEnd w:id="1607"/>
      <w:bookmarkEnd w:id="1608"/>
      <w:bookmarkEnd w:id="1609"/>
      <w:bookmarkEnd w:id="1610"/>
      <w:bookmarkEnd w:id="1611"/>
      <w:bookmarkEnd w:id="1612"/>
      <w:bookmarkEnd w:id="1613"/>
      <w:bookmarkEnd w:id="1614"/>
      <w:bookmarkEnd w:id="1615"/>
    </w:p>
    <w:p w14:paraId="4E285463">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）对于未能友好解决或通过争议评审解决的争议，发包人或承包人任一方均有权提交给第</w:t>
      </w:r>
      <w:r>
        <w:rPr>
          <w:rFonts w:ascii="宋体" w:hAnsi="宋体" w:cs="宋体"/>
          <w:kern w:val="0"/>
          <w:sz w:val="24"/>
          <w:szCs w:val="24"/>
        </w:rPr>
        <w:t>24.1</w:t>
      </w:r>
      <w:r>
        <w:rPr>
          <w:rFonts w:hint="eastAsia" w:ascii="宋体" w:hAnsi="宋体" w:cs="宋体"/>
          <w:kern w:val="0"/>
          <w:sz w:val="24"/>
          <w:szCs w:val="24"/>
        </w:rPr>
        <w:t>款约定的仲裁委员会仲裁。</w:t>
      </w:r>
    </w:p>
    <w:p w14:paraId="4946AC17">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）仲裁可在交工之前或之后进行，但发包人、监理人和承包人各自的义务不得因在工程实施期间进行仲裁而有所改变。如果仲裁是在终止合同的情况下进行，则对合同工程应采取保护措施，措施费由败诉方承担。</w:t>
      </w:r>
    </w:p>
    <w:p w14:paraId="78CBDD7F">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）仲裁裁决是终局性的并对发包人和承包人双方具有约束力。</w:t>
      </w:r>
    </w:p>
    <w:p w14:paraId="281E7E9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）全部仲裁费用应由败诉方承担；或按仲裁员会裁决的比例分担。</w:t>
      </w:r>
    </w:p>
    <w:p w14:paraId="6DE3B9FA">
      <w:pPr>
        <w:keepNext/>
        <w:keepLines/>
        <w:spacing w:line="440" w:lineRule="exact"/>
        <w:ind w:firstLine="482" w:firstLineChars="200"/>
        <w:rPr>
          <w:rFonts w:hint="eastAsia" w:ascii="宋体" w:hAnsi="宋体" w:cs="宋体"/>
          <w:b/>
          <w:bCs/>
          <w:kern w:val="44"/>
          <w:sz w:val="24"/>
          <w:szCs w:val="24"/>
        </w:rPr>
      </w:pPr>
      <w:bookmarkStart w:id="1616" w:name="_Toc488083621"/>
      <w:bookmarkStart w:id="1617" w:name="_Toc513132387"/>
      <w:bookmarkStart w:id="1618" w:name="_Toc479237812"/>
      <w:bookmarkStart w:id="1619" w:name="_Toc3475626"/>
      <w:bookmarkStart w:id="1620" w:name="_Toc192710557"/>
      <w:bookmarkStart w:id="1621" w:name="_Toc480282387"/>
      <w:bookmarkStart w:id="1622" w:name="_Toc513212907"/>
      <w:bookmarkStart w:id="1623" w:name="_Toc512689754"/>
      <w:bookmarkStart w:id="1624" w:name="_Toc479265641"/>
      <w:bookmarkStart w:id="1625" w:name="_Toc234382936"/>
      <w:r>
        <w:rPr>
          <w:rFonts w:hint="eastAsia" w:ascii="宋体" w:hAnsi="宋体" w:cs="宋体"/>
          <w:b/>
          <w:bCs/>
          <w:kern w:val="44"/>
          <w:sz w:val="24"/>
          <w:szCs w:val="24"/>
        </w:rPr>
        <w:t>24.5仲裁的执行</w:t>
      </w:r>
      <w:bookmarkEnd w:id="1616"/>
      <w:bookmarkEnd w:id="1617"/>
      <w:bookmarkEnd w:id="1618"/>
      <w:bookmarkEnd w:id="1619"/>
      <w:bookmarkEnd w:id="1620"/>
      <w:bookmarkEnd w:id="1621"/>
      <w:bookmarkEnd w:id="1622"/>
      <w:bookmarkEnd w:id="1623"/>
      <w:bookmarkEnd w:id="1624"/>
      <w:bookmarkEnd w:id="1625"/>
    </w:p>
    <w:p w14:paraId="332DC629">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）任何一方不履行仲裁机构的裁决的，对方可以向有管辖权的人民法院申请执行。</w:t>
      </w:r>
    </w:p>
    <w:p w14:paraId="64B60199">
      <w:pPr>
        <w:spacing w:line="440" w:lineRule="exact"/>
        <w:ind w:firstLine="480" w:firstLineChars="200"/>
        <w:rPr>
          <w:rFonts w:hint="eastAsia"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任何一方提出证据证明裁决有《中华人民共和国仲裁法》第五十八条规定情形之一的，可以向仲裁委员会所在地的中级人民法院申请撤销裁决。人民法院认定执行该裁决违背社会公共利益的的，裁定不予执行。仲裁裁决被人民法院裁定不予执行的，当事人可以根据双方达成的书面仲裁协议重新申请仲裁，也可以向人民法院起诉。</w:t>
      </w:r>
    </w:p>
    <w:p w14:paraId="23798A16">
      <w:pPr>
        <w:widowControl/>
        <w:spacing w:line="440" w:lineRule="exact"/>
        <w:ind w:firstLine="482" w:firstLineChars="200"/>
        <w:rPr>
          <w:rFonts w:ascii="宋体" w:hAnsi="宋体" w:cs="宋体"/>
          <w:b/>
          <w:bCs/>
          <w:kern w:val="44"/>
          <w:sz w:val="24"/>
          <w:szCs w:val="24"/>
        </w:rPr>
      </w:pPr>
      <w:r>
        <w:rPr>
          <w:rFonts w:ascii="宋体" w:hAnsi="宋体" w:cs="宋体"/>
          <w:b/>
          <w:bCs/>
          <w:kern w:val="44"/>
          <w:sz w:val="24"/>
          <w:szCs w:val="24"/>
        </w:rPr>
        <w:br w:type="page"/>
      </w:r>
      <w:r>
        <w:rPr>
          <w:rFonts w:hint="eastAsia" w:ascii="宋体" w:hAnsi="宋体" w:cs="宋体"/>
          <w:b/>
          <w:bCs/>
          <w:kern w:val="44"/>
          <w:sz w:val="24"/>
          <w:szCs w:val="24"/>
        </w:rPr>
        <w:t>B、项目专用合同条款</w:t>
      </w:r>
      <w:bookmarkStart w:id="1626" w:name="_Toc3475627"/>
      <w:bookmarkStart w:id="1627" w:name="_Toc192710558"/>
    </w:p>
    <w:p w14:paraId="663EB898">
      <w:pPr>
        <w:widowControl/>
        <w:spacing w:line="440" w:lineRule="exact"/>
        <w:ind w:firstLine="482" w:firstLineChars="200"/>
        <w:rPr>
          <w:rFonts w:hint="eastAsia" w:ascii="宋体" w:hAnsi="宋体" w:cs="宋体"/>
          <w:b/>
          <w:bCs/>
          <w:kern w:val="44"/>
          <w:sz w:val="24"/>
          <w:szCs w:val="24"/>
        </w:rPr>
      </w:pPr>
      <w:r>
        <w:rPr>
          <w:rFonts w:hint="eastAsia" w:ascii="宋体" w:hAnsi="宋体" w:cs="宋体"/>
          <w:b/>
          <w:bCs/>
          <w:kern w:val="44"/>
          <w:sz w:val="24"/>
          <w:szCs w:val="24"/>
        </w:rPr>
        <w:t>说明：</w:t>
      </w:r>
      <w:bookmarkEnd w:id="1626"/>
      <w:bookmarkEnd w:id="1627"/>
    </w:p>
    <w:p w14:paraId="18589ECE">
      <w:pPr>
        <w:spacing w:line="440" w:lineRule="exact"/>
        <w:ind w:firstLine="480" w:firstLineChars="200"/>
        <w:rPr>
          <w:rFonts w:ascii="宋体" w:hAnsi="宋体" w:cs="宋体"/>
          <w:kern w:val="0"/>
          <w:sz w:val="24"/>
          <w:szCs w:val="24"/>
        </w:rPr>
      </w:pPr>
      <w:r>
        <w:rPr>
          <w:rFonts w:ascii="宋体" w:hAnsi="宋体" w:cs="宋体"/>
          <w:kern w:val="0"/>
          <w:sz w:val="24"/>
          <w:szCs w:val="24"/>
        </w:rPr>
        <w:t>1.</w:t>
      </w:r>
      <w:r>
        <w:rPr>
          <w:rFonts w:hint="eastAsia" w:ascii="宋体" w:hAnsi="宋体" w:cs="宋体"/>
          <w:kern w:val="0"/>
          <w:sz w:val="24"/>
          <w:szCs w:val="24"/>
        </w:rPr>
        <w:t>招标人在根据《公路工程标准施工招标文件》编制项目招标文件中的“项目专用合同条款”时，可根据招标项目的具体特点和实际需要，对“通用合同条款”及“公路工程专用合同条款”进行补充和细化，除“通用合同条款”明确“专用合同条款”可作出不同约定及“公路工程专用合同条款”明确“项目专用合同条款”可作出不同约定外，补充和细化的内容不得与“通用合同条款”及“公路工程专用合同条款”强制性规定相抵触。同时，补充、细化的不同内容，不得违反法律、行政法规的强制性规定和平等、自愿、公平和诚实信用原则。</w:t>
      </w:r>
    </w:p>
    <w:p w14:paraId="1740B197">
      <w:pPr>
        <w:spacing w:line="440" w:lineRule="exact"/>
        <w:ind w:firstLine="480" w:firstLineChars="200"/>
        <w:rPr>
          <w:rFonts w:ascii="宋体" w:hAnsi="宋体" w:cs="宋体"/>
          <w:kern w:val="0"/>
          <w:sz w:val="24"/>
          <w:szCs w:val="24"/>
        </w:rPr>
      </w:pPr>
      <w:r>
        <w:rPr>
          <w:rFonts w:ascii="宋体" w:hAnsi="宋体" w:cs="宋体"/>
          <w:kern w:val="0"/>
          <w:sz w:val="24"/>
          <w:szCs w:val="24"/>
        </w:rPr>
        <w:t>2.</w:t>
      </w:r>
      <w:r>
        <w:rPr>
          <w:rFonts w:hint="eastAsia" w:ascii="宋体" w:hAnsi="宋体" w:cs="宋体"/>
          <w:kern w:val="0"/>
          <w:sz w:val="24"/>
          <w:szCs w:val="24"/>
        </w:rPr>
        <w:t>项目专用合同条款的编号应与通用合同条款和公路工程专用合同条款一致。</w:t>
      </w:r>
    </w:p>
    <w:p w14:paraId="3F7195FD">
      <w:pPr>
        <w:spacing w:line="440" w:lineRule="exact"/>
        <w:ind w:firstLine="480" w:firstLineChars="200"/>
        <w:rPr>
          <w:rFonts w:ascii="宋体" w:hAnsi="宋体" w:cs="宋体"/>
          <w:kern w:val="0"/>
          <w:sz w:val="24"/>
          <w:szCs w:val="24"/>
        </w:rPr>
      </w:pPr>
      <w:r>
        <w:rPr>
          <w:rFonts w:ascii="宋体" w:hAnsi="宋体" w:cs="宋体"/>
          <w:kern w:val="0"/>
          <w:sz w:val="24"/>
          <w:szCs w:val="24"/>
        </w:rPr>
        <w:t>3.</w:t>
      </w:r>
      <w:r>
        <w:rPr>
          <w:rFonts w:hint="eastAsia" w:ascii="宋体" w:hAnsi="宋体" w:cs="宋体"/>
          <w:kern w:val="0"/>
          <w:sz w:val="24"/>
          <w:szCs w:val="24"/>
        </w:rPr>
        <w:t>项目专用合同条款可对下列内容进行补充和细化：</w:t>
      </w:r>
    </w:p>
    <w:p w14:paraId="0E95AE3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28DD3E41">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公路工程专用合同条款”中明确指出“项目专用合同条款”可对“公路工程专用合同条款”进行修改的内容（在“公路工程专用合同条款”中用“除项目专用合同条款里有约定外”。“项目专用合同条款可能约定的”，“项目专用合同条款约定的其他情形”等多种文字形式表达）；</w:t>
      </w:r>
    </w:p>
    <w:p w14:paraId="70B6ED66">
      <w:pPr>
        <w:spacing w:line="44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）其他需要补充、细化的内容。</w:t>
      </w:r>
    </w:p>
    <w:p w14:paraId="456DF3B8">
      <w:pPr>
        <w:widowControl/>
        <w:spacing w:line="440" w:lineRule="exact"/>
        <w:ind w:firstLine="480" w:firstLineChars="200"/>
        <w:jc w:val="left"/>
        <w:rPr>
          <w:rFonts w:ascii="宋体"/>
          <w:kern w:val="0"/>
          <w:sz w:val="24"/>
          <w:szCs w:val="24"/>
        </w:rPr>
      </w:pPr>
    </w:p>
    <w:p w14:paraId="4A5CD276">
      <w:pPr>
        <w:widowControl/>
        <w:spacing w:line="440" w:lineRule="exact"/>
        <w:jc w:val="left"/>
        <w:rPr>
          <w:rFonts w:ascii="黑体" w:hAnsi="宋体" w:eastAsia="黑体"/>
          <w:b/>
          <w:bCs/>
          <w:kern w:val="0"/>
          <w:sz w:val="24"/>
          <w:szCs w:val="24"/>
        </w:rPr>
      </w:pPr>
      <w:r>
        <w:rPr>
          <w:kern w:val="0"/>
          <w:sz w:val="24"/>
          <w:szCs w:val="24"/>
        </w:rPr>
        <w:br w:type="page"/>
      </w:r>
      <w:r>
        <w:rPr>
          <w:rFonts w:hint="eastAsia" w:ascii="宋体" w:hAnsi="宋体" w:cs="宋体"/>
          <w:b/>
          <w:bCs/>
          <w:kern w:val="44"/>
          <w:sz w:val="24"/>
          <w:szCs w:val="24"/>
        </w:rPr>
        <w:t>项目专用条款数据表</w:t>
      </w:r>
    </w:p>
    <w:p w14:paraId="3DC53194">
      <w:pPr>
        <w:widowControl/>
        <w:spacing w:line="440" w:lineRule="exact"/>
        <w:jc w:val="left"/>
        <w:rPr>
          <w:rFonts w:hint="eastAsia" w:ascii="宋体" w:hAnsi="宋体" w:cs="宋体"/>
          <w:kern w:val="0"/>
          <w:szCs w:val="21"/>
        </w:rPr>
      </w:pPr>
      <w:r>
        <w:rPr>
          <w:rFonts w:hint="eastAsia" w:ascii="宋体" w:hAnsi="宋体" w:cs="宋体"/>
          <w:kern w:val="0"/>
          <w:sz w:val="24"/>
          <w:szCs w:val="24"/>
        </w:rPr>
        <w:t>说明：本数据表是项目专用合同条款中适用于本项目的信息和数据的归纳与提示，是项目专用合同条款的组成部分。第</w:t>
      </w:r>
      <w:r>
        <w:rPr>
          <w:rFonts w:hint="eastAsia" w:cs="宋体"/>
          <w:kern w:val="0"/>
          <w:sz w:val="24"/>
          <w:szCs w:val="24"/>
          <w:lang w:val="en-US" w:eastAsia="zh-CN"/>
        </w:rPr>
        <w:t>九</w:t>
      </w:r>
      <w:r>
        <w:rPr>
          <w:rFonts w:hint="eastAsia" w:ascii="宋体" w:hAnsi="宋体" w:cs="宋体"/>
          <w:kern w:val="0"/>
          <w:sz w:val="24"/>
          <w:szCs w:val="24"/>
        </w:rPr>
        <w:t>章“</w:t>
      </w:r>
      <w:r>
        <w:rPr>
          <w:rFonts w:hint="eastAsia" w:cs="宋体"/>
          <w:kern w:val="0"/>
          <w:sz w:val="24"/>
          <w:szCs w:val="24"/>
          <w:lang w:val="en-US" w:eastAsia="zh-CN"/>
        </w:rPr>
        <w:t>响应</w:t>
      </w:r>
      <w:r>
        <w:rPr>
          <w:rFonts w:hint="eastAsia" w:ascii="宋体" w:hAnsi="宋体" w:cs="宋体"/>
          <w:kern w:val="0"/>
          <w:sz w:val="24"/>
          <w:szCs w:val="24"/>
        </w:rPr>
        <w:t>文件格式”的</w:t>
      </w:r>
      <w:r>
        <w:rPr>
          <w:rFonts w:hint="eastAsia" w:cs="宋体"/>
          <w:kern w:val="0"/>
          <w:sz w:val="24"/>
          <w:szCs w:val="24"/>
          <w:lang w:val="en-US" w:eastAsia="zh-CN"/>
        </w:rPr>
        <w:t>响应</w:t>
      </w:r>
      <w:r>
        <w:rPr>
          <w:rFonts w:hint="eastAsia" w:ascii="宋体" w:hAnsi="宋体" w:cs="宋体"/>
          <w:kern w:val="0"/>
          <w:sz w:val="24"/>
          <w:szCs w:val="24"/>
        </w:rPr>
        <w:t>函附录中的数据（供投标人确认）与本表所列有重复。编写招标文件的单位应仔细校核，不使数据出现差错或不一致</w:t>
      </w:r>
      <w:r>
        <w:rPr>
          <w:rFonts w:hint="eastAsia" w:ascii="宋体" w:hAnsi="宋体" w:cs="宋体"/>
          <w:kern w:val="0"/>
          <w:szCs w:val="21"/>
        </w:rPr>
        <w:t>。</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1559"/>
        <w:gridCol w:w="6916"/>
      </w:tblGrid>
      <w:tr w14:paraId="77C3B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4C584694">
            <w:pPr>
              <w:widowControl/>
              <w:spacing w:line="440" w:lineRule="exact"/>
              <w:jc w:val="center"/>
              <w:rPr>
                <w:rFonts w:hint="eastAsia" w:ascii="宋体" w:hAnsi="宋体" w:cs="宋体"/>
                <w:b/>
                <w:kern w:val="0"/>
                <w:szCs w:val="21"/>
                <w:lang w:eastAsia="en-US"/>
              </w:rPr>
            </w:pPr>
            <w:r>
              <w:rPr>
                <w:rFonts w:hint="eastAsia" w:ascii="宋体" w:hAnsi="宋体" w:cs="宋体"/>
                <w:b/>
                <w:kern w:val="0"/>
                <w:szCs w:val="21"/>
                <w:lang w:eastAsia="en-US"/>
              </w:rPr>
              <w:t>序号</w:t>
            </w:r>
          </w:p>
        </w:tc>
        <w:tc>
          <w:tcPr>
            <w:tcW w:w="1559" w:type="dxa"/>
            <w:noWrap w:val="0"/>
            <w:vAlign w:val="center"/>
          </w:tcPr>
          <w:p w14:paraId="32AAB30F">
            <w:pPr>
              <w:widowControl/>
              <w:spacing w:line="440" w:lineRule="exact"/>
              <w:jc w:val="center"/>
              <w:rPr>
                <w:rFonts w:hint="eastAsia" w:ascii="宋体" w:hAnsi="宋体" w:cs="宋体"/>
                <w:b/>
                <w:kern w:val="0"/>
                <w:szCs w:val="21"/>
                <w:lang w:eastAsia="en-US"/>
              </w:rPr>
            </w:pPr>
            <w:r>
              <w:rPr>
                <w:rFonts w:hint="eastAsia" w:ascii="宋体" w:hAnsi="宋体" w:cs="宋体"/>
                <w:b/>
                <w:kern w:val="0"/>
                <w:szCs w:val="21"/>
                <w:lang w:eastAsia="en-US"/>
              </w:rPr>
              <w:t>条款号</w:t>
            </w:r>
          </w:p>
        </w:tc>
        <w:tc>
          <w:tcPr>
            <w:tcW w:w="6916" w:type="dxa"/>
            <w:noWrap w:val="0"/>
            <w:vAlign w:val="center"/>
          </w:tcPr>
          <w:p w14:paraId="62E9267C">
            <w:pPr>
              <w:widowControl/>
              <w:spacing w:line="440" w:lineRule="exact"/>
              <w:jc w:val="center"/>
              <w:rPr>
                <w:rFonts w:hint="eastAsia" w:ascii="宋体" w:hAnsi="宋体" w:cs="宋体"/>
                <w:b/>
                <w:kern w:val="0"/>
                <w:szCs w:val="21"/>
                <w:lang w:eastAsia="en-US"/>
              </w:rPr>
            </w:pPr>
            <w:r>
              <w:rPr>
                <w:rFonts w:hint="eastAsia" w:ascii="宋体" w:hAnsi="宋体" w:cs="宋体"/>
                <w:b/>
                <w:kern w:val="0"/>
                <w:szCs w:val="21"/>
                <w:lang w:eastAsia="en-US"/>
              </w:rPr>
              <w:t>信息或数据</w:t>
            </w:r>
          </w:p>
        </w:tc>
      </w:tr>
      <w:tr w14:paraId="77BF1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11805622">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w:t>
            </w:r>
          </w:p>
        </w:tc>
        <w:tc>
          <w:tcPr>
            <w:tcW w:w="1559" w:type="dxa"/>
            <w:noWrap w:val="0"/>
            <w:vAlign w:val="center"/>
          </w:tcPr>
          <w:p w14:paraId="7C3B4864">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1.1.2.2</w:t>
            </w:r>
          </w:p>
        </w:tc>
        <w:tc>
          <w:tcPr>
            <w:tcW w:w="6916" w:type="dxa"/>
            <w:noWrap w:val="0"/>
            <w:vAlign w:val="center"/>
          </w:tcPr>
          <w:p w14:paraId="5B5399FE">
            <w:pPr>
              <w:widowControl/>
              <w:spacing w:line="440" w:lineRule="exact"/>
              <w:jc w:val="left"/>
              <w:rPr>
                <w:rFonts w:hint="eastAsia" w:ascii="宋体" w:hAnsi="宋体" w:cs="宋体"/>
                <w:kern w:val="0"/>
                <w:szCs w:val="21"/>
              </w:rPr>
            </w:pPr>
            <w:r>
              <w:rPr>
                <w:rFonts w:hint="eastAsia" w:ascii="宋体" w:hAnsi="宋体" w:cs="宋体"/>
                <w:kern w:val="0"/>
                <w:szCs w:val="21"/>
              </w:rPr>
              <w:t>发 包 人：三门峡市公路事业发展中心</w:t>
            </w:r>
          </w:p>
          <w:p w14:paraId="35DFC911">
            <w:pPr>
              <w:widowControl/>
              <w:spacing w:line="440" w:lineRule="exact"/>
              <w:jc w:val="left"/>
              <w:rPr>
                <w:rFonts w:hint="eastAsia" w:ascii="宋体" w:hAnsi="宋体" w:cs="宋体"/>
                <w:kern w:val="0"/>
                <w:szCs w:val="21"/>
              </w:rPr>
            </w:pPr>
            <w:r>
              <w:rPr>
                <w:rFonts w:hint="eastAsia" w:ascii="宋体" w:hAnsi="宋体" w:cs="宋体"/>
                <w:kern w:val="0"/>
                <w:szCs w:val="21"/>
              </w:rPr>
              <w:t xml:space="preserve">地    址：三门峡市虢国路东段                       </w:t>
            </w:r>
          </w:p>
        </w:tc>
      </w:tr>
      <w:tr w14:paraId="4B15D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6947CB07">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2</w:t>
            </w:r>
          </w:p>
        </w:tc>
        <w:tc>
          <w:tcPr>
            <w:tcW w:w="1559" w:type="dxa"/>
            <w:noWrap w:val="0"/>
            <w:vAlign w:val="center"/>
          </w:tcPr>
          <w:p w14:paraId="69E27BA6">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1.1.2.6</w:t>
            </w:r>
          </w:p>
        </w:tc>
        <w:tc>
          <w:tcPr>
            <w:tcW w:w="6916" w:type="dxa"/>
            <w:noWrap w:val="0"/>
            <w:vAlign w:val="center"/>
          </w:tcPr>
          <w:p w14:paraId="22CE2F78">
            <w:pPr>
              <w:widowControl/>
              <w:spacing w:line="440" w:lineRule="exact"/>
              <w:jc w:val="left"/>
              <w:rPr>
                <w:rFonts w:hint="eastAsia" w:ascii="宋体" w:hAnsi="宋体" w:cs="宋体"/>
                <w:kern w:val="0"/>
                <w:szCs w:val="21"/>
              </w:rPr>
            </w:pPr>
            <w:r>
              <w:rPr>
                <w:rFonts w:hint="eastAsia" w:ascii="宋体" w:hAnsi="宋体" w:cs="宋体"/>
                <w:kern w:val="0"/>
                <w:szCs w:val="21"/>
              </w:rPr>
              <w:t>监 理 人：招标确定</w:t>
            </w:r>
          </w:p>
          <w:p w14:paraId="4AF88F35">
            <w:pPr>
              <w:widowControl/>
              <w:spacing w:line="440" w:lineRule="exact"/>
              <w:jc w:val="left"/>
              <w:rPr>
                <w:rFonts w:hint="eastAsia" w:ascii="宋体" w:hAnsi="宋体" w:cs="宋体"/>
                <w:kern w:val="0"/>
                <w:szCs w:val="21"/>
              </w:rPr>
            </w:pPr>
            <w:r>
              <w:rPr>
                <w:rFonts w:hint="eastAsia" w:ascii="宋体" w:hAnsi="宋体" w:cs="宋体"/>
                <w:kern w:val="0"/>
                <w:szCs w:val="21"/>
              </w:rPr>
              <w:t xml:space="preserve">地    址：（待定）                   </w:t>
            </w:r>
          </w:p>
        </w:tc>
      </w:tr>
      <w:tr w14:paraId="6E63D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1DAA3035">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3</w:t>
            </w:r>
          </w:p>
        </w:tc>
        <w:tc>
          <w:tcPr>
            <w:tcW w:w="1559" w:type="dxa"/>
            <w:noWrap w:val="0"/>
            <w:vAlign w:val="center"/>
          </w:tcPr>
          <w:p w14:paraId="38F01673">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1.1.4.5</w:t>
            </w:r>
          </w:p>
        </w:tc>
        <w:tc>
          <w:tcPr>
            <w:tcW w:w="6916" w:type="dxa"/>
            <w:noWrap w:val="0"/>
            <w:vAlign w:val="center"/>
          </w:tcPr>
          <w:p w14:paraId="3E29F2E1">
            <w:pPr>
              <w:widowControl/>
              <w:spacing w:line="440" w:lineRule="exact"/>
              <w:jc w:val="left"/>
              <w:rPr>
                <w:rFonts w:hint="eastAsia" w:ascii="宋体" w:hAnsi="宋体" w:cs="宋体"/>
                <w:kern w:val="0"/>
                <w:szCs w:val="21"/>
              </w:rPr>
            </w:pPr>
            <w:r>
              <w:rPr>
                <w:rFonts w:hint="eastAsia" w:ascii="宋体" w:hAnsi="宋体" w:cs="宋体"/>
                <w:kern w:val="0"/>
                <w:szCs w:val="21"/>
              </w:rPr>
              <w:t>缺陷责任期：自实际交工日期起计算</w:t>
            </w:r>
            <w:r>
              <w:rPr>
                <w:rFonts w:ascii="宋体" w:hAnsi="宋体" w:cs="宋体"/>
                <w:kern w:val="0"/>
                <w:szCs w:val="21"/>
                <w:u w:val="single"/>
              </w:rPr>
              <w:t xml:space="preserve">  1  </w:t>
            </w:r>
            <w:r>
              <w:rPr>
                <w:rFonts w:hint="eastAsia" w:ascii="宋体" w:hAnsi="宋体" w:cs="宋体"/>
                <w:kern w:val="0"/>
                <w:szCs w:val="21"/>
              </w:rPr>
              <w:t>年</w:t>
            </w:r>
          </w:p>
        </w:tc>
      </w:tr>
      <w:tr w14:paraId="73C66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6F78576A">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4</w:t>
            </w:r>
          </w:p>
        </w:tc>
        <w:tc>
          <w:tcPr>
            <w:tcW w:w="1559" w:type="dxa"/>
            <w:noWrap w:val="0"/>
            <w:vAlign w:val="center"/>
          </w:tcPr>
          <w:p w14:paraId="12BDE86A">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1.6.3</w:t>
            </w:r>
          </w:p>
        </w:tc>
        <w:tc>
          <w:tcPr>
            <w:tcW w:w="6916" w:type="dxa"/>
            <w:noWrap w:val="0"/>
            <w:vAlign w:val="center"/>
          </w:tcPr>
          <w:p w14:paraId="0B93A1B3">
            <w:pPr>
              <w:widowControl/>
              <w:spacing w:line="440" w:lineRule="exact"/>
              <w:jc w:val="left"/>
              <w:rPr>
                <w:rFonts w:hint="eastAsia" w:ascii="宋体" w:hAnsi="宋体" w:cs="宋体"/>
                <w:kern w:val="0"/>
                <w:szCs w:val="21"/>
              </w:rPr>
            </w:pPr>
            <w:r>
              <w:rPr>
                <w:rFonts w:hint="eastAsia" w:ascii="宋体" w:hAnsi="宋体" w:cs="宋体"/>
                <w:kern w:val="0"/>
                <w:szCs w:val="21"/>
              </w:rPr>
              <w:t>图纸需要修改和补充的，应由监理人取得发包人同意后，在该项工程或工程相应部位施工前</w:t>
            </w:r>
            <w:r>
              <w:rPr>
                <w:rFonts w:hint="eastAsia" w:ascii="宋体" w:hAnsi="宋体" w:cs="宋体"/>
                <w:kern w:val="0"/>
                <w:szCs w:val="21"/>
                <w:u w:val="single"/>
              </w:rPr>
              <w:t>7</w:t>
            </w:r>
            <w:r>
              <w:rPr>
                <w:rFonts w:hint="eastAsia" w:ascii="宋体" w:hAnsi="宋体" w:cs="宋体"/>
                <w:kern w:val="0"/>
                <w:szCs w:val="21"/>
              </w:rPr>
              <w:t>天签发图纸修改图给承包人</w:t>
            </w:r>
          </w:p>
        </w:tc>
      </w:tr>
      <w:tr w14:paraId="358AA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391237B8">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5</w:t>
            </w:r>
          </w:p>
        </w:tc>
        <w:tc>
          <w:tcPr>
            <w:tcW w:w="1559" w:type="dxa"/>
            <w:noWrap w:val="0"/>
            <w:vAlign w:val="center"/>
          </w:tcPr>
          <w:p w14:paraId="3691B88F">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3.1.1</w:t>
            </w:r>
          </w:p>
        </w:tc>
        <w:tc>
          <w:tcPr>
            <w:tcW w:w="6916" w:type="dxa"/>
            <w:noWrap w:val="0"/>
            <w:vAlign w:val="center"/>
          </w:tcPr>
          <w:p w14:paraId="4BB658CE">
            <w:pPr>
              <w:widowControl/>
              <w:spacing w:line="440" w:lineRule="exact"/>
              <w:jc w:val="left"/>
              <w:rPr>
                <w:rFonts w:hint="eastAsia" w:ascii="宋体" w:hAnsi="宋体" w:cs="宋体"/>
                <w:kern w:val="0"/>
                <w:szCs w:val="21"/>
              </w:rPr>
            </w:pPr>
            <w:r>
              <w:rPr>
                <w:rFonts w:hint="eastAsia" w:ascii="宋体" w:hAnsi="宋体" w:cs="宋体"/>
                <w:szCs w:val="21"/>
              </w:rPr>
              <w:t>所有的变更必须得到业主的审核及批准</w:t>
            </w:r>
          </w:p>
        </w:tc>
      </w:tr>
      <w:tr w14:paraId="646DA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38FDB8D8">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6</w:t>
            </w:r>
          </w:p>
        </w:tc>
        <w:tc>
          <w:tcPr>
            <w:tcW w:w="1559" w:type="dxa"/>
            <w:noWrap w:val="0"/>
            <w:vAlign w:val="center"/>
          </w:tcPr>
          <w:p w14:paraId="670FA452">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5.2.4</w:t>
            </w:r>
          </w:p>
        </w:tc>
        <w:tc>
          <w:tcPr>
            <w:tcW w:w="6916" w:type="dxa"/>
            <w:noWrap w:val="0"/>
            <w:vAlign w:val="center"/>
          </w:tcPr>
          <w:p w14:paraId="6071E9E4">
            <w:pPr>
              <w:widowControl/>
              <w:spacing w:line="440" w:lineRule="exact"/>
              <w:jc w:val="left"/>
              <w:rPr>
                <w:rFonts w:hint="eastAsia" w:ascii="宋体" w:hAnsi="宋体" w:cs="宋体"/>
                <w:kern w:val="0"/>
                <w:szCs w:val="21"/>
              </w:rPr>
            </w:pPr>
            <w:r>
              <w:rPr>
                <w:rFonts w:hint="eastAsia" w:ascii="宋体" w:hAnsi="宋体" w:cs="宋体"/>
                <w:kern w:val="0"/>
                <w:szCs w:val="21"/>
              </w:rPr>
              <w:t>发包人是否提供材料或工程设备：</w:t>
            </w:r>
            <w:r>
              <w:rPr>
                <w:rFonts w:hint="eastAsia" w:ascii="宋体" w:hAnsi="宋体" w:cs="宋体"/>
                <w:kern w:val="0"/>
                <w:szCs w:val="21"/>
                <w:u w:val="single"/>
              </w:rPr>
              <w:t>否</w:t>
            </w:r>
          </w:p>
        </w:tc>
      </w:tr>
      <w:tr w14:paraId="079EC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644C68E1">
            <w:pPr>
              <w:widowControl/>
              <w:spacing w:line="440" w:lineRule="exact"/>
              <w:jc w:val="center"/>
              <w:rPr>
                <w:rFonts w:hint="eastAsia" w:ascii="宋体" w:hAnsi="宋体" w:cs="宋体"/>
                <w:kern w:val="0"/>
                <w:szCs w:val="21"/>
              </w:rPr>
            </w:pPr>
            <w:r>
              <w:rPr>
                <w:rFonts w:hint="eastAsia" w:ascii="宋体" w:hAnsi="宋体" w:cs="宋体"/>
                <w:kern w:val="0"/>
                <w:szCs w:val="21"/>
              </w:rPr>
              <w:t>7</w:t>
            </w:r>
          </w:p>
        </w:tc>
        <w:tc>
          <w:tcPr>
            <w:tcW w:w="1559" w:type="dxa"/>
            <w:noWrap w:val="0"/>
            <w:vAlign w:val="center"/>
          </w:tcPr>
          <w:p w14:paraId="4BAA9191">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11.5</w:t>
            </w:r>
          </w:p>
        </w:tc>
        <w:tc>
          <w:tcPr>
            <w:tcW w:w="6916" w:type="dxa"/>
            <w:noWrap w:val="0"/>
            <w:vAlign w:val="center"/>
          </w:tcPr>
          <w:p w14:paraId="1135FC32">
            <w:pPr>
              <w:widowControl/>
              <w:spacing w:line="440" w:lineRule="exact"/>
              <w:jc w:val="left"/>
              <w:rPr>
                <w:rFonts w:hint="eastAsia" w:ascii="宋体" w:hAnsi="宋体" w:cs="宋体"/>
                <w:kern w:val="0"/>
                <w:szCs w:val="21"/>
              </w:rPr>
            </w:pPr>
            <w:r>
              <w:rPr>
                <w:rFonts w:hint="eastAsia" w:ascii="宋体" w:hAnsi="宋体" w:cs="宋体"/>
                <w:kern w:val="0"/>
                <w:szCs w:val="21"/>
              </w:rPr>
              <w:t>逾期交工违约金：</w:t>
            </w:r>
            <w:r>
              <w:rPr>
                <w:rFonts w:hint="eastAsia" w:ascii="宋体" w:hAnsi="宋体" w:cs="宋体"/>
                <w:kern w:val="0"/>
                <w:szCs w:val="21"/>
                <w:u w:val="single"/>
              </w:rPr>
              <w:t>1000</w:t>
            </w:r>
            <w:r>
              <w:rPr>
                <w:rFonts w:hint="eastAsia" w:ascii="宋体" w:hAnsi="宋体" w:cs="宋体"/>
                <w:kern w:val="0"/>
                <w:szCs w:val="21"/>
              </w:rPr>
              <w:t>元/天</w:t>
            </w:r>
          </w:p>
        </w:tc>
      </w:tr>
      <w:tr w14:paraId="2876A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467E11AB">
            <w:pPr>
              <w:widowControl/>
              <w:spacing w:line="440" w:lineRule="exact"/>
              <w:jc w:val="center"/>
              <w:rPr>
                <w:rFonts w:hint="eastAsia" w:ascii="宋体" w:hAnsi="宋体" w:cs="宋体"/>
                <w:kern w:val="0"/>
                <w:szCs w:val="21"/>
              </w:rPr>
            </w:pPr>
            <w:r>
              <w:rPr>
                <w:rFonts w:hint="eastAsia" w:ascii="宋体" w:hAnsi="宋体" w:cs="宋体"/>
                <w:kern w:val="0"/>
                <w:szCs w:val="21"/>
              </w:rPr>
              <w:t>8</w:t>
            </w:r>
          </w:p>
        </w:tc>
        <w:tc>
          <w:tcPr>
            <w:tcW w:w="1559" w:type="dxa"/>
            <w:noWrap w:val="0"/>
            <w:vAlign w:val="center"/>
          </w:tcPr>
          <w:p w14:paraId="11FA7C5A">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11.5</w:t>
            </w:r>
          </w:p>
        </w:tc>
        <w:tc>
          <w:tcPr>
            <w:tcW w:w="6916" w:type="dxa"/>
            <w:noWrap w:val="0"/>
            <w:vAlign w:val="center"/>
          </w:tcPr>
          <w:p w14:paraId="0D997EE4">
            <w:pPr>
              <w:widowControl/>
              <w:spacing w:line="440" w:lineRule="exact"/>
              <w:jc w:val="left"/>
              <w:rPr>
                <w:rFonts w:hint="eastAsia" w:ascii="宋体" w:hAnsi="宋体" w:cs="宋体"/>
                <w:kern w:val="0"/>
                <w:szCs w:val="21"/>
              </w:rPr>
            </w:pPr>
            <w:r>
              <w:rPr>
                <w:rFonts w:hint="eastAsia" w:ascii="宋体" w:hAnsi="宋体" w:cs="宋体"/>
                <w:kern w:val="0"/>
                <w:szCs w:val="21"/>
              </w:rPr>
              <w:t>逾期交工违约金限额：</w:t>
            </w:r>
            <w:r>
              <w:rPr>
                <w:rFonts w:hint="eastAsia" w:ascii="宋体" w:hAnsi="宋体" w:cs="宋体"/>
                <w:kern w:val="0"/>
                <w:szCs w:val="21"/>
                <w:u w:val="single"/>
              </w:rPr>
              <w:t>10</w:t>
            </w:r>
            <w:r>
              <w:rPr>
                <w:rFonts w:hint="eastAsia" w:ascii="宋体" w:hAnsi="宋体" w:cs="宋体"/>
                <w:kern w:val="0"/>
                <w:szCs w:val="21"/>
              </w:rPr>
              <w:t>%签约合同价</w:t>
            </w:r>
          </w:p>
        </w:tc>
      </w:tr>
      <w:tr w14:paraId="59CB15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6A620F9B">
            <w:pPr>
              <w:widowControl/>
              <w:spacing w:line="440" w:lineRule="exact"/>
              <w:jc w:val="center"/>
              <w:rPr>
                <w:rFonts w:hint="eastAsia" w:ascii="宋体" w:hAnsi="宋体" w:cs="宋体"/>
                <w:kern w:val="0"/>
                <w:szCs w:val="21"/>
              </w:rPr>
            </w:pPr>
            <w:r>
              <w:rPr>
                <w:rFonts w:hint="eastAsia" w:ascii="宋体" w:hAnsi="宋体" w:cs="宋体"/>
                <w:kern w:val="0"/>
                <w:szCs w:val="21"/>
              </w:rPr>
              <w:t>9</w:t>
            </w:r>
          </w:p>
        </w:tc>
        <w:tc>
          <w:tcPr>
            <w:tcW w:w="1559" w:type="dxa"/>
            <w:noWrap w:val="0"/>
            <w:vAlign w:val="center"/>
          </w:tcPr>
          <w:p w14:paraId="72822732">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11.6</w:t>
            </w:r>
          </w:p>
        </w:tc>
        <w:tc>
          <w:tcPr>
            <w:tcW w:w="6916" w:type="dxa"/>
            <w:noWrap w:val="0"/>
            <w:vAlign w:val="center"/>
          </w:tcPr>
          <w:p w14:paraId="2B5F722F">
            <w:pPr>
              <w:widowControl/>
              <w:spacing w:line="440" w:lineRule="exact"/>
              <w:jc w:val="left"/>
              <w:rPr>
                <w:rFonts w:hint="eastAsia" w:ascii="宋体" w:hAnsi="宋体" w:cs="宋体"/>
                <w:kern w:val="0"/>
                <w:szCs w:val="21"/>
              </w:rPr>
            </w:pPr>
            <w:r>
              <w:rPr>
                <w:rFonts w:hint="eastAsia" w:ascii="宋体" w:hAnsi="宋体" w:cs="宋体"/>
                <w:kern w:val="0"/>
                <w:szCs w:val="21"/>
              </w:rPr>
              <w:t>提前交工的奖金：\</w:t>
            </w:r>
          </w:p>
        </w:tc>
      </w:tr>
      <w:tr w14:paraId="61814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77298AE1">
            <w:pPr>
              <w:widowControl/>
              <w:spacing w:line="440" w:lineRule="exact"/>
              <w:jc w:val="center"/>
              <w:rPr>
                <w:rFonts w:hint="eastAsia" w:ascii="宋体" w:hAnsi="宋体" w:cs="宋体"/>
                <w:kern w:val="0"/>
                <w:szCs w:val="21"/>
              </w:rPr>
            </w:pPr>
            <w:r>
              <w:rPr>
                <w:rFonts w:hint="eastAsia" w:ascii="宋体" w:hAnsi="宋体" w:cs="宋体"/>
                <w:kern w:val="0"/>
                <w:szCs w:val="21"/>
              </w:rPr>
              <w:t>10</w:t>
            </w:r>
          </w:p>
        </w:tc>
        <w:tc>
          <w:tcPr>
            <w:tcW w:w="1559" w:type="dxa"/>
            <w:noWrap w:val="0"/>
            <w:vAlign w:val="center"/>
          </w:tcPr>
          <w:p w14:paraId="3277C5EC">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11.6</w:t>
            </w:r>
          </w:p>
        </w:tc>
        <w:tc>
          <w:tcPr>
            <w:tcW w:w="6916" w:type="dxa"/>
            <w:noWrap w:val="0"/>
            <w:vAlign w:val="center"/>
          </w:tcPr>
          <w:p w14:paraId="1A7A6917">
            <w:pPr>
              <w:widowControl/>
              <w:spacing w:line="440" w:lineRule="exact"/>
              <w:jc w:val="left"/>
              <w:rPr>
                <w:rFonts w:hint="eastAsia" w:ascii="宋体" w:hAnsi="宋体" w:cs="宋体"/>
                <w:kern w:val="0"/>
                <w:szCs w:val="21"/>
              </w:rPr>
            </w:pPr>
            <w:r>
              <w:rPr>
                <w:rFonts w:hint="eastAsia" w:ascii="宋体" w:hAnsi="宋体" w:cs="宋体"/>
                <w:kern w:val="0"/>
                <w:szCs w:val="21"/>
              </w:rPr>
              <w:t>提前交工的奖金限额：\</w:t>
            </w:r>
          </w:p>
        </w:tc>
      </w:tr>
      <w:tr w14:paraId="2ABFD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15CA7D90">
            <w:pPr>
              <w:widowControl/>
              <w:spacing w:line="440" w:lineRule="exact"/>
              <w:jc w:val="center"/>
              <w:rPr>
                <w:rFonts w:hint="eastAsia" w:ascii="宋体" w:hAnsi="宋体" w:cs="宋体"/>
                <w:kern w:val="0"/>
                <w:szCs w:val="21"/>
              </w:rPr>
            </w:pPr>
            <w:r>
              <w:rPr>
                <w:rFonts w:hint="eastAsia" w:ascii="宋体" w:hAnsi="宋体" w:cs="宋体"/>
                <w:kern w:val="0"/>
                <w:szCs w:val="21"/>
              </w:rPr>
              <w:t>11</w:t>
            </w:r>
          </w:p>
        </w:tc>
        <w:tc>
          <w:tcPr>
            <w:tcW w:w="1559" w:type="dxa"/>
            <w:noWrap w:val="0"/>
            <w:vAlign w:val="center"/>
          </w:tcPr>
          <w:p w14:paraId="1366FFEF">
            <w:pPr>
              <w:widowControl/>
              <w:spacing w:line="440" w:lineRule="exact"/>
              <w:jc w:val="center"/>
              <w:rPr>
                <w:rFonts w:hint="eastAsia" w:ascii="宋体" w:hAnsi="宋体" w:cs="宋体"/>
                <w:kern w:val="0"/>
                <w:szCs w:val="21"/>
              </w:rPr>
            </w:pPr>
            <w:r>
              <w:rPr>
                <w:rFonts w:hint="eastAsia" w:ascii="宋体" w:hAnsi="宋体" w:cs="宋体"/>
                <w:kern w:val="0"/>
                <w:szCs w:val="21"/>
              </w:rPr>
              <w:t>15.2.2</w:t>
            </w:r>
          </w:p>
        </w:tc>
        <w:tc>
          <w:tcPr>
            <w:tcW w:w="6916" w:type="dxa"/>
            <w:noWrap w:val="0"/>
            <w:vAlign w:val="center"/>
          </w:tcPr>
          <w:p w14:paraId="06650718">
            <w:pPr>
              <w:widowControl/>
              <w:spacing w:line="440" w:lineRule="exact"/>
              <w:jc w:val="left"/>
              <w:rPr>
                <w:rFonts w:hint="eastAsia" w:ascii="宋体" w:hAnsi="宋体" w:cs="宋体"/>
                <w:kern w:val="0"/>
                <w:szCs w:val="21"/>
              </w:rPr>
            </w:pPr>
            <w:r>
              <w:rPr>
                <w:rFonts w:hint="eastAsia" w:ascii="宋体" w:hAnsi="宋体" w:cs="宋体"/>
                <w:kern w:val="0"/>
                <w:szCs w:val="21"/>
              </w:rPr>
              <w:t>按招标人制定的管理办法执行</w:t>
            </w:r>
          </w:p>
        </w:tc>
      </w:tr>
      <w:tr w14:paraId="20926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7E2A1FAC">
            <w:pPr>
              <w:widowControl/>
              <w:spacing w:line="440" w:lineRule="exact"/>
              <w:jc w:val="center"/>
              <w:rPr>
                <w:rFonts w:hint="eastAsia" w:ascii="宋体" w:hAnsi="宋体" w:cs="宋体"/>
                <w:kern w:val="0"/>
                <w:szCs w:val="21"/>
              </w:rPr>
            </w:pPr>
            <w:r>
              <w:rPr>
                <w:rFonts w:hint="eastAsia" w:ascii="宋体" w:hAnsi="宋体" w:cs="宋体"/>
                <w:kern w:val="0"/>
                <w:szCs w:val="21"/>
              </w:rPr>
              <w:t>12</w:t>
            </w:r>
          </w:p>
        </w:tc>
        <w:tc>
          <w:tcPr>
            <w:tcW w:w="1559" w:type="dxa"/>
            <w:noWrap w:val="0"/>
            <w:vAlign w:val="center"/>
          </w:tcPr>
          <w:p w14:paraId="3621BF9F">
            <w:pPr>
              <w:widowControl/>
              <w:spacing w:line="440" w:lineRule="exact"/>
              <w:jc w:val="center"/>
              <w:rPr>
                <w:rFonts w:hint="eastAsia" w:ascii="宋体" w:hAnsi="宋体" w:cs="宋体"/>
                <w:kern w:val="0"/>
                <w:szCs w:val="21"/>
              </w:rPr>
            </w:pPr>
            <w:r>
              <w:rPr>
                <w:rFonts w:hint="eastAsia" w:ascii="宋体" w:hAnsi="宋体" w:cs="宋体"/>
                <w:kern w:val="0"/>
                <w:szCs w:val="21"/>
              </w:rPr>
              <w:t>16.1</w:t>
            </w:r>
          </w:p>
        </w:tc>
        <w:tc>
          <w:tcPr>
            <w:tcW w:w="6916" w:type="dxa"/>
            <w:noWrap w:val="0"/>
            <w:vAlign w:val="center"/>
          </w:tcPr>
          <w:p w14:paraId="2E222388">
            <w:pPr>
              <w:widowControl/>
              <w:spacing w:line="440" w:lineRule="exact"/>
              <w:jc w:val="left"/>
              <w:rPr>
                <w:rFonts w:hint="eastAsia" w:ascii="宋体" w:hAnsi="宋体" w:cs="宋体"/>
                <w:kern w:val="0"/>
                <w:szCs w:val="21"/>
              </w:rPr>
            </w:pPr>
            <w:r>
              <w:rPr>
                <w:rFonts w:hint="eastAsia" w:ascii="宋体" w:hAnsi="宋体" w:cs="宋体"/>
                <w:szCs w:val="21"/>
              </w:rPr>
              <w:t>因物价波动引起的价格调整合同期内不调价</w:t>
            </w:r>
          </w:p>
        </w:tc>
      </w:tr>
      <w:tr w14:paraId="3C1D3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066756B4">
            <w:pPr>
              <w:widowControl/>
              <w:spacing w:line="440" w:lineRule="exact"/>
              <w:jc w:val="center"/>
              <w:rPr>
                <w:rFonts w:hint="eastAsia" w:ascii="宋体" w:hAnsi="宋体" w:cs="宋体"/>
                <w:kern w:val="0"/>
                <w:szCs w:val="21"/>
              </w:rPr>
            </w:pPr>
            <w:r>
              <w:rPr>
                <w:rFonts w:hint="eastAsia" w:ascii="宋体" w:hAnsi="宋体" w:cs="宋体"/>
                <w:kern w:val="0"/>
                <w:szCs w:val="21"/>
              </w:rPr>
              <w:t>13</w:t>
            </w:r>
          </w:p>
        </w:tc>
        <w:tc>
          <w:tcPr>
            <w:tcW w:w="1559" w:type="dxa"/>
            <w:noWrap w:val="0"/>
            <w:vAlign w:val="center"/>
          </w:tcPr>
          <w:p w14:paraId="72446CB0">
            <w:pPr>
              <w:widowControl/>
              <w:spacing w:line="440" w:lineRule="exact"/>
              <w:jc w:val="center"/>
              <w:rPr>
                <w:rFonts w:hint="eastAsia" w:ascii="宋体" w:hAnsi="宋体" w:cs="宋体"/>
                <w:kern w:val="0"/>
                <w:szCs w:val="21"/>
              </w:rPr>
            </w:pPr>
            <w:r>
              <w:rPr>
                <w:rFonts w:hint="eastAsia" w:ascii="宋体" w:hAnsi="宋体" w:cs="宋体"/>
                <w:kern w:val="0"/>
                <w:szCs w:val="21"/>
              </w:rPr>
              <w:t>17.2.1</w:t>
            </w:r>
          </w:p>
        </w:tc>
        <w:tc>
          <w:tcPr>
            <w:tcW w:w="6916" w:type="dxa"/>
            <w:noWrap w:val="0"/>
            <w:vAlign w:val="center"/>
          </w:tcPr>
          <w:p w14:paraId="43F57A3B">
            <w:pPr>
              <w:widowControl/>
              <w:spacing w:line="440" w:lineRule="exact"/>
              <w:jc w:val="left"/>
              <w:rPr>
                <w:rFonts w:hint="eastAsia" w:ascii="宋体" w:hAnsi="宋体" w:cs="宋体"/>
                <w:kern w:val="0"/>
                <w:szCs w:val="21"/>
              </w:rPr>
            </w:pPr>
            <w:r>
              <w:rPr>
                <w:rFonts w:hint="eastAsia" w:ascii="宋体" w:hAnsi="宋体" w:cs="宋体"/>
                <w:kern w:val="0"/>
                <w:szCs w:val="21"/>
              </w:rPr>
              <w:t>开工预付款金额：\</w:t>
            </w:r>
          </w:p>
        </w:tc>
      </w:tr>
      <w:tr w14:paraId="36668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1C1D1901">
            <w:pPr>
              <w:widowControl/>
              <w:spacing w:line="440" w:lineRule="exact"/>
              <w:jc w:val="center"/>
              <w:rPr>
                <w:rFonts w:hint="eastAsia" w:ascii="宋体" w:hAnsi="宋体" w:cs="宋体"/>
                <w:kern w:val="0"/>
                <w:szCs w:val="21"/>
              </w:rPr>
            </w:pPr>
            <w:r>
              <w:rPr>
                <w:rFonts w:hint="eastAsia" w:ascii="宋体" w:hAnsi="宋体" w:cs="宋体"/>
                <w:kern w:val="0"/>
                <w:szCs w:val="21"/>
              </w:rPr>
              <w:t>14</w:t>
            </w:r>
          </w:p>
        </w:tc>
        <w:tc>
          <w:tcPr>
            <w:tcW w:w="1559" w:type="dxa"/>
            <w:noWrap w:val="0"/>
            <w:vAlign w:val="center"/>
          </w:tcPr>
          <w:p w14:paraId="5FD301C3">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17.2.1</w:t>
            </w:r>
          </w:p>
        </w:tc>
        <w:tc>
          <w:tcPr>
            <w:tcW w:w="6916" w:type="dxa"/>
            <w:noWrap w:val="0"/>
            <w:vAlign w:val="center"/>
          </w:tcPr>
          <w:p w14:paraId="6103E6EA">
            <w:pPr>
              <w:widowControl/>
              <w:spacing w:line="440" w:lineRule="exact"/>
              <w:jc w:val="left"/>
              <w:rPr>
                <w:rFonts w:hint="eastAsia" w:ascii="宋体" w:hAnsi="宋体" w:cs="宋体"/>
                <w:kern w:val="0"/>
                <w:szCs w:val="21"/>
              </w:rPr>
            </w:pPr>
            <w:r>
              <w:rPr>
                <w:rFonts w:hint="eastAsia" w:ascii="宋体" w:hAnsi="宋体" w:cs="宋体"/>
                <w:kern w:val="0"/>
                <w:szCs w:val="21"/>
              </w:rPr>
              <w:t>材料、设备预付款比例：\</w:t>
            </w:r>
          </w:p>
        </w:tc>
      </w:tr>
      <w:tr w14:paraId="22B8A9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70787369">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1</w:t>
            </w:r>
            <w:r>
              <w:rPr>
                <w:rFonts w:hint="eastAsia" w:ascii="宋体" w:hAnsi="宋体" w:cs="宋体"/>
                <w:kern w:val="0"/>
                <w:szCs w:val="21"/>
              </w:rPr>
              <w:t>5</w:t>
            </w:r>
          </w:p>
        </w:tc>
        <w:tc>
          <w:tcPr>
            <w:tcW w:w="1559" w:type="dxa"/>
            <w:noWrap w:val="0"/>
            <w:vAlign w:val="center"/>
          </w:tcPr>
          <w:p w14:paraId="6F8BC589">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17.3.2</w:t>
            </w:r>
          </w:p>
        </w:tc>
        <w:tc>
          <w:tcPr>
            <w:tcW w:w="6916" w:type="dxa"/>
            <w:noWrap w:val="0"/>
            <w:vAlign w:val="center"/>
          </w:tcPr>
          <w:p w14:paraId="49753563">
            <w:pPr>
              <w:widowControl/>
              <w:spacing w:line="440" w:lineRule="exact"/>
              <w:jc w:val="left"/>
              <w:rPr>
                <w:rFonts w:hint="eastAsia" w:ascii="宋体" w:hAnsi="宋体" w:cs="宋体"/>
                <w:kern w:val="0"/>
                <w:szCs w:val="21"/>
              </w:rPr>
            </w:pPr>
            <w:r>
              <w:rPr>
                <w:rFonts w:hint="eastAsia" w:ascii="宋体" w:hAnsi="宋体" w:cs="宋体"/>
                <w:kern w:val="0"/>
                <w:szCs w:val="21"/>
              </w:rPr>
              <w:t>承包人在每个付款周期末向监理人提交进度付款申请单的份数：</w:t>
            </w:r>
            <w:r>
              <w:rPr>
                <w:rFonts w:hint="eastAsia" w:ascii="宋体" w:hAnsi="宋体" w:cs="宋体"/>
                <w:kern w:val="0"/>
                <w:szCs w:val="21"/>
                <w:u w:val="single"/>
              </w:rPr>
              <w:t>5</w:t>
            </w:r>
            <w:r>
              <w:rPr>
                <w:rFonts w:hint="eastAsia" w:ascii="宋体" w:hAnsi="宋体" w:cs="宋体"/>
                <w:kern w:val="0"/>
                <w:szCs w:val="21"/>
              </w:rPr>
              <w:t>份</w:t>
            </w:r>
          </w:p>
        </w:tc>
      </w:tr>
      <w:tr w14:paraId="518AE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18566E50">
            <w:pPr>
              <w:widowControl/>
              <w:spacing w:line="440" w:lineRule="exact"/>
              <w:jc w:val="center"/>
              <w:rPr>
                <w:rFonts w:hint="eastAsia" w:ascii="宋体" w:hAnsi="宋体" w:cs="宋体"/>
                <w:kern w:val="0"/>
                <w:szCs w:val="21"/>
              </w:rPr>
            </w:pPr>
            <w:r>
              <w:rPr>
                <w:rFonts w:hint="eastAsia" w:ascii="宋体" w:hAnsi="宋体" w:cs="宋体"/>
                <w:kern w:val="0"/>
                <w:szCs w:val="21"/>
              </w:rPr>
              <w:t>16</w:t>
            </w:r>
          </w:p>
        </w:tc>
        <w:tc>
          <w:tcPr>
            <w:tcW w:w="1559" w:type="dxa"/>
            <w:noWrap w:val="0"/>
            <w:vAlign w:val="center"/>
          </w:tcPr>
          <w:p w14:paraId="5296C3A0">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17.3.3（1）</w:t>
            </w:r>
          </w:p>
        </w:tc>
        <w:tc>
          <w:tcPr>
            <w:tcW w:w="6916" w:type="dxa"/>
            <w:noWrap w:val="0"/>
            <w:vAlign w:val="center"/>
          </w:tcPr>
          <w:p w14:paraId="4C161CE1">
            <w:pPr>
              <w:widowControl/>
              <w:spacing w:line="440" w:lineRule="exact"/>
              <w:jc w:val="left"/>
              <w:rPr>
                <w:rFonts w:hint="eastAsia" w:ascii="宋体" w:hAnsi="宋体" w:cs="宋体"/>
                <w:kern w:val="0"/>
                <w:szCs w:val="21"/>
              </w:rPr>
            </w:pPr>
            <w:r>
              <w:rPr>
                <w:rFonts w:hint="eastAsia" w:ascii="宋体" w:hAnsi="宋体" w:cs="宋体"/>
                <w:szCs w:val="21"/>
              </w:rPr>
              <w:t>签约合同价的</w:t>
            </w:r>
            <w:r>
              <w:rPr>
                <w:rFonts w:hint="eastAsia" w:ascii="宋体" w:hAnsi="宋体" w:cs="宋体"/>
                <w:szCs w:val="21"/>
                <w:u w:val="single"/>
              </w:rPr>
              <w:t>0.2%</w:t>
            </w:r>
          </w:p>
        </w:tc>
      </w:tr>
      <w:tr w14:paraId="1553E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57ABB2EA">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1</w:t>
            </w:r>
            <w:r>
              <w:rPr>
                <w:rFonts w:hint="eastAsia" w:ascii="宋体" w:hAnsi="宋体" w:cs="宋体"/>
                <w:kern w:val="0"/>
                <w:szCs w:val="21"/>
              </w:rPr>
              <w:t>7</w:t>
            </w:r>
          </w:p>
        </w:tc>
        <w:tc>
          <w:tcPr>
            <w:tcW w:w="1559" w:type="dxa"/>
            <w:noWrap w:val="0"/>
            <w:vAlign w:val="center"/>
          </w:tcPr>
          <w:p w14:paraId="6977955C">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17.3.3（2）</w:t>
            </w:r>
          </w:p>
        </w:tc>
        <w:tc>
          <w:tcPr>
            <w:tcW w:w="6916" w:type="dxa"/>
            <w:noWrap w:val="0"/>
            <w:vAlign w:val="center"/>
          </w:tcPr>
          <w:p w14:paraId="545A2351">
            <w:pPr>
              <w:widowControl/>
              <w:spacing w:line="440" w:lineRule="exact"/>
              <w:jc w:val="left"/>
              <w:rPr>
                <w:rFonts w:hint="eastAsia" w:ascii="宋体" w:hAnsi="宋体" w:cs="宋体"/>
                <w:kern w:val="0"/>
                <w:szCs w:val="21"/>
              </w:rPr>
            </w:pPr>
            <w:r>
              <w:rPr>
                <w:rFonts w:hint="eastAsia" w:ascii="宋体" w:hAnsi="宋体" w:cs="宋体"/>
                <w:kern w:val="0"/>
                <w:szCs w:val="21"/>
              </w:rPr>
              <w:t>逾期付款违约金的利率：\</w:t>
            </w:r>
          </w:p>
        </w:tc>
      </w:tr>
      <w:tr w14:paraId="0B230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5DA47256">
            <w:pPr>
              <w:widowControl/>
              <w:spacing w:line="440" w:lineRule="exact"/>
              <w:jc w:val="center"/>
              <w:rPr>
                <w:rFonts w:hint="eastAsia" w:ascii="宋体" w:hAnsi="宋体" w:cs="宋体"/>
                <w:kern w:val="0"/>
                <w:szCs w:val="21"/>
              </w:rPr>
            </w:pPr>
            <w:r>
              <w:rPr>
                <w:rFonts w:hint="eastAsia" w:ascii="宋体" w:hAnsi="宋体" w:cs="宋体"/>
                <w:kern w:val="0"/>
                <w:szCs w:val="21"/>
              </w:rPr>
              <w:t>18</w:t>
            </w:r>
          </w:p>
        </w:tc>
        <w:tc>
          <w:tcPr>
            <w:tcW w:w="1559" w:type="dxa"/>
            <w:noWrap w:val="0"/>
            <w:vAlign w:val="center"/>
          </w:tcPr>
          <w:p w14:paraId="3BC92B65">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17.4.1</w:t>
            </w:r>
          </w:p>
        </w:tc>
        <w:tc>
          <w:tcPr>
            <w:tcW w:w="6916" w:type="dxa"/>
            <w:noWrap w:val="0"/>
            <w:vAlign w:val="center"/>
          </w:tcPr>
          <w:p w14:paraId="47038424">
            <w:pPr>
              <w:widowControl/>
              <w:spacing w:line="440" w:lineRule="exact"/>
              <w:jc w:val="left"/>
              <w:rPr>
                <w:rFonts w:hint="eastAsia" w:ascii="宋体" w:hAnsi="宋体" w:cs="宋体"/>
                <w:kern w:val="0"/>
                <w:szCs w:val="21"/>
              </w:rPr>
            </w:pPr>
            <w:r>
              <w:rPr>
                <w:rFonts w:hint="eastAsia" w:ascii="宋体" w:hAnsi="宋体" w:cs="宋体"/>
                <w:kern w:val="0"/>
                <w:szCs w:val="21"/>
              </w:rPr>
              <w:t>质量保证金百分比：月支付额的</w:t>
            </w:r>
            <w:r>
              <w:rPr>
                <w:rFonts w:hint="eastAsia" w:ascii="宋体" w:hAnsi="宋体" w:cs="宋体"/>
                <w:kern w:val="0"/>
                <w:szCs w:val="21"/>
                <w:u w:val="single"/>
              </w:rPr>
              <w:t xml:space="preserve">10 </w:t>
            </w:r>
            <w:r>
              <w:rPr>
                <w:rFonts w:hint="eastAsia" w:ascii="宋体" w:hAnsi="宋体" w:cs="宋体"/>
                <w:kern w:val="0"/>
                <w:szCs w:val="21"/>
              </w:rPr>
              <w:t>%</w:t>
            </w:r>
          </w:p>
        </w:tc>
      </w:tr>
      <w:tr w14:paraId="35946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4A3CC1D8">
            <w:pPr>
              <w:widowControl/>
              <w:spacing w:line="440" w:lineRule="exact"/>
              <w:jc w:val="center"/>
              <w:rPr>
                <w:rFonts w:hint="eastAsia" w:ascii="宋体" w:hAnsi="宋体" w:cs="宋体"/>
                <w:kern w:val="0"/>
                <w:szCs w:val="21"/>
              </w:rPr>
            </w:pPr>
            <w:r>
              <w:rPr>
                <w:rFonts w:hint="eastAsia" w:ascii="宋体" w:hAnsi="宋体" w:cs="宋体"/>
                <w:kern w:val="0"/>
                <w:szCs w:val="21"/>
              </w:rPr>
              <w:t>19</w:t>
            </w:r>
          </w:p>
        </w:tc>
        <w:tc>
          <w:tcPr>
            <w:tcW w:w="1559" w:type="dxa"/>
            <w:noWrap w:val="0"/>
            <w:vAlign w:val="center"/>
          </w:tcPr>
          <w:p w14:paraId="3B368A48">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17.4.1</w:t>
            </w:r>
          </w:p>
        </w:tc>
        <w:tc>
          <w:tcPr>
            <w:tcW w:w="6916" w:type="dxa"/>
            <w:noWrap w:val="0"/>
            <w:vAlign w:val="center"/>
          </w:tcPr>
          <w:p w14:paraId="1C20C074">
            <w:pPr>
              <w:widowControl/>
              <w:spacing w:line="440" w:lineRule="exact"/>
              <w:jc w:val="left"/>
              <w:rPr>
                <w:rFonts w:hint="eastAsia" w:ascii="宋体" w:hAnsi="宋体" w:cs="宋体"/>
                <w:kern w:val="0"/>
                <w:szCs w:val="21"/>
              </w:rPr>
            </w:pPr>
            <w:r>
              <w:rPr>
                <w:rFonts w:hint="eastAsia" w:ascii="宋体" w:hAnsi="宋体" w:cs="宋体"/>
                <w:kern w:val="0"/>
                <w:szCs w:val="21"/>
              </w:rPr>
              <w:t>质量保证金限额：</w:t>
            </w:r>
            <w:r>
              <w:rPr>
                <w:rFonts w:hint="eastAsia" w:ascii="宋体" w:hAnsi="宋体" w:cs="宋体"/>
                <w:szCs w:val="21"/>
              </w:rPr>
              <w:t>合同价格的3%。</w:t>
            </w:r>
          </w:p>
        </w:tc>
      </w:tr>
      <w:tr w14:paraId="367FD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3DA2B8F0">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2</w:t>
            </w:r>
            <w:r>
              <w:rPr>
                <w:rFonts w:hint="eastAsia" w:ascii="宋体" w:hAnsi="宋体" w:cs="宋体"/>
                <w:kern w:val="0"/>
                <w:szCs w:val="21"/>
              </w:rPr>
              <w:t>0</w:t>
            </w:r>
          </w:p>
        </w:tc>
        <w:tc>
          <w:tcPr>
            <w:tcW w:w="1559" w:type="dxa"/>
            <w:noWrap w:val="0"/>
            <w:vAlign w:val="center"/>
          </w:tcPr>
          <w:p w14:paraId="72E1966B">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17.5.1</w:t>
            </w:r>
          </w:p>
        </w:tc>
        <w:tc>
          <w:tcPr>
            <w:tcW w:w="6916" w:type="dxa"/>
            <w:noWrap w:val="0"/>
            <w:vAlign w:val="center"/>
          </w:tcPr>
          <w:p w14:paraId="5C277AE1">
            <w:pPr>
              <w:widowControl/>
              <w:spacing w:line="440" w:lineRule="exact"/>
              <w:jc w:val="left"/>
              <w:rPr>
                <w:rFonts w:hint="eastAsia" w:ascii="宋体" w:hAnsi="宋体" w:cs="宋体"/>
                <w:kern w:val="0"/>
                <w:szCs w:val="21"/>
              </w:rPr>
            </w:pPr>
            <w:r>
              <w:rPr>
                <w:rFonts w:hint="eastAsia" w:ascii="宋体" w:hAnsi="宋体" w:cs="宋体"/>
                <w:kern w:val="0"/>
                <w:szCs w:val="21"/>
              </w:rPr>
              <w:t>承包人向监理人提交交工付款申请单（包括相关证明材料）的份数：</w:t>
            </w:r>
            <w:r>
              <w:rPr>
                <w:rFonts w:hint="eastAsia" w:ascii="宋体" w:hAnsi="宋体" w:cs="宋体"/>
                <w:kern w:val="0"/>
                <w:szCs w:val="21"/>
                <w:u w:val="single"/>
              </w:rPr>
              <w:t>5</w:t>
            </w:r>
            <w:r>
              <w:rPr>
                <w:rFonts w:hint="eastAsia" w:ascii="宋体" w:hAnsi="宋体" w:cs="宋体"/>
                <w:kern w:val="0"/>
                <w:szCs w:val="21"/>
              </w:rPr>
              <w:t>份</w:t>
            </w:r>
          </w:p>
        </w:tc>
      </w:tr>
      <w:tr w14:paraId="4A64F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0B449C08">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2</w:t>
            </w:r>
            <w:r>
              <w:rPr>
                <w:rFonts w:hint="eastAsia" w:ascii="宋体" w:hAnsi="宋体" w:cs="宋体"/>
                <w:kern w:val="0"/>
                <w:szCs w:val="21"/>
              </w:rPr>
              <w:t>1</w:t>
            </w:r>
          </w:p>
        </w:tc>
        <w:tc>
          <w:tcPr>
            <w:tcW w:w="1559" w:type="dxa"/>
            <w:noWrap w:val="0"/>
            <w:vAlign w:val="center"/>
          </w:tcPr>
          <w:p w14:paraId="1730AF98">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17.6.1</w:t>
            </w:r>
          </w:p>
        </w:tc>
        <w:tc>
          <w:tcPr>
            <w:tcW w:w="6916" w:type="dxa"/>
            <w:noWrap w:val="0"/>
            <w:vAlign w:val="center"/>
          </w:tcPr>
          <w:p w14:paraId="7BDE65A6">
            <w:pPr>
              <w:widowControl/>
              <w:spacing w:line="440" w:lineRule="exact"/>
              <w:jc w:val="left"/>
              <w:rPr>
                <w:rFonts w:hint="eastAsia" w:ascii="宋体" w:hAnsi="宋体" w:cs="宋体"/>
                <w:kern w:val="0"/>
                <w:szCs w:val="21"/>
              </w:rPr>
            </w:pPr>
            <w:r>
              <w:rPr>
                <w:rFonts w:hint="eastAsia" w:ascii="宋体" w:hAnsi="宋体" w:cs="宋体"/>
                <w:kern w:val="0"/>
                <w:szCs w:val="21"/>
              </w:rPr>
              <w:t>承包人向监理人提交最终结清申请单（包括相关证明材料）的份数：</w:t>
            </w:r>
            <w:r>
              <w:rPr>
                <w:rFonts w:hint="eastAsia" w:ascii="宋体" w:hAnsi="宋体" w:cs="宋体"/>
                <w:kern w:val="0"/>
                <w:szCs w:val="21"/>
                <w:u w:val="single"/>
              </w:rPr>
              <w:t>5</w:t>
            </w:r>
            <w:r>
              <w:rPr>
                <w:rFonts w:hint="eastAsia" w:ascii="宋体" w:hAnsi="宋体" w:cs="宋体"/>
                <w:kern w:val="0"/>
                <w:szCs w:val="21"/>
              </w:rPr>
              <w:t>份</w:t>
            </w:r>
          </w:p>
        </w:tc>
      </w:tr>
      <w:tr w14:paraId="51E32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053E52D3">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2</w:t>
            </w:r>
            <w:r>
              <w:rPr>
                <w:rFonts w:hint="eastAsia" w:ascii="宋体" w:hAnsi="宋体" w:cs="宋体"/>
                <w:kern w:val="0"/>
                <w:szCs w:val="21"/>
              </w:rPr>
              <w:t>2</w:t>
            </w:r>
          </w:p>
        </w:tc>
        <w:tc>
          <w:tcPr>
            <w:tcW w:w="1559" w:type="dxa"/>
            <w:noWrap w:val="0"/>
            <w:vAlign w:val="center"/>
          </w:tcPr>
          <w:p w14:paraId="7E17EC8D">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18.2</w:t>
            </w:r>
          </w:p>
        </w:tc>
        <w:tc>
          <w:tcPr>
            <w:tcW w:w="6916" w:type="dxa"/>
            <w:noWrap w:val="0"/>
            <w:vAlign w:val="center"/>
          </w:tcPr>
          <w:p w14:paraId="249732B7">
            <w:pPr>
              <w:widowControl/>
              <w:spacing w:line="440" w:lineRule="exact"/>
              <w:jc w:val="left"/>
              <w:rPr>
                <w:rFonts w:hint="eastAsia" w:ascii="宋体" w:hAnsi="宋体" w:cs="宋体"/>
                <w:kern w:val="0"/>
                <w:szCs w:val="21"/>
                <w:lang w:eastAsia="en-US"/>
              </w:rPr>
            </w:pPr>
            <w:r>
              <w:rPr>
                <w:rFonts w:hint="eastAsia" w:ascii="宋体" w:hAnsi="宋体" w:cs="宋体"/>
                <w:kern w:val="0"/>
                <w:szCs w:val="21"/>
                <w:lang w:eastAsia="en-US"/>
              </w:rPr>
              <w:t>竣工资料的份数：</w:t>
            </w:r>
            <w:r>
              <w:rPr>
                <w:rFonts w:hint="eastAsia" w:ascii="宋体" w:hAnsi="宋体" w:cs="宋体"/>
                <w:kern w:val="0"/>
                <w:szCs w:val="21"/>
                <w:u w:val="single"/>
              </w:rPr>
              <w:t>5</w:t>
            </w:r>
            <w:r>
              <w:rPr>
                <w:rFonts w:hint="eastAsia" w:ascii="宋体" w:hAnsi="宋体" w:cs="宋体"/>
                <w:kern w:val="0"/>
                <w:szCs w:val="21"/>
                <w:lang w:eastAsia="en-US"/>
              </w:rPr>
              <w:t>份</w:t>
            </w:r>
          </w:p>
        </w:tc>
      </w:tr>
      <w:tr w14:paraId="36D75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346BAD00">
            <w:pPr>
              <w:widowControl/>
              <w:spacing w:line="440" w:lineRule="exact"/>
              <w:jc w:val="center"/>
              <w:rPr>
                <w:rFonts w:hint="eastAsia" w:ascii="宋体" w:hAnsi="宋体" w:cs="宋体"/>
                <w:kern w:val="0"/>
                <w:szCs w:val="21"/>
              </w:rPr>
            </w:pPr>
            <w:r>
              <w:rPr>
                <w:rFonts w:hint="eastAsia" w:ascii="宋体" w:hAnsi="宋体" w:cs="宋体"/>
                <w:kern w:val="0"/>
                <w:szCs w:val="21"/>
                <w:lang w:eastAsia="en-US"/>
              </w:rPr>
              <w:t>2</w:t>
            </w:r>
            <w:r>
              <w:rPr>
                <w:rFonts w:hint="eastAsia" w:ascii="宋体" w:hAnsi="宋体" w:cs="宋体"/>
                <w:kern w:val="0"/>
                <w:szCs w:val="21"/>
              </w:rPr>
              <w:t>3</w:t>
            </w:r>
          </w:p>
        </w:tc>
        <w:tc>
          <w:tcPr>
            <w:tcW w:w="1559" w:type="dxa"/>
            <w:noWrap w:val="0"/>
            <w:vAlign w:val="center"/>
          </w:tcPr>
          <w:p w14:paraId="5D7C49BF">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19.7</w:t>
            </w:r>
          </w:p>
        </w:tc>
        <w:tc>
          <w:tcPr>
            <w:tcW w:w="6916" w:type="dxa"/>
            <w:noWrap w:val="0"/>
            <w:vAlign w:val="center"/>
          </w:tcPr>
          <w:p w14:paraId="04E0283D">
            <w:pPr>
              <w:widowControl/>
              <w:spacing w:line="440" w:lineRule="exact"/>
              <w:jc w:val="left"/>
              <w:rPr>
                <w:rFonts w:hint="eastAsia" w:ascii="宋体" w:hAnsi="宋体" w:cs="宋体"/>
                <w:kern w:val="0"/>
                <w:szCs w:val="21"/>
              </w:rPr>
            </w:pPr>
            <w:r>
              <w:rPr>
                <w:rFonts w:hint="eastAsia" w:ascii="宋体" w:hAnsi="宋体" w:cs="宋体"/>
                <w:kern w:val="0"/>
                <w:szCs w:val="21"/>
              </w:rPr>
              <w:t>保修期：自实际交工日期起计算</w:t>
            </w:r>
            <w:r>
              <w:rPr>
                <w:rFonts w:hint="eastAsia" w:ascii="宋体" w:hAnsi="宋体" w:cs="宋体"/>
                <w:kern w:val="0"/>
                <w:szCs w:val="21"/>
                <w:u w:val="single"/>
              </w:rPr>
              <w:t>1</w:t>
            </w:r>
            <w:r>
              <w:rPr>
                <w:rFonts w:hint="eastAsia" w:ascii="宋体" w:hAnsi="宋体" w:cs="宋体"/>
                <w:kern w:val="0"/>
                <w:szCs w:val="21"/>
              </w:rPr>
              <w:t>年</w:t>
            </w:r>
          </w:p>
        </w:tc>
      </w:tr>
      <w:tr w14:paraId="1AA87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noWrap w:val="0"/>
            <w:vAlign w:val="center"/>
          </w:tcPr>
          <w:p w14:paraId="22421824">
            <w:pPr>
              <w:widowControl/>
              <w:spacing w:line="440" w:lineRule="exact"/>
              <w:jc w:val="center"/>
              <w:rPr>
                <w:rFonts w:hint="eastAsia" w:ascii="宋体" w:hAnsi="宋体" w:cs="宋体"/>
                <w:kern w:val="0"/>
                <w:szCs w:val="21"/>
              </w:rPr>
            </w:pPr>
            <w:r>
              <w:rPr>
                <w:rFonts w:hint="eastAsia" w:ascii="宋体" w:hAnsi="宋体" w:cs="宋体"/>
                <w:kern w:val="0"/>
                <w:szCs w:val="21"/>
              </w:rPr>
              <w:t>24</w:t>
            </w:r>
          </w:p>
        </w:tc>
        <w:tc>
          <w:tcPr>
            <w:tcW w:w="1559" w:type="dxa"/>
            <w:noWrap w:val="0"/>
            <w:vAlign w:val="center"/>
          </w:tcPr>
          <w:p w14:paraId="012223FC">
            <w:pPr>
              <w:widowControl/>
              <w:spacing w:line="440" w:lineRule="exact"/>
              <w:jc w:val="center"/>
              <w:rPr>
                <w:rFonts w:hint="eastAsia" w:ascii="宋体" w:hAnsi="宋体" w:cs="宋体"/>
                <w:kern w:val="0"/>
                <w:szCs w:val="21"/>
                <w:lang w:eastAsia="en-US"/>
              </w:rPr>
            </w:pPr>
            <w:r>
              <w:rPr>
                <w:rFonts w:hint="eastAsia" w:ascii="宋体" w:hAnsi="宋体" w:cs="宋体"/>
                <w:kern w:val="0"/>
                <w:szCs w:val="21"/>
                <w:lang w:eastAsia="en-US"/>
              </w:rPr>
              <w:t>24.1</w:t>
            </w:r>
          </w:p>
        </w:tc>
        <w:tc>
          <w:tcPr>
            <w:tcW w:w="6916" w:type="dxa"/>
            <w:noWrap w:val="0"/>
            <w:vAlign w:val="center"/>
          </w:tcPr>
          <w:p w14:paraId="4ADFE512">
            <w:pPr>
              <w:widowControl/>
              <w:spacing w:line="440" w:lineRule="exact"/>
              <w:jc w:val="left"/>
              <w:rPr>
                <w:rFonts w:hint="eastAsia" w:ascii="宋体" w:hAnsi="宋体" w:cs="宋体"/>
                <w:kern w:val="0"/>
                <w:szCs w:val="21"/>
                <w:u w:val="single"/>
              </w:rPr>
            </w:pPr>
            <w:r>
              <w:rPr>
                <w:rFonts w:hint="eastAsia" w:ascii="宋体" w:hAnsi="宋体" w:cs="宋体"/>
                <w:kern w:val="0"/>
                <w:szCs w:val="21"/>
              </w:rPr>
              <w:t>争议的最终解决方式：</w:t>
            </w:r>
            <w:r>
              <w:rPr>
                <w:rFonts w:hint="eastAsia" w:ascii="宋体" w:hAnsi="宋体" w:cs="宋体"/>
                <w:kern w:val="0"/>
                <w:szCs w:val="21"/>
                <w:u w:val="single"/>
              </w:rPr>
              <w:t>仲裁或诉讼</w:t>
            </w:r>
          </w:p>
          <w:p w14:paraId="17543229">
            <w:pPr>
              <w:widowControl/>
              <w:spacing w:line="440" w:lineRule="exact"/>
              <w:jc w:val="left"/>
              <w:rPr>
                <w:rFonts w:hint="eastAsia" w:ascii="宋体" w:hAnsi="宋体" w:cs="宋体"/>
                <w:kern w:val="0"/>
                <w:szCs w:val="21"/>
              </w:rPr>
            </w:pPr>
            <w:r>
              <w:rPr>
                <w:rFonts w:hint="eastAsia" w:ascii="宋体" w:hAnsi="宋体" w:cs="宋体"/>
                <w:kern w:val="0"/>
                <w:szCs w:val="21"/>
              </w:rPr>
              <w:t>如采用仲裁，仲裁委员会名称：三门峡仲裁委员会。</w:t>
            </w:r>
          </w:p>
        </w:tc>
      </w:tr>
    </w:tbl>
    <w:p w14:paraId="16410657">
      <w:pPr>
        <w:widowControl/>
        <w:spacing w:line="440" w:lineRule="exact"/>
        <w:ind w:firstLine="480" w:firstLineChars="200"/>
        <w:jc w:val="left"/>
        <w:rPr>
          <w:kern w:val="0"/>
          <w:sz w:val="24"/>
        </w:rPr>
      </w:pPr>
    </w:p>
    <w:p w14:paraId="1B58D60F">
      <w:pPr>
        <w:widowControl/>
        <w:spacing w:line="440" w:lineRule="exact"/>
        <w:rPr>
          <w:rFonts w:hint="eastAsia" w:ascii="宋体" w:hAnsi="宋体" w:cs="宋体"/>
          <w:b/>
          <w:bCs/>
          <w:kern w:val="44"/>
          <w:sz w:val="24"/>
          <w:szCs w:val="24"/>
        </w:rPr>
      </w:pPr>
      <w:r>
        <w:rPr>
          <w:rFonts w:ascii="宋体"/>
          <w:kern w:val="0"/>
          <w:sz w:val="24"/>
        </w:rPr>
        <w:br w:type="page"/>
      </w:r>
      <w:r>
        <w:rPr>
          <w:rFonts w:hint="eastAsia" w:ascii="宋体" w:hAnsi="宋体" w:cs="宋体"/>
          <w:b/>
          <w:bCs/>
          <w:kern w:val="44"/>
          <w:sz w:val="24"/>
          <w:szCs w:val="24"/>
        </w:rPr>
        <w:t>项目专用合同条款</w:t>
      </w:r>
    </w:p>
    <w:p w14:paraId="796DE3A8">
      <w:pPr>
        <w:widowControl/>
        <w:spacing w:line="440" w:lineRule="exact"/>
        <w:jc w:val="left"/>
        <w:rPr>
          <w:rFonts w:ascii="宋体"/>
          <w:kern w:val="0"/>
          <w:sz w:val="24"/>
          <w:szCs w:val="24"/>
        </w:rPr>
      </w:pPr>
      <w:r>
        <w:rPr>
          <w:rFonts w:hint="eastAsia" w:ascii="宋体" w:hAnsi="宋体" w:cs="宋体"/>
          <w:kern w:val="0"/>
          <w:sz w:val="24"/>
          <w:szCs w:val="24"/>
        </w:rPr>
        <w:t>说明：本部分所列的项目专用合同条款是对“公路工程专用合同条款”中规定必须在项目专用合同条款中明确的内容的集中，招标人编制的“项目专用合同条款”不限于本部分所列内容。</w:t>
      </w:r>
    </w:p>
    <w:p w14:paraId="34A51F13">
      <w:pPr>
        <w:widowControl/>
        <w:spacing w:line="440" w:lineRule="exact"/>
        <w:rPr>
          <w:rFonts w:hint="eastAsia" w:ascii="宋体" w:hAnsi="宋体" w:cs="宋体"/>
          <w:b/>
          <w:bCs/>
          <w:kern w:val="44"/>
          <w:sz w:val="24"/>
          <w:szCs w:val="24"/>
        </w:rPr>
      </w:pPr>
      <w:bookmarkStart w:id="1628" w:name="_Toc479265642"/>
      <w:bookmarkStart w:id="1629" w:name="_Toc512689755"/>
      <w:bookmarkStart w:id="1630" w:name="_Toc488083622"/>
      <w:bookmarkStart w:id="1631" w:name="_Toc479237813"/>
      <w:bookmarkStart w:id="1632" w:name="_Toc513212908"/>
      <w:bookmarkStart w:id="1633" w:name="_Toc513132388"/>
      <w:bookmarkStart w:id="1634" w:name="_Toc480282388"/>
      <w:bookmarkStart w:id="1635" w:name="_Toc234382937"/>
      <w:r>
        <w:rPr>
          <w:rFonts w:hint="eastAsia" w:ascii="宋体" w:hAnsi="宋体" w:cs="宋体"/>
          <w:b/>
          <w:bCs/>
          <w:kern w:val="44"/>
          <w:sz w:val="24"/>
          <w:szCs w:val="24"/>
        </w:rPr>
        <w:t>4.1承包人的一般义务</w:t>
      </w:r>
      <w:bookmarkEnd w:id="1628"/>
      <w:bookmarkEnd w:id="1629"/>
      <w:bookmarkEnd w:id="1630"/>
      <w:bookmarkEnd w:id="1631"/>
      <w:bookmarkEnd w:id="1632"/>
      <w:bookmarkEnd w:id="1633"/>
      <w:bookmarkEnd w:id="1634"/>
      <w:bookmarkEnd w:id="1635"/>
    </w:p>
    <w:p w14:paraId="48A53842">
      <w:pPr>
        <w:widowControl/>
        <w:tabs>
          <w:tab w:val="left" w:pos="3193"/>
        </w:tabs>
        <w:spacing w:line="440" w:lineRule="exact"/>
        <w:jc w:val="left"/>
        <w:rPr>
          <w:rFonts w:ascii="宋体"/>
          <w:kern w:val="0"/>
          <w:sz w:val="24"/>
          <w:szCs w:val="24"/>
        </w:rPr>
      </w:pPr>
      <w:r>
        <w:rPr>
          <w:rFonts w:ascii="宋体" w:hAnsi="宋体" w:cs="宋体"/>
          <w:kern w:val="0"/>
          <w:sz w:val="24"/>
          <w:szCs w:val="24"/>
        </w:rPr>
        <w:t xml:space="preserve">4.1.10 </w:t>
      </w:r>
      <w:r>
        <w:rPr>
          <w:rFonts w:hint="eastAsia" w:ascii="宋体" w:hAnsi="宋体" w:cs="宋体"/>
          <w:kern w:val="0"/>
          <w:sz w:val="24"/>
          <w:szCs w:val="24"/>
        </w:rPr>
        <w:t>其他义务</w:t>
      </w:r>
    </w:p>
    <w:p w14:paraId="09F24644">
      <w:pPr>
        <w:widowControl/>
        <w:tabs>
          <w:tab w:val="left" w:pos="3193"/>
        </w:tabs>
        <w:spacing w:line="440" w:lineRule="exact"/>
        <w:jc w:val="left"/>
        <w:rPr>
          <w:rFonts w:ascii="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）承包人应履行的其他义务：</w:t>
      </w:r>
      <w:r>
        <w:rPr>
          <w:rFonts w:ascii="宋体" w:hAnsi="宋体" w:cs="宋体"/>
          <w:kern w:val="0"/>
          <w:sz w:val="24"/>
          <w:szCs w:val="24"/>
          <w:u w:val="single"/>
        </w:rPr>
        <w:t xml:space="preserve">                  </w:t>
      </w:r>
    </w:p>
    <w:p w14:paraId="7968B021">
      <w:pPr>
        <w:widowControl/>
        <w:spacing w:line="440" w:lineRule="exact"/>
        <w:rPr>
          <w:rFonts w:hint="eastAsia" w:ascii="宋体" w:hAnsi="宋体" w:cs="宋体"/>
          <w:b/>
          <w:bCs/>
          <w:kern w:val="44"/>
          <w:sz w:val="24"/>
          <w:szCs w:val="24"/>
        </w:rPr>
      </w:pPr>
      <w:bookmarkStart w:id="1636" w:name="_Toc488083623"/>
      <w:bookmarkStart w:id="1637" w:name="_Toc512689756"/>
      <w:bookmarkStart w:id="1638" w:name="_Toc480282389"/>
      <w:bookmarkStart w:id="1639" w:name="_Toc479265643"/>
      <w:bookmarkStart w:id="1640" w:name="_Toc479237814"/>
      <w:bookmarkStart w:id="1641" w:name="_Toc234382938"/>
      <w:bookmarkStart w:id="1642" w:name="_Toc513212909"/>
      <w:bookmarkStart w:id="1643" w:name="_Toc513132389"/>
      <w:r>
        <w:rPr>
          <w:rFonts w:hint="eastAsia" w:ascii="宋体" w:hAnsi="宋体" w:cs="宋体"/>
          <w:b/>
          <w:bCs/>
          <w:kern w:val="44"/>
          <w:sz w:val="24"/>
          <w:szCs w:val="24"/>
        </w:rPr>
        <w:t>4.11不利物质条件</w:t>
      </w:r>
      <w:bookmarkEnd w:id="1636"/>
      <w:bookmarkEnd w:id="1637"/>
      <w:bookmarkEnd w:id="1638"/>
      <w:bookmarkEnd w:id="1639"/>
      <w:bookmarkEnd w:id="1640"/>
      <w:bookmarkEnd w:id="1641"/>
      <w:bookmarkEnd w:id="1642"/>
      <w:bookmarkEnd w:id="1643"/>
    </w:p>
    <w:p w14:paraId="16448544">
      <w:pPr>
        <w:widowControl/>
        <w:tabs>
          <w:tab w:val="left" w:pos="3193"/>
        </w:tabs>
        <w:spacing w:line="440" w:lineRule="exact"/>
        <w:jc w:val="left"/>
        <w:rPr>
          <w:rFonts w:ascii="宋体"/>
          <w:kern w:val="0"/>
          <w:sz w:val="24"/>
          <w:szCs w:val="24"/>
        </w:rPr>
      </w:pPr>
      <w:r>
        <w:rPr>
          <w:rFonts w:ascii="宋体" w:hAnsi="宋体" w:cs="宋体"/>
          <w:kern w:val="0"/>
          <w:sz w:val="24"/>
          <w:szCs w:val="24"/>
        </w:rPr>
        <w:t>4.11.1</w:t>
      </w:r>
      <w:r>
        <w:rPr>
          <w:rFonts w:hint="eastAsia" w:ascii="宋体" w:hAnsi="宋体" w:cs="宋体"/>
          <w:kern w:val="0"/>
          <w:sz w:val="24"/>
          <w:szCs w:val="24"/>
        </w:rPr>
        <w:t>不利物质条件的范围：</w:t>
      </w:r>
      <w:r>
        <w:rPr>
          <w:rFonts w:ascii="宋体" w:hAnsi="宋体" w:cs="宋体"/>
          <w:kern w:val="0"/>
          <w:sz w:val="24"/>
          <w:szCs w:val="24"/>
          <w:u w:val="single"/>
        </w:rPr>
        <w:t xml:space="preserve">                     </w:t>
      </w:r>
    </w:p>
    <w:p w14:paraId="4DB0FF2D">
      <w:pPr>
        <w:widowControl/>
        <w:spacing w:line="440" w:lineRule="exact"/>
        <w:rPr>
          <w:rFonts w:hint="eastAsia" w:ascii="宋体" w:hAnsi="宋体" w:cs="宋体"/>
          <w:b/>
          <w:bCs/>
          <w:kern w:val="44"/>
          <w:sz w:val="24"/>
          <w:szCs w:val="24"/>
        </w:rPr>
      </w:pPr>
      <w:bookmarkStart w:id="1644" w:name="_Toc479237815"/>
      <w:bookmarkStart w:id="1645" w:name="_Toc513132390"/>
      <w:bookmarkStart w:id="1646" w:name="_Toc513212910"/>
      <w:bookmarkStart w:id="1647" w:name="_Toc480282390"/>
      <w:bookmarkStart w:id="1648" w:name="_Toc488083624"/>
      <w:bookmarkStart w:id="1649" w:name="_Toc479265644"/>
      <w:bookmarkStart w:id="1650" w:name="_Toc512689757"/>
      <w:bookmarkStart w:id="1651" w:name="_Toc234382939"/>
      <w:r>
        <w:rPr>
          <w:rFonts w:hint="eastAsia" w:ascii="宋体" w:hAnsi="宋体" w:cs="宋体"/>
          <w:b/>
          <w:bCs/>
          <w:kern w:val="44"/>
          <w:sz w:val="24"/>
          <w:szCs w:val="24"/>
        </w:rPr>
        <w:t>10.1 合同进度计划</w:t>
      </w:r>
      <w:bookmarkEnd w:id="1644"/>
      <w:bookmarkEnd w:id="1645"/>
      <w:bookmarkEnd w:id="1646"/>
      <w:bookmarkEnd w:id="1647"/>
      <w:bookmarkEnd w:id="1648"/>
      <w:bookmarkEnd w:id="1649"/>
      <w:bookmarkEnd w:id="1650"/>
      <w:bookmarkEnd w:id="1651"/>
    </w:p>
    <w:p w14:paraId="775FEBB2">
      <w:pPr>
        <w:widowControl/>
        <w:tabs>
          <w:tab w:val="left" w:pos="3193"/>
        </w:tabs>
        <w:spacing w:line="440" w:lineRule="exact"/>
        <w:jc w:val="left"/>
        <w:rPr>
          <w:rFonts w:ascii="宋体"/>
          <w:kern w:val="0"/>
          <w:sz w:val="24"/>
          <w:szCs w:val="24"/>
        </w:rPr>
      </w:pPr>
      <w:r>
        <w:rPr>
          <w:rFonts w:hint="eastAsia" w:ascii="宋体" w:hAnsi="宋体" w:cs="宋体"/>
          <w:kern w:val="0"/>
          <w:sz w:val="24"/>
          <w:szCs w:val="24"/>
        </w:rPr>
        <w:t>承包人编制施工方案的内容：</w:t>
      </w:r>
      <w:r>
        <w:rPr>
          <w:rFonts w:ascii="宋体" w:hAnsi="宋体" w:cs="宋体"/>
          <w:kern w:val="0"/>
          <w:sz w:val="24"/>
          <w:szCs w:val="24"/>
          <w:u w:val="single"/>
        </w:rPr>
        <w:t xml:space="preserve">                       </w:t>
      </w:r>
    </w:p>
    <w:p w14:paraId="2463B0D3">
      <w:pPr>
        <w:widowControl/>
        <w:spacing w:line="440" w:lineRule="exact"/>
        <w:rPr>
          <w:rFonts w:ascii="宋体" w:hAnsi="宋体" w:cs="宋体"/>
          <w:b/>
          <w:bCs/>
          <w:kern w:val="44"/>
          <w:sz w:val="24"/>
          <w:szCs w:val="24"/>
        </w:rPr>
      </w:pPr>
      <w:bookmarkStart w:id="1652" w:name="_Toc488083625"/>
      <w:bookmarkStart w:id="1653" w:name="_Toc479237816"/>
      <w:bookmarkStart w:id="1654" w:name="_Toc513212911"/>
      <w:bookmarkStart w:id="1655" w:name="_Toc234382940"/>
      <w:bookmarkStart w:id="1656" w:name="_Toc512689758"/>
      <w:bookmarkStart w:id="1657" w:name="_Toc480282391"/>
      <w:bookmarkStart w:id="1658" w:name="_Toc513132391"/>
      <w:bookmarkStart w:id="1659" w:name="_Toc479265645"/>
      <w:r>
        <w:rPr>
          <w:rFonts w:hint="eastAsia" w:ascii="宋体" w:hAnsi="宋体" w:cs="宋体"/>
          <w:b/>
          <w:bCs/>
          <w:kern w:val="44"/>
          <w:sz w:val="24"/>
          <w:szCs w:val="24"/>
        </w:rPr>
        <w:t>11.4异常恶劣的气候条件</w:t>
      </w:r>
      <w:bookmarkEnd w:id="1652"/>
      <w:bookmarkEnd w:id="1653"/>
      <w:bookmarkEnd w:id="1654"/>
      <w:bookmarkEnd w:id="1655"/>
      <w:bookmarkEnd w:id="1656"/>
      <w:bookmarkEnd w:id="1657"/>
      <w:bookmarkEnd w:id="1658"/>
      <w:bookmarkEnd w:id="1659"/>
    </w:p>
    <w:p w14:paraId="649B121C">
      <w:pPr>
        <w:widowControl/>
        <w:spacing w:line="440" w:lineRule="exact"/>
        <w:rPr>
          <w:rFonts w:ascii="宋体" w:hAnsi="宋体" w:cs="宋体"/>
          <w:b/>
          <w:bCs/>
          <w:kern w:val="44"/>
          <w:sz w:val="24"/>
          <w:szCs w:val="24"/>
        </w:rPr>
      </w:pPr>
      <w:r>
        <w:rPr>
          <w:rFonts w:hint="eastAsia" w:ascii="宋体" w:hAnsi="宋体" w:cs="宋体"/>
          <w:kern w:val="0"/>
          <w:sz w:val="24"/>
          <w:szCs w:val="24"/>
        </w:rPr>
        <w:t>异常恶劣的气候条件的范围：</w:t>
      </w:r>
      <w:r>
        <w:rPr>
          <w:rFonts w:ascii="宋体" w:hAnsi="宋体" w:cs="宋体"/>
          <w:kern w:val="0"/>
          <w:sz w:val="24"/>
          <w:szCs w:val="24"/>
          <w:u w:val="single"/>
        </w:rPr>
        <w:t xml:space="preserve">                       </w:t>
      </w:r>
    </w:p>
    <w:p w14:paraId="492DAB63">
      <w:pPr>
        <w:keepNext/>
        <w:keepLines/>
        <w:spacing w:line="440" w:lineRule="exact"/>
        <w:rPr>
          <w:rFonts w:ascii="宋体" w:hAnsi="Calibri" w:eastAsia="黑体"/>
          <w:b/>
          <w:bCs/>
          <w:kern w:val="44"/>
          <w:sz w:val="24"/>
          <w:szCs w:val="24"/>
        </w:rPr>
      </w:pPr>
      <w:bookmarkStart w:id="1660" w:name="_Toc3475628"/>
      <w:bookmarkStart w:id="1661" w:name="_Toc513132392"/>
      <w:bookmarkStart w:id="1662" w:name="_Toc479265646"/>
      <w:bookmarkStart w:id="1663" w:name="_Toc192710559"/>
      <w:bookmarkStart w:id="1664" w:name="_Toc479237817"/>
      <w:bookmarkStart w:id="1665" w:name="_Toc480282392"/>
      <w:bookmarkStart w:id="1666" w:name="_Toc234382941"/>
      <w:bookmarkStart w:id="1667" w:name="_Toc512689759"/>
      <w:bookmarkStart w:id="1668" w:name="_Toc488083626"/>
      <w:bookmarkStart w:id="1669" w:name="_Toc513212912"/>
      <w:r>
        <w:rPr>
          <w:rFonts w:hint="eastAsia" w:ascii="宋体" w:hAnsi="宋体" w:cs="宋体"/>
          <w:b/>
          <w:bCs/>
          <w:kern w:val="44"/>
          <w:sz w:val="24"/>
          <w:szCs w:val="24"/>
        </w:rPr>
        <w:t>12.1承包人暂停施工的责任</w:t>
      </w:r>
      <w:bookmarkEnd w:id="1660"/>
      <w:bookmarkEnd w:id="1661"/>
      <w:bookmarkEnd w:id="1662"/>
      <w:bookmarkEnd w:id="1663"/>
      <w:bookmarkEnd w:id="1664"/>
      <w:bookmarkEnd w:id="1665"/>
      <w:bookmarkEnd w:id="1666"/>
      <w:bookmarkEnd w:id="1667"/>
      <w:bookmarkEnd w:id="1668"/>
      <w:bookmarkEnd w:id="1669"/>
    </w:p>
    <w:p w14:paraId="0075A53E">
      <w:pPr>
        <w:widowControl/>
        <w:tabs>
          <w:tab w:val="left" w:pos="3193"/>
        </w:tabs>
        <w:spacing w:line="440" w:lineRule="exact"/>
        <w:jc w:val="left"/>
        <w:rPr>
          <w:rFonts w:ascii="宋体" w:hAnsi="宋体" w:cs="宋体"/>
          <w:kern w:val="0"/>
          <w:sz w:val="24"/>
          <w:szCs w:val="24"/>
          <w:u w:val="single"/>
        </w:rPr>
      </w:pPr>
      <w:r>
        <w:rPr>
          <w:rFonts w:ascii="宋体" w:hAnsi="宋体" w:cs="宋体"/>
          <w:kern w:val="0"/>
          <w:sz w:val="24"/>
          <w:szCs w:val="24"/>
        </w:rPr>
        <w:t>12.1</w:t>
      </w: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）由承包人承担的其他暂停施工：</w:t>
      </w:r>
      <w:r>
        <w:rPr>
          <w:rFonts w:ascii="宋体" w:hAnsi="宋体" w:cs="宋体"/>
          <w:kern w:val="0"/>
          <w:sz w:val="24"/>
          <w:szCs w:val="24"/>
          <w:u w:val="single"/>
        </w:rPr>
        <w:t xml:space="preserve">                </w:t>
      </w:r>
    </w:p>
    <w:p w14:paraId="45D68694">
      <w:pPr>
        <w:widowControl/>
        <w:spacing w:line="440" w:lineRule="exact"/>
        <w:rPr>
          <w:rFonts w:hint="eastAsia" w:ascii="宋体" w:hAnsi="宋体" w:cs="宋体"/>
          <w:b/>
          <w:bCs/>
          <w:kern w:val="44"/>
          <w:sz w:val="24"/>
          <w:szCs w:val="24"/>
        </w:rPr>
      </w:pPr>
      <w:bookmarkStart w:id="1670" w:name="_Toc513132393"/>
      <w:bookmarkStart w:id="1671" w:name="_Toc513212913"/>
      <w:bookmarkStart w:id="1672" w:name="_Toc512689760"/>
      <w:r>
        <w:rPr>
          <w:rFonts w:hint="eastAsia" w:ascii="宋体" w:hAnsi="宋体" w:cs="宋体"/>
          <w:b/>
          <w:bCs/>
          <w:kern w:val="44"/>
          <w:sz w:val="24"/>
          <w:szCs w:val="24"/>
        </w:rPr>
        <w:t>17.3工程进度付款</w:t>
      </w:r>
      <w:bookmarkEnd w:id="1670"/>
      <w:bookmarkEnd w:id="1671"/>
      <w:bookmarkEnd w:id="1672"/>
    </w:p>
    <w:p w14:paraId="778CBF15">
      <w:pPr>
        <w:widowControl/>
        <w:spacing w:line="440" w:lineRule="exact"/>
        <w:jc w:val="left"/>
        <w:rPr>
          <w:rFonts w:ascii="宋体" w:hAnsi="宋体" w:cs="宋体"/>
          <w:kern w:val="0"/>
          <w:sz w:val="24"/>
          <w:szCs w:val="24"/>
        </w:rPr>
      </w:pPr>
      <w:r>
        <w:rPr>
          <w:rFonts w:ascii="宋体" w:hAnsi="宋体" w:cs="宋体"/>
          <w:kern w:val="0"/>
          <w:sz w:val="24"/>
          <w:szCs w:val="24"/>
        </w:rPr>
        <w:t>17.3.5 农民工工资保证金的缴存时间 :</w:t>
      </w:r>
      <w:r>
        <w:rPr>
          <w:rFonts w:ascii="宋体" w:hAnsi="宋体" w:cs="宋体"/>
          <w:kern w:val="0"/>
          <w:sz w:val="24"/>
          <w:szCs w:val="24"/>
          <w:u w:val="single"/>
        </w:rPr>
        <w:t xml:space="preserve">            </w:t>
      </w:r>
      <w:r>
        <w:rPr>
          <w:rFonts w:ascii="宋体" w:hAnsi="宋体" w:cs="宋体"/>
          <w:kern w:val="0"/>
          <w:sz w:val="24"/>
          <w:szCs w:val="24"/>
        </w:rPr>
        <w:t xml:space="preserve"> </w:t>
      </w:r>
      <w:r>
        <w:rPr>
          <w:rFonts w:ascii="宋体" w:hAnsi="宋体" w:cs="宋体"/>
          <w:kern w:val="0"/>
          <w:sz w:val="24"/>
          <w:szCs w:val="24"/>
        </w:rPr>
        <w:tab/>
      </w:r>
      <w:r>
        <w:rPr>
          <w:rFonts w:ascii="宋体" w:hAnsi="宋体" w:cs="宋体"/>
          <w:kern w:val="0"/>
          <w:sz w:val="24"/>
          <w:szCs w:val="24"/>
        </w:rPr>
        <w:tab/>
      </w:r>
      <w:r>
        <w:rPr>
          <w:rFonts w:ascii="宋体" w:hAnsi="宋体" w:cs="宋体"/>
          <w:kern w:val="0"/>
          <w:sz w:val="24"/>
          <w:szCs w:val="24"/>
        </w:rPr>
        <w:t xml:space="preserve"> </w:t>
      </w:r>
    </w:p>
    <w:p w14:paraId="71E3E0AE">
      <w:pPr>
        <w:widowControl/>
        <w:spacing w:line="440" w:lineRule="exact"/>
        <w:jc w:val="left"/>
        <w:rPr>
          <w:rFonts w:ascii="宋体" w:hAnsi="宋体" w:cs="宋体"/>
          <w:kern w:val="0"/>
          <w:sz w:val="24"/>
          <w:szCs w:val="24"/>
        </w:rPr>
      </w:pPr>
      <w:r>
        <w:rPr>
          <w:rFonts w:ascii="宋体" w:hAnsi="宋体" w:cs="宋体"/>
          <w:kern w:val="0"/>
          <w:sz w:val="24"/>
          <w:szCs w:val="24"/>
        </w:rPr>
        <w:t>农民工工资保证金的缴存金额:</w:t>
      </w:r>
      <w:r>
        <w:rPr>
          <w:rFonts w:ascii="宋体" w:hAnsi="宋体" w:cs="宋体"/>
          <w:kern w:val="0"/>
          <w:sz w:val="24"/>
          <w:szCs w:val="24"/>
          <w:u w:val="single"/>
        </w:rPr>
        <w:t xml:space="preserve">            </w:t>
      </w:r>
      <w:r>
        <w:rPr>
          <w:rFonts w:ascii="宋体" w:hAnsi="宋体" w:cs="宋体"/>
          <w:kern w:val="0"/>
          <w:sz w:val="24"/>
          <w:szCs w:val="24"/>
        </w:rPr>
        <w:t xml:space="preserve">  </w:t>
      </w:r>
      <w:r>
        <w:rPr>
          <w:rFonts w:ascii="宋体" w:hAnsi="宋体" w:cs="宋体"/>
          <w:kern w:val="0"/>
          <w:sz w:val="24"/>
          <w:szCs w:val="24"/>
        </w:rPr>
        <w:tab/>
      </w:r>
      <w:r>
        <w:rPr>
          <w:rFonts w:ascii="宋体" w:hAnsi="宋体" w:cs="宋体"/>
          <w:kern w:val="0"/>
          <w:sz w:val="24"/>
          <w:szCs w:val="24"/>
        </w:rPr>
        <w:t xml:space="preserve"> </w:t>
      </w:r>
    </w:p>
    <w:p w14:paraId="34974FCD">
      <w:pPr>
        <w:widowControl/>
        <w:spacing w:line="440" w:lineRule="exact"/>
        <w:jc w:val="left"/>
        <w:rPr>
          <w:rFonts w:ascii="宋体" w:hAnsi="宋体" w:cs="宋体"/>
          <w:kern w:val="0"/>
          <w:sz w:val="24"/>
          <w:szCs w:val="24"/>
        </w:rPr>
      </w:pPr>
      <w:r>
        <w:rPr>
          <w:rFonts w:ascii="宋体" w:hAnsi="宋体" w:cs="宋体"/>
          <w:kern w:val="0"/>
          <w:sz w:val="24"/>
          <w:szCs w:val="24"/>
        </w:rPr>
        <w:t>农民工工资保 证金的扣留条件:</w:t>
      </w:r>
      <w:r>
        <w:rPr>
          <w:rFonts w:ascii="宋体" w:hAnsi="宋体" w:cs="宋体"/>
          <w:kern w:val="0"/>
          <w:sz w:val="24"/>
          <w:szCs w:val="24"/>
          <w:u w:val="single"/>
        </w:rPr>
        <w:t xml:space="preserve">            </w:t>
      </w:r>
      <w:r>
        <w:rPr>
          <w:rFonts w:ascii="宋体" w:hAnsi="宋体" w:cs="宋体"/>
          <w:kern w:val="0"/>
          <w:sz w:val="24"/>
          <w:szCs w:val="24"/>
        </w:rPr>
        <w:t xml:space="preserve"> </w:t>
      </w:r>
      <w:r>
        <w:rPr>
          <w:rFonts w:ascii="宋体" w:hAnsi="宋体" w:cs="宋体"/>
          <w:kern w:val="0"/>
          <w:sz w:val="24"/>
          <w:szCs w:val="24"/>
        </w:rPr>
        <w:tab/>
      </w:r>
      <w:r>
        <w:rPr>
          <w:rFonts w:ascii="宋体" w:hAnsi="宋体" w:cs="宋体"/>
          <w:kern w:val="0"/>
          <w:sz w:val="24"/>
          <w:szCs w:val="24"/>
        </w:rPr>
        <w:t xml:space="preserve"> </w:t>
      </w:r>
    </w:p>
    <w:p w14:paraId="0F668F24">
      <w:pPr>
        <w:widowControl/>
        <w:spacing w:line="440" w:lineRule="exact"/>
        <w:jc w:val="left"/>
        <w:rPr>
          <w:rFonts w:ascii="宋体" w:hAnsi="宋体" w:cs="宋体"/>
          <w:kern w:val="0"/>
          <w:sz w:val="24"/>
          <w:szCs w:val="24"/>
        </w:rPr>
      </w:pPr>
      <w:r>
        <w:rPr>
          <w:rFonts w:ascii="宋体" w:hAnsi="宋体" w:cs="宋体"/>
          <w:kern w:val="0"/>
          <w:sz w:val="24"/>
          <w:szCs w:val="24"/>
        </w:rPr>
        <w:t>农民工工资保证金的返还时间:</w:t>
      </w:r>
      <w:r>
        <w:rPr>
          <w:rFonts w:ascii="宋体" w:hAnsi="宋体" w:cs="宋体"/>
          <w:kern w:val="0"/>
          <w:sz w:val="24"/>
          <w:szCs w:val="24"/>
          <w:u w:val="single"/>
        </w:rPr>
        <w:t xml:space="preserve">            </w:t>
      </w:r>
      <w:r>
        <w:rPr>
          <w:rFonts w:ascii="宋体" w:hAnsi="宋体" w:cs="宋体"/>
          <w:kern w:val="0"/>
          <w:sz w:val="24"/>
          <w:szCs w:val="24"/>
        </w:rPr>
        <w:t xml:space="preserve">  </w:t>
      </w:r>
      <w:r>
        <w:rPr>
          <w:rFonts w:ascii="宋体" w:hAnsi="宋体" w:cs="宋体"/>
          <w:kern w:val="0"/>
          <w:sz w:val="24"/>
          <w:szCs w:val="24"/>
        </w:rPr>
        <w:tab/>
      </w:r>
      <w:r>
        <w:rPr>
          <w:rFonts w:ascii="宋体" w:hAnsi="宋体" w:cs="宋体"/>
          <w:kern w:val="0"/>
          <w:sz w:val="24"/>
          <w:szCs w:val="24"/>
        </w:rPr>
        <w:t xml:space="preserve"> </w:t>
      </w:r>
    </w:p>
    <w:p w14:paraId="1CECBF1A">
      <w:pPr>
        <w:keepNext/>
        <w:keepLines/>
        <w:spacing w:line="440" w:lineRule="exact"/>
        <w:rPr>
          <w:rFonts w:ascii="宋体" w:hAnsi="Calibri" w:eastAsia="黑体"/>
          <w:b/>
          <w:bCs/>
          <w:kern w:val="44"/>
          <w:sz w:val="24"/>
          <w:szCs w:val="24"/>
        </w:rPr>
      </w:pPr>
      <w:bookmarkStart w:id="1673" w:name="_Toc192710560"/>
      <w:bookmarkStart w:id="1674" w:name="_Toc512689761"/>
      <w:bookmarkStart w:id="1675" w:name="_Toc513212914"/>
      <w:bookmarkStart w:id="1676" w:name="_Toc479237818"/>
      <w:bookmarkStart w:id="1677" w:name="_Toc488083627"/>
      <w:bookmarkStart w:id="1678" w:name="_Toc513132394"/>
      <w:bookmarkStart w:id="1679" w:name="_Toc479265647"/>
      <w:bookmarkStart w:id="1680" w:name="_Toc3475629"/>
      <w:bookmarkStart w:id="1681" w:name="_Toc234382942"/>
      <w:bookmarkStart w:id="1682" w:name="_Toc480282393"/>
      <w:r>
        <w:rPr>
          <w:rFonts w:hint="eastAsia" w:ascii="宋体" w:hAnsi="宋体" w:cs="宋体"/>
          <w:b/>
          <w:bCs/>
          <w:kern w:val="44"/>
          <w:sz w:val="24"/>
          <w:szCs w:val="24"/>
        </w:rPr>
        <w:t>21.1不可抗力的确认</w:t>
      </w:r>
      <w:bookmarkEnd w:id="1673"/>
      <w:bookmarkEnd w:id="1674"/>
      <w:bookmarkEnd w:id="1675"/>
      <w:bookmarkEnd w:id="1676"/>
      <w:bookmarkEnd w:id="1677"/>
      <w:bookmarkEnd w:id="1678"/>
      <w:bookmarkEnd w:id="1679"/>
      <w:bookmarkEnd w:id="1680"/>
      <w:bookmarkEnd w:id="1681"/>
      <w:bookmarkEnd w:id="1682"/>
    </w:p>
    <w:p w14:paraId="245C95FA">
      <w:pPr>
        <w:widowControl/>
        <w:tabs>
          <w:tab w:val="left" w:pos="3193"/>
        </w:tabs>
        <w:spacing w:line="440" w:lineRule="exact"/>
        <w:jc w:val="left"/>
        <w:rPr>
          <w:rFonts w:ascii="宋体"/>
          <w:kern w:val="0"/>
          <w:sz w:val="24"/>
          <w:szCs w:val="24"/>
        </w:rPr>
      </w:pPr>
      <w:r>
        <w:rPr>
          <w:rFonts w:ascii="宋体" w:hAnsi="宋体" w:cs="宋体"/>
          <w:kern w:val="0"/>
          <w:sz w:val="24"/>
          <w:szCs w:val="24"/>
        </w:rPr>
        <w:t>21.1.1</w:t>
      </w: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）不可抗力的其他情形：</w:t>
      </w:r>
      <w:r>
        <w:rPr>
          <w:rFonts w:ascii="宋体" w:hAnsi="宋体" w:cs="宋体"/>
          <w:kern w:val="0"/>
          <w:sz w:val="24"/>
          <w:szCs w:val="24"/>
          <w:u w:val="single"/>
        </w:rPr>
        <w:t xml:space="preserve">                  </w:t>
      </w:r>
    </w:p>
    <w:p w14:paraId="74424355">
      <w:pPr>
        <w:keepNext/>
        <w:keepLines/>
        <w:spacing w:line="440" w:lineRule="exact"/>
        <w:rPr>
          <w:rFonts w:ascii="宋体" w:hAnsi="Calibri" w:eastAsia="黑体"/>
          <w:b/>
          <w:bCs/>
          <w:kern w:val="44"/>
          <w:sz w:val="24"/>
          <w:szCs w:val="24"/>
        </w:rPr>
      </w:pPr>
      <w:bookmarkStart w:id="1683" w:name="_Toc479237819"/>
      <w:bookmarkStart w:id="1684" w:name="_Toc234382943"/>
      <w:bookmarkStart w:id="1685" w:name="_Toc479265648"/>
      <w:bookmarkStart w:id="1686" w:name="_Toc488083628"/>
      <w:bookmarkStart w:id="1687" w:name="_Toc512689762"/>
      <w:bookmarkStart w:id="1688" w:name="_Toc513132395"/>
      <w:bookmarkStart w:id="1689" w:name="_Toc3475630"/>
      <w:bookmarkStart w:id="1690" w:name="_Toc480282394"/>
      <w:bookmarkStart w:id="1691" w:name="_Toc513212915"/>
      <w:r>
        <w:rPr>
          <w:rFonts w:hint="eastAsia" w:ascii="宋体" w:hAnsi="宋体" w:cs="宋体"/>
          <w:b/>
          <w:bCs/>
          <w:kern w:val="44"/>
          <w:sz w:val="24"/>
          <w:szCs w:val="24"/>
        </w:rPr>
        <w:t>22.1承包人违约</w:t>
      </w:r>
      <w:bookmarkEnd w:id="1683"/>
      <w:bookmarkEnd w:id="1684"/>
      <w:bookmarkEnd w:id="1685"/>
      <w:bookmarkEnd w:id="1686"/>
      <w:bookmarkEnd w:id="1687"/>
      <w:bookmarkEnd w:id="1688"/>
      <w:bookmarkEnd w:id="1689"/>
      <w:bookmarkEnd w:id="1690"/>
      <w:bookmarkEnd w:id="1691"/>
    </w:p>
    <w:p w14:paraId="64358E0B">
      <w:pPr>
        <w:widowControl/>
        <w:tabs>
          <w:tab w:val="left" w:pos="3193"/>
        </w:tabs>
        <w:spacing w:line="440" w:lineRule="exact"/>
        <w:jc w:val="left"/>
        <w:rPr>
          <w:rFonts w:ascii="宋体"/>
          <w:kern w:val="0"/>
          <w:sz w:val="24"/>
          <w:szCs w:val="24"/>
          <w:u w:val="single"/>
        </w:rPr>
      </w:pPr>
      <w:r>
        <w:rPr>
          <w:rFonts w:ascii="宋体" w:hAnsi="宋体" w:cs="宋体"/>
          <w:kern w:val="0"/>
          <w:sz w:val="24"/>
          <w:szCs w:val="24"/>
        </w:rPr>
        <w:t>22.1.2</w:t>
      </w:r>
      <w:r>
        <w:rPr>
          <w:rFonts w:hint="eastAsia" w:ascii="宋体" w:hAnsi="宋体" w:cs="宋体"/>
          <w:kern w:val="0"/>
          <w:sz w:val="24"/>
          <w:szCs w:val="24"/>
        </w:rPr>
        <w:t>当承包人发生第</w:t>
      </w:r>
      <w:r>
        <w:rPr>
          <w:rFonts w:ascii="宋体" w:hAnsi="宋体" w:cs="宋体"/>
          <w:kern w:val="0"/>
          <w:sz w:val="24"/>
          <w:szCs w:val="24"/>
        </w:rPr>
        <w:t>22.1.1</w:t>
      </w:r>
      <w:r>
        <w:rPr>
          <w:rFonts w:hint="eastAsia" w:ascii="宋体" w:hAnsi="宋体" w:cs="宋体"/>
          <w:kern w:val="0"/>
          <w:sz w:val="24"/>
          <w:szCs w:val="24"/>
        </w:rPr>
        <w:t>项约定的违约情况时，发包人有权向承包人课以违约金，具体约定如下：</w:t>
      </w:r>
      <w:r>
        <w:rPr>
          <w:rFonts w:ascii="宋体" w:hAnsi="宋体" w:cs="宋体"/>
          <w:kern w:val="0"/>
          <w:sz w:val="24"/>
          <w:szCs w:val="24"/>
          <w:u w:val="single"/>
        </w:rPr>
        <w:t xml:space="preserve">                                                    </w:t>
      </w:r>
    </w:p>
    <w:p w14:paraId="388D0E22">
      <w:pPr>
        <w:widowControl/>
        <w:tabs>
          <w:tab w:val="left" w:pos="3193"/>
        </w:tabs>
        <w:spacing w:line="440" w:lineRule="exact"/>
        <w:ind w:firstLine="480" w:firstLineChars="200"/>
        <w:jc w:val="left"/>
        <w:rPr>
          <w:rFonts w:ascii="宋体"/>
          <w:kern w:val="0"/>
          <w:sz w:val="24"/>
          <w:szCs w:val="24"/>
        </w:rPr>
      </w:pPr>
      <w:r>
        <w:rPr>
          <w:rFonts w:hint="eastAsia" w:ascii="宋体" w:hAnsi="宋体" w:cs="宋体"/>
          <w:kern w:val="0"/>
          <w:sz w:val="24"/>
          <w:szCs w:val="24"/>
        </w:rPr>
        <w:t>………</w:t>
      </w:r>
    </w:p>
    <w:p w14:paraId="13A263EF">
      <w:pPr>
        <w:widowControl/>
        <w:spacing w:line="360" w:lineRule="auto"/>
        <w:jc w:val="center"/>
        <w:rPr>
          <w:rFonts w:hint="eastAsia" w:ascii="宋体" w:hAnsi="宋体" w:cs="宋体"/>
          <w:b/>
          <w:bCs/>
          <w:kern w:val="44"/>
          <w:sz w:val="24"/>
          <w:szCs w:val="24"/>
        </w:rPr>
      </w:pPr>
      <w:r>
        <w:rPr>
          <w:rFonts w:ascii="宋体"/>
          <w:kern w:val="0"/>
          <w:sz w:val="24"/>
        </w:rPr>
        <w:br w:type="page"/>
      </w:r>
      <w:r>
        <w:rPr>
          <w:rFonts w:hint="eastAsia" w:ascii="宋体" w:hAnsi="宋体" w:cs="宋体"/>
          <w:b/>
          <w:bCs/>
          <w:kern w:val="44"/>
          <w:sz w:val="24"/>
          <w:szCs w:val="24"/>
        </w:rPr>
        <w:t>第三节 合同附件格式</w:t>
      </w:r>
    </w:p>
    <w:p w14:paraId="1D95F5CC">
      <w:pPr>
        <w:widowControl/>
        <w:spacing w:line="360" w:lineRule="auto"/>
        <w:jc w:val="left"/>
        <w:rPr>
          <w:rFonts w:ascii="宋体"/>
          <w:b/>
          <w:kern w:val="0"/>
          <w:sz w:val="24"/>
          <w:szCs w:val="24"/>
        </w:rPr>
      </w:pPr>
    </w:p>
    <w:p w14:paraId="1EBF465B">
      <w:pPr>
        <w:widowControl/>
        <w:spacing w:line="360" w:lineRule="auto"/>
        <w:ind w:left="420"/>
        <w:jc w:val="left"/>
        <w:rPr>
          <w:rFonts w:hint="eastAsia" w:ascii="宋体" w:hAnsi="宋体" w:cs="宋体"/>
          <w:b/>
          <w:bCs/>
          <w:kern w:val="44"/>
          <w:sz w:val="24"/>
          <w:szCs w:val="24"/>
        </w:rPr>
      </w:pPr>
      <w:r>
        <w:rPr>
          <w:rFonts w:hint="eastAsia" w:ascii="宋体" w:hAnsi="宋体" w:cs="宋体"/>
          <w:b/>
          <w:bCs/>
          <w:kern w:val="44"/>
          <w:sz w:val="24"/>
          <w:szCs w:val="24"/>
        </w:rPr>
        <w:t>附件一：合同协议书</w:t>
      </w:r>
    </w:p>
    <w:p w14:paraId="2DA6E4F4">
      <w:pPr>
        <w:widowControl/>
        <w:spacing w:line="360" w:lineRule="auto"/>
        <w:jc w:val="center"/>
        <w:rPr>
          <w:rFonts w:ascii="黑体" w:hAnsi="宋体" w:eastAsia="黑体"/>
          <w:b/>
          <w:kern w:val="0"/>
          <w:sz w:val="24"/>
          <w:szCs w:val="24"/>
        </w:rPr>
      </w:pPr>
      <w:r>
        <w:rPr>
          <w:rFonts w:hint="eastAsia" w:ascii="宋体" w:hAnsi="宋体" w:cs="宋体"/>
          <w:b/>
          <w:bCs/>
          <w:kern w:val="44"/>
          <w:sz w:val="24"/>
          <w:szCs w:val="24"/>
        </w:rPr>
        <w:t>合同协议书</w:t>
      </w:r>
    </w:p>
    <w:p w14:paraId="1602D85A">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u w:val="single"/>
        </w:rPr>
        <w:t xml:space="preserve">        </w:t>
      </w:r>
      <w:r>
        <w:rPr>
          <w:rFonts w:ascii="宋体" w:hAnsi="宋体"/>
          <w:kern w:val="0"/>
          <w:sz w:val="24"/>
          <w:szCs w:val="24"/>
        </w:rPr>
        <w:t>（发包人名称，以下简称“发包人”）为实施</w:t>
      </w:r>
      <w:r>
        <w:rPr>
          <w:rFonts w:hint="eastAsia" w:ascii="宋体" w:hAnsi="宋体"/>
          <w:kern w:val="0"/>
          <w:sz w:val="24"/>
          <w:szCs w:val="24"/>
          <w:u w:val="single"/>
        </w:rPr>
        <w:t xml:space="preserve">                </w:t>
      </w:r>
      <w:r>
        <w:rPr>
          <w:rFonts w:ascii="宋体" w:hAnsi="宋体"/>
          <w:kern w:val="0"/>
          <w:sz w:val="24"/>
          <w:szCs w:val="24"/>
        </w:rPr>
        <w:t>（项目名称），已接受</w:t>
      </w:r>
      <w:r>
        <w:rPr>
          <w:rFonts w:hint="eastAsia" w:ascii="宋体" w:hAnsi="宋体"/>
          <w:kern w:val="0"/>
          <w:sz w:val="24"/>
          <w:szCs w:val="24"/>
          <w:u w:val="single"/>
        </w:rPr>
        <w:t xml:space="preserve">        </w:t>
      </w:r>
      <w:r>
        <w:rPr>
          <w:rFonts w:ascii="宋体" w:hAnsi="宋体"/>
          <w:kern w:val="0"/>
          <w:sz w:val="24"/>
          <w:szCs w:val="24"/>
        </w:rPr>
        <w:t>（承包人名称，以下简称“承包人”）对该项目</w:t>
      </w:r>
      <w:r>
        <w:rPr>
          <w:rFonts w:hint="eastAsia" w:ascii="宋体" w:hAnsi="宋体"/>
          <w:kern w:val="0"/>
          <w:sz w:val="24"/>
          <w:szCs w:val="24"/>
          <w:u w:val="single"/>
        </w:rPr>
        <w:t xml:space="preserve">    </w:t>
      </w:r>
      <w:r>
        <w:rPr>
          <w:rFonts w:ascii="宋体" w:hAnsi="宋体"/>
          <w:kern w:val="0"/>
          <w:sz w:val="24"/>
          <w:szCs w:val="24"/>
        </w:rPr>
        <w:t>标段施工的投标。 发包人和承包人共同达成如下协议。</w:t>
      </w:r>
    </w:p>
    <w:p w14:paraId="6579C9A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1．第</w:t>
      </w:r>
      <w:r>
        <w:rPr>
          <w:rFonts w:hint="eastAsia" w:ascii="宋体" w:hAnsi="宋体"/>
          <w:kern w:val="0"/>
          <w:sz w:val="24"/>
          <w:szCs w:val="24"/>
          <w:u w:val="single"/>
        </w:rPr>
        <w:t xml:space="preserve">  </w:t>
      </w:r>
      <w:r>
        <w:rPr>
          <w:rFonts w:hint="eastAsia" w:ascii="宋体" w:hAnsi="宋体"/>
          <w:kern w:val="0"/>
          <w:sz w:val="24"/>
          <w:szCs w:val="24"/>
        </w:rPr>
        <w:t>标段由K</w:t>
      </w:r>
      <w:r>
        <w:rPr>
          <w:rFonts w:hint="eastAsia" w:ascii="宋体" w:hAnsi="宋体"/>
          <w:kern w:val="0"/>
          <w:sz w:val="24"/>
          <w:szCs w:val="24"/>
          <w:u w:val="single"/>
        </w:rPr>
        <w:t xml:space="preserve">   </w:t>
      </w:r>
      <w:r>
        <w:rPr>
          <w:rFonts w:hint="eastAsia" w:ascii="宋体" w:hAnsi="宋体"/>
          <w:kern w:val="0"/>
          <w:sz w:val="24"/>
          <w:szCs w:val="24"/>
        </w:rPr>
        <w:t>+</w:t>
      </w:r>
      <w:r>
        <w:rPr>
          <w:rFonts w:hint="eastAsia" w:ascii="宋体" w:hAnsi="宋体"/>
          <w:kern w:val="0"/>
          <w:sz w:val="24"/>
          <w:szCs w:val="24"/>
          <w:u w:val="single"/>
        </w:rPr>
        <w:t xml:space="preserve">    </w:t>
      </w:r>
      <w:r>
        <w:rPr>
          <w:rFonts w:hint="eastAsia" w:ascii="宋体" w:hAnsi="宋体"/>
          <w:kern w:val="0"/>
          <w:sz w:val="24"/>
          <w:szCs w:val="24"/>
        </w:rPr>
        <w:t>至K</w:t>
      </w:r>
      <w:r>
        <w:rPr>
          <w:rFonts w:hint="eastAsia" w:ascii="宋体" w:hAnsi="宋体"/>
          <w:kern w:val="0"/>
          <w:sz w:val="24"/>
          <w:szCs w:val="24"/>
          <w:u w:val="single"/>
        </w:rPr>
        <w:t xml:space="preserve">   </w:t>
      </w:r>
      <w:r>
        <w:rPr>
          <w:rFonts w:hint="eastAsia" w:ascii="宋体" w:hAnsi="宋体"/>
          <w:kern w:val="0"/>
          <w:sz w:val="24"/>
          <w:szCs w:val="24"/>
        </w:rPr>
        <w:t>+</w:t>
      </w:r>
      <w:r>
        <w:rPr>
          <w:rFonts w:hint="eastAsia" w:ascii="宋体" w:hAnsi="宋体"/>
          <w:kern w:val="0"/>
          <w:sz w:val="24"/>
          <w:szCs w:val="24"/>
          <w:u w:val="single"/>
        </w:rPr>
        <w:t xml:space="preserve">   </w:t>
      </w:r>
      <w:r>
        <w:rPr>
          <w:rFonts w:hint="eastAsia" w:ascii="宋体" w:hAnsi="宋体"/>
          <w:kern w:val="0"/>
          <w:sz w:val="24"/>
          <w:szCs w:val="24"/>
        </w:rPr>
        <w:t>，长约</w:t>
      </w:r>
      <w:r>
        <w:rPr>
          <w:rFonts w:hint="eastAsia" w:ascii="宋体" w:hAnsi="宋体"/>
          <w:kern w:val="0"/>
          <w:sz w:val="24"/>
          <w:szCs w:val="24"/>
          <w:u w:val="single"/>
        </w:rPr>
        <w:t xml:space="preserve">    </w:t>
      </w:r>
      <w:r>
        <w:rPr>
          <w:rFonts w:hint="eastAsia" w:ascii="宋体" w:hAnsi="宋体"/>
          <w:kern w:val="0"/>
          <w:sz w:val="24"/>
          <w:szCs w:val="24"/>
        </w:rPr>
        <w:t>km，公路等级为</w:t>
      </w:r>
      <w:r>
        <w:rPr>
          <w:rFonts w:hint="eastAsia" w:ascii="宋体" w:hAnsi="宋体"/>
          <w:kern w:val="0"/>
          <w:sz w:val="24"/>
          <w:szCs w:val="24"/>
          <w:u w:val="single"/>
        </w:rPr>
        <w:t xml:space="preserve">     </w:t>
      </w:r>
      <w:r>
        <w:rPr>
          <w:rFonts w:hint="eastAsia" w:ascii="宋体" w:hAnsi="宋体"/>
          <w:kern w:val="0"/>
          <w:sz w:val="24"/>
          <w:szCs w:val="24"/>
        </w:rPr>
        <w:t>，设计时速为</w:t>
      </w:r>
      <w:r>
        <w:rPr>
          <w:rFonts w:hint="eastAsia" w:ascii="宋体" w:hAnsi="宋体"/>
          <w:kern w:val="0"/>
          <w:sz w:val="24"/>
          <w:szCs w:val="24"/>
          <w:u w:val="single"/>
        </w:rPr>
        <w:t xml:space="preserve">   </w:t>
      </w:r>
      <w:r>
        <w:rPr>
          <w:rFonts w:hint="eastAsia" w:ascii="宋体" w:hAnsi="宋体"/>
          <w:kern w:val="0"/>
          <w:sz w:val="24"/>
          <w:szCs w:val="24"/>
        </w:rPr>
        <w:t>，</w:t>
      </w:r>
      <w:r>
        <w:rPr>
          <w:rFonts w:hint="eastAsia" w:ascii="宋体" w:hAnsi="宋体"/>
          <w:kern w:val="0"/>
          <w:sz w:val="24"/>
          <w:szCs w:val="24"/>
          <w:u w:val="single"/>
        </w:rPr>
        <w:t xml:space="preserve">  </w:t>
      </w:r>
      <w:r>
        <w:rPr>
          <w:rFonts w:hint="eastAsia" w:ascii="宋体" w:hAnsi="宋体"/>
          <w:kern w:val="0"/>
          <w:sz w:val="24"/>
          <w:szCs w:val="24"/>
        </w:rPr>
        <w:t>路面，有</w:t>
      </w:r>
      <w:r>
        <w:rPr>
          <w:rFonts w:hint="eastAsia" w:ascii="宋体" w:hAnsi="宋体"/>
          <w:kern w:val="0"/>
          <w:sz w:val="24"/>
          <w:szCs w:val="24"/>
          <w:u w:val="single"/>
        </w:rPr>
        <w:t xml:space="preserve">  </w:t>
      </w:r>
      <w:r>
        <w:rPr>
          <w:rFonts w:hint="eastAsia" w:ascii="宋体" w:hAnsi="宋体"/>
          <w:kern w:val="0"/>
          <w:sz w:val="24"/>
          <w:szCs w:val="24"/>
        </w:rPr>
        <w:t>立交</w:t>
      </w:r>
      <w:r>
        <w:rPr>
          <w:rFonts w:hint="eastAsia" w:ascii="宋体" w:hAnsi="宋体"/>
          <w:kern w:val="0"/>
          <w:sz w:val="24"/>
          <w:szCs w:val="24"/>
          <w:u w:val="single"/>
        </w:rPr>
        <w:t xml:space="preserve">  </w:t>
      </w:r>
      <w:r>
        <w:rPr>
          <w:rFonts w:hint="eastAsia" w:ascii="宋体" w:hAnsi="宋体"/>
          <w:kern w:val="0"/>
          <w:sz w:val="24"/>
          <w:szCs w:val="24"/>
        </w:rPr>
        <w:t>处；特大桥</w:t>
      </w:r>
      <w:r>
        <w:rPr>
          <w:rFonts w:hint="eastAsia" w:ascii="宋体" w:hAnsi="宋体"/>
          <w:kern w:val="0"/>
          <w:sz w:val="24"/>
          <w:szCs w:val="24"/>
          <w:u w:val="single"/>
        </w:rPr>
        <w:t xml:space="preserve">   </w:t>
      </w:r>
      <w:r>
        <w:rPr>
          <w:rFonts w:hint="eastAsia" w:ascii="宋体" w:hAnsi="宋体"/>
          <w:kern w:val="0"/>
          <w:sz w:val="24"/>
          <w:szCs w:val="24"/>
        </w:rPr>
        <w:t>座，计长</w:t>
      </w:r>
      <w:r>
        <w:rPr>
          <w:rFonts w:hint="eastAsia" w:ascii="宋体" w:hAnsi="宋体"/>
          <w:kern w:val="0"/>
          <w:sz w:val="24"/>
          <w:szCs w:val="24"/>
          <w:u w:val="single"/>
        </w:rPr>
        <w:t xml:space="preserve">   </w:t>
      </w:r>
      <w:r>
        <w:rPr>
          <w:rFonts w:hint="eastAsia" w:ascii="宋体" w:hAnsi="宋体"/>
          <w:kern w:val="0"/>
          <w:sz w:val="24"/>
          <w:szCs w:val="24"/>
        </w:rPr>
        <w:t>m；大中桥</w:t>
      </w:r>
      <w:r>
        <w:rPr>
          <w:rFonts w:hint="eastAsia" w:ascii="宋体" w:hAnsi="宋体"/>
          <w:kern w:val="0"/>
          <w:sz w:val="24"/>
          <w:szCs w:val="24"/>
          <w:u w:val="single"/>
        </w:rPr>
        <w:t xml:space="preserve">  </w:t>
      </w:r>
      <w:r>
        <w:rPr>
          <w:rFonts w:hint="eastAsia" w:ascii="宋体" w:hAnsi="宋体"/>
          <w:kern w:val="0"/>
          <w:sz w:val="24"/>
          <w:szCs w:val="24"/>
        </w:rPr>
        <w:t>座，计长</w:t>
      </w:r>
      <w:r>
        <w:rPr>
          <w:rFonts w:hint="eastAsia" w:ascii="宋体" w:hAnsi="宋体"/>
          <w:kern w:val="0"/>
          <w:sz w:val="24"/>
          <w:szCs w:val="24"/>
          <w:u w:val="single"/>
        </w:rPr>
        <w:t xml:space="preserve">    </w:t>
      </w:r>
      <w:r>
        <w:rPr>
          <w:rFonts w:hint="eastAsia" w:ascii="宋体" w:hAnsi="宋体"/>
          <w:kern w:val="0"/>
          <w:sz w:val="24"/>
          <w:szCs w:val="24"/>
        </w:rPr>
        <w:t>m；隧道</w:t>
      </w:r>
      <w:r>
        <w:rPr>
          <w:rFonts w:hint="eastAsia" w:ascii="宋体" w:hAnsi="宋体"/>
          <w:kern w:val="0"/>
          <w:sz w:val="24"/>
          <w:szCs w:val="24"/>
          <w:u w:val="single"/>
        </w:rPr>
        <w:t xml:space="preserve">    </w:t>
      </w:r>
      <w:r>
        <w:rPr>
          <w:rFonts w:hint="eastAsia" w:ascii="宋体" w:hAnsi="宋体"/>
          <w:kern w:val="0"/>
          <w:sz w:val="24"/>
          <w:szCs w:val="24"/>
        </w:rPr>
        <w:t>座，计长</w:t>
      </w:r>
      <w:r>
        <w:rPr>
          <w:rFonts w:hint="eastAsia" w:ascii="宋体" w:hAnsi="宋体"/>
          <w:kern w:val="0"/>
          <w:sz w:val="24"/>
          <w:szCs w:val="24"/>
          <w:u w:val="single"/>
        </w:rPr>
        <w:t xml:space="preserve">    </w:t>
      </w:r>
      <w:r>
        <w:rPr>
          <w:rFonts w:hint="eastAsia" w:ascii="宋体" w:hAnsi="宋体"/>
          <w:kern w:val="0"/>
          <w:sz w:val="24"/>
          <w:szCs w:val="24"/>
        </w:rPr>
        <w:t>m以及其他构造物工程等。</w:t>
      </w:r>
    </w:p>
    <w:p w14:paraId="7DCFCA9D">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w:t>
      </w:r>
      <w:r>
        <w:rPr>
          <w:rFonts w:ascii="宋体" w:hAnsi="宋体"/>
          <w:kern w:val="0"/>
          <w:sz w:val="24"/>
          <w:szCs w:val="24"/>
        </w:rPr>
        <w:t xml:space="preserve">. </w:t>
      </w:r>
      <w:r>
        <w:rPr>
          <w:rFonts w:hint="eastAsia" w:ascii="宋体" w:hAnsi="宋体"/>
          <w:kern w:val="0"/>
          <w:sz w:val="24"/>
          <w:szCs w:val="24"/>
        </w:rPr>
        <w:t>下列文件应视为构成合同文件的组成部分</w:t>
      </w:r>
      <w:r>
        <w:rPr>
          <w:rFonts w:ascii="宋体" w:hAnsi="宋体"/>
          <w:kern w:val="0"/>
          <w:sz w:val="24"/>
          <w:szCs w:val="24"/>
        </w:rPr>
        <w:t>：</w:t>
      </w:r>
    </w:p>
    <w:p w14:paraId="18A5B0A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（1）本协议书及各种合同附件（含评标期间和合同谈判过程中的澄清文件和补充资料）；</w:t>
      </w:r>
    </w:p>
    <w:p w14:paraId="669DEF3D">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（2）中标通知书；</w:t>
      </w:r>
    </w:p>
    <w:p w14:paraId="65AA04A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（3）补遗书；</w:t>
      </w:r>
    </w:p>
    <w:p w14:paraId="500060D0">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（4）投标函及投标函附录；</w:t>
      </w:r>
    </w:p>
    <w:p w14:paraId="6CD34AF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（5）项目专用合同条款；</w:t>
      </w:r>
    </w:p>
    <w:p w14:paraId="36D9B364">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（6）公路工程专用合同条款；</w:t>
      </w:r>
    </w:p>
    <w:p w14:paraId="7EF4D33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（7）通用合同条款；</w:t>
      </w:r>
    </w:p>
    <w:p w14:paraId="1A43CC2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（8）技术规范；</w:t>
      </w:r>
    </w:p>
    <w:p w14:paraId="60FCD4A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（9）图纸；</w:t>
      </w:r>
    </w:p>
    <w:p w14:paraId="1A8B402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（10）已标价工程量清单；</w:t>
      </w:r>
    </w:p>
    <w:p w14:paraId="46C75EF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（11）承包人有关人员、设备投入的承诺及投标文件中的施工组织设计；</w:t>
      </w:r>
    </w:p>
    <w:p w14:paraId="306FC8DA">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（12）其他合同文件。</w:t>
      </w:r>
    </w:p>
    <w:p w14:paraId="558287D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w:t>
      </w:r>
      <w:r>
        <w:rPr>
          <w:rFonts w:ascii="宋体" w:hAnsi="宋体"/>
          <w:kern w:val="0"/>
          <w:sz w:val="24"/>
          <w:szCs w:val="24"/>
        </w:rPr>
        <w:t>. 上述文件互相补充和解释，如有不明确或不一致之处，以合同约定次序在先者为准。</w:t>
      </w:r>
    </w:p>
    <w:p w14:paraId="60D34B6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w:t>
      </w:r>
      <w:r>
        <w:rPr>
          <w:rFonts w:ascii="宋体" w:hAnsi="宋体"/>
          <w:kern w:val="0"/>
          <w:sz w:val="24"/>
          <w:szCs w:val="24"/>
        </w:rPr>
        <w:t xml:space="preserve">. </w:t>
      </w:r>
      <w:r>
        <w:rPr>
          <w:rFonts w:hint="eastAsia" w:ascii="宋体" w:hAnsi="宋体"/>
          <w:kern w:val="0"/>
          <w:sz w:val="24"/>
          <w:szCs w:val="24"/>
        </w:rPr>
        <w:t>根据工程量清单所列的预计数量和单价或总额价计算的签约</w:t>
      </w:r>
      <w:r>
        <w:rPr>
          <w:rFonts w:ascii="宋体" w:hAnsi="宋体"/>
          <w:kern w:val="0"/>
          <w:sz w:val="24"/>
          <w:szCs w:val="24"/>
        </w:rPr>
        <w:t>合同价：人民币（大写）</w:t>
      </w:r>
      <w:r>
        <w:rPr>
          <w:rFonts w:hint="eastAsia" w:ascii="宋体" w:hAnsi="宋体"/>
          <w:kern w:val="0"/>
          <w:sz w:val="24"/>
          <w:szCs w:val="24"/>
          <w:u w:val="single"/>
        </w:rPr>
        <w:t xml:space="preserve">        </w:t>
      </w:r>
      <w:r>
        <w:rPr>
          <w:rFonts w:ascii="宋体" w:hAnsi="宋体"/>
          <w:kern w:val="0"/>
          <w:sz w:val="24"/>
          <w:szCs w:val="24"/>
        </w:rPr>
        <w:t>元（¥</w:t>
      </w:r>
      <w:r>
        <w:rPr>
          <w:rFonts w:hint="eastAsia" w:ascii="宋体" w:hAnsi="宋体"/>
          <w:kern w:val="0"/>
          <w:sz w:val="24"/>
          <w:szCs w:val="24"/>
          <w:u w:val="single"/>
        </w:rPr>
        <w:t xml:space="preserve">        </w:t>
      </w:r>
      <w:r>
        <w:rPr>
          <w:rFonts w:ascii="宋体" w:hAnsi="宋体"/>
          <w:kern w:val="0"/>
          <w:sz w:val="24"/>
          <w:szCs w:val="24"/>
        </w:rPr>
        <w:t>）。</w:t>
      </w:r>
    </w:p>
    <w:p w14:paraId="60EB6CDA">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w:t>
      </w:r>
      <w:r>
        <w:rPr>
          <w:rFonts w:ascii="宋体" w:hAnsi="宋体"/>
          <w:kern w:val="0"/>
          <w:sz w:val="24"/>
          <w:szCs w:val="24"/>
        </w:rPr>
        <w:t>. 承包人项目负责人：</w:t>
      </w:r>
      <w:r>
        <w:rPr>
          <w:rFonts w:hint="eastAsia" w:ascii="宋体" w:hAnsi="宋体"/>
          <w:kern w:val="0"/>
          <w:sz w:val="24"/>
          <w:szCs w:val="24"/>
          <w:u w:val="single"/>
        </w:rPr>
        <w:t xml:space="preserve">        </w:t>
      </w:r>
      <w:r>
        <w:rPr>
          <w:rFonts w:ascii="宋体" w:hAnsi="宋体"/>
          <w:kern w:val="0"/>
          <w:sz w:val="24"/>
          <w:szCs w:val="24"/>
        </w:rPr>
        <w:t>。</w:t>
      </w:r>
    </w:p>
    <w:p w14:paraId="25FD194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w:t>
      </w:r>
      <w:r>
        <w:rPr>
          <w:rFonts w:ascii="宋体" w:hAnsi="宋体"/>
          <w:kern w:val="0"/>
          <w:sz w:val="24"/>
          <w:szCs w:val="24"/>
        </w:rPr>
        <w:t>. 工程质量符合</w:t>
      </w:r>
      <w:r>
        <w:rPr>
          <w:rFonts w:hint="eastAsia" w:ascii="宋体" w:hAnsi="宋体"/>
          <w:kern w:val="0"/>
          <w:sz w:val="24"/>
          <w:szCs w:val="24"/>
          <w:u w:val="single"/>
        </w:rPr>
        <w:t xml:space="preserve">        </w:t>
      </w:r>
      <w:r>
        <w:rPr>
          <w:rFonts w:ascii="宋体" w:hAnsi="宋体"/>
          <w:kern w:val="0"/>
          <w:sz w:val="24"/>
          <w:szCs w:val="24"/>
        </w:rPr>
        <w:t>标准。</w:t>
      </w:r>
    </w:p>
    <w:p w14:paraId="745FB72D">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7</w:t>
      </w:r>
      <w:r>
        <w:rPr>
          <w:rFonts w:ascii="宋体" w:hAnsi="宋体"/>
          <w:kern w:val="0"/>
          <w:sz w:val="24"/>
          <w:szCs w:val="24"/>
        </w:rPr>
        <w:t>. 承包人承诺按合同约定承担工程的实施、完成及缺陷修复。</w:t>
      </w:r>
    </w:p>
    <w:p w14:paraId="389C238A">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8</w:t>
      </w:r>
      <w:r>
        <w:rPr>
          <w:rFonts w:ascii="宋体" w:hAnsi="宋体"/>
          <w:kern w:val="0"/>
          <w:sz w:val="24"/>
          <w:szCs w:val="24"/>
        </w:rPr>
        <w:t>. 发包人承诺按合同约定的条件、时间和方式向承包人支付合同价款。</w:t>
      </w:r>
    </w:p>
    <w:p w14:paraId="038234B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9</w:t>
      </w:r>
      <w:r>
        <w:rPr>
          <w:rFonts w:ascii="宋体" w:hAnsi="宋体"/>
          <w:kern w:val="0"/>
          <w:sz w:val="24"/>
          <w:szCs w:val="24"/>
        </w:rPr>
        <w:t>. 承包人应按照监理人指示开工，工期为</w:t>
      </w:r>
      <w:r>
        <w:rPr>
          <w:rFonts w:hint="eastAsia" w:ascii="宋体" w:hAnsi="宋体"/>
          <w:kern w:val="0"/>
          <w:sz w:val="24"/>
          <w:szCs w:val="24"/>
          <w:u w:val="single"/>
        </w:rPr>
        <w:t xml:space="preserve">      </w:t>
      </w:r>
      <w:r>
        <w:rPr>
          <w:rFonts w:hint="eastAsia" w:ascii="宋体" w:hAnsi="宋体"/>
          <w:kern w:val="0"/>
          <w:sz w:val="24"/>
          <w:szCs w:val="24"/>
        </w:rPr>
        <w:t>月</w:t>
      </w:r>
      <w:r>
        <w:rPr>
          <w:rFonts w:ascii="宋体" w:hAnsi="宋体"/>
          <w:kern w:val="0"/>
          <w:sz w:val="24"/>
          <w:szCs w:val="24"/>
        </w:rPr>
        <w:t>。</w:t>
      </w:r>
    </w:p>
    <w:p w14:paraId="08BD54B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10. 本协议书在承包人提供履约担保后，由双方法定代表人或其委托代理人签署并加盖单位章后生效。全部工程完工后经竣交工验收合格、缺陷责任期满签发缺陷责任终止证书后生效。</w:t>
      </w:r>
    </w:p>
    <w:p w14:paraId="777C4CE7">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11．本协议书正本二份、副本</w:t>
      </w:r>
      <w:r>
        <w:rPr>
          <w:rFonts w:hint="eastAsia" w:ascii="宋体" w:hAnsi="宋体"/>
          <w:kern w:val="0"/>
          <w:sz w:val="24"/>
          <w:szCs w:val="24"/>
          <w:u w:val="single"/>
        </w:rPr>
        <w:t xml:space="preserve">   </w:t>
      </w:r>
      <w:r>
        <w:rPr>
          <w:rFonts w:hint="eastAsia" w:ascii="宋体" w:hAnsi="宋体"/>
          <w:kern w:val="0"/>
          <w:sz w:val="24"/>
          <w:szCs w:val="24"/>
        </w:rPr>
        <w:t>份，合同双方各执正本一份，副本</w:t>
      </w:r>
      <w:r>
        <w:rPr>
          <w:rFonts w:hint="eastAsia" w:ascii="宋体" w:hAnsi="宋体"/>
          <w:kern w:val="0"/>
          <w:sz w:val="24"/>
          <w:szCs w:val="24"/>
          <w:u w:val="single"/>
        </w:rPr>
        <w:t xml:space="preserve">   </w:t>
      </w:r>
      <w:r>
        <w:rPr>
          <w:rFonts w:hint="eastAsia" w:ascii="宋体" w:hAnsi="宋体"/>
          <w:kern w:val="0"/>
          <w:sz w:val="24"/>
          <w:szCs w:val="24"/>
        </w:rPr>
        <w:t>份，当正本与副本的内容不一致时，以正本为准。</w:t>
      </w:r>
    </w:p>
    <w:p w14:paraId="23DC4FA9">
      <w:pPr>
        <w:widowControl/>
        <w:spacing w:line="440" w:lineRule="exact"/>
        <w:ind w:firstLine="480" w:firstLineChars="200"/>
        <w:jc w:val="left"/>
        <w:rPr>
          <w:rFonts w:ascii="宋体" w:hAnsi="宋体"/>
          <w:kern w:val="0"/>
          <w:sz w:val="24"/>
          <w:szCs w:val="24"/>
        </w:rPr>
      </w:pPr>
      <w:r>
        <w:rPr>
          <w:rFonts w:ascii="宋体" w:hAnsi="宋体"/>
          <w:kern w:val="0"/>
          <w:sz w:val="24"/>
          <w:szCs w:val="24"/>
        </w:rPr>
        <w:t>1</w:t>
      </w:r>
      <w:r>
        <w:rPr>
          <w:rFonts w:hint="eastAsia" w:ascii="宋体" w:hAnsi="宋体"/>
          <w:kern w:val="0"/>
          <w:sz w:val="24"/>
          <w:szCs w:val="24"/>
        </w:rPr>
        <w:t>2</w:t>
      </w:r>
      <w:r>
        <w:rPr>
          <w:rFonts w:ascii="宋体" w:hAnsi="宋体"/>
          <w:kern w:val="0"/>
          <w:sz w:val="24"/>
          <w:szCs w:val="24"/>
        </w:rPr>
        <w:t>.合同未尽事宜，双方另行签订补充协议。补充协议是合同的组成部分。</w:t>
      </w:r>
    </w:p>
    <w:p w14:paraId="19A6B06B">
      <w:pPr>
        <w:widowControl/>
        <w:spacing w:line="440" w:lineRule="exact"/>
        <w:jc w:val="left"/>
        <w:rPr>
          <w:rFonts w:ascii="宋体" w:hAnsi="宋体"/>
          <w:kern w:val="0"/>
          <w:sz w:val="24"/>
          <w:szCs w:val="24"/>
        </w:rPr>
      </w:pPr>
    </w:p>
    <w:p w14:paraId="0E74EE5F">
      <w:pPr>
        <w:widowControl/>
        <w:spacing w:after="200" w:line="440" w:lineRule="exact"/>
        <w:ind w:firstLine="972" w:firstLineChars="405"/>
        <w:jc w:val="left"/>
        <w:rPr>
          <w:rFonts w:ascii="宋体" w:hAnsi="宋体"/>
          <w:kern w:val="0"/>
          <w:sz w:val="24"/>
          <w:szCs w:val="24"/>
        </w:rPr>
      </w:pPr>
    </w:p>
    <w:p w14:paraId="28C93D5C">
      <w:pPr>
        <w:widowControl/>
        <w:spacing w:after="200" w:line="440" w:lineRule="exact"/>
        <w:ind w:firstLine="566" w:firstLineChars="236"/>
        <w:jc w:val="left"/>
        <w:rPr>
          <w:rFonts w:ascii="宋体" w:hAnsi="宋体"/>
          <w:kern w:val="0"/>
          <w:sz w:val="24"/>
          <w:szCs w:val="24"/>
        </w:rPr>
      </w:pPr>
      <w:r>
        <w:rPr>
          <w:rFonts w:ascii="宋体" w:hAnsi="宋体"/>
          <w:kern w:val="0"/>
          <w:sz w:val="24"/>
          <w:szCs w:val="24"/>
        </w:rPr>
        <w:t>发包人：</w:t>
      </w:r>
      <w:r>
        <w:rPr>
          <w:rFonts w:hint="eastAsia" w:ascii="宋体" w:hAnsi="宋体"/>
          <w:kern w:val="0"/>
          <w:sz w:val="24"/>
          <w:szCs w:val="24"/>
          <w:u w:val="single"/>
        </w:rPr>
        <w:t xml:space="preserve">               </w:t>
      </w:r>
      <w:r>
        <w:rPr>
          <w:rFonts w:ascii="宋体" w:hAnsi="宋体"/>
          <w:kern w:val="0"/>
          <w:sz w:val="24"/>
          <w:szCs w:val="24"/>
        </w:rPr>
        <w:t>（盖单位章）</w:t>
      </w:r>
      <w:r>
        <w:rPr>
          <w:rFonts w:hint="eastAsia" w:ascii="宋体" w:hAnsi="宋体"/>
          <w:kern w:val="0"/>
          <w:sz w:val="24"/>
          <w:szCs w:val="24"/>
        </w:rPr>
        <w:t xml:space="preserve">  </w:t>
      </w:r>
      <w:r>
        <w:rPr>
          <w:rFonts w:ascii="宋体" w:hAnsi="宋体"/>
          <w:kern w:val="0"/>
          <w:sz w:val="24"/>
          <w:szCs w:val="24"/>
        </w:rPr>
        <w:t>承包人：</w:t>
      </w:r>
      <w:r>
        <w:rPr>
          <w:rFonts w:hint="eastAsia" w:ascii="宋体" w:hAnsi="宋体"/>
          <w:kern w:val="0"/>
          <w:sz w:val="24"/>
          <w:szCs w:val="24"/>
          <w:u w:val="single"/>
        </w:rPr>
        <w:t xml:space="preserve">               </w:t>
      </w:r>
      <w:r>
        <w:rPr>
          <w:rFonts w:ascii="宋体" w:hAnsi="宋体"/>
          <w:kern w:val="0"/>
          <w:sz w:val="24"/>
          <w:szCs w:val="24"/>
        </w:rPr>
        <w:t xml:space="preserve">（盖单位章） </w:t>
      </w:r>
    </w:p>
    <w:p w14:paraId="3EB79DD7">
      <w:pPr>
        <w:widowControl/>
        <w:spacing w:after="200" w:line="440" w:lineRule="exact"/>
        <w:ind w:firstLine="566" w:firstLineChars="236"/>
        <w:jc w:val="left"/>
        <w:rPr>
          <w:rFonts w:ascii="宋体" w:hAnsi="宋体"/>
          <w:kern w:val="0"/>
          <w:sz w:val="24"/>
          <w:szCs w:val="24"/>
        </w:rPr>
      </w:pP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hint="eastAsia" w:ascii="宋体" w:hAnsi="宋体"/>
          <w:kern w:val="0"/>
          <w:sz w:val="24"/>
          <w:szCs w:val="24"/>
        </w:rPr>
        <w:t>（</w:t>
      </w:r>
      <w:r>
        <w:rPr>
          <w:rFonts w:ascii="宋体" w:hAnsi="宋体"/>
          <w:kern w:val="0"/>
          <w:sz w:val="24"/>
          <w:szCs w:val="24"/>
        </w:rPr>
        <w:t>签字）</w:t>
      </w:r>
      <w:r>
        <w:rPr>
          <w:rFonts w:hint="eastAsia" w:ascii="宋体" w:hAnsi="宋体"/>
          <w:kern w:val="0"/>
          <w:sz w:val="24"/>
          <w:szCs w:val="24"/>
        </w:rPr>
        <w:t xml:space="preserve">  </w:t>
      </w: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ascii="宋体" w:hAnsi="宋体"/>
          <w:kern w:val="0"/>
          <w:sz w:val="24"/>
          <w:szCs w:val="24"/>
        </w:rPr>
        <w:t>（签字）</w:t>
      </w:r>
    </w:p>
    <w:p w14:paraId="53A3A6DC">
      <w:pPr>
        <w:widowControl/>
        <w:spacing w:after="200" w:line="440" w:lineRule="exact"/>
        <w:ind w:firstLine="566" w:firstLineChars="236"/>
        <w:jc w:val="left"/>
        <w:rPr>
          <w:rFonts w:ascii="宋体" w:hAnsi="宋体"/>
          <w:kern w:val="0"/>
          <w:sz w:val="24"/>
          <w:szCs w:val="24"/>
          <w:lang w:eastAsia="en-US"/>
        </w:rPr>
      </w:pP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lang w:eastAsia="en-US"/>
        </w:rPr>
        <w:t>年</w:t>
      </w:r>
      <w:r>
        <w:rPr>
          <w:rFonts w:hint="eastAsia" w:ascii="宋体" w:hAnsi="宋体"/>
          <w:kern w:val="0"/>
          <w:sz w:val="24"/>
          <w:szCs w:val="24"/>
          <w:u w:val="single"/>
          <w:lang w:eastAsia="en-US"/>
        </w:rPr>
        <w:t xml:space="preserve">    </w:t>
      </w:r>
      <w:r>
        <w:rPr>
          <w:rFonts w:ascii="宋体" w:hAnsi="宋体"/>
          <w:kern w:val="0"/>
          <w:sz w:val="24"/>
          <w:szCs w:val="24"/>
          <w:lang w:eastAsia="en-US"/>
        </w:rPr>
        <w:t>月</w:t>
      </w:r>
      <w:r>
        <w:rPr>
          <w:rFonts w:hint="eastAsia" w:ascii="宋体" w:hAnsi="宋体"/>
          <w:kern w:val="0"/>
          <w:sz w:val="24"/>
          <w:szCs w:val="24"/>
          <w:u w:val="single"/>
          <w:lang w:eastAsia="en-US"/>
        </w:rPr>
        <w:t xml:space="preserve">    </w:t>
      </w:r>
      <w:r>
        <w:rPr>
          <w:rFonts w:ascii="宋体" w:hAnsi="宋体"/>
          <w:kern w:val="0"/>
          <w:sz w:val="24"/>
          <w:szCs w:val="24"/>
          <w:lang w:eastAsia="en-US"/>
        </w:rPr>
        <w:t>日</w:t>
      </w:r>
      <w:r>
        <w:rPr>
          <w:rFonts w:hint="eastAsia" w:ascii="宋体" w:hAnsi="宋体"/>
          <w:kern w:val="0"/>
          <w:sz w:val="24"/>
          <w:szCs w:val="24"/>
          <w:lang w:eastAsia="en-US"/>
        </w:rPr>
        <w:t xml:space="preserve">                       </w:t>
      </w:r>
      <w:r>
        <w:rPr>
          <w:rFonts w:hint="eastAsia" w:ascii="宋体" w:hAnsi="宋体"/>
          <w:kern w:val="0"/>
          <w:sz w:val="24"/>
          <w:szCs w:val="24"/>
          <w:u w:val="single"/>
          <w:lang w:eastAsia="en-US"/>
        </w:rPr>
        <w:t xml:space="preserve">      </w:t>
      </w:r>
      <w:r>
        <w:rPr>
          <w:rFonts w:ascii="宋体" w:hAnsi="宋体"/>
          <w:kern w:val="0"/>
          <w:sz w:val="24"/>
          <w:szCs w:val="24"/>
          <w:lang w:eastAsia="en-US"/>
        </w:rPr>
        <w:t>年</w:t>
      </w:r>
      <w:r>
        <w:rPr>
          <w:rFonts w:hint="eastAsia" w:ascii="宋体" w:hAnsi="宋体"/>
          <w:kern w:val="0"/>
          <w:sz w:val="24"/>
          <w:szCs w:val="24"/>
          <w:u w:val="single"/>
          <w:lang w:eastAsia="en-US"/>
        </w:rPr>
        <w:t xml:space="preserve">    </w:t>
      </w:r>
      <w:r>
        <w:rPr>
          <w:rFonts w:ascii="宋体" w:hAnsi="宋体"/>
          <w:kern w:val="0"/>
          <w:sz w:val="24"/>
          <w:szCs w:val="24"/>
          <w:lang w:eastAsia="en-US"/>
        </w:rPr>
        <w:t>月</w:t>
      </w:r>
      <w:r>
        <w:rPr>
          <w:rFonts w:hint="eastAsia" w:ascii="宋体" w:hAnsi="宋体"/>
          <w:kern w:val="0"/>
          <w:sz w:val="24"/>
          <w:szCs w:val="24"/>
          <w:u w:val="single"/>
          <w:lang w:eastAsia="en-US"/>
        </w:rPr>
        <w:t xml:space="preserve">    </w:t>
      </w:r>
      <w:r>
        <w:rPr>
          <w:rFonts w:ascii="宋体" w:hAnsi="宋体"/>
          <w:kern w:val="0"/>
          <w:sz w:val="24"/>
          <w:szCs w:val="24"/>
          <w:lang w:eastAsia="en-US"/>
        </w:rPr>
        <w:t>日</w:t>
      </w:r>
    </w:p>
    <w:p w14:paraId="624E5E52">
      <w:pPr>
        <w:keepNext/>
        <w:keepLines/>
        <w:spacing w:before="120" w:beforeLines="50" w:after="120" w:afterLines="50" w:line="400" w:lineRule="exact"/>
        <w:jc w:val="center"/>
        <w:rPr>
          <w:rFonts w:ascii="宋体" w:hAnsi="宋体" w:eastAsia="黑体"/>
          <w:b/>
          <w:bCs/>
          <w:kern w:val="44"/>
          <w:sz w:val="24"/>
          <w:szCs w:val="24"/>
          <w:lang w:eastAsia="en-US"/>
        </w:rPr>
      </w:pPr>
    </w:p>
    <w:p w14:paraId="61CF33D1">
      <w:pPr>
        <w:widowControl/>
        <w:jc w:val="left"/>
        <w:rPr>
          <w:rFonts w:ascii="宋体" w:eastAsia="黑体"/>
          <w:bCs/>
          <w:kern w:val="44"/>
          <w:sz w:val="24"/>
        </w:rPr>
      </w:pPr>
      <w:r>
        <w:rPr>
          <w:rFonts w:ascii="宋体" w:eastAsia="黑体"/>
          <w:bCs/>
          <w:kern w:val="44"/>
          <w:sz w:val="24"/>
        </w:rPr>
        <w:br w:type="page"/>
      </w:r>
    </w:p>
    <w:p w14:paraId="3A7DB319">
      <w:pPr>
        <w:widowControl/>
        <w:spacing w:after="200" w:line="276" w:lineRule="auto"/>
        <w:jc w:val="left"/>
        <w:rPr>
          <w:rFonts w:hint="eastAsia" w:ascii="宋体" w:hAnsi="宋体" w:cs="宋体"/>
          <w:b/>
          <w:bCs/>
          <w:kern w:val="44"/>
          <w:sz w:val="24"/>
        </w:rPr>
      </w:pPr>
      <w:bookmarkStart w:id="1692" w:name="_Toc513212916"/>
      <w:bookmarkStart w:id="1693" w:name="_Toc512689763"/>
      <w:bookmarkStart w:id="1694" w:name="_Toc234382945"/>
      <w:bookmarkStart w:id="1695" w:name="_Toc513132396"/>
      <w:r>
        <w:rPr>
          <w:rFonts w:hint="eastAsia" w:ascii="宋体" w:hAnsi="宋体" w:cs="宋体"/>
          <w:b/>
          <w:bCs/>
          <w:kern w:val="44"/>
          <w:sz w:val="24"/>
        </w:rPr>
        <w:t>附件二   廉政合同</w:t>
      </w:r>
      <w:bookmarkEnd w:id="1692"/>
      <w:bookmarkEnd w:id="1693"/>
      <w:bookmarkEnd w:id="1694"/>
      <w:bookmarkEnd w:id="1695"/>
    </w:p>
    <w:p w14:paraId="54A8271E">
      <w:pPr>
        <w:widowControl/>
        <w:spacing w:after="200" w:line="276" w:lineRule="auto"/>
        <w:jc w:val="center"/>
        <w:rPr>
          <w:rFonts w:hint="eastAsia" w:ascii="宋体" w:hAnsi="宋体" w:cs="宋体"/>
          <w:b/>
          <w:bCs/>
          <w:kern w:val="44"/>
          <w:sz w:val="24"/>
        </w:rPr>
      </w:pPr>
      <w:r>
        <w:rPr>
          <w:rFonts w:hint="eastAsia" w:ascii="宋体" w:hAnsi="宋体" w:cs="宋体"/>
          <w:b/>
          <w:bCs/>
          <w:kern w:val="44"/>
          <w:sz w:val="24"/>
        </w:rPr>
        <w:t>廉政合同</w:t>
      </w:r>
    </w:p>
    <w:p w14:paraId="2A864030">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kern w:val="0"/>
          <w:sz w:val="24"/>
          <w:szCs w:val="24"/>
          <w:u w:val="single"/>
        </w:rPr>
        <w:t xml:space="preserve">     </w:t>
      </w:r>
      <w:r>
        <w:rPr>
          <w:rFonts w:hint="eastAsia" w:ascii="宋体" w:hAnsi="宋体"/>
          <w:kern w:val="0"/>
          <w:sz w:val="24"/>
          <w:szCs w:val="24"/>
        </w:rPr>
        <w:t>（项目名称）项目法人</w:t>
      </w:r>
      <w:r>
        <w:rPr>
          <w:rFonts w:hint="eastAsia" w:ascii="宋体" w:hAnsi="宋体"/>
          <w:kern w:val="0"/>
          <w:sz w:val="24"/>
          <w:szCs w:val="24"/>
          <w:u w:val="single"/>
        </w:rPr>
        <w:t xml:space="preserve">          </w:t>
      </w:r>
      <w:r>
        <w:rPr>
          <w:rFonts w:hint="eastAsia" w:ascii="宋体" w:hAnsi="宋体"/>
          <w:kern w:val="0"/>
          <w:sz w:val="24"/>
          <w:szCs w:val="24"/>
        </w:rPr>
        <w:t xml:space="preserve"> （项目法人名称，以下简称“发包人”）与该项目</w:t>
      </w:r>
      <w:r>
        <w:rPr>
          <w:rFonts w:hint="eastAsia" w:ascii="宋体" w:hAnsi="宋体"/>
          <w:kern w:val="0"/>
          <w:sz w:val="24"/>
          <w:szCs w:val="24"/>
          <w:u w:val="single"/>
        </w:rPr>
        <w:t xml:space="preserve">    </w:t>
      </w:r>
      <w:r>
        <w:rPr>
          <w:rFonts w:hint="eastAsia" w:ascii="宋体" w:hAnsi="宋体"/>
          <w:kern w:val="0"/>
          <w:sz w:val="24"/>
          <w:szCs w:val="24"/>
        </w:rPr>
        <w:t>标段的施工单位</w:t>
      </w:r>
      <w:r>
        <w:rPr>
          <w:rFonts w:hint="eastAsia" w:ascii="宋体" w:hAnsi="宋体"/>
          <w:kern w:val="0"/>
          <w:sz w:val="24"/>
          <w:szCs w:val="24"/>
          <w:u w:val="single"/>
        </w:rPr>
        <w:t xml:space="preserve">      </w:t>
      </w:r>
      <w:r>
        <w:rPr>
          <w:rFonts w:hint="eastAsia" w:ascii="宋体" w:hAnsi="宋体"/>
          <w:kern w:val="0"/>
          <w:sz w:val="24"/>
          <w:szCs w:val="24"/>
        </w:rPr>
        <w:t>（施工单位名称，以下简称“承包人”），特订立如下合同。</w:t>
      </w:r>
    </w:p>
    <w:p w14:paraId="47B05D6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1．发包人和承包人双方的权利和义务</w:t>
      </w:r>
    </w:p>
    <w:p w14:paraId="2D1BDF2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（1）严格遵守党的政策规定和国家有关法律法规及交通运输部的有关规定。</w:t>
      </w:r>
    </w:p>
    <w:p w14:paraId="49552F2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（2）严格执行</w:t>
      </w:r>
      <w:r>
        <w:rPr>
          <w:rFonts w:hint="eastAsia" w:ascii="宋体" w:hAnsi="宋体"/>
          <w:kern w:val="0"/>
          <w:sz w:val="24"/>
          <w:szCs w:val="24"/>
          <w:u w:val="single"/>
        </w:rPr>
        <w:t xml:space="preserve">     </w:t>
      </w:r>
      <w:r>
        <w:rPr>
          <w:rFonts w:hint="eastAsia" w:ascii="宋体" w:hAnsi="宋体"/>
          <w:kern w:val="0"/>
          <w:sz w:val="24"/>
          <w:szCs w:val="24"/>
        </w:rPr>
        <w:t>（项目名称）</w:t>
      </w:r>
      <w:r>
        <w:rPr>
          <w:rFonts w:hint="eastAsia" w:ascii="宋体" w:hAnsi="宋体"/>
          <w:kern w:val="0"/>
          <w:sz w:val="24"/>
          <w:szCs w:val="24"/>
          <w:u w:val="single"/>
        </w:rPr>
        <w:t xml:space="preserve">      </w:t>
      </w:r>
      <w:r>
        <w:rPr>
          <w:rFonts w:hint="eastAsia" w:ascii="宋体" w:hAnsi="宋体"/>
          <w:kern w:val="0"/>
          <w:sz w:val="24"/>
          <w:szCs w:val="24"/>
        </w:rPr>
        <w:t>标段施工合同文件，自觉按合同办事。</w:t>
      </w:r>
    </w:p>
    <w:p w14:paraId="37CF61A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（3）双方的业务活动坚持公开、公正、诚信、透明的原则（法律认定的商业秘密和合同文件另有规定除外），不得损害国家和集体利益，不得违反工程建设管理规章制度。</w:t>
      </w:r>
    </w:p>
    <w:p w14:paraId="06EF1800">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（4）建立健全廉政制度，开展廉政教育，设立廉政告示牌，公布举报电话，监督并认真查处违法违纪行为。</w:t>
      </w:r>
    </w:p>
    <w:p w14:paraId="1ABDFF0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（5）发现对方在业务活动中有违反廉政规定的行为，有及时提醒对方纠正的权利和义务。</w:t>
      </w:r>
    </w:p>
    <w:p w14:paraId="4D196952">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（6）发现对方严重违反本合同义务条款的行为，有向其上级有关部门举报、建议给予处理并要求告知处理结果的权利。</w:t>
      </w:r>
    </w:p>
    <w:p w14:paraId="0FFB2D1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2．发包人的义务</w:t>
      </w:r>
    </w:p>
    <w:p w14:paraId="38BE8F0A">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（1）发包人及其工作人员不得索要或接受承包人的礼金、有价证券和贵重物品，不得让承包人报销任何应由发包人或发包人工作人员个人支付的费用等。</w:t>
      </w:r>
    </w:p>
    <w:p w14:paraId="02EF7034">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（2）发包人工作人员不得参加承包人安排的超标准宴请和娱乐活动；不得接受承包人提供的通讯工具、交通工具和高档办公用品等。</w:t>
      </w:r>
    </w:p>
    <w:p w14:paraId="308F266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（3）发包人及其工作人员不利要求或者接受承包人为其住房装修、婚丧嫁娶活动、配偶子女的工作安排以及出国出境、旅游等提供方便等。</w:t>
      </w:r>
    </w:p>
    <w:p w14:paraId="082BBCD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（4）发包人工作人员及其配偶、子女不得从事与发包人工作有关的材料设备供应、工程分包、劳务等经济活动等。</w:t>
      </w:r>
    </w:p>
    <w:p w14:paraId="0945C9DD">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（5）发包人及期工作人员不得以任何理由向承包人推荐分包单位或推销材料，不得要求承包人购买合同规定外的材料和设备。</w:t>
      </w:r>
    </w:p>
    <w:p w14:paraId="73D720C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（6）发包人工作人员要秉公办事，不准营私舞弊，不准利用职权从事各种个人有偿中介活动和安排个人施工队伍。</w:t>
      </w:r>
    </w:p>
    <w:p w14:paraId="7213FEF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3．承包人的义务</w:t>
      </w:r>
    </w:p>
    <w:p w14:paraId="7A4DAA7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（1）承包人不得以任何理由向发包人及其工作人员行贿或馈赠礼金、有价证券、贵重礼品。</w:t>
      </w:r>
    </w:p>
    <w:p w14:paraId="1ED95590">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（2）承包人不得以任何名义为发包人及其工作人员报销应由发包人单位或个人支付的任何费用。</w:t>
      </w:r>
    </w:p>
    <w:p w14:paraId="2E1FE5D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（3）承包人不得以任何理由安排发包人工作人员参加超标准宴请及娱乐活动。</w:t>
      </w:r>
    </w:p>
    <w:p w14:paraId="0E322BD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（4）承包人不得为发包人单位和个人购置或提供通讯工具、交通工具和高档办公用品等。</w:t>
      </w:r>
    </w:p>
    <w:p w14:paraId="5EBA230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4．违约责任</w:t>
      </w:r>
    </w:p>
    <w:p w14:paraId="0072E62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（1）发包人及其工作人员违反本合同第1、2条，按管理权限，依据有关规定给予党纪、政纪或组织处理；涉嫌犯罪的，移交司法机关追究刑事责任；给承包人单位造成经济损失的，应予以赔偿。</w:t>
      </w:r>
    </w:p>
    <w:p w14:paraId="5A73CD04">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承包人及其工作人员违反本合同第1、3条，按管理权限，依据有关规定给予党纪、政纪或组织处理；给发包人单位造成经济损失的，应予以赔偿；情节严重的，发包人建议交通主管部门给予承包人一至三年内不得进入其主管的公路建设市场的处罚。</w:t>
      </w:r>
    </w:p>
    <w:p w14:paraId="138D232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195AB005">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6.本合同有效期为发包人和承包人签署之日起至该工程项目竣工验收后止。</w:t>
      </w:r>
    </w:p>
    <w:p w14:paraId="4E747E8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7．本合同作为</w:t>
      </w:r>
      <w:r>
        <w:rPr>
          <w:rFonts w:hint="eastAsia" w:ascii="宋体" w:hAnsi="宋体"/>
          <w:kern w:val="0"/>
          <w:sz w:val="24"/>
          <w:szCs w:val="24"/>
          <w:u w:val="single"/>
        </w:rPr>
        <w:t xml:space="preserve">   </w:t>
      </w:r>
      <w:r>
        <w:rPr>
          <w:rFonts w:hint="eastAsia" w:ascii="宋体" w:hAnsi="宋体"/>
          <w:kern w:val="0"/>
          <w:sz w:val="24"/>
          <w:szCs w:val="24"/>
        </w:rPr>
        <w:t>（项目名称）</w:t>
      </w:r>
      <w:r>
        <w:rPr>
          <w:rFonts w:hint="eastAsia" w:ascii="宋体" w:hAnsi="宋体"/>
          <w:kern w:val="0"/>
          <w:sz w:val="24"/>
          <w:szCs w:val="24"/>
          <w:u w:val="single"/>
        </w:rPr>
        <w:t xml:space="preserve">    </w:t>
      </w:r>
      <w:r>
        <w:rPr>
          <w:rFonts w:hint="eastAsia" w:ascii="宋体" w:hAnsi="宋体"/>
          <w:kern w:val="0"/>
          <w:sz w:val="24"/>
          <w:szCs w:val="24"/>
        </w:rPr>
        <w:t>标段施工合同的附件，与工程施工合同具有同等的法律效力，经合同双方签署后立即生效。</w:t>
      </w:r>
    </w:p>
    <w:p w14:paraId="79764D93">
      <w:pPr>
        <w:widowControl/>
        <w:spacing w:line="440" w:lineRule="exact"/>
        <w:ind w:firstLine="480" w:firstLineChars="200"/>
        <w:jc w:val="left"/>
        <w:rPr>
          <w:rFonts w:hint="eastAsia" w:ascii="宋体" w:hAnsi="宋体"/>
          <w:kern w:val="0"/>
          <w:sz w:val="24"/>
          <w:szCs w:val="24"/>
        </w:rPr>
      </w:pPr>
      <w:r>
        <w:rPr>
          <w:rFonts w:hint="eastAsia" w:ascii="宋体" w:hAnsi="宋体"/>
          <w:kern w:val="0"/>
          <w:sz w:val="24"/>
          <w:szCs w:val="24"/>
        </w:rPr>
        <w:t>8．本合同一式四份，由发包人和承包人各执—份，送交发包人和承包人的监督单位各一份</w:t>
      </w:r>
    </w:p>
    <w:p w14:paraId="2930D421">
      <w:pPr>
        <w:widowControl/>
        <w:spacing w:line="440" w:lineRule="exact"/>
        <w:jc w:val="left"/>
        <w:rPr>
          <w:rFonts w:ascii="宋体" w:hAnsi="宋体"/>
          <w:kern w:val="0"/>
          <w:sz w:val="24"/>
          <w:szCs w:val="24"/>
        </w:rPr>
      </w:pPr>
      <w:r>
        <w:rPr>
          <w:rFonts w:ascii="宋体" w:hAnsi="宋体"/>
          <w:kern w:val="0"/>
          <w:sz w:val="24"/>
          <w:szCs w:val="24"/>
        </w:rPr>
        <w:t>发包人：</w:t>
      </w:r>
      <w:r>
        <w:rPr>
          <w:rFonts w:hint="eastAsia" w:ascii="宋体" w:hAnsi="宋体"/>
          <w:kern w:val="0"/>
          <w:sz w:val="24"/>
          <w:szCs w:val="24"/>
          <w:u w:val="single"/>
        </w:rPr>
        <w:t xml:space="preserve">                </w:t>
      </w:r>
      <w:r>
        <w:rPr>
          <w:rFonts w:ascii="宋体" w:hAnsi="宋体"/>
          <w:kern w:val="0"/>
          <w:sz w:val="24"/>
          <w:szCs w:val="24"/>
        </w:rPr>
        <w:t>（盖单位章）</w:t>
      </w:r>
      <w:r>
        <w:rPr>
          <w:rFonts w:hint="eastAsia" w:ascii="宋体" w:hAnsi="宋体"/>
          <w:kern w:val="0"/>
          <w:sz w:val="24"/>
          <w:szCs w:val="24"/>
        </w:rPr>
        <w:t xml:space="preserve">  </w:t>
      </w:r>
      <w:r>
        <w:rPr>
          <w:rFonts w:ascii="宋体" w:hAnsi="宋体"/>
          <w:kern w:val="0"/>
          <w:sz w:val="24"/>
          <w:szCs w:val="24"/>
        </w:rPr>
        <w:t>承包人：</w:t>
      </w:r>
      <w:r>
        <w:rPr>
          <w:rFonts w:hint="eastAsia" w:ascii="宋体" w:hAnsi="宋体"/>
          <w:kern w:val="0"/>
          <w:sz w:val="24"/>
          <w:szCs w:val="24"/>
          <w:u w:val="single"/>
        </w:rPr>
        <w:t xml:space="preserve">                </w:t>
      </w:r>
      <w:r>
        <w:rPr>
          <w:rFonts w:ascii="宋体" w:hAnsi="宋体"/>
          <w:kern w:val="0"/>
          <w:sz w:val="24"/>
          <w:szCs w:val="24"/>
        </w:rPr>
        <w:t xml:space="preserve">（盖单位章） </w:t>
      </w:r>
    </w:p>
    <w:p w14:paraId="77F8911C">
      <w:pPr>
        <w:widowControl/>
        <w:spacing w:line="440" w:lineRule="exact"/>
        <w:jc w:val="left"/>
        <w:rPr>
          <w:rFonts w:ascii="宋体" w:hAnsi="宋体"/>
          <w:kern w:val="0"/>
          <w:sz w:val="24"/>
          <w:szCs w:val="24"/>
        </w:rPr>
      </w:pP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hint="eastAsia" w:ascii="宋体" w:hAnsi="宋体"/>
          <w:kern w:val="0"/>
          <w:sz w:val="24"/>
          <w:szCs w:val="24"/>
        </w:rPr>
        <w:t>（</w:t>
      </w:r>
      <w:r>
        <w:rPr>
          <w:rFonts w:ascii="宋体" w:hAnsi="宋体"/>
          <w:kern w:val="0"/>
          <w:sz w:val="24"/>
          <w:szCs w:val="24"/>
        </w:rPr>
        <w:t>签字）</w:t>
      </w:r>
      <w:r>
        <w:rPr>
          <w:rFonts w:hint="eastAsia" w:ascii="宋体" w:hAnsi="宋体"/>
          <w:kern w:val="0"/>
          <w:sz w:val="24"/>
          <w:szCs w:val="24"/>
        </w:rPr>
        <w:t xml:space="preserve">  </w:t>
      </w: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ascii="宋体" w:hAnsi="宋体"/>
          <w:kern w:val="0"/>
          <w:sz w:val="24"/>
          <w:szCs w:val="24"/>
        </w:rPr>
        <w:t>（签字）</w:t>
      </w:r>
    </w:p>
    <w:p w14:paraId="7E8BA229">
      <w:pPr>
        <w:widowControl/>
        <w:spacing w:line="440" w:lineRule="exact"/>
        <w:ind w:firstLine="840"/>
        <w:jc w:val="left"/>
        <w:rPr>
          <w:rFonts w:ascii="宋体" w:hAnsi="宋体"/>
          <w:kern w:val="0"/>
          <w:sz w:val="24"/>
          <w:szCs w:val="24"/>
        </w:rPr>
      </w:pP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p>
    <w:p w14:paraId="40AFB3A1">
      <w:pPr>
        <w:widowControl/>
        <w:spacing w:line="440" w:lineRule="exact"/>
        <w:jc w:val="left"/>
        <w:rPr>
          <w:rFonts w:ascii="宋体" w:hAnsi="宋体"/>
          <w:kern w:val="0"/>
          <w:sz w:val="24"/>
          <w:szCs w:val="24"/>
        </w:rPr>
      </w:pPr>
      <w:r>
        <w:rPr>
          <w:rFonts w:hint="eastAsia" w:ascii="宋体" w:hAnsi="宋体"/>
          <w:kern w:val="0"/>
          <w:sz w:val="24"/>
          <w:szCs w:val="24"/>
        </w:rPr>
        <w:t>发包人监督单位：</w:t>
      </w:r>
      <w:r>
        <w:rPr>
          <w:rFonts w:hint="eastAsia" w:ascii="宋体" w:hAnsi="宋体"/>
          <w:kern w:val="0"/>
          <w:sz w:val="24"/>
          <w:szCs w:val="24"/>
          <w:u w:val="single"/>
        </w:rPr>
        <w:t>（全称） （盖单位章）</w:t>
      </w:r>
      <w:r>
        <w:rPr>
          <w:rFonts w:hint="eastAsia" w:ascii="宋体" w:hAnsi="宋体"/>
          <w:kern w:val="0"/>
          <w:sz w:val="24"/>
          <w:szCs w:val="24"/>
        </w:rPr>
        <w:t xml:space="preserve">  承包人监督单位：</w:t>
      </w:r>
      <w:r>
        <w:rPr>
          <w:rFonts w:hint="eastAsia" w:ascii="宋体" w:hAnsi="宋体"/>
          <w:kern w:val="0"/>
          <w:sz w:val="24"/>
          <w:szCs w:val="24"/>
          <w:u w:val="single"/>
        </w:rPr>
        <w:t>（全称） （盖单位章）</w:t>
      </w:r>
    </w:p>
    <w:p w14:paraId="431869C9">
      <w:pPr>
        <w:widowControl/>
        <w:jc w:val="left"/>
        <w:rPr>
          <w:rFonts w:ascii="宋体" w:eastAsia="黑体"/>
          <w:bCs/>
          <w:kern w:val="44"/>
          <w:sz w:val="24"/>
        </w:rPr>
      </w:pPr>
      <w:r>
        <w:rPr>
          <w:rFonts w:ascii="宋体" w:eastAsia="黑体"/>
          <w:bCs/>
          <w:kern w:val="44"/>
          <w:sz w:val="24"/>
        </w:rPr>
        <w:br w:type="page"/>
      </w:r>
    </w:p>
    <w:p w14:paraId="2A14E0F1">
      <w:pPr>
        <w:widowControl/>
        <w:spacing w:after="200" w:line="276" w:lineRule="auto"/>
        <w:jc w:val="left"/>
        <w:rPr>
          <w:rFonts w:hint="eastAsia" w:ascii="宋体" w:hAnsi="宋体" w:cs="宋体"/>
          <w:b/>
          <w:bCs/>
          <w:kern w:val="44"/>
          <w:sz w:val="24"/>
        </w:rPr>
      </w:pPr>
      <w:bookmarkStart w:id="1696" w:name="_Toc513212917"/>
      <w:r>
        <w:rPr>
          <w:rFonts w:hint="eastAsia" w:ascii="宋体" w:hAnsi="宋体" w:cs="宋体"/>
          <w:b/>
          <w:bCs/>
          <w:kern w:val="44"/>
          <w:sz w:val="24"/>
        </w:rPr>
        <w:t>附件三   安全生产合同</w:t>
      </w:r>
      <w:bookmarkEnd w:id="1696"/>
    </w:p>
    <w:p w14:paraId="59C4D5FC">
      <w:pPr>
        <w:widowControl/>
        <w:spacing w:after="200" w:line="276" w:lineRule="auto"/>
        <w:jc w:val="center"/>
        <w:rPr>
          <w:rFonts w:hint="eastAsia" w:ascii="宋体" w:hAnsi="宋体" w:cs="宋体"/>
          <w:b/>
          <w:bCs/>
          <w:kern w:val="44"/>
          <w:sz w:val="24"/>
        </w:rPr>
      </w:pPr>
      <w:r>
        <w:rPr>
          <w:rFonts w:hint="eastAsia" w:ascii="宋体" w:hAnsi="宋体" w:cs="宋体"/>
          <w:b/>
          <w:bCs/>
          <w:kern w:val="44"/>
          <w:sz w:val="24"/>
        </w:rPr>
        <w:t>安全生产合同</w:t>
      </w:r>
    </w:p>
    <w:p w14:paraId="6562CF7D">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为在</w:t>
      </w:r>
      <w:r>
        <w:rPr>
          <w:rFonts w:hint="eastAsia" w:ascii="宋体" w:hAnsi="宋体"/>
          <w:kern w:val="0"/>
          <w:sz w:val="24"/>
          <w:szCs w:val="24"/>
          <w:u w:val="single"/>
        </w:rPr>
        <w:t xml:space="preserve">      </w:t>
      </w:r>
      <w:r>
        <w:rPr>
          <w:rFonts w:hint="eastAsia" w:ascii="宋体" w:hAnsi="宋体"/>
          <w:kern w:val="0"/>
          <w:sz w:val="24"/>
          <w:szCs w:val="24"/>
        </w:rPr>
        <w:t>（项目名称）</w:t>
      </w:r>
      <w:r>
        <w:rPr>
          <w:rFonts w:hint="eastAsia" w:ascii="宋体" w:hAnsi="宋体"/>
          <w:kern w:val="0"/>
          <w:sz w:val="24"/>
          <w:szCs w:val="24"/>
          <w:u w:val="single"/>
        </w:rPr>
        <w:t xml:space="preserve">    </w:t>
      </w:r>
      <w:r>
        <w:rPr>
          <w:rFonts w:hint="eastAsia" w:ascii="宋体" w:hAnsi="宋体"/>
          <w:kern w:val="0"/>
          <w:sz w:val="24"/>
          <w:szCs w:val="24"/>
        </w:rPr>
        <w:t>（标段）施工合同的实施过程中创造安全、高效的施工环境，切实搞好本项目的安全管理工作，本项目发包人</w:t>
      </w:r>
      <w:r>
        <w:rPr>
          <w:rFonts w:hint="eastAsia" w:ascii="宋体" w:hAnsi="宋体"/>
          <w:kern w:val="0"/>
          <w:sz w:val="24"/>
          <w:szCs w:val="24"/>
          <w:u w:val="single"/>
        </w:rPr>
        <w:t xml:space="preserve">    </w:t>
      </w:r>
      <w:r>
        <w:rPr>
          <w:rFonts w:hint="eastAsia" w:ascii="宋体" w:hAnsi="宋体"/>
          <w:kern w:val="0"/>
          <w:sz w:val="24"/>
          <w:szCs w:val="24"/>
        </w:rPr>
        <w:t>（发包人名称，以下简称“发包人”）与承包人</w:t>
      </w:r>
      <w:r>
        <w:rPr>
          <w:rFonts w:hint="eastAsia" w:ascii="宋体" w:hAnsi="宋体"/>
          <w:kern w:val="0"/>
          <w:sz w:val="24"/>
          <w:szCs w:val="24"/>
          <w:u w:val="single"/>
        </w:rPr>
        <w:t xml:space="preserve">    </w:t>
      </w:r>
      <w:r>
        <w:rPr>
          <w:rFonts w:hint="eastAsia" w:ascii="宋体" w:hAnsi="宋体"/>
          <w:kern w:val="0"/>
          <w:sz w:val="24"/>
          <w:szCs w:val="24"/>
        </w:rPr>
        <w:t>（承包人名称，以下简称“承包人”）特此签订安全生产合同：</w:t>
      </w:r>
    </w:p>
    <w:p w14:paraId="39078B8C">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1.发包人职责</w:t>
      </w:r>
    </w:p>
    <w:p w14:paraId="33F1817A">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（1）严格遵守国家有关安全生产的法律法规，认真执行工程承包合同中的有关安全要求。</w:t>
      </w:r>
    </w:p>
    <w:p w14:paraId="11ECF7E3">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（2）按照“安全第一、预防为主”和坚持“管生产必须管安全”的原则进行安全生产管理，做到生产与安全工作同时计划、布置、检查、总结和评比。</w:t>
      </w:r>
    </w:p>
    <w:p w14:paraId="65A38202">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（3）重要的安全设施必须坚持与主体工程“三同时”的原则，即：同时设计、审批，同时施工，同时验收，投入使用。</w:t>
      </w:r>
    </w:p>
    <w:p w14:paraId="57C8490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（4）定期召开安全生产调度会，及时传达中央及地方有关安全生产的精神。</w:t>
      </w:r>
    </w:p>
    <w:p w14:paraId="0F44EE4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（5）组织对承包人施工现场安全生产检查，监督承包人及时处理发现的各种安全隐患。</w:t>
      </w:r>
    </w:p>
    <w:p w14:paraId="14B9F636">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2.承包人职责</w:t>
      </w:r>
    </w:p>
    <w:p w14:paraId="153A0A77">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严格遵守《中华人民共和国安全生产法》、《建设工程安全生产管理条例》等国家有关安全生产的法律法规、《公路水运工程安全生产监督管理办法》、《公路工程施工安全技术规程》和《公路筑养路机械操作规程》等有关安全生产的规定。认真执行工程承包合同中的有关安全要求。</w:t>
      </w:r>
    </w:p>
    <w:p w14:paraId="4AE5BDF7">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79E9C752">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建立健全安全生产责任制。从派往项目实施的项目负责人到生产工人（包括临时雇请的民工）的安全生产管理系统必须做到纵向到底，—环不漏；各职能部门、人员的安全生产责任制做到横向到边，人人有责。项目负责人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54AD9D8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（4）承包人在任何时候都应采取各种合理的预防措施，防止其员工发生任何违法、违禁、暴力或妨碍治安的行为。</w:t>
      </w:r>
    </w:p>
    <w:p w14:paraId="1B6F3A9E">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5）对于从事电气、起重、建筑登高架设作业、锅炉、压力容器、焊接、机动车船艇驾驶、爆破、潜水、瓦斯检验等特殊工种的人员，经过专业培训，获得《安全操作合格证》后，方准持证上岗。施工现场如出现特种作业无证操作现象时，项目负责人必须承担管理责任。</w:t>
      </w:r>
    </w:p>
    <w:p w14:paraId="3F55230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448B53A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（7）操作人员上岗，必须按规定穿戴防护用品。施工负责人和安全检查员应随时检查劳动防护用品的穿戴情况，不按规定穿戴防护用品的人员不得上岗。</w:t>
      </w:r>
    </w:p>
    <w:p w14:paraId="1A2FB631">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（8）所有施工机具设备和高空作业的设备均应定期检查，并有安全员的签字记录，保证其经常处于完好状态；不合格的机具、设备和劳动保护用品严禁使用：</w:t>
      </w:r>
    </w:p>
    <w:p w14:paraId="41B1E88D">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（9）施工中采用新技术、新工艺、新设备、新材料时，必须制定相应的安全技术措施，施工现场必须具有相关的安全标志牌。</w:t>
      </w:r>
    </w:p>
    <w:p w14:paraId="3CA38CD9">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24394538">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（11）安全生产费用按照《公路水运工程安全生产监督管理办法》的相关规定使用和管理。</w:t>
      </w:r>
    </w:p>
    <w:p w14:paraId="0F3A8E33">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3.违约责任</w:t>
      </w:r>
    </w:p>
    <w:p w14:paraId="4ABDE81F">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如因发包人或承包人违约造成安全事故，将依法追究责任。</w:t>
      </w:r>
    </w:p>
    <w:p w14:paraId="5D64A082">
      <w:pPr>
        <w:widowControl/>
        <w:spacing w:line="440" w:lineRule="exact"/>
        <w:ind w:firstLine="480" w:firstLineChars="200"/>
        <w:jc w:val="left"/>
        <w:rPr>
          <w:rFonts w:ascii="宋体" w:hAnsi="宋体"/>
          <w:kern w:val="0"/>
          <w:sz w:val="24"/>
          <w:szCs w:val="24"/>
        </w:rPr>
      </w:pPr>
      <w:r>
        <w:rPr>
          <w:rFonts w:hint="eastAsia" w:ascii="宋体" w:hAnsi="宋体"/>
          <w:kern w:val="0"/>
          <w:sz w:val="24"/>
          <w:szCs w:val="24"/>
        </w:rPr>
        <w:t>4.本合同由双方法定代表人或其授权的代理人签署并加盖单位章后生效，全部工程竣工验收后失效。</w:t>
      </w:r>
    </w:p>
    <w:p w14:paraId="316C3D62">
      <w:pPr>
        <w:widowControl/>
        <w:spacing w:line="440" w:lineRule="exact"/>
        <w:ind w:firstLine="480" w:firstLineChars="200"/>
        <w:jc w:val="left"/>
        <w:rPr>
          <w:rFonts w:hint="eastAsia" w:ascii="宋体" w:hAnsi="宋体"/>
          <w:kern w:val="0"/>
          <w:sz w:val="24"/>
          <w:szCs w:val="24"/>
        </w:rPr>
      </w:pPr>
      <w:r>
        <w:rPr>
          <w:rFonts w:hint="eastAsia" w:ascii="宋体" w:hAnsi="宋体"/>
          <w:kern w:val="0"/>
          <w:sz w:val="24"/>
          <w:szCs w:val="24"/>
        </w:rPr>
        <w:t>5.本合同正本—式二份，副本</w:t>
      </w:r>
      <w:r>
        <w:rPr>
          <w:rFonts w:hint="eastAsia" w:ascii="宋体" w:hAnsi="宋体"/>
          <w:kern w:val="0"/>
          <w:sz w:val="24"/>
          <w:szCs w:val="24"/>
          <w:u w:val="single"/>
        </w:rPr>
        <w:t xml:space="preserve">  </w:t>
      </w:r>
      <w:r>
        <w:rPr>
          <w:rFonts w:hint="eastAsia" w:ascii="宋体" w:hAnsi="宋体"/>
          <w:kern w:val="0"/>
          <w:sz w:val="24"/>
          <w:szCs w:val="24"/>
        </w:rPr>
        <w:t>份，合同双方各执正本—份，副本</w:t>
      </w:r>
      <w:r>
        <w:rPr>
          <w:rFonts w:hint="eastAsia" w:ascii="宋体" w:hAnsi="宋体"/>
          <w:kern w:val="0"/>
          <w:sz w:val="24"/>
          <w:szCs w:val="24"/>
          <w:u w:val="single"/>
        </w:rPr>
        <w:t xml:space="preserve">  </w:t>
      </w:r>
      <w:r>
        <w:rPr>
          <w:rFonts w:hint="eastAsia" w:ascii="宋体" w:hAnsi="宋体"/>
          <w:kern w:val="0"/>
          <w:sz w:val="24"/>
          <w:szCs w:val="24"/>
        </w:rPr>
        <w:t>份，当正本与副本的内容不一致时，以正本为准。</w:t>
      </w:r>
    </w:p>
    <w:p w14:paraId="1BA14686">
      <w:pPr>
        <w:widowControl/>
        <w:spacing w:line="440" w:lineRule="exact"/>
        <w:jc w:val="left"/>
        <w:rPr>
          <w:rFonts w:ascii="宋体" w:hAnsi="宋体"/>
          <w:kern w:val="0"/>
          <w:sz w:val="24"/>
          <w:szCs w:val="24"/>
        </w:rPr>
      </w:pPr>
      <w:r>
        <w:rPr>
          <w:rFonts w:ascii="宋体" w:hAnsi="宋体"/>
          <w:kern w:val="0"/>
          <w:sz w:val="24"/>
          <w:szCs w:val="24"/>
        </w:rPr>
        <w:t>发包人：</w:t>
      </w:r>
      <w:r>
        <w:rPr>
          <w:rFonts w:hint="eastAsia" w:ascii="宋体" w:hAnsi="宋体"/>
          <w:kern w:val="0"/>
          <w:sz w:val="24"/>
          <w:szCs w:val="24"/>
          <w:u w:val="single"/>
        </w:rPr>
        <w:t xml:space="preserve">                </w:t>
      </w:r>
      <w:r>
        <w:rPr>
          <w:rFonts w:ascii="宋体" w:hAnsi="宋体"/>
          <w:kern w:val="0"/>
          <w:sz w:val="24"/>
          <w:szCs w:val="24"/>
        </w:rPr>
        <w:t>（盖单位章）</w:t>
      </w:r>
      <w:r>
        <w:rPr>
          <w:rFonts w:hint="eastAsia" w:ascii="宋体" w:hAnsi="宋体"/>
          <w:kern w:val="0"/>
          <w:sz w:val="24"/>
          <w:szCs w:val="24"/>
        </w:rPr>
        <w:t xml:space="preserve">  </w:t>
      </w:r>
      <w:r>
        <w:rPr>
          <w:rFonts w:ascii="宋体" w:hAnsi="宋体"/>
          <w:kern w:val="0"/>
          <w:sz w:val="24"/>
          <w:szCs w:val="24"/>
        </w:rPr>
        <w:t>承包人：</w:t>
      </w:r>
      <w:r>
        <w:rPr>
          <w:rFonts w:hint="eastAsia" w:ascii="宋体" w:hAnsi="宋体"/>
          <w:kern w:val="0"/>
          <w:sz w:val="24"/>
          <w:szCs w:val="24"/>
          <w:u w:val="single"/>
        </w:rPr>
        <w:t xml:space="preserve">                </w:t>
      </w:r>
      <w:r>
        <w:rPr>
          <w:rFonts w:ascii="宋体" w:hAnsi="宋体"/>
          <w:kern w:val="0"/>
          <w:sz w:val="24"/>
          <w:szCs w:val="24"/>
        </w:rPr>
        <w:t xml:space="preserve">（盖单位章） </w:t>
      </w:r>
    </w:p>
    <w:p w14:paraId="741082F2">
      <w:pPr>
        <w:widowControl/>
        <w:spacing w:line="440" w:lineRule="exact"/>
        <w:jc w:val="left"/>
        <w:rPr>
          <w:rFonts w:ascii="宋体" w:hAnsi="宋体"/>
          <w:kern w:val="0"/>
          <w:sz w:val="24"/>
          <w:szCs w:val="24"/>
        </w:rPr>
      </w:pP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hint="eastAsia" w:ascii="宋体" w:hAnsi="宋体"/>
          <w:kern w:val="0"/>
          <w:sz w:val="24"/>
          <w:szCs w:val="24"/>
        </w:rPr>
        <w:t>（</w:t>
      </w:r>
      <w:r>
        <w:rPr>
          <w:rFonts w:ascii="宋体" w:hAnsi="宋体"/>
          <w:kern w:val="0"/>
          <w:sz w:val="24"/>
          <w:szCs w:val="24"/>
        </w:rPr>
        <w:t>签字）</w:t>
      </w:r>
      <w:r>
        <w:rPr>
          <w:rFonts w:hint="eastAsia" w:ascii="宋体" w:hAnsi="宋体"/>
          <w:kern w:val="0"/>
          <w:sz w:val="24"/>
          <w:szCs w:val="24"/>
        </w:rPr>
        <w:t xml:space="preserve">  </w:t>
      </w:r>
      <w:r>
        <w:rPr>
          <w:rFonts w:ascii="宋体" w:hAnsi="宋体"/>
          <w:kern w:val="0"/>
          <w:sz w:val="24"/>
          <w:szCs w:val="24"/>
        </w:rPr>
        <w:t>法定代表人或其委托代理人：</w:t>
      </w:r>
      <w:r>
        <w:rPr>
          <w:rFonts w:hint="eastAsia" w:ascii="宋体" w:hAnsi="宋体"/>
          <w:kern w:val="0"/>
          <w:sz w:val="24"/>
          <w:szCs w:val="24"/>
          <w:u w:val="single"/>
        </w:rPr>
        <w:t xml:space="preserve">  </w:t>
      </w:r>
      <w:r>
        <w:rPr>
          <w:rFonts w:ascii="宋体" w:hAnsi="宋体"/>
          <w:kern w:val="0"/>
          <w:sz w:val="24"/>
          <w:szCs w:val="24"/>
        </w:rPr>
        <w:t>（签字）</w:t>
      </w:r>
    </w:p>
    <w:p w14:paraId="615F2581">
      <w:pPr>
        <w:widowControl/>
        <w:spacing w:line="440" w:lineRule="exact"/>
        <w:ind w:firstLine="840"/>
        <w:jc w:val="left"/>
        <w:rPr>
          <w:rFonts w:ascii="宋体" w:hAnsi="宋体"/>
          <w:kern w:val="0"/>
          <w:sz w:val="24"/>
          <w:szCs w:val="24"/>
        </w:rPr>
      </w:pP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r>
        <w:rPr>
          <w:rFonts w:hint="eastAsia" w:ascii="宋体" w:hAnsi="宋体"/>
          <w:kern w:val="0"/>
          <w:sz w:val="24"/>
          <w:szCs w:val="24"/>
        </w:rPr>
        <w:t xml:space="preserve">                       </w:t>
      </w: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p>
    <w:p w14:paraId="7E99A99C">
      <w:pPr>
        <w:spacing w:line="360" w:lineRule="auto"/>
        <w:rPr>
          <w:rFonts w:hint="eastAsia" w:ascii="宋体" w:hAnsi="宋体" w:cs="宋体"/>
          <w:sz w:val="24"/>
          <w:szCs w:val="24"/>
        </w:rPr>
      </w:pPr>
      <w:r>
        <w:rPr>
          <w:rFonts w:ascii="黑体" w:eastAsia="黑体"/>
          <w:kern w:val="0"/>
          <w:sz w:val="44"/>
          <w:szCs w:val="44"/>
        </w:rPr>
        <w:br w:type="page"/>
      </w:r>
      <w:bookmarkStart w:id="1697" w:name="_Toc234382947"/>
      <w:r>
        <w:rPr>
          <w:rFonts w:hint="eastAsia" w:ascii="宋体" w:hAnsi="宋体" w:cs="宋体"/>
          <w:b/>
          <w:sz w:val="24"/>
          <w:szCs w:val="24"/>
        </w:rPr>
        <w:t>附件四</w:t>
      </w:r>
      <w:r>
        <w:rPr>
          <w:rFonts w:hint="eastAsia" w:ascii="宋体" w:hAnsi="宋体" w:cs="宋体"/>
          <w:sz w:val="24"/>
          <w:szCs w:val="24"/>
        </w:rPr>
        <w:t xml:space="preserve">   </w:t>
      </w:r>
      <w:r>
        <w:rPr>
          <w:rFonts w:hint="eastAsia" w:ascii="宋体" w:hAnsi="宋体" w:cs="宋体"/>
          <w:b/>
          <w:bCs/>
          <w:sz w:val="24"/>
          <w:szCs w:val="24"/>
        </w:rPr>
        <w:t>其他主要管理人员和技术人员最低要求</w:t>
      </w:r>
      <w:bookmarkEnd w:id="1697"/>
    </w:p>
    <w:p w14:paraId="2312DF27">
      <w:pPr>
        <w:spacing w:line="360" w:lineRule="auto"/>
        <w:jc w:val="center"/>
        <w:rPr>
          <w:rFonts w:hint="eastAsia" w:ascii="宋体" w:hAnsi="宋体" w:cs="宋体"/>
          <w:sz w:val="24"/>
          <w:szCs w:val="24"/>
        </w:rPr>
      </w:pPr>
    </w:p>
    <w:p w14:paraId="7B7DD267">
      <w:pPr>
        <w:spacing w:line="360" w:lineRule="auto"/>
        <w:jc w:val="center"/>
        <w:rPr>
          <w:rFonts w:hint="eastAsia" w:ascii="宋体" w:hAnsi="宋体" w:cs="宋体"/>
          <w:sz w:val="24"/>
          <w:szCs w:val="24"/>
        </w:rPr>
      </w:pPr>
      <w:r>
        <w:rPr>
          <w:rFonts w:hint="eastAsia" w:ascii="宋体" w:hAnsi="宋体" w:cs="宋体"/>
          <w:sz w:val="24"/>
          <w:szCs w:val="24"/>
        </w:rPr>
        <w:t>其他主要管理人员和技术人员最低要求</w:t>
      </w:r>
    </w:p>
    <w:tbl>
      <w:tblPr>
        <w:tblStyle w:val="48"/>
        <w:tblW w:w="92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5"/>
        <w:gridCol w:w="1984"/>
        <w:gridCol w:w="5020"/>
      </w:tblGrid>
      <w:tr w14:paraId="15686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0BAD5C18">
            <w:pPr>
              <w:spacing w:line="360" w:lineRule="auto"/>
              <w:jc w:val="center"/>
              <w:rPr>
                <w:rFonts w:hint="eastAsia" w:ascii="宋体" w:hAnsi="宋体" w:cs="宋体"/>
                <w:sz w:val="24"/>
                <w:szCs w:val="24"/>
              </w:rPr>
            </w:pPr>
            <w:r>
              <w:rPr>
                <w:rFonts w:hint="eastAsia" w:ascii="宋体" w:hAnsi="宋体" w:cs="宋体"/>
                <w:sz w:val="24"/>
                <w:szCs w:val="24"/>
              </w:rPr>
              <w:t>人  员</w:t>
            </w:r>
          </w:p>
        </w:tc>
        <w:tc>
          <w:tcPr>
            <w:tcW w:w="1984" w:type="dxa"/>
            <w:noWrap w:val="0"/>
            <w:vAlign w:val="center"/>
          </w:tcPr>
          <w:p w14:paraId="5CADD5B6">
            <w:pPr>
              <w:spacing w:line="360" w:lineRule="auto"/>
              <w:jc w:val="center"/>
              <w:rPr>
                <w:rFonts w:hint="eastAsia" w:ascii="宋体" w:hAnsi="宋体" w:cs="宋体"/>
                <w:sz w:val="24"/>
                <w:szCs w:val="24"/>
              </w:rPr>
            </w:pPr>
            <w:r>
              <w:rPr>
                <w:rFonts w:hint="eastAsia" w:ascii="宋体" w:hAnsi="宋体" w:cs="宋体"/>
                <w:sz w:val="24"/>
                <w:szCs w:val="24"/>
              </w:rPr>
              <w:t>数  量</w:t>
            </w:r>
          </w:p>
        </w:tc>
        <w:tc>
          <w:tcPr>
            <w:tcW w:w="5020" w:type="dxa"/>
            <w:noWrap w:val="0"/>
            <w:vAlign w:val="center"/>
          </w:tcPr>
          <w:p w14:paraId="788A08E7">
            <w:pPr>
              <w:spacing w:line="360" w:lineRule="auto"/>
              <w:jc w:val="center"/>
              <w:rPr>
                <w:rFonts w:hint="eastAsia" w:ascii="宋体" w:hAnsi="宋体" w:cs="宋体"/>
                <w:sz w:val="24"/>
                <w:szCs w:val="24"/>
              </w:rPr>
            </w:pPr>
            <w:r>
              <w:rPr>
                <w:rFonts w:hint="eastAsia" w:ascii="宋体" w:hAnsi="宋体" w:cs="宋体"/>
                <w:sz w:val="24"/>
                <w:szCs w:val="24"/>
              </w:rPr>
              <w:t>资 格 要 求</w:t>
            </w:r>
          </w:p>
        </w:tc>
      </w:tr>
      <w:tr w14:paraId="3EEF4E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505F0402">
            <w:pPr>
              <w:spacing w:line="360" w:lineRule="auto"/>
              <w:ind w:left="840"/>
              <w:rPr>
                <w:rFonts w:hint="eastAsia" w:ascii="宋体" w:hAnsi="宋体" w:cs="宋体"/>
                <w:sz w:val="24"/>
                <w:szCs w:val="24"/>
              </w:rPr>
            </w:pPr>
          </w:p>
        </w:tc>
        <w:tc>
          <w:tcPr>
            <w:tcW w:w="1984" w:type="dxa"/>
            <w:noWrap w:val="0"/>
            <w:vAlign w:val="center"/>
          </w:tcPr>
          <w:p w14:paraId="56644B4B">
            <w:pPr>
              <w:spacing w:line="360" w:lineRule="auto"/>
              <w:ind w:left="840"/>
              <w:rPr>
                <w:rFonts w:hint="eastAsia" w:ascii="宋体" w:hAnsi="宋体" w:cs="宋体"/>
                <w:sz w:val="24"/>
                <w:szCs w:val="24"/>
              </w:rPr>
            </w:pPr>
          </w:p>
        </w:tc>
        <w:tc>
          <w:tcPr>
            <w:tcW w:w="5020" w:type="dxa"/>
            <w:noWrap w:val="0"/>
            <w:vAlign w:val="center"/>
          </w:tcPr>
          <w:p w14:paraId="5A8631CB">
            <w:pPr>
              <w:spacing w:line="360" w:lineRule="auto"/>
              <w:ind w:left="840"/>
              <w:rPr>
                <w:rFonts w:hint="eastAsia" w:ascii="宋体" w:hAnsi="宋体" w:cs="宋体"/>
                <w:sz w:val="24"/>
                <w:szCs w:val="24"/>
              </w:rPr>
            </w:pPr>
          </w:p>
        </w:tc>
      </w:tr>
      <w:tr w14:paraId="32B4C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0E688CAE">
            <w:pPr>
              <w:spacing w:line="360" w:lineRule="auto"/>
              <w:ind w:left="840"/>
              <w:rPr>
                <w:rFonts w:hint="eastAsia" w:ascii="宋体" w:hAnsi="宋体" w:cs="宋体"/>
                <w:sz w:val="24"/>
                <w:szCs w:val="24"/>
              </w:rPr>
            </w:pPr>
          </w:p>
        </w:tc>
        <w:tc>
          <w:tcPr>
            <w:tcW w:w="1984" w:type="dxa"/>
            <w:noWrap w:val="0"/>
            <w:vAlign w:val="center"/>
          </w:tcPr>
          <w:p w14:paraId="32A391CF">
            <w:pPr>
              <w:spacing w:line="360" w:lineRule="auto"/>
              <w:ind w:left="840"/>
              <w:rPr>
                <w:rFonts w:hint="eastAsia" w:ascii="宋体" w:hAnsi="宋体" w:cs="宋体"/>
                <w:sz w:val="24"/>
                <w:szCs w:val="24"/>
              </w:rPr>
            </w:pPr>
          </w:p>
        </w:tc>
        <w:tc>
          <w:tcPr>
            <w:tcW w:w="5020" w:type="dxa"/>
            <w:noWrap w:val="0"/>
            <w:vAlign w:val="center"/>
          </w:tcPr>
          <w:p w14:paraId="3985FC2A">
            <w:pPr>
              <w:spacing w:line="360" w:lineRule="auto"/>
              <w:ind w:left="840"/>
              <w:rPr>
                <w:rFonts w:hint="eastAsia" w:ascii="宋体" w:hAnsi="宋体" w:cs="宋体"/>
                <w:sz w:val="24"/>
                <w:szCs w:val="24"/>
              </w:rPr>
            </w:pPr>
          </w:p>
        </w:tc>
      </w:tr>
      <w:tr w14:paraId="1B483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2D367C76">
            <w:pPr>
              <w:spacing w:line="360" w:lineRule="auto"/>
              <w:ind w:left="840"/>
              <w:rPr>
                <w:rFonts w:hint="eastAsia" w:ascii="宋体" w:hAnsi="宋体" w:cs="宋体"/>
                <w:sz w:val="24"/>
                <w:szCs w:val="24"/>
              </w:rPr>
            </w:pPr>
          </w:p>
        </w:tc>
        <w:tc>
          <w:tcPr>
            <w:tcW w:w="1984" w:type="dxa"/>
            <w:noWrap w:val="0"/>
            <w:vAlign w:val="center"/>
          </w:tcPr>
          <w:p w14:paraId="70704773">
            <w:pPr>
              <w:spacing w:line="360" w:lineRule="auto"/>
              <w:ind w:left="840"/>
              <w:rPr>
                <w:rFonts w:hint="eastAsia" w:ascii="宋体" w:hAnsi="宋体" w:cs="宋体"/>
                <w:sz w:val="24"/>
                <w:szCs w:val="24"/>
              </w:rPr>
            </w:pPr>
          </w:p>
        </w:tc>
        <w:tc>
          <w:tcPr>
            <w:tcW w:w="5020" w:type="dxa"/>
            <w:noWrap w:val="0"/>
            <w:vAlign w:val="center"/>
          </w:tcPr>
          <w:p w14:paraId="38AC9701">
            <w:pPr>
              <w:spacing w:line="360" w:lineRule="auto"/>
              <w:ind w:left="840"/>
              <w:rPr>
                <w:rFonts w:hint="eastAsia" w:ascii="宋体" w:hAnsi="宋体" w:cs="宋体"/>
                <w:sz w:val="24"/>
                <w:szCs w:val="24"/>
              </w:rPr>
            </w:pPr>
          </w:p>
        </w:tc>
      </w:tr>
      <w:tr w14:paraId="7E2B74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51B8E7C4">
            <w:pPr>
              <w:spacing w:line="360" w:lineRule="auto"/>
              <w:ind w:left="840"/>
              <w:rPr>
                <w:rFonts w:hint="eastAsia" w:ascii="宋体" w:hAnsi="宋体" w:cs="宋体"/>
                <w:sz w:val="24"/>
                <w:szCs w:val="24"/>
              </w:rPr>
            </w:pPr>
          </w:p>
        </w:tc>
        <w:tc>
          <w:tcPr>
            <w:tcW w:w="1984" w:type="dxa"/>
            <w:noWrap w:val="0"/>
            <w:vAlign w:val="center"/>
          </w:tcPr>
          <w:p w14:paraId="06CB0523">
            <w:pPr>
              <w:spacing w:line="360" w:lineRule="auto"/>
              <w:ind w:left="840"/>
              <w:rPr>
                <w:rFonts w:hint="eastAsia" w:ascii="宋体" w:hAnsi="宋体" w:cs="宋体"/>
                <w:sz w:val="24"/>
                <w:szCs w:val="24"/>
              </w:rPr>
            </w:pPr>
          </w:p>
        </w:tc>
        <w:tc>
          <w:tcPr>
            <w:tcW w:w="5020" w:type="dxa"/>
            <w:noWrap w:val="0"/>
            <w:vAlign w:val="center"/>
          </w:tcPr>
          <w:p w14:paraId="13A8B2AF">
            <w:pPr>
              <w:spacing w:line="360" w:lineRule="auto"/>
              <w:ind w:left="840"/>
              <w:rPr>
                <w:rFonts w:hint="eastAsia" w:ascii="宋体" w:hAnsi="宋体" w:cs="宋体"/>
                <w:sz w:val="24"/>
                <w:szCs w:val="24"/>
              </w:rPr>
            </w:pPr>
          </w:p>
        </w:tc>
      </w:tr>
      <w:tr w14:paraId="1B066C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6DE38DF0">
            <w:pPr>
              <w:spacing w:line="360" w:lineRule="auto"/>
              <w:ind w:left="840"/>
              <w:rPr>
                <w:rFonts w:hint="eastAsia" w:ascii="宋体" w:hAnsi="宋体" w:cs="宋体"/>
                <w:sz w:val="24"/>
                <w:szCs w:val="24"/>
              </w:rPr>
            </w:pPr>
          </w:p>
        </w:tc>
        <w:tc>
          <w:tcPr>
            <w:tcW w:w="1984" w:type="dxa"/>
            <w:noWrap w:val="0"/>
            <w:vAlign w:val="center"/>
          </w:tcPr>
          <w:p w14:paraId="2EEF7EB5">
            <w:pPr>
              <w:spacing w:line="360" w:lineRule="auto"/>
              <w:ind w:left="840"/>
              <w:rPr>
                <w:rFonts w:hint="eastAsia" w:ascii="宋体" w:hAnsi="宋体" w:cs="宋体"/>
                <w:sz w:val="24"/>
                <w:szCs w:val="24"/>
              </w:rPr>
            </w:pPr>
          </w:p>
        </w:tc>
        <w:tc>
          <w:tcPr>
            <w:tcW w:w="5020" w:type="dxa"/>
            <w:noWrap w:val="0"/>
            <w:vAlign w:val="center"/>
          </w:tcPr>
          <w:p w14:paraId="32A71EF7">
            <w:pPr>
              <w:spacing w:line="360" w:lineRule="auto"/>
              <w:ind w:left="840"/>
              <w:rPr>
                <w:rFonts w:hint="eastAsia" w:ascii="宋体" w:hAnsi="宋体" w:cs="宋体"/>
                <w:sz w:val="24"/>
                <w:szCs w:val="24"/>
              </w:rPr>
            </w:pPr>
          </w:p>
        </w:tc>
      </w:tr>
      <w:tr w14:paraId="48FB38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7096D527">
            <w:pPr>
              <w:spacing w:line="360" w:lineRule="auto"/>
              <w:ind w:left="840"/>
              <w:rPr>
                <w:rFonts w:hint="eastAsia" w:ascii="宋体" w:hAnsi="宋体" w:cs="宋体"/>
                <w:sz w:val="24"/>
                <w:szCs w:val="24"/>
              </w:rPr>
            </w:pPr>
          </w:p>
        </w:tc>
        <w:tc>
          <w:tcPr>
            <w:tcW w:w="1984" w:type="dxa"/>
            <w:noWrap w:val="0"/>
            <w:vAlign w:val="center"/>
          </w:tcPr>
          <w:p w14:paraId="27526D0D">
            <w:pPr>
              <w:spacing w:line="360" w:lineRule="auto"/>
              <w:ind w:left="840"/>
              <w:rPr>
                <w:rFonts w:hint="eastAsia" w:ascii="宋体" w:hAnsi="宋体" w:cs="宋体"/>
                <w:sz w:val="24"/>
                <w:szCs w:val="24"/>
              </w:rPr>
            </w:pPr>
          </w:p>
        </w:tc>
        <w:tc>
          <w:tcPr>
            <w:tcW w:w="5020" w:type="dxa"/>
            <w:noWrap w:val="0"/>
            <w:vAlign w:val="center"/>
          </w:tcPr>
          <w:p w14:paraId="34C7ABE1">
            <w:pPr>
              <w:spacing w:line="360" w:lineRule="auto"/>
              <w:ind w:left="840"/>
              <w:rPr>
                <w:rFonts w:hint="eastAsia" w:ascii="宋体" w:hAnsi="宋体" w:cs="宋体"/>
                <w:sz w:val="24"/>
                <w:szCs w:val="24"/>
              </w:rPr>
            </w:pPr>
          </w:p>
        </w:tc>
      </w:tr>
      <w:tr w14:paraId="76C59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10F937B6">
            <w:pPr>
              <w:spacing w:line="360" w:lineRule="auto"/>
              <w:ind w:left="840"/>
              <w:rPr>
                <w:rFonts w:hint="eastAsia" w:ascii="宋体" w:hAnsi="宋体" w:cs="宋体"/>
                <w:sz w:val="24"/>
                <w:szCs w:val="24"/>
              </w:rPr>
            </w:pPr>
          </w:p>
        </w:tc>
        <w:tc>
          <w:tcPr>
            <w:tcW w:w="1984" w:type="dxa"/>
            <w:noWrap w:val="0"/>
            <w:vAlign w:val="center"/>
          </w:tcPr>
          <w:p w14:paraId="3DC72983">
            <w:pPr>
              <w:spacing w:line="360" w:lineRule="auto"/>
              <w:ind w:left="840"/>
              <w:rPr>
                <w:rFonts w:hint="eastAsia" w:ascii="宋体" w:hAnsi="宋体" w:cs="宋体"/>
                <w:sz w:val="24"/>
                <w:szCs w:val="24"/>
              </w:rPr>
            </w:pPr>
          </w:p>
        </w:tc>
        <w:tc>
          <w:tcPr>
            <w:tcW w:w="5020" w:type="dxa"/>
            <w:noWrap w:val="0"/>
            <w:vAlign w:val="center"/>
          </w:tcPr>
          <w:p w14:paraId="42EFDDB6">
            <w:pPr>
              <w:spacing w:line="360" w:lineRule="auto"/>
              <w:ind w:left="840"/>
              <w:rPr>
                <w:rFonts w:hint="eastAsia" w:ascii="宋体" w:hAnsi="宋体" w:cs="宋体"/>
                <w:sz w:val="24"/>
                <w:szCs w:val="24"/>
              </w:rPr>
            </w:pPr>
          </w:p>
        </w:tc>
      </w:tr>
      <w:tr w14:paraId="4DFCA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20C79261">
            <w:pPr>
              <w:spacing w:line="360" w:lineRule="auto"/>
              <w:ind w:left="840"/>
              <w:rPr>
                <w:rFonts w:hint="eastAsia" w:ascii="宋体" w:hAnsi="宋体" w:cs="宋体"/>
                <w:sz w:val="24"/>
                <w:szCs w:val="24"/>
              </w:rPr>
            </w:pPr>
          </w:p>
        </w:tc>
        <w:tc>
          <w:tcPr>
            <w:tcW w:w="1984" w:type="dxa"/>
            <w:noWrap w:val="0"/>
            <w:vAlign w:val="center"/>
          </w:tcPr>
          <w:p w14:paraId="2546010F">
            <w:pPr>
              <w:spacing w:line="360" w:lineRule="auto"/>
              <w:ind w:left="840"/>
              <w:rPr>
                <w:rFonts w:hint="eastAsia" w:ascii="宋体" w:hAnsi="宋体" w:cs="宋体"/>
                <w:sz w:val="24"/>
                <w:szCs w:val="24"/>
              </w:rPr>
            </w:pPr>
          </w:p>
        </w:tc>
        <w:tc>
          <w:tcPr>
            <w:tcW w:w="5020" w:type="dxa"/>
            <w:noWrap w:val="0"/>
            <w:vAlign w:val="center"/>
          </w:tcPr>
          <w:p w14:paraId="0151B82F">
            <w:pPr>
              <w:spacing w:line="360" w:lineRule="auto"/>
              <w:ind w:left="840"/>
              <w:rPr>
                <w:rFonts w:hint="eastAsia" w:ascii="宋体" w:hAnsi="宋体" w:cs="宋体"/>
                <w:sz w:val="24"/>
                <w:szCs w:val="24"/>
              </w:rPr>
            </w:pPr>
          </w:p>
        </w:tc>
      </w:tr>
      <w:tr w14:paraId="236D4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45462011">
            <w:pPr>
              <w:spacing w:line="360" w:lineRule="auto"/>
              <w:ind w:left="840"/>
              <w:rPr>
                <w:rFonts w:hint="eastAsia" w:ascii="宋体" w:hAnsi="宋体" w:cs="宋体"/>
                <w:sz w:val="24"/>
                <w:szCs w:val="24"/>
              </w:rPr>
            </w:pPr>
          </w:p>
        </w:tc>
        <w:tc>
          <w:tcPr>
            <w:tcW w:w="1984" w:type="dxa"/>
            <w:noWrap w:val="0"/>
            <w:vAlign w:val="center"/>
          </w:tcPr>
          <w:p w14:paraId="0EE2C9C1">
            <w:pPr>
              <w:spacing w:line="360" w:lineRule="auto"/>
              <w:ind w:left="840"/>
              <w:rPr>
                <w:rFonts w:hint="eastAsia" w:ascii="宋体" w:hAnsi="宋体" w:cs="宋体"/>
                <w:sz w:val="24"/>
                <w:szCs w:val="24"/>
              </w:rPr>
            </w:pPr>
          </w:p>
        </w:tc>
        <w:tc>
          <w:tcPr>
            <w:tcW w:w="5020" w:type="dxa"/>
            <w:noWrap w:val="0"/>
            <w:vAlign w:val="center"/>
          </w:tcPr>
          <w:p w14:paraId="4A22C8A5">
            <w:pPr>
              <w:spacing w:line="360" w:lineRule="auto"/>
              <w:ind w:left="840"/>
              <w:rPr>
                <w:rFonts w:hint="eastAsia" w:ascii="宋体" w:hAnsi="宋体" w:cs="宋体"/>
                <w:sz w:val="24"/>
                <w:szCs w:val="24"/>
              </w:rPr>
            </w:pPr>
          </w:p>
        </w:tc>
      </w:tr>
      <w:tr w14:paraId="1ACD6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5D4CC826">
            <w:pPr>
              <w:spacing w:line="360" w:lineRule="auto"/>
              <w:ind w:left="840"/>
              <w:rPr>
                <w:rFonts w:hint="eastAsia" w:ascii="宋体" w:hAnsi="宋体" w:cs="宋体"/>
                <w:sz w:val="24"/>
                <w:szCs w:val="24"/>
              </w:rPr>
            </w:pPr>
          </w:p>
        </w:tc>
        <w:tc>
          <w:tcPr>
            <w:tcW w:w="1984" w:type="dxa"/>
            <w:noWrap w:val="0"/>
            <w:vAlign w:val="center"/>
          </w:tcPr>
          <w:p w14:paraId="21CFCBDE">
            <w:pPr>
              <w:spacing w:line="360" w:lineRule="auto"/>
              <w:ind w:left="840"/>
              <w:rPr>
                <w:rFonts w:hint="eastAsia" w:ascii="宋体" w:hAnsi="宋体" w:cs="宋体"/>
                <w:sz w:val="24"/>
                <w:szCs w:val="24"/>
              </w:rPr>
            </w:pPr>
          </w:p>
        </w:tc>
        <w:tc>
          <w:tcPr>
            <w:tcW w:w="5020" w:type="dxa"/>
            <w:noWrap w:val="0"/>
            <w:vAlign w:val="center"/>
          </w:tcPr>
          <w:p w14:paraId="32DF2433">
            <w:pPr>
              <w:spacing w:line="360" w:lineRule="auto"/>
              <w:ind w:left="840"/>
              <w:rPr>
                <w:rFonts w:hint="eastAsia" w:ascii="宋体" w:hAnsi="宋体" w:cs="宋体"/>
                <w:sz w:val="24"/>
                <w:szCs w:val="24"/>
              </w:rPr>
            </w:pPr>
          </w:p>
        </w:tc>
      </w:tr>
      <w:tr w14:paraId="34B01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6A4B5F73">
            <w:pPr>
              <w:spacing w:line="360" w:lineRule="auto"/>
              <w:ind w:left="840"/>
              <w:rPr>
                <w:rFonts w:hint="eastAsia" w:ascii="宋体" w:hAnsi="宋体" w:cs="宋体"/>
                <w:sz w:val="24"/>
                <w:szCs w:val="24"/>
              </w:rPr>
            </w:pPr>
          </w:p>
        </w:tc>
        <w:tc>
          <w:tcPr>
            <w:tcW w:w="1984" w:type="dxa"/>
            <w:noWrap w:val="0"/>
            <w:vAlign w:val="center"/>
          </w:tcPr>
          <w:p w14:paraId="26F3991B">
            <w:pPr>
              <w:spacing w:line="360" w:lineRule="auto"/>
              <w:ind w:left="840"/>
              <w:rPr>
                <w:rFonts w:hint="eastAsia" w:ascii="宋体" w:hAnsi="宋体" w:cs="宋体"/>
                <w:sz w:val="24"/>
                <w:szCs w:val="24"/>
              </w:rPr>
            </w:pPr>
          </w:p>
        </w:tc>
        <w:tc>
          <w:tcPr>
            <w:tcW w:w="5020" w:type="dxa"/>
            <w:noWrap w:val="0"/>
            <w:vAlign w:val="center"/>
          </w:tcPr>
          <w:p w14:paraId="5966C706">
            <w:pPr>
              <w:spacing w:line="360" w:lineRule="auto"/>
              <w:ind w:left="840"/>
              <w:rPr>
                <w:rFonts w:hint="eastAsia" w:ascii="宋体" w:hAnsi="宋体" w:cs="宋体"/>
                <w:sz w:val="24"/>
                <w:szCs w:val="24"/>
              </w:rPr>
            </w:pPr>
          </w:p>
        </w:tc>
      </w:tr>
      <w:tr w14:paraId="5859F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2A954363">
            <w:pPr>
              <w:spacing w:line="360" w:lineRule="auto"/>
              <w:ind w:left="840"/>
              <w:rPr>
                <w:rFonts w:hint="eastAsia" w:ascii="宋体" w:hAnsi="宋体" w:cs="宋体"/>
                <w:sz w:val="24"/>
                <w:szCs w:val="24"/>
              </w:rPr>
            </w:pPr>
          </w:p>
        </w:tc>
        <w:tc>
          <w:tcPr>
            <w:tcW w:w="1984" w:type="dxa"/>
            <w:noWrap w:val="0"/>
            <w:vAlign w:val="center"/>
          </w:tcPr>
          <w:p w14:paraId="7D9C2367">
            <w:pPr>
              <w:spacing w:line="360" w:lineRule="auto"/>
              <w:ind w:left="840"/>
              <w:rPr>
                <w:rFonts w:hint="eastAsia" w:ascii="宋体" w:hAnsi="宋体" w:cs="宋体"/>
                <w:sz w:val="24"/>
                <w:szCs w:val="24"/>
              </w:rPr>
            </w:pPr>
          </w:p>
        </w:tc>
        <w:tc>
          <w:tcPr>
            <w:tcW w:w="5020" w:type="dxa"/>
            <w:noWrap w:val="0"/>
            <w:vAlign w:val="center"/>
          </w:tcPr>
          <w:p w14:paraId="0C1F2C98">
            <w:pPr>
              <w:spacing w:line="360" w:lineRule="auto"/>
              <w:ind w:left="840"/>
              <w:rPr>
                <w:rFonts w:hint="eastAsia" w:ascii="宋体" w:hAnsi="宋体" w:cs="宋体"/>
                <w:sz w:val="24"/>
                <w:szCs w:val="24"/>
              </w:rPr>
            </w:pPr>
          </w:p>
        </w:tc>
      </w:tr>
      <w:tr w14:paraId="5FB28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3A2A7F49">
            <w:pPr>
              <w:spacing w:line="360" w:lineRule="auto"/>
              <w:ind w:left="840"/>
              <w:rPr>
                <w:rFonts w:hint="eastAsia" w:ascii="宋体" w:hAnsi="宋体" w:cs="宋体"/>
                <w:sz w:val="24"/>
                <w:szCs w:val="24"/>
              </w:rPr>
            </w:pPr>
          </w:p>
        </w:tc>
        <w:tc>
          <w:tcPr>
            <w:tcW w:w="1984" w:type="dxa"/>
            <w:noWrap w:val="0"/>
            <w:vAlign w:val="center"/>
          </w:tcPr>
          <w:p w14:paraId="14EAE332">
            <w:pPr>
              <w:spacing w:line="360" w:lineRule="auto"/>
              <w:ind w:left="840"/>
              <w:rPr>
                <w:rFonts w:hint="eastAsia" w:ascii="宋体" w:hAnsi="宋体" w:cs="宋体"/>
                <w:sz w:val="24"/>
                <w:szCs w:val="24"/>
              </w:rPr>
            </w:pPr>
          </w:p>
        </w:tc>
        <w:tc>
          <w:tcPr>
            <w:tcW w:w="5020" w:type="dxa"/>
            <w:noWrap w:val="0"/>
            <w:vAlign w:val="center"/>
          </w:tcPr>
          <w:p w14:paraId="0FF3C527">
            <w:pPr>
              <w:spacing w:line="360" w:lineRule="auto"/>
              <w:ind w:left="840"/>
              <w:rPr>
                <w:rFonts w:hint="eastAsia" w:ascii="宋体" w:hAnsi="宋体" w:cs="宋体"/>
                <w:sz w:val="24"/>
                <w:szCs w:val="24"/>
              </w:rPr>
            </w:pPr>
          </w:p>
        </w:tc>
      </w:tr>
      <w:tr w14:paraId="10C719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0CB987BC">
            <w:pPr>
              <w:spacing w:line="360" w:lineRule="auto"/>
              <w:ind w:left="840"/>
              <w:rPr>
                <w:rFonts w:hint="eastAsia" w:ascii="宋体" w:hAnsi="宋体" w:cs="宋体"/>
                <w:sz w:val="24"/>
                <w:szCs w:val="24"/>
              </w:rPr>
            </w:pPr>
          </w:p>
        </w:tc>
        <w:tc>
          <w:tcPr>
            <w:tcW w:w="1984" w:type="dxa"/>
            <w:noWrap w:val="0"/>
            <w:vAlign w:val="center"/>
          </w:tcPr>
          <w:p w14:paraId="179530F3">
            <w:pPr>
              <w:spacing w:line="360" w:lineRule="auto"/>
              <w:ind w:left="840"/>
              <w:rPr>
                <w:rFonts w:hint="eastAsia" w:ascii="宋体" w:hAnsi="宋体" w:cs="宋体"/>
                <w:sz w:val="24"/>
                <w:szCs w:val="24"/>
              </w:rPr>
            </w:pPr>
          </w:p>
        </w:tc>
        <w:tc>
          <w:tcPr>
            <w:tcW w:w="5020" w:type="dxa"/>
            <w:noWrap w:val="0"/>
            <w:vAlign w:val="center"/>
          </w:tcPr>
          <w:p w14:paraId="6F9C4C12">
            <w:pPr>
              <w:spacing w:line="360" w:lineRule="auto"/>
              <w:ind w:left="840"/>
              <w:rPr>
                <w:rFonts w:hint="eastAsia" w:ascii="宋体" w:hAnsi="宋体" w:cs="宋体"/>
                <w:sz w:val="24"/>
                <w:szCs w:val="24"/>
              </w:rPr>
            </w:pPr>
          </w:p>
        </w:tc>
      </w:tr>
      <w:tr w14:paraId="7C3D8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7A4B0564">
            <w:pPr>
              <w:spacing w:line="360" w:lineRule="auto"/>
              <w:ind w:left="840"/>
              <w:rPr>
                <w:rFonts w:hint="eastAsia" w:ascii="宋体" w:hAnsi="宋体" w:cs="宋体"/>
                <w:sz w:val="24"/>
                <w:szCs w:val="24"/>
              </w:rPr>
            </w:pPr>
          </w:p>
        </w:tc>
        <w:tc>
          <w:tcPr>
            <w:tcW w:w="1984" w:type="dxa"/>
            <w:noWrap w:val="0"/>
            <w:vAlign w:val="center"/>
          </w:tcPr>
          <w:p w14:paraId="28D3CCF7">
            <w:pPr>
              <w:spacing w:line="360" w:lineRule="auto"/>
              <w:ind w:left="840"/>
              <w:rPr>
                <w:rFonts w:hint="eastAsia" w:ascii="宋体" w:hAnsi="宋体" w:cs="宋体"/>
                <w:sz w:val="24"/>
                <w:szCs w:val="24"/>
              </w:rPr>
            </w:pPr>
          </w:p>
        </w:tc>
        <w:tc>
          <w:tcPr>
            <w:tcW w:w="5020" w:type="dxa"/>
            <w:noWrap w:val="0"/>
            <w:vAlign w:val="center"/>
          </w:tcPr>
          <w:p w14:paraId="4490B962">
            <w:pPr>
              <w:spacing w:line="360" w:lineRule="auto"/>
              <w:ind w:left="840"/>
              <w:rPr>
                <w:rFonts w:hint="eastAsia" w:ascii="宋体" w:hAnsi="宋体" w:cs="宋体"/>
                <w:sz w:val="24"/>
                <w:szCs w:val="24"/>
              </w:rPr>
            </w:pPr>
          </w:p>
        </w:tc>
      </w:tr>
      <w:tr w14:paraId="6ED4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0A062BEE">
            <w:pPr>
              <w:spacing w:line="360" w:lineRule="auto"/>
              <w:ind w:left="840"/>
              <w:rPr>
                <w:rFonts w:hint="eastAsia" w:ascii="宋体" w:hAnsi="宋体" w:cs="宋体"/>
                <w:sz w:val="24"/>
                <w:szCs w:val="24"/>
              </w:rPr>
            </w:pPr>
          </w:p>
        </w:tc>
        <w:tc>
          <w:tcPr>
            <w:tcW w:w="1984" w:type="dxa"/>
            <w:noWrap w:val="0"/>
            <w:vAlign w:val="center"/>
          </w:tcPr>
          <w:p w14:paraId="40A99C2C">
            <w:pPr>
              <w:spacing w:line="360" w:lineRule="auto"/>
              <w:ind w:left="840"/>
              <w:rPr>
                <w:rFonts w:hint="eastAsia" w:ascii="宋体" w:hAnsi="宋体" w:cs="宋体"/>
                <w:sz w:val="24"/>
                <w:szCs w:val="24"/>
              </w:rPr>
            </w:pPr>
          </w:p>
        </w:tc>
        <w:tc>
          <w:tcPr>
            <w:tcW w:w="5020" w:type="dxa"/>
            <w:noWrap w:val="0"/>
            <w:vAlign w:val="center"/>
          </w:tcPr>
          <w:p w14:paraId="45C7842F">
            <w:pPr>
              <w:spacing w:line="360" w:lineRule="auto"/>
              <w:ind w:left="840"/>
              <w:rPr>
                <w:rFonts w:hint="eastAsia" w:ascii="宋体" w:hAnsi="宋体" w:cs="宋体"/>
                <w:sz w:val="24"/>
                <w:szCs w:val="24"/>
              </w:rPr>
            </w:pPr>
          </w:p>
        </w:tc>
      </w:tr>
      <w:tr w14:paraId="1C02DF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235" w:type="dxa"/>
            <w:noWrap w:val="0"/>
            <w:vAlign w:val="center"/>
          </w:tcPr>
          <w:p w14:paraId="13F216D8">
            <w:pPr>
              <w:spacing w:line="360" w:lineRule="auto"/>
              <w:ind w:left="840"/>
              <w:rPr>
                <w:rFonts w:hint="eastAsia" w:ascii="宋体" w:hAnsi="宋体" w:cs="宋体"/>
                <w:sz w:val="24"/>
                <w:szCs w:val="24"/>
              </w:rPr>
            </w:pPr>
          </w:p>
        </w:tc>
        <w:tc>
          <w:tcPr>
            <w:tcW w:w="1984" w:type="dxa"/>
            <w:noWrap w:val="0"/>
            <w:vAlign w:val="center"/>
          </w:tcPr>
          <w:p w14:paraId="2FAB3609">
            <w:pPr>
              <w:spacing w:line="360" w:lineRule="auto"/>
              <w:ind w:left="840"/>
              <w:rPr>
                <w:rFonts w:hint="eastAsia" w:ascii="宋体" w:hAnsi="宋体" w:cs="宋体"/>
                <w:sz w:val="24"/>
                <w:szCs w:val="24"/>
              </w:rPr>
            </w:pPr>
          </w:p>
        </w:tc>
        <w:tc>
          <w:tcPr>
            <w:tcW w:w="5020" w:type="dxa"/>
            <w:noWrap w:val="0"/>
            <w:vAlign w:val="center"/>
          </w:tcPr>
          <w:p w14:paraId="39185B40">
            <w:pPr>
              <w:spacing w:line="360" w:lineRule="auto"/>
              <w:ind w:left="840"/>
              <w:rPr>
                <w:rFonts w:hint="eastAsia" w:ascii="宋体" w:hAnsi="宋体" w:cs="宋体"/>
                <w:sz w:val="24"/>
                <w:szCs w:val="24"/>
              </w:rPr>
            </w:pPr>
          </w:p>
        </w:tc>
      </w:tr>
    </w:tbl>
    <w:p w14:paraId="54D237A1">
      <w:pPr>
        <w:snapToGrid w:val="0"/>
        <w:spacing w:line="360" w:lineRule="auto"/>
        <w:jc w:val="left"/>
        <w:rPr>
          <w:rFonts w:hint="eastAsia" w:ascii="宋体" w:hAnsi="宋体" w:cs="宋体"/>
          <w:sz w:val="24"/>
          <w:szCs w:val="24"/>
        </w:rPr>
      </w:pPr>
      <w:r>
        <w:rPr>
          <w:rFonts w:hint="eastAsia" w:ascii="宋体" w:hAnsi="宋体" w:cs="宋体"/>
          <w:sz w:val="24"/>
          <w:szCs w:val="24"/>
        </w:rPr>
        <w:t>注：招标人应在招标文件中规定若投标人在所投标标段中标需派驻的其他主要管理人员和技术人员。招标人将在发出中标通知书之前要求中标人按照本表的最低要求填报派驻本标段的其他主要管理人员和技术人员，在经招标人审批后作为派驻本标段的项目管理机构主要人员且不允许更换。</w:t>
      </w:r>
    </w:p>
    <w:p w14:paraId="57D182CE">
      <w:pPr>
        <w:widowControl/>
        <w:jc w:val="left"/>
        <w:rPr>
          <w:rFonts w:ascii="宋体" w:eastAsia="黑体"/>
          <w:bCs/>
          <w:kern w:val="44"/>
          <w:sz w:val="24"/>
        </w:rPr>
      </w:pPr>
    </w:p>
    <w:p w14:paraId="648C5722">
      <w:pPr>
        <w:spacing w:line="360" w:lineRule="auto"/>
        <w:rPr>
          <w:rFonts w:hint="eastAsia" w:ascii="宋体" w:hAnsi="宋体" w:cs="宋体"/>
          <w:sz w:val="24"/>
          <w:szCs w:val="24"/>
        </w:rPr>
      </w:pPr>
      <w:bookmarkStart w:id="1698" w:name="_Toc513132398"/>
      <w:bookmarkStart w:id="1699" w:name="_Toc512689765"/>
      <w:bookmarkStart w:id="1700" w:name="_Toc513212918"/>
      <w:bookmarkStart w:id="1701" w:name="_Toc234382949"/>
      <w:r>
        <w:rPr>
          <w:rFonts w:ascii="宋体" w:hAnsi="宋体" w:cs="宋体"/>
          <w:b/>
          <w:sz w:val="24"/>
          <w:szCs w:val="24"/>
        </w:rPr>
        <w:br w:type="page"/>
      </w:r>
      <w:r>
        <w:rPr>
          <w:rFonts w:hint="eastAsia" w:ascii="宋体" w:hAnsi="宋体" w:cs="宋体"/>
          <w:b/>
          <w:sz w:val="24"/>
          <w:szCs w:val="24"/>
        </w:rPr>
        <w:t>附件</w:t>
      </w:r>
      <w:r>
        <w:rPr>
          <w:rFonts w:hint="eastAsia" w:ascii="宋体" w:hAnsi="宋体" w:cs="宋体"/>
          <w:b/>
          <w:bCs w:val="0"/>
          <w:sz w:val="24"/>
          <w:szCs w:val="24"/>
        </w:rPr>
        <w:t>五   主要机械设备和试验检测设备最低要求</w:t>
      </w:r>
    </w:p>
    <w:p w14:paraId="5995DC18">
      <w:pPr>
        <w:spacing w:line="360" w:lineRule="auto"/>
        <w:rPr>
          <w:rFonts w:hint="eastAsia" w:ascii="宋体" w:hAnsi="宋体" w:cs="宋体"/>
          <w:sz w:val="24"/>
          <w:szCs w:val="24"/>
        </w:rPr>
      </w:pPr>
    </w:p>
    <w:p w14:paraId="4B865E40">
      <w:pPr>
        <w:spacing w:line="360" w:lineRule="auto"/>
        <w:jc w:val="center"/>
        <w:rPr>
          <w:rFonts w:hint="eastAsia" w:ascii="宋体" w:hAnsi="宋体" w:cs="宋体"/>
          <w:sz w:val="24"/>
          <w:szCs w:val="24"/>
        </w:rPr>
      </w:pPr>
      <w:r>
        <w:rPr>
          <w:rFonts w:hint="eastAsia" w:ascii="宋体" w:hAnsi="宋体" w:cs="宋体"/>
          <w:sz w:val="24"/>
          <w:szCs w:val="24"/>
        </w:rPr>
        <w:t>主要机械设备和试验检测设备最低要求</w:t>
      </w:r>
    </w:p>
    <w:tbl>
      <w:tblPr>
        <w:tblStyle w:val="48"/>
        <w:tblW w:w="90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8"/>
        <w:gridCol w:w="3417"/>
        <w:gridCol w:w="1553"/>
        <w:gridCol w:w="2394"/>
      </w:tblGrid>
      <w:tr w14:paraId="087D9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708" w:type="dxa"/>
            <w:noWrap w:val="0"/>
            <w:vAlign w:val="center"/>
          </w:tcPr>
          <w:p w14:paraId="234E94AE">
            <w:pPr>
              <w:spacing w:line="360" w:lineRule="auto"/>
              <w:jc w:val="center"/>
              <w:rPr>
                <w:rFonts w:hint="eastAsia" w:ascii="宋体" w:hAnsi="宋体" w:cs="宋体"/>
                <w:sz w:val="24"/>
                <w:szCs w:val="24"/>
              </w:rPr>
            </w:pPr>
            <w:r>
              <w:rPr>
                <w:rFonts w:hint="eastAsia" w:ascii="宋体" w:hAnsi="宋体" w:cs="宋体"/>
                <w:sz w:val="24"/>
                <w:szCs w:val="24"/>
              </w:rPr>
              <w:t>设备名称</w:t>
            </w:r>
          </w:p>
        </w:tc>
        <w:tc>
          <w:tcPr>
            <w:tcW w:w="3417" w:type="dxa"/>
            <w:noWrap w:val="0"/>
            <w:vAlign w:val="center"/>
          </w:tcPr>
          <w:p w14:paraId="33061A72">
            <w:pPr>
              <w:spacing w:line="360" w:lineRule="auto"/>
              <w:jc w:val="center"/>
              <w:rPr>
                <w:rFonts w:hint="eastAsia" w:ascii="宋体" w:hAnsi="宋体" w:cs="宋体"/>
                <w:sz w:val="24"/>
                <w:szCs w:val="24"/>
              </w:rPr>
            </w:pPr>
            <w:r>
              <w:rPr>
                <w:rFonts w:hint="eastAsia" w:ascii="宋体" w:hAnsi="宋体" w:cs="宋体"/>
                <w:sz w:val="24"/>
                <w:szCs w:val="24"/>
              </w:rPr>
              <w:t>规格、功率及容量</w:t>
            </w:r>
          </w:p>
        </w:tc>
        <w:tc>
          <w:tcPr>
            <w:tcW w:w="1553" w:type="dxa"/>
            <w:noWrap w:val="0"/>
            <w:vAlign w:val="center"/>
          </w:tcPr>
          <w:p w14:paraId="0AC98DC8">
            <w:pPr>
              <w:spacing w:line="360" w:lineRule="auto"/>
              <w:jc w:val="center"/>
              <w:rPr>
                <w:rFonts w:hint="eastAsia" w:ascii="宋体" w:hAnsi="宋体" w:cs="宋体"/>
                <w:sz w:val="24"/>
                <w:szCs w:val="24"/>
              </w:rPr>
            </w:pPr>
            <w:r>
              <w:rPr>
                <w:rFonts w:hint="eastAsia" w:ascii="宋体" w:hAnsi="宋体" w:cs="宋体"/>
                <w:sz w:val="24"/>
                <w:szCs w:val="24"/>
              </w:rPr>
              <w:t>单位</w:t>
            </w:r>
          </w:p>
        </w:tc>
        <w:tc>
          <w:tcPr>
            <w:tcW w:w="2394" w:type="dxa"/>
            <w:noWrap w:val="0"/>
            <w:vAlign w:val="center"/>
          </w:tcPr>
          <w:p w14:paraId="01F60102">
            <w:pPr>
              <w:spacing w:line="360" w:lineRule="auto"/>
              <w:jc w:val="center"/>
              <w:rPr>
                <w:rFonts w:hint="eastAsia" w:ascii="宋体" w:hAnsi="宋体" w:cs="宋体"/>
                <w:sz w:val="24"/>
                <w:szCs w:val="24"/>
              </w:rPr>
            </w:pPr>
            <w:r>
              <w:rPr>
                <w:rFonts w:hint="eastAsia" w:ascii="宋体" w:hAnsi="宋体" w:cs="宋体"/>
                <w:sz w:val="24"/>
                <w:szCs w:val="24"/>
              </w:rPr>
              <w:t>最低数量要求</w:t>
            </w:r>
          </w:p>
        </w:tc>
      </w:tr>
      <w:tr w14:paraId="50452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5F74F8F1">
            <w:pPr>
              <w:spacing w:line="360" w:lineRule="auto"/>
              <w:ind w:left="840"/>
              <w:jc w:val="center"/>
              <w:rPr>
                <w:rFonts w:hint="eastAsia" w:ascii="宋体" w:hAnsi="宋体" w:cs="宋体"/>
                <w:sz w:val="24"/>
                <w:szCs w:val="24"/>
              </w:rPr>
            </w:pPr>
          </w:p>
        </w:tc>
        <w:tc>
          <w:tcPr>
            <w:tcW w:w="3417" w:type="dxa"/>
            <w:noWrap w:val="0"/>
            <w:vAlign w:val="center"/>
          </w:tcPr>
          <w:p w14:paraId="4D3289D6">
            <w:pPr>
              <w:spacing w:line="360" w:lineRule="auto"/>
              <w:ind w:left="840"/>
              <w:jc w:val="center"/>
              <w:rPr>
                <w:rFonts w:hint="eastAsia" w:ascii="宋体" w:hAnsi="宋体" w:cs="宋体"/>
                <w:sz w:val="24"/>
                <w:szCs w:val="24"/>
              </w:rPr>
            </w:pPr>
          </w:p>
        </w:tc>
        <w:tc>
          <w:tcPr>
            <w:tcW w:w="1553" w:type="dxa"/>
            <w:noWrap w:val="0"/>
            <w:vAlign w:val="center"/>
          </w:tcPr>
          <w:p w14:paraId="7F8AF64F">
            <w:pPr>
              <w:spacing w:line="360" w:lineRule="auto"/>
              <w:ind w:left="840"/>
              <w:jc w:val="center"/>
              <w:rPr>
                <w:rFonts w:hint="eastAsia" w:ascii="宋体" w:hAnsi="宋体" w:cs="宋体"/>
                <w:sz w:val="24"/>
                <w:szCs w:val="24"/>
              </w:rPr>
            </w:pPr>
          </w:p>
        </w:tc>
        <w:tc>
          <w:tcPr>
            <w:tcW w:w="2394" w:type="dxa"/>
            <w:noWrap w:val="0"/>
            <w:vAlign w:val="center"/>
          </w:tcPr>
          <w:p w14:paraId="1F6027CE">
            <w:pPr>
              <w:spacing w:line="360" w:lineRule="auto"/>
              <w:ind w:left="840"/>
              <w:jc w:val="center"/>
              <w:rPr>
                <w:rFonts w:hint="eastAsia" w:ascii="宋体" w:hAnsi="宋体" w:cs="宋体"/>
                <w:sz w:val="24"/>
                <w:szCs w:val="24"/>
              </w:rPr>
            </w:pPr>
          </w:p>
        </w:tc>
      </w:tr>
      <w:tr w14:paraId="23CFC4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274097A9">
            <w:pPr>
              <w:spacing w:line="360" w:lineRule="auto"/>
              <w:ind w:left="840"/>
              <w:jc w:val="center"/>
              <w:rPr>
                <w:rFonts w:hint="eastAsia" w:ascii="宋体" w:hAnsi="宋体" w:cs="宋体"/>
                <w:sz w:val="24"/>
                <w:szCs w:val="24"/>
              </w:rPr>
            </w:pPr>
          </w:p>
        </w:tc>
        <w:tc>
          <w:tcPr>
            <w:tcW w:w="3417" w:type="dxa"/>
            <w:noWrap w:val="0"/>
            <w:vAlign w:val="center"/>
          </w:tcPr>
          <w:p w14:paraId="1A8C83FA">
            <w:pPr>
              <w:spacing w:line="360" w:lineRule="auto"/>
              <w:ind w:left="840"/>
              <w:jc w:val="center"/>
              <w:rPr>
                <w:rFonts w:hint="eastAsia" w:ascii="宋体" w:hAnsi="宋体" w:cs="宋体"/>
                <w:sz w:val="24"/>
                <w:szCs w:val="24"/>
              </w:rPr>
            </w:pPr>
          </w:p>
        </w:tc>
        <w:tc>
          <w:tcPr>
            <w:tcW w:w="1553" w:type="dxa"/>
            <w:noWrap w:val="0"/>
            <w:vAlign w:val="center"/>
          </w:tcPr>
          <w:p w14:paraId="137F53E2">
            <w:pPr>
              <w:spacing w:line="360" w:lineRule="auto"/>
              <w:ind w:left="840"/>
              <w:jc w:val="center"/>
              <w:rPr>
                <w:rFonts w:hint="eastAsia" w:ascii="宋体" w:hAnsi="宋体" w:cs="宋体"/>
                <w:sz w:val="24"/>
                <w:szCs w:val="24"/>
              </w:rPr>
            </w:pPr>
          </w:p>
        </w:tc>
        <w:tc>
          <w:tcPr>
            <w:tcW w:w="2394" w:type="dxa"/>
            <w:noWrap w:val="0"/>
            <w:vAlign w:val="center"/>
          </w:tcPr>
          <w:p w14:paraId="7A6E33A8">
            <w:pPr>
              <w:spacing w:line="360" w:lineRule="auto"/>
              <w:ind w:left="840"/>
              <w:jc w:val="center"/>
              <w:rPr>
                <w:rFonts w:hint="eastAsia" w:ascii="宋体" w:hAnsi="宋体" w:cs="宋体"/>
                <w:sz w:val="24"/>
                <w:szCs w:val="24"/>
              </w:rPr>
            </w:pPr>
          </w:p>
        </w:tc>
      </w:tr>
      <w:tr w14:paraId="2D657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784A29A5">
            <w:pPr>
              <w:spacing w:line="360" w:lineRule="auto"/>
              <w:ind w:left="840"/>
              <w:jc w:val="center"/>
              <w:rPr>
                <w:rFonts w:hint="eastAsia" w:ascii="宋体" w:hAnsi="宋体" w:cs="宋体"/>
                <w:sz w:val="24"/>
                <w:szCs w:val="24"/>
              </w:rPr>
            </w:pPr>
          </w:p>
        </w:tc>
        <w:tc>
          <w:tcPr>
            <w:tcW w:w="3417" w:type="dxa"/>
            <w:noWrap w:val="0"/>
            <w:vAlign w:val="center"/>
          </w:tcPr>
          <w:p w14:paraId="52B1CB4E">
            <w:pPr>
              <w:spacing w:line="360" w:lineRule="auto"/>
              <w:ind w:left="840"/>
              <w:jc w:val="center"/>
              <w:rPr>
                <w:rFonts w:hint="eastAsia" w:ascii="宋体" w:hAnsi="宋体" w:cs="宋体"/>
                <w:sz w:val="24"/>
                <w:szCs w:val="24"/>
              </w:rPr>
            </w:pPr>
          </w:p>
        </w:tc>
        <w:tc>
          <w:tcPr>
            <w:tcW w:w="1553" w:type="dxa"/>
            <w:noWrap w:val="0"/>
            <w:vAlign w:val="center"/>
          </w:tcPr>
          <w:p w14:paraId="02F9D6D8">
            <w:pPr>
              <w:spacing w:line="360" w:lineRule="auto"/>
              <w:ind w:left="840"/>
              <w:jc w:val="center"/>
              <w:rPr>
                <w:rFonts w:hint="eastAsia" w:ascii="宋体" w:hAnsi="宋体" w:cs="宋体"/>
                <w:sz w:val="24"/>
                <w:szCs w:val="24"/>
              </w:rPr>
            </w:pPr>
          </w:p>
        </w:tc>
        <w:tc>
          <w:tcPr>
            <w:tcW w:w="2394" w:type="dxa"/>
            <w:noWrap w:val="0"/>
            <w:vAlign w:val="center"/>
          </w:tcPr>
          <w:p w14:paraId="4E9F832B">
            <w:pPr>
              <w:spacing w:line="360" w:lineRule="auto"/>
              <w:ind w:left="840"/>
              <w:jc w:val="center"/>
              <w:rPr>
                <w:rFonts w:hint="eastAsia" w:ascii="宋体" w:hAnsi="宋体" w:cs="宋体"/>
                <w:sz w:val="24"/>
                <w:szCs w:val="24"/>
              </w:rPr>
            </w:pPr>
          </w:p>
        </w:tc>
      </w:tr>
      <w:tr w14:paraId="71FC5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7470B4E5">
            <w:pPr>
              <w:spacing w:line="360" w:lineRule="auto"/>
              <w:ind w:left="840"/>
              <w:jc w:val="center"/>
              <w:rPr>
                <w:rFonts w:hint="eastAsia" w:ascii="宋体" w:hAnsi="宋体" w:cs="宋体"/>
                <w:sz w:val="24"/>
                <w:szCs w:val="24"/>
              </w:rPr>
            </w:pPr>
          </w:p>
        </w:tc>
        <w:tc>
          <w:tcPr>
            <w:tcW w:w="3417" w:type="dxa"/>
            <w:noWrap w:val="0"/>
            <w:vAlign w:val="center"/>
          </w:tcPr>
          <w:p w14:paraId="17F3A90A">
            <w:pPr>
              <w:spacing w:line="360" w:lineRule="auto"/>
              <w:ind w:left="840"/>
              <w:jc w:val="center"/>
              <w:rPr>
                <w:rFonts w:hint="eastAsia" w:ascii="宋体" w:hAnsi="宋体" w:cs="宋体"/>
                <w:sz w:val="24"/>
                <w:szCs w:val="24"/>
              </w:rPr>
            </w:pPr>
          </w:p>
        </w:tc>
        <w:tc>
          <w:tcPr>
            <w:tcW w:w="1553" w:type="dxa"/>
            <w:noWrap w:val="0"/>
            <w:vAlign w:val="center"/>
          </w:tcPr>
          <w:p w14:paraId="2336AF42">
            <w:pPr>
              <w:spacing w:line="360" w:lineRule="auto"/>
              <w:ind w:left="840"/>
              <w:jc w:val="center"/>
              <w:rPr>
                <w:rFonts w:hint="eastAsia" w:ascii="宋体" w:hAnsi="宋体" w:cs="宋体"/>
                <w:sz w:val="24"/>
                <w:szCs w:val="24"/>
              </w:rPr>
            </w:pPr>
          </w:p>
        </w:tc>
        <w:tc>
          <w:tcPr>
            <w:tcW w:w="2394" w:type="dxa"/>
            <w:noWrap w:val="0"/>
            <w:vAlign w:val="center"/>
          </w:tcPr>
          <w:p w14:paraId="1F5725F8">
            <w:pPr>
              <w:spacing w:line="360" w:lineRule="auto"/>
              <w:ind w:left="840"/>
              <w:jc w:val="center"/>
              <w:rPr>
                <w:rFonts w:hint="eastAsia" w:ascii="宋体" w:hAnsi="宋体" w:cs="宋体"/>
                <w:sz w:val="24"/>
                <w:szCs w:val="24"/>
              </w:rPr>
            </w:pPr>
          </w:p>
        </w:tc>
      </w:tr>
      <w:tr w14:paraId="4521E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545CC843">
            <w:pPr>
              <w:spacing w:line="360" w:lineRule="auto"/>
              <w:ind w:left="840"/>
              <w:jc w:val="center"/>
              <w:rPr>
                <w:rFonts w:hint="eastAsia" w:ascii="宋体" w:hAnsi="宋体" w:cs="宋体"/>
                <w:sz w:val="24"/>
                <w:szCs w:val="24"/>
              </w:rPr>
            </w:pPr>
          </w:p>
        </w:tc>
        <w:tc>
          <w:tcPr>
            <w:tcW w:w="3417" w:type="dxa"/>
            <w:noWrap w:val="0"/>
            <w:vAlign w:val="center"/>
          </w:tcPr>
          <w:p w14:paraId="121BB3E7">
            <w:pPr>
              <w:spacing w:line="360" w:lineRule="auto"/>
              <w:ind w:left="840"/>
              <w:jc w:val="center"/>
              <w:rPr>
                <w:rFonts w:hint="eastAsia" w:ascii="宋体" w:hAnsi="宋体" w:cs="宋体"/>
                <w:sz w:val="24"/>
                <w:szCs w:val="24"/>
              </w:rPr>
            </w:pPr>
          </w:p>
        </w:tc>
        <w:tc>
          <w:tcPr>
            <w:tcW w:w="1553" w:type="dxa"/>
            <w:noWrap w:val="0"/>
            <w:vAlign w:val="center"/>
          </w:tcPr>
          <w:p w14:paraId="3B084E22">
            <w:pPr>
              <w:spacing w:line="360" w:lineRule="auto"/>
              <w:ind w:left="840"/>
              <w:jc w:val="center"/>
              <w:rPr>
                <w:rFonts w:hint="eastAsia" w:ascii="宋体" w:hAnsi="宋体" w:cs="宋体"/>
                <w:sz w:val="24"/>
                <w:szCs w:val="24"/>
              </w:rPr>
            </w:pPr>
          </w:p>
        </w:tc>
        <w:tc>
          <w:tcPr>
            <w:tcW w:w="2394" w:type="dxa"/>
            <w:noWrap w:val="0"/>
            <w:vAlign w:val="center"/>
          </w:tcPr>
          <w:p w14:paraId="5E88E45B">
            <w:pPr>
              <w:spacing w:line="360" w:lineRule="auto"/>
              <w:ind w:left="840"/>
              <w:jc w:val="center"/>
              <w:rPr>
                <w:rFonts w:hint="eastAsia" w:ascii="宋体" w:hAnsi="宋体" w:cs="宋体"/>
                <w:sz w:val="24"/>
                <w:szCs w:val="24"/>
              </w:rPr>
            </w:pPr>
          </w:p>
        </w:tc>
      </w:tr>
      <w:tr w14:paraId="58B8BA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071493AA">
            <w:pPr>
              <w:spacing w:line="360" w:lineRule="auto"/>
              <w:ind w:left="840"/>
              <w:jc w:val="center"/>
              <w:rPr>
                <w:rFonts w:hint="eastAsia" w:ascii="宋体" w:hAnsi="宋体" w:cs="宋体"/>
                <w:sz w:val="24"/>
                <w:szCs w:val="24"/>
              </w:rPr>
            </w:pPr>
          </w:p>
        </w:tc>
        <w:tc>
          <w:tcPr>
            <w:tcW w:w="3417" w:type="dxa"/>
            <w:noWrap w:val="0"/>
            <w:vAlign w:val="center"/>
          </w:tcPr>
          <w:p w14:paraId="2755012D">
            <w:pPr>
              <w:spacing w:line="360" w:lineRule="auto"/>
              <w:ind w:left="840"/>
              <w:jc w:val="center"/>
              <w:rPr>
                <w:rFonts w:hint="eastAsia" w:ascii="宋体" w:hAnsi="宋体" w:cs="宋体"/>
                <w:sz w:val="24"/>
                <w:szCs w:val="24"/>
              </w:rPr>
            </w:pPr>
          </w:p>
        </w:tc>
        <w:tc>
          <w:tcPr>
            <w:tcW w:w="1553" w:type="dxa"/>
            <w:noWrap w:val="0"/>
            <w:vAlign w:val="center"/>
          </w:tcPr>
          <w:p w14:paraId="724C4199">
            <w:pPr>
              <w:spacing w:line="360" w:lineRule="auto"/>
              <w:ind w:left="840"/>
              <w:jc w:val="center"/>
              <w:rPr>
                <w:rFonts w:hint="eastAsia" w:ascii="宋体" w:hAnsi="宋体" w:cs="宋体"/>
                <w:sz w:val="24"/>
                <w:szCs w:val="24"/>
              </w:rPr>
            </w:pPr>
          </w:p>
        </w:tc>
        <w:tc>
          <w:tcPr>
            <w:tcW w:w="2394" w:type="dxa"/>
            <w:noWrap w:val="0"/>
            <w:vAlign w:val="center"/>
          </w:tcPr>
          <w:p w14:paraId="7FD5BCBA">
            <w:pPr>
              <w:spacing w:line="360" w:lineRule="auto"/>
              <w:ind w:left="840"/>
              <w:jc w:val="center"/>
              <w:rPr>
                <w:rFonts w:hint="eastAsia" w:ascii="宋体" w:hAnsi="宋体" w:cs="宋体"/>
                <w:sz w:val="24"/>
                <w:szCs w:val="24"/>
              </w:rPr>
            </w:pPr>
          </w:p>
        </w:tc>
      </w:tr>
      <w:tr w14:paraId="556BF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2B39AC2B">
            <w:pPr>
              <w:spacing w:line="360" w:lineRule="auto"/>
              <w:ind w:left="840"/>
              <w:jc w:val="center"/>
              <w:rPr>
                <w:rFonts w:hint="eastAsia" w:ascii="宋体" w:hAnsi="宋体" w:cs="宋体"/>
                <w:sz w:val="24"/>
                <w:szCs w:val="24"/>
              </w:rPr>
            </w:pPr>
          </w:p>
        </w:tc>
        <w:tc>
          <w:tcPr>
            <w:tcW w:w="3417" w:type="dxa"/>
            <w:noWrap w:val="0"/>
            <w:vAlign w:val="center"/>
          </w:tcPr>
          <w:p w14:paraId="10C1C36A">
            <w:pPr>
              <w:spacing w:line="360" w:lineRule="auto"/>
              <w:ind w:left="840"/>
              <w:jc w:val="center"/>
              <w:rPr>
                <w:rFonts w:hint="eastAsia" w:ascii="宋体" w:hAnsi="宋体" w:cs="宋体"/>
                <w:sz w:val="24"/>
                <w:szCs w:val="24"/>
              </w:rPr>
            </w:pPr>
          </w:p>
        </w:tc>
        <w:tc>
          <w:tcPr>
            <w:tcW w:w="1553" w:type="dxa"/>
            <w:noWrap w:val="0"/>
            <w:vAlign w:val="center"/>
          </w:tcPr>
          <w:p w14:paraId="44645AE6">
            <w:pPr>
              <w:spacing w:line="360" w:lineRule="auto"/>
              <w:ind w:left="840"/>
              <w:jc w:val="center"/>
              <w:rPr>
                <w:rFonts w:hint="eastAsia" w:ascii="宋体" w:hAnsi="宋体" w:cs="宋体"/>
                <w:sz w:val="24"/>
                <w:szCs w:val="24"/>
              </w:rPr>
            </w:pPr>
          </w:p>
        </w:tc>
        <w:tc>
          <w:tcPr>
            <w:tcW w:w="2394" w:type="dxa"/>
            <w:noWrap w:val="0"/>
            <w:vAlign w:val="center"/>
          </w:tcPr>
          <w:p w14:paraId="4A602878">
            <w:pPr>
              <w:spacing w:line="360" w:lineRule="auto"/>
              <w:ind w:left="840"/>
              <w:jc w:val="center"/>
              <w:rPr>
                <w:rFonts w:hint="eastAsia" w:ascii="宋体" w:hAnsi="宋体" w:cs="宋体"/>
                <w:sz w:val="24"/>
                <w:szCs w:val="24"/>
              </w:rPr>
            </w:pPr>
          </w:p>
        </w:tc>
      </w:tr>
      <w:tr w14:paraId="44648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11FC2C1C">
            <w:pPr>
              <w:spacing w:line="360" w:lineRule="auto"/>
              <w:ind w:left="840"/>
              <w:jc w:val="center"/>
              <w:rPr>
                <w:rFonts w:hint="eastAsia" w:ascii="宋体" w:hAnsi="宋体" w:cs="宋体"/>
                <w:sz w:val="24"/>
                <w:szCs w:val="24"/>
              </w:rPr>
            </w:pPr>
          </w:p>
        </w:tc>
        <w:tc>
          <w:tcPr>
            <w:tcW w:w="3417" w:type="dxa"/>
            <w:noWrap w:val="0"/>
            <w:vAlign w:val="center"/>
          </w:tcPr>
          <w:p w14:paraId="37AF4FEE">
            <w:pPr>
              <w:spacing w:line="360" w:lineRule="auto"/>
              <w:ind w:left="840"/>
              <w:jc w:val="center"/>
              <w:rPr>
                <w:rFonts w:hint="eastAsia" w:ascii="宋体" w:hAnsi="宋体" w:cs="宋体"/>
                <w:sz w:val="24"/>
                <w:szCs w:val="24"/>
              </w:rPr>
            </w:pPr>
          </w:p>
        </w:tc>
        <w:tc>
          <w:tcPr>
            <w:tcW w:w="1553" w:type="dxa"/>
            <w:noWrap w:val="0"/>
            <w:vAlign w:val="center"/>
          </w:tcPr>
          <w:p w14:paraId="1F72339F">
            <w:pPr>
              <w:spacing w:line="360" w:lineRule="auto"/>
              <w:ind w:left="840"/>
              <w:jc w:val="center"/>
              <w:rPr>
                <w:rFonts w:hint="eastAsia" w:ascii="宋体" w:hAnsi="宋体" w:cs="宋体"/>
                <w:sz w:val="24"/>
                <w:szCs w:val="24"/>
              </w:rPr>
            </w:pPr>
          </w:p>
        </w:tc>
        <w:tc>
          <w:tcPr>
            <w:tcW w:w="2394" w:type="dxa"/>
            <w:noWrap w:val="0"/>
            <w:vAlign w:val="center"/>
          </w:tcPr>
          <w:p w14:paraId="7917CC00">
            <w:pPr>
              <w:spacing w:line="360" w:lineRule="auto"/>
              <w:ind w:left="840"/>
              <w:jc w:val="center"/>
              <w:rPr>
                <w:rFonts w:hint="eastAsia" w:ascii="宋体" w:hAnsi="宋体" w:cs="宋体"/>
                <w:sz w:val="24"/>
                <w:szCs w:val="24"/>
              </w:rPr>
            </w:pPr>
          </w:p>
        </w:tc>
      </w:tr>
      <w:tr w14:paraId="3C9B1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2D19242E">
            <w:pPr>
              <w:spacing w:line="360" w:lineRule="auto"/>
              <w:ind w:left="840"/>
              <w:jc w:val="center"/>
              <w:rPr>
                <w:rFonts w:hint="eastAsia" w:ascii="宋体" w:hAnsi="宋体" w:cs="宋体"/>
                <w:sz w:val="24"/>
                <w:szCs w:val="24"/>
              </w:rPr>
            </w:pPr>
          </w:p>
        </w:tc>
        <w:tc>
          <w:tcPr>
            <w:tcW w:w="3417" w:type="dxa"/>
            <w:noWrap w:val="0"/>
            <w:vAlign w:val="center"/>
          </w:tcPr>
          <w:p w14:paraId="718EAE30">
            <w:pPr>
              <w:spacing w:line="360" w:lineRule="auto"/>
              <w:ind w:left="840"/>
              <w:jc w:val="center"/>
              <w:rPr>
                <w:rFonts w:hint="eastAsia" w:ascii="宋体" w:hAnsi="宋体" w:cs="宋体"/>
                <w:sz w:val="24"/>
                <w:szCs w:val="24"/>
              </w:rPr>
            </w:pPr>
          </w:p>
        </w:tc>
        <w:tc>
          <w:tcPr>
            <w:tcW w:w="1553" w:type="dxa"/>
            <w:noWrap w:val="0"/>
            <w:vAlign w:val="center"/>
          </w:tcPr>
          <w:p w14:paraId="7DB196A1">
            <w:pPr>
              <w:spacing w:line="360" w:lineRule="auto"/>
              <w:ind w:left="840"/>
              <w:jc w:val="center"/>
              <w:rPr>
                <w:rFonts w:hint="eastAsia" w:ascii="宋体" w:hAnsi="宋体" w:cs="宋体"/>
                <w:sz w:val="24"/>
                <w:szCs w:val="24"/>
              </w:rPr>
            </w:pPr>
          </w:p>
        </w:tc>
        <w:tc>
          <w:tcPr>
            <w:tcW w:w="2394" w:type="dxa"/>
            <w:noWrap w:val="0"/>
            <w:vAlign w:val="center"/>
          </w:tcPr>
          <w:p w14:paraId="23EA19B7">
            <w:pPr>
              <w:spacing w:line="360" w:lineRule="auto"/>
              <w:ind w:left="840"/>
              <w:jc w:val="center"/>
              <w:rPr>
                <w:rFonts w:hint="eastAsia" w:ascii="宋体" w:hAnsi="宋体" w:cs="宋体"/>
                <w:sz w:val="24"/>
                <w:szCs w:val="24"/>
              </w:rPr>
            </w:pPr>
          </w:p>
        </w:tc>
      </w:tr>
      <w:tr w14:paraId="043263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52DC1FED">
            <w:pPr>
              <w:spacing w:line="360" w:lineRule="auto"/>
              <w:ind w:left="840"/>
              <w:jc w:val="center"/>
              <w:rPr>
                <w:rFonts w:hint="eastAsia" w:ascii="宋体" w:hAnsi="宋体" w:cs="宋体"/>
                <w:sz w:val="24"/>
                <w:szCs w:val="24"/>
              </w:rPr>
            </w:pPr>
          </w:p>
        </w:tc>
        <w:tc>
          <w:tcPr>
            <w:tcW w:w="3417" w:type="dxa"/>
            <w:noWrap w:val="0"/>
            <w:vAlign w:val="center"/>
          </w:tcPr>
          <w:p w14:paraId="463121D0">
            <w:pPr>
              <w:spacing w:line="360" w:lineRule="auto"/>
              <w:ind w:left="840"/>
              <w:jc w:val="center"/>
              <w:rPr>
                <w:rFonts w:hint="eastAsia" w:ascii="宋体" w:hAnsi="宋体" w:cs="宋体"/>
                <w:sz w:val="24"/>
                <w:szCs w:val="24"/>
              </w:rPr>
            </w:pPr>
          </w:p>
        </w:tc>
        <w:tc>
          <w:tcPr>
            <w:tcW w:w="1553" w:type="dxa"/>
            <w:noWrap w:val="0"/>
            <w:vAlign w:val="center"/>
          </w:tcPr>
          <w:p w14:paraId="2CCA5D3C">
            <w:pPr>
              <w:spacing w:line="360" w:lineRule="auto"/>
              <w:ind w:left="840"/>
              <w:jc w:val="center"/>
              <w:rPr>
                <w:rFonts w:hint="eastAsia" w:ascii="宋体" w:hAnsi="宋体" w:cs="宋体"/>
                <w:sz w:val="24"/>
                <w:szCs w:val="24"/>
              </w:rPr>
            </w:pPr>
          </w:p>
        </w:tc>
        <w:tc>
          <w:tcPr>
            <w:tcW w:w="2394" w:type="dxa"/>
            <w:noWrap w:val="0"/>
            <w:vAlign w:val="center"/>
          </w:tcPr>
          <w:p w14:paraId="7FADFE7A">
            <w:pPr>
              <w:spacing w:line="360" w:lineRule="auto"/>
              <w:ind w:left="840"/>
              <w:jc w:val="center"/>
              <w:rPr>
                <w:rFonts w:hint="eastAsia" w:ascii="宋体" w:hAnsi="宋体" w:cs="宋体"/>
                <w:sz w:val="24"/>
                <w:szCs w:val="24"/>
              </w:rPr>
            </w:pPr>
          </w:p>
        </w:tc>
      </w:tr>
      <w:tr w14:paraId="467AD9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4BBC52A0">
            <w:pPr>
              <w:spacing w:line="360" w:lineRule="auto"/>
              <w:ind w:left="840"/>
              <w:jc w:val="center"/>
              <w:rPr>
                <w:rFonts w:hint="eastAsia" w:ascii="宋体" w:hAnsi="宋体" w:cs="宋体"/>
                <w:sz w:val="24"/>
                <w:szCs w:val="24"/>
              </w:rPr>
            </w:pPr>
          </w:p>
        </w:tc>
        <w:tc>
          <w:tcPr>
            <w:tcW w:w="3417" w:type="dxa"/>
            <w:noWrap w:val="0"/>
            <w:vAlign w:val="center"/>
          </w:tcPr>
          <w:p w14:paraId="7711933B">
            <w:pPr>
              <w:spacing w:line="360" w:lineRule="auto"/>
              <w:ind w:left="840"/>
              <w:jc w:val="center"/>
              <w:rPr>
                <w:rFonts w:hint="eastAsia" w:ascii="宋体" w:hAnsi="宋体" w:cs="宋体"/>
                <w:sz w:val="24"/>
                <w:szCs w:val="24"/>
              </w:rPr>
            </w:pPr>
          </w:p>
        </w:tc>
        <w:tc>
          <w:tcPr>
            <w:tcW w:w="1553" w:type="dxa"/>
            <w:noWrap w:val="0"/>
            <w:vAlign w:val="center"/>
          </w:tcPr>
          <w:p w14:paraId="16EE0561">
            <w:pPr>
              <w:spacing w:line="360" w:lineRule="auto"/>
              <w:ind w:left="840"/>
              <w:jc w:val="center"/>
              <w:rPr>
                <w:rFonts w:hint="eastAsia" w:ascii="宋体" w:hAnsi="宋体" w:cs="宋体"/>
                <w:sz w:val="24"/>
                <w:szCs w:val="24"/>
              </w:rPr>
            </w:pPr>
          </w:p>
        </w:tc>
        <w:tc>
          <w:tcPr>
            <w:tcW w:w="2394" w:type="dxa"/>
            <w:noWrap w:val="0"/>
            <w:vAlign w:val="center"/>
          </w:tcPr>
          <w:p w14:paraId="7059FAF9">
            <w:pPr>
              <w:spacing w:line="360" w:lineRule="auto"/>
              <w:ind w:left="840"/>
              <w:jc w:val="center"/>
              <w:rPr>
                <w:rFonts w:hint="eastAsia" w:ascii="宋体" w:hAnsi="宋体" w:cs="宋体"/>
                <w:sz w:val="24"/>
                <w:szCs w:val="24"/>
              </w:rPr>
            </w:pPr>
          </w:p>
        </w:tc>
      </w:tr>
      <w:tr w14:paraId="2EDCA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076E5390">
            <w:pPr>
              <w:spacing w:line="360" w:lineRule="auto"/>
              <w:ind w:left="840"/>
              <w:jc w:val="center"/>
              <w:rPr>
                <w:rFonts w:hint="eastAsia" w:ascii="宋体" w:hAnsi="宋体" w:cs="宋体"/>
                <w:sz w:val="24"/>
                <w:szCs w:val="24"/>
              </w:rPr>
            </w:pPr>
          </w:p>
        </w:tc>
        <w:tc>
          <w:tcPr>
            <w:tcW w:w="3417" w:type="dxa"/>
            <w:noWrap w:val="0"/>
            <w:vAlign w:val="center"/>
          </w:tcPr>
          <w:p w14:paraId="1014C1AF">
            <w:pPr>
              <w:spacing w:line="360" w:lineRule="auto"/>
              <w:ind w:left="840"/>
              <w:jc w:val="center"/>
              <w:rPr>
                <w:rFonts w:hint="eastAsia" w:ascii="宋体" w:hAnsi="宋体" w:cs="宋体"/>
                <w:sz w:val="24"/>
                <w:szCs w:val="24"/>
              </w:rPr>
            </w:pPr>
          </w:p>
        </w:tc>
        <w:tc>
          <w:tcPr>
            <w:tcW w:w="1553" w:type="dxa"/>
            <w:noWrap w:val="0"/>
            <w:vAlign w:val="center"/>
          </w:tcPr>
          <w:p w14:paraId="6961BB54">
            <w:pPr>
              <w:spacing w:line="360" w:lineRule="auto"/>
              <w:ind w:left="840"/>
              <w:jc w:val="center"/>
              <w:rPr>
                <w:rFonts w:hint="eastAsia" w:ascii="宋体" w:hAnsi="宋体" w:cs="宋体"/>
                <w:sz w:val="24"/>
                <w:szCs w:val="24"/>
              </w:rPr>
            </w:pPr>
          </w:p>
        </w:tc>
        <w:tc>
          <w:tcPr>
            <w:tcW w:w="2394" w:type="dxa"/>
            <w:noWrap w:val="0"/>
            <w:vAlign w:val="center"/>
          </w:tcPr>
          <w:p w14:paraId="7E1ED19B">
            <w:pPr>
              <w:spacing w:line="360" w:lineRule="auto"/>
              <w:ind w:left="840"/>
              <w:jc w:val="center"/>
              <w:rPr>
                <w:rFonts w:hint="eastAsia" w:ascii="宋体" w:hAnsi="宋体" w:cs="宋体"/>
                <w:sz w:val="24"/>
                <w:szCs w:val="24"/>
              </w:rPr>
            </w:pPr>
          </w:p>
        </w:tc>
      </w:tr>
      <w:tr w14:paraId="160B16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50B09A6D">
            <w:pPr>
              <w:spacing w:line="360" w:lineRule="auto"/>
              <w:ind w:left="840"/>
              <w:jc w:val="center"/>
              <w:rPr>
                <w:rFonts w:hint="eastAsia" w:ascii="宋体" w:hAnsi="宋体" w:cs="宋体"/>
                <w:sz w:val="24"/>
                <w:szCs w:val="24"/>
              </w:rPr>
            </w:pPr>
          </w:p>
        </w:tc>
        <w:tc>
          <w:tcPr>
            <w:tcW w:w="3417" w:type="dxa"/>
            <w:noWrap w:val="0"/>
            <w:vAlign w:val="center"/>
          </w:tcPr>
          <w:p w14:paraId="407FABB9">
            <w:pPr>
              <w:spacing w:line="360" w:lineRule="auto"/>
              <w:ind w:left="840"/>
              <w:jc w:val="center"/>
              <w:rPr>
                <w:rFonts w:hint="eastAsia" w:ascii="宋体" w:hAnsi="宋体" w:cs="宋体"/>
                <w:sz w:val="24"/>
                <w:szCs w:val="24"/>
              </w:rPr>
            </w:pPr>
          </w:p>
        </w:tc>
        <w:tc>
          <w:tcPr>
            <w:tcW w:w="1553" w:type="dxa"/>
            <w:noWrap w:val="0"/>
            <w:vAlign w:val="center"/>
          </w:tcPr>
          <w:p w14:paraId="2684758F">
            <w:pPr>
              <w:spacing w:line="360" w:lineRule="auto"/>
              <w:ind w:left="840"/>
              <w:jc w:val="center"/>
              <w:rPr>
                <w:rFonts w:hint="eastAsia" w:ascii="宋体" w:hAnsi="宋体" w:cs="宋体"/>
                <w:sz w:val="24"/>
                <w:szCs w:val="24"/>
              </w:rPr>
            </w:pPr>
          </w:p>
        </w:tc>
        <w:tc>
          <w:tcPr>
            <w:tcW w:w="2394" w:type="dxa"/>
            <w:noWrap w:val="0"/>
            <w:vAlign w:val="center"/>
          </w:tcPr>
          <w:p w14:paraId="42F443D9">
            <w:pPr>
              <w:spacing w:line="360" w:lineRule="auto"/>
              <w:ind w:left="840"/>
              <w:jc w:val="center"/>
              <w:rPr>
                <w:rFonts w:hint="eastAsia" w:ascii="宋体" w:hAnsi="宋体" w:cs="宋体"/>
                <w:sz w:val="24"/>
                <w:szCs w:val="24"/>
              </w:rPr>
            </w:pPr>
          </w:p>
        </w:tc>
      </w:tr>
      <w:tr w14:paraId="06AC6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3097E90D">
            <w:pPr>
              <w:spacing w:line="360" w:lineRule="auto"/>
              <w:ind w:left="840"/>
              <w:jc w:val="center"/>
              <w:rPr>
                <w:rFonts w:hint="eastAsia" w:ascii="宋体" w:hAnsi="宋体" w:cs="宋体"/>
                <w:sz w:val="24"/>
                <w:szCs w:val="24"/>
              </w:rPr>
            </w:pPr>
          </w:p>
        </w:tc>
        <w:tc>
          <w:tcPr>
            <w:tcW w:w="3417" w:type="dxa"/>
            <w:noWrap w:val="0"/>
            <w:vAlign w:val="center"/>
          </w:tcPr>
          <w:p w14:paraId="5EEE7578">
            <w:pPr>
              <w:spacing w:line="360" w:lineRule="auto"/>
              <w:ind w:left="840"/>
              <w:jc w:val="center"/>
              <w:rPr>
                <w:rFonts w:hint="eastAsia" w:ascii="宋体" w:hAnsi="宋体" w:cs="宋体"/>
                <w:sz w:val="24"/>
                <w:szCs w:val="24"/>
              </w:rPr>
            </w:pPr>
          </w:p>
        </w:tc>
        <w:tc>
          <w:tcPr>
            <w:tcW w:w="1553" w:type="dxa"/>
            <w:noWrap w:val="0"/>
            <w:vAlign w:val="center"/>
          </w:tcPr>
          <w:p w14:paraId="798A5247">
            <w:pPr>
              <w:spacing w:line="360" w:lineRule="auto"/>
              <w:ind w:left="840"/>
              <w:jc w:val="center"/>
              <w:rPr>
                <w:rFonts w:hint="eastAsia" w:ascii="宋体" w:hAnsi="宋体" w:cs="宋体"/>
                <w:sz w:val="24"/>
                <w:szCs w:val="24"/>
              </w:rPr>
            </w:pPr>
          </w:p>
        </w:tc>
        <w:tc>
          <w:tcPr>
            <w:tcW w:w="2394" w:type="dxa"/>
            <w:noWrap w:val="0"/>
            <w:vAlign w:val="center"/>
          </w:tcPr>
          <w:p w14:paraId="1D3B9056">
            <w:pPr>
              <w:spacing w:line="360" w:lineRule="auto"/>
              <w:ind w:left="840"/>
              <w:jc w:val="center"/>
              <w:rPr>
                <w:rFonts w:hint="eastAsia" w:ascii="宋体" w:hAnsi="宋体" w:cs="宋体"/>
                <w:sz w:val="24"/>
                <w:szCs w:val="24"/>
              </w:rPr>
            </w:pPr>
          </w:p>
        </w:tc>
      </w:tr>
      <w:tr w14:paraId="0D59B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143A9027">
            <w:pPr>
              <w:spacing w:line="360" w:lineRule="auto"/>
              <w:ind w:left="840"/>
              <w:jc w:val="center"/>
              <w:rPr>
                <w:rFonts w:hint="eastAsia" w:ascii="宋体" w:hAnsi="宋体" w:cs="宋体"/>
                <w:sz w:val="24"/>
                <w:szCs w:val="24"/>
              </w:rPr>
            </w:pPr>
          </w:p>
        </w:tc>
        <w:tc>
          <w:tcPr>
            <w:tcW w:w="3417" w:type="dxa"/>
            <w:noWrap w:val="0"/>
            <w:vAlign w:val="center"/>
          </w:tcPr>
          <w:p w14:paraId="6854C80C">
            <w:pPr>
              <w:spacing w:line="360" w:lineRule="auto"/>
              <w:ind w:left="840"/>
              <w:jc w:val="center"/>
              <w:rPr>
                <w:rFonts w:hint="eastAsia" w:ascii="宋体" w:hAnsi="宋体" w:cs="宋体"/>
                <w:sz w:val="24"/>
                <w:szCs w:val="24"/>
              </w:rPr>
            </w:pPr>
          </w:p>
        </w:tc>
        <w:tc>
          <w:tcPr>
            <w:tcW w:w="1553" w:type="dxa"/>
            <w:noWrap w:val="0"/>
            <w:vAlign w:val="center"/>
          </w:tcPr>
          <w:p w14:paraId="5162E708">
            <w:pPr>
              <w:spacing w:line="360" w:lineRule="auto"/>
              <w:ind w:left="840"/>
              <w:jc w:val="center"/>
              <w:rPr>
                <w:rFonts w:hint="eastAsia" w:ascii="宋体" w:hAnsi="宋体" w:cs="宋体"/>
                <w:sz w:val="24"/>
                <w:szCs w:val="24"/>
              </w:rPr>
            </w:pPr>
          </w:p>
        </w:tc>
        <w:tc>
          <w:tcPr>
            <w:tcW w:w="2394" w:type="dxa"/>
            <w:noWrap w:val="0"/>
            <w:vAlign w:val="center"/>
          </w:tcPr>
          <w:p w14:paraId="3220AA41">
            <w:pPr>
              <w:spacing w:line="360" w:lineRule="auto"/>
              <w:ind w:left="840"/>
              <w:jc w:val="center"/>
              <w:rPr>
                <w:rFonts w:hint="eastAsia" w:ascii="宋体" w:hAnsi="宋体" w:cs="宋体"/>
                <w:sz w:val="24"/>
                <w:szCs w:val="24"/>
              </w:rPr>
            </w:pPr>
          </w:p>
        </w:tc>
      </w:tr>
      <w:tr w14:paraId="22DED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noWrap w:val="0"/>
            <w:vAlign w:val="center"/>
          </w:tcPr>
          <w:p w14:paraId="6EF36D86">
            <w:pPr>
              <w:spacing w:line="360" w:lineRule="auto"/>
              <w:ind w:left="840"/>
              <w:jc w:val="center"/>
              <w:rPr>
                <w:rFonts w:hint="eastAsia" w:ascii="宋体" w:hAnsi="宋体" w:cs="宋体"/>
                <w:sz w:val="24"/>
                <w:szCs w:val="24"/>
              </w:rPr>
            </w:pPr>
          </w:p>
        </w:tc>
        <w:tc>
          <w:tcPr>
            <w:tcW w:w="3417" w:type="dxa"/>
            <w:noWrap w:val="0"/>
            <w:vAlign w:val="center"/>
          </w:tcPr>
          <w:p w14:paraId="35E9D862">
            <w:pPr>
              <w:spacing w:line="360" w:lineRule="auto"/>
              <w:ind w:left="840"/>
              <w:jc w:val="center"/>
              <w:rPr>
                <w:rFonts w:hint="eastAsia" w:ascii="宋体" w:hAnsi="宋体" w:cs="宋体"/>
                <w:sz w:val="24"/>
                <w:szCs w:val="24"/>
              </w:rPr>
            </w:pPr>
          </w:p>
        </w:tc>
        <w:tc>
          <w:tcPr>
            <w:tcW w:w="1553" w:type="dxa"/>
            <w:noWrap w:val="0"/>
            <w:vAlign w:val="center"/>
          </w:tcPr>
          <w:p w14:paraId="51FB5A22">
            <w:pPr>
              <w:spacing w:line="360" w:lineRule="auto"/>
              <w:ind w:left="840"/>
              <w:jc w:val="center"/>
              <w:rPr>
                <w:rFonts w:hint="eastAsia" w:ascii="宋体" w:hAnsi="宋体" w:cs="宋体"/>
                <w:sz w:val="24"/>
                <w:szCs w:val="24"/>
              </w:rPr>
            </w:pPr>
          </w:p>
        </w:tc>
        <w:tc>
          <w:tcPr>
            <w:tcW w:w="2394" w:type="dxa"/>
            <w:noWrap w:val="0"/>
            <w:vAlign w:val="center"/>
          </w:tcPr>
          <w:p w14:paraId="1C701BE4">
            <w:pPr>
              <w:spacing w:line="360" w:lineRule="auto"/>
              <w:ind w:left="840"/>
              <w:jc w:val="center"/>
              <w:rPr>
                <w:rFonts w:hint="eastAsia" w:ascii="宋体" w:hAnsi="宋体" w:cs="宋体"/>
                <w:sz w:val="24"/>
                <w:szCs w:val="24"/>
              </w:rPr>
            </w:pPr>
          </w:p>
        </w:tc>
      </w:tr>
      <w:tr w14:paraId="29E0C1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tcBorders>
              <w:bottom w:val="single" w:color="auto" w:sz="6" w:space="0"/>
            </w:tcBorders>
            <w:noWrap w:val="0"/>
            <w:vAlign w:val="center"/>
          </w:tcPr>
          <w:p w14:paraId="79E501EB">
            <w:pPr>
              <w:spacing w:line="360" w:lineRule="auto"/>
              <w:ind w:left="840"/>
              <w:jc w:val="center"/>
              <w:rPr>
                <w:rFonts w:hint="eastAsia" w:ascii="宋体" w:hAnsi="宋体" w:cs="宋体"/>
                <w:sz w:val="24"/>
                <w:szCs w:val="24"/>
              </w:rPr>
            </w:pPr>
          </w:p>
        </w:tc>
        <w:tc>
          <w:tcPr>
            <w:tcW w:w="3417" w:type="dxa"/>
            <w:tcBorders>
              <w:bottom w:val="single" w:color="auto" w:sz="6" w:space="0"/>
            </w:tcBorders>
            <w:noWrap w:val="0"/>
            <w:vAlign w:val="center"/>
          </w:tcPr>
          <w:p w14:paraId="3E78CF42">
            <w:pPr>
              <w:spacing w:line="360" w:lineRule="auto"/>
              <w:ind w:left="840"/>
              <w:jc w:val="center"/>
              <w:rPr>
                <w:rFonts w:hint="eastAsia" w:ascii="宋体" w:hAnsi="宋体" w:cs="宋体"/>
                <w:sz w:val="24"/>
                <w:szCs w:val="24"/>
              </w:rPr>
            </w:pPr>
          </w:p>
        </w:tc>
        <w:tc>
          <w:tcPr>
            <w:tcW w:w="1553" w:type="dxa"/>
            <w:tcBorders>
              <w:bottom w:val="single" w:color="auto" w:sz="6" w:space="0"/>
            </w:tcBorders>
            <w:noWrap w:val="0"/>
            <w:vAlign w:val="center"/>
          </w:tcPr>
          <w:p w14:paraId="351F68FD">
            <w:pPr>
              <w:spacing w:line="360" w:lineRule="auto"/>
              <w:ind w:left="840"/>
              <w:jc w:val="center"/>
              <w:rPr>
                <w:rFonts w:hint="eastAsia" w:ascii="宋体" w:hAnsi="宋体" w:cs="宋体"/>
                <w:sz w:val="24"/>
                <w:szCs w:val="24"/>
              </w:rPr>
            </w:pPr>
          </w:p>
        </w:tc>
        <w:tc>
          <w:tcPr>
            <w:tcW w:w="2394" w:type="dxa"/>
            <w:tcBorders>
              <w:bottom w:val="single" w:color="auto" w:sz="6" w:space="0"/>
            </w:tcBorders>
            <w:noWrap w:val="0"/>
            <w:vAlign w:val="center"/>
          </w:tcPr>
          <w:p w14:paraId="396901B7">
            <w:pPr>
              <w:spacing w:line="360" w:lineRule="auto"/>
              <w:ind w:left="840"/>
              <w:jc w:val="center"/>
              <w:rPr>
                <w:rFonts w:hint="eastAsia" w:ascii="宋体" w:hAnsi="宋体" w:cs="宋体"/>
                <w:sz w:val="24"/>
                <w:szCs w:val="24"/>
              </w:rPr>
            </w:pPr>
          </w:p>
        </w:tc>
      </w:tr>
      <w:tr w14:paraId="5E360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1708" w:type="dxa"/>
            <w:tcBorders>
              <w:top w:val="single" w:color="auto" w:sz="6" w:space="0"/>
              <w:left w:val="single" w:color="auto" w:sz="12" w:space="0"/>
              <w:bottom w:val="single" w:color="auto" w:sz="12" w:space="0"/>
            </w:tcBorders>
            <w:noWrap w:val="0"/>
            <w:vAlign w:val="center"/>
          </w:tcPr>
          <w:p w14:paraId="5B5D5C91">
            <w:pPr>
              <w:spacing w:line="360" w:lineRule="auto"/>
              <w:ind w:left="840"/>
              <w:jc w:val="center"/>
              <w:rPr>
                <w:rFonts w:hint="eastAsia" w:ascii="宋体" w:hAnsi="宋体" w:cs="宋体"/>
                <w:sz w:val="24"/>
                <w:szCs w:val="24"/>
              </w:rPr>
            </w:pPr>
          </w:p>
        </w:tc>
        <w:tc>
          <w:tcPr>
            <w:tcW w:w="3417" w:type="dxa"/>
            <w:tcBorders>
              <w:top w:val="single" w:color="auto" w:sz="6" w:space="0"/>
              <w:bottom w:val="single" w:color="auto" w:sz="12" w:space="0"/>
            </w:tcBorders>
            <w:noWrap w:val="0"/>
            <w:vAlign w:val="center"/>
          </w:tcPr>
          <w:p w14:paraId="2B5888C5">
            <w:pPr>
              <w:spacing w:line="360" w:lineRule="auto"/>
              <w:ind w:left="840"/>
              <w:jc w:val="center"/>
              <w:rPr>
                <w:rFonts w:hint="eastAsia" w:ascii="宋体" w:hAnsi="宋体" w:cs="宋体"/>
                <w:sz w:val="24"/>
                <w:szCs w:val="24"/>
              </w:rPr>
            </w:pPr>
          </w:p>
        </w:tc>
        <w:tc>
          <w:tcPr>
            <w:tcW w:w="1553" w:type="dxa"/>
            <w:tcBorders>
              <w:top w:val="single" w:color="auto" w:sz="6" w:space="0"/>
              <w:bottom w:val="single" w:color="auto" w:sz="12" w:space="0"/>
            </w:tcBorders>
            <w:noWrap w:val="0"/>
            <w:vAlign w:val="center"/>
          </w:tcPr>
          <w:p w14:paraId="6BC3CFA7">
            <w:pPr>
              <w:spacing w:line="360" w:lineRule="auto"/>
              <w:ind w:left="840"/>
              <w:jc w:val="center"/>
              <w:rPr>
                <w:rFonts w:hint="eastAsia" w:ascii="宋体" w:hAnsi="宋体" w:cs="宋体"/>
                <w:sz w:val="24"/>
                <w:szCs w:val="24"/>
              </w:rPr>
            </w:pPr>
          </w:p>
        </w:tc>
        <w:tc>
          <w:tcPr>
            <w:tcW w:w="2394" w:type="dxa"/>
            <w:tcBorders>
              <w:top w:val="single" w:color="auto" w:sz="6" w:space="0"/>
              <w:bottom w:val="single" w:color="auto" w:sz="12" w:space="0"/>
              <w:right w:val="single" w:color="auto" w:sz="12" w:space="0"/>
            </w:tcBorders>
            <w:noWrap w:val="0"/>
            <w:vAlign w:val="center"/>
          </w:tcPr>
          <w:p w14:paraId="281900A5">
            <w:pPr>
              <w:spacing w:line="360" w:lineRule="auto"/>
              <w:ind w:left="840"/>
              <w:jc w:val="center"/>
              <w:rPr>
                <w:rFonts w:hint="eastAsia" w:ascii="宋体" w:hAnsi="宋体" w:cs="宋体"/>
                <w:sz w:val="24"/>
                <w:szCs w:val="24"/>
              </w:rPr>
            </w:pPr>
          </w:p>
        </w:tc>
      </w:tr>
    </w:tbl>
    <w:p w14:paraId="4B42E998">
      <w:pPr>
        <w:widowControl/>
        <w:spacing w:after="200" w:line="276" w:lineRule="auto"/>
        <w:jc w:val="left"/>
        <w:rPr>
          <w:rFonts w:ascii="宋体" w:hAnsi="宋体" w:cs="宋体"/>
          <w:sz w:val="24"/>
          <w:szCs w:val="24"/>
        </w:rPr>
      </w:pPr>
      <w:r>
        <w:rPr>
          <w:rFonts w:hint="eastAsia" w:ascii="宋体" w:hAnsi="宋体" w:cs="宋体"/>
          <w:sz w:val="24"/>
          <w:szCs w:val="24"/>
        </w:rPr>
        <w:t>注：招标人应在招标文件中规定若投标人在所投标标段中标需提供的主要机械设备和试验检测设备。招标人将在发出中标通知书之前要求中标人按照本表的最低要求填报为本标段配备的主要设备，在经招标人审批后作为投入本标段的主要设备且不允许更换。</w:t>
      </w:r>
    </w:p>
    <w:p w14:paraId="4697DF05">
      <w:pPr>
        <w:widowControl/>
        <w:spacing w:after="200" w:line="276" w:lineRule="auto"/>
        <w:jc w:val="left"/>
        <w:rPr>
          <w:rFonts w:hint="eastAsia" w:ascii="宋体" w:hAnsi="宋体" w:cs="宋体"/>
          <w:b/>
          <w:bCs/>
          <w:kern w:val="44"/>
          <w:sz w:val="24"/>
        </w:rPr>
      </w:pPr>
      <w:r>
        <w:rPr>
          <w:rFonts w:ascii="宋体" w:hAnsi="宋体" w:cs="宋体"/>
          <w:sz w:val="24"/>
          <w:szCs w:val="24"/>
        </w:rPr>
        <w:br w:type="page"/>
      </w:r>
      <w:r>
        <w:rPr>
          <w:rFonts w:hint="eastAsia" w:ascii="宋体" w:hAnsi="宋体" w:cs="宋体"/>
          <w:b/>
          <w:bCs/>
          <w:kern w:val="44"/>
          <w:sz w:val="24"/>
        </w:rPr>
        <w:t>附件六   项目经理委托书</w:t>
      </w:r>
      <w:bookmarkEnd w:id="1698"/>
      <w:bookmarkEnd w:id="1699"/>
      <w:bookmarkEnd w:id="1700"/>
      <w:bookmarkEnd w:id="1701"/>
    </w:p>
    <w:p w14:paraId="4D46D6B1">
      <w:pPr>
        <w:widowControl/>
        <w:spacing w:after="200" w:line="400" w:lineRule="exact"/>
        <w:jc w:val="center"/>
        <w:rPr>
          <w:rFonts w:ascii="宋体" w:hAnsi="宋体"/>
          <w:kern w:val="0"/>
          <w:sz w:val="24"/>
          <w:szCs w:val="24"/>
          <w:u w:val="single"/>
        </w:rPr>
      </w:pPr>
      <w:r>
        <w:rPr>
          <w:rFonts w:hint="eastAsia" w:ascii="宋体" w:hAnsi="宋体"/>
          <w:kern w:val="0"/>
          <w:sz w:val="24"/>
          <w:szCs w:val="24"/>
          <w:u w:val="single"/>
        </w:rPr>
        <w:t>（承包人全称）</w:t>
      </w:r>
    </w:p>
    <w:p w14:paraId="7AD057B5">
      <w:pPr>
        <w:widowControl/>
        <w:spacing w:after="200" w:line="400" w:lineRule="exact"/>
        <w:jc w:val="center"/>
        <w:rPr>
          <w:rFonts w:ascii="宋体" w:hAnsi="宋体"/>
          <w:kern w:val="0"/>
          <w:sz w:val="24"/>
          <w:szCs w:val="24"/>
          <w:u w:val="single"/>
        </w:rPr>
      </w:pPr>
      <w:r>
        <w:rPr>
          <w:rFonts w:hint="eastAsia" w:ascii="宋体" w:hAnsi="宋体"/>
          <w:kern w:val="0"/>
          <w:sz w:val="24"/>
          <w:szCs w:val="24"/>
          <w:u w:val="single"/>
        </w:rPr>
        <w:t>（合同工程名称）项目经理委任书</w:t>
      </w:r>
    </w:p>
    <w:p w14:paraId="3E5C55DE">
      <w:pPr>
        <w:widowControl/>
        <w:spacing w:after="200" w:line="360" w:lineRule="auto"/>
        <w:jc w:val="left"/>
        <w:rPr>
          <w:rFonts w:ascii="宋体" w:hAnsi="宋体"/>
          <w:kern w:val="0"/>
          <w:sz w:val="24"/>
          <w:szCs w:val="24"/>
        </w:rPr>
      </w:pPr>
      <w:r>
        <w:rPr>
          <w:rFonts w:hint="eastAsia" w:ascii="宋体" w:hAnsi="宋体"/>
          <w:kern w:val="0"/>
          <w:sz w:val="24"/>
          <w:szCs w:val="24"/>
        </w:rPr>
        <w:t>致：</w:t>
      </w:r>
      <w:r>
        <w:rPr>
          <w:rFonts w:hint="eastAsia" w:ascii="宋体" w:hAnsi="宋体"/>
          <w:kern w:val="0"/>
          <w:sz w:val="24"/>
          <w:szCs w:val="24"/>
          <w:u w:val="single"/>
        </w:rPr>
        <w:t>（发包人全称</w:t>
      </w:r>
      <w:r>
        <w:rPr>
          <w:rFonts w:hint="eastAsia" w:ascii="宋体" w:hAnsi="宋体"/>
          <w:kern w:val="0"/>
          <w:sz w:val="24"/>
          <w:szCs w:val="24"/>
        </w:rPr>
        <w:t>）</w:t>
      </w:r>
    </w:p>
    <w:p w14:paraId="377A9FA1">
      <w:pPr>
        <w:widowControl/>
        <w:spacing w:after="200" w:line="360" w:lineRule="auto"/>
        <w:ind w:firstLine="480" w:firstLineChars="200"/>
        <w:jc w:val="left"/>
        <w:rPr>
          <w:rFonts w:ascii="宋体" w:hAnsi="宋体"/>
          <w:kern w:val="0"/>
          <w:sz w:val="24"/>
          <w:szCs w:val="24"/>
        </w:rPr>
      </w:pPr>
      <w:r>
        <w:rPr>
          <w:rFonts w:hint="eastAsia" w:ascii="宋体" w:hAnsi="宋体"/>
          <w:kern w:val="0"/>
          <w:sz w:val="24"/>
          <w:szCs w:val="24"/>
          <w:u w:val="single"/>
        </w:rPr>
        <w:t>（承包人全称）</w:t>
      </w:r>
      <w:r>
        <w:rPr>
          <w:rFonts w:hint="eastAsia" w:ascii="宋体" w:hAnsi="宋体"/>
          <w:kern w:val="0"/>
          <w:sz w:val="24"/>
          <w:szCs w:val="24"/>
        </w:rPr>
        <w:t xml:space="preserve"> 法定代表人</w:t>
      </w:r>
      <w:r>
        <w:rPr>
          <w:rFonts w:hint="eastAsia" w:ascii="宋体" w:hAnsi="宋体"/>
          <w:kern w:val="0"/>
          <w:sz w:val="24"/>
          <w:szCs w:val="24"/>
          <w:u w:val="single"/>
        </w:rPr>
        <w:t xml:space="preserve"> （职务、姓名）</w:t>
      </w:r>
      <w:r>
        <w:rPr>
          <w:rFonts w:hint="eastAsia" w:ascii="宋体" w:hAnsi="宋体"/>
          <w:kern w:val="0"/>
          <w:sz w:val="24"/>
          <w:szCs w:val="24"/>
        </w:rPr>
        <w:t xml:space="preserve"> 代表本单位委任 </w:t>
      </w:r>
      <w:r>
        <w:rPr>
          <w:rFonts w:hint="eastAsia" w:ascii="宋体" w:hAnsi="宋体"/>
          <w:kern w:val="0"/>
          <w:sz w:val="24"/>
          <w:szCs w:val="24"/>
          <w:u w:val="single"/>
        </w:rPr>
        <w:t>（职务、姓名）</w:t>
      </w:r>
      <w:r>
        <w:rPr>
          <w:rFonts w:hint="eastAsia" w:ascii="宋体" w:hAnsi="宋体"/>
          <w:kern w:val="0"/>
          <w:sz w:val="24"/>
          <w:szCs w:val="24"/>
        </w:rPr>
        <w:t xml:space="preserve"> 为</w:t>
      </w:r>
      <w:r>
        <w:rPr>
          <w:rFonts w:hint="eastAsia" w:ascii="宋体" w:hAnsi="宋体"/>
          <w:kern w:val="0"/>
          <w:sz w:val="24"/>
          <w:szCs w:val="24"/>
          <w:u w:val="single"/>
        </w:rPr>
        <w:t>（合同工程名称）</w:t>
      </w:r>
      <w:r>
        <w:rPr>
          <w:rFonts w:hint="eastAsia" w:ascii="宋体" w:hAnsi="宋体"/>
          <w:kern w:val="0"/>
          <w:sz w:val="24"/>
          <w:szCs w:val="24"/>
        </w:rPr>
        <w:t>的项目经理。凡本合同执行中的有关技术、工程进度、现场管理、质量检验、结算与支付等方面工作，由</w:t>
      </w:r>
      <w:r>
        <w:rPr>
          <w:rFonts w:hint="eastAsia" w:ascii="宋体" w:hAnsi="宋体"/>
          <w:kern w:val="0"/>
          <w:sz w:val="24"/>
          <w:szCs w:val="24"/>
          <w:u w:val="single"/>
        </w:rPr>
        <w:t xml:space="preserve"> （姓名） </w:t>
      </w:r>
      <w:r>
        <w:rPr>
          <w:rFonts w:hint="eastAsia" w:ascii="宋体" w:hAnsi="宋体"/>
          <w:kern w:val="0"/>
          <w:sz w:val="24"/>
          <w:szCs w:val="24"/>
        </w:rPr>
        <w:t>代表本单位全面负责。</w:t>
      </w:r>
    </w:p>
    <w:p w14:paraId="27779B8D">
      <w:pPr>
        <w:widowControl/>
        <w:spacing w:after="200" w:line="400" w:lineRule="exact"/>
        <w:jc w:val="left"/>
        <w:rPr>
          <w:rFonts w:ascii="宋体" w:hAnsi="宋体"/>
          <w:kern w:val="0"/>
          <w:sz w:val="24"/>
          <w:szCs w:val="24"/>
        </w:rPr>
      </w:pPr>
    </w:p>
    <w:p w14:paraId="32270C65">
      <w:pPr>
        <w:widowControl/>
        <w:wordWrap w:val="0"/>
        <w:spacing w:after="200" w:line="400" w:lineRule="exact"/>
        <w:jc w:val="right"/>
        <w:rPr>
          <w:rFonts w:ascii="宋体" w:hAnsi="宋体"/>
          <w:kern w:val="0"/>
          <w:sz w:val="24"/>
          <w:szCs w:val="24"/>
        </w:rPr>
      </w:pPr>
      <w:r>
        <w:rPr>
          <w:rFonts w:hint="eastAsia" w:ascii="宋体" w:hAnsi="宋体"/>
          <w:kern w:val="0"/>
          <w:sz w:val="24"/>
          <w:szCs w:val="24"/>
        </w:rPr>
        <w:t>承包人：</w:t>
      </w:r>
      <w:r>
        <w:rPr>
          <w:rFonts w:hint="eastAsia" w:ascii="宋体" w:hAnsi="宋体"/>
          <w:kern w:val="0"/>
          <w:sz w:val="24"/>
          <w:szCs w:val="24"/>
          <w:u w:val="single"/>
        </w:rPr>
        <w:t xml:space="preserve">            </w:t>
      </w:r>
      <w:r>
        <w:rPr>
          <w:rFonts w:hint="eastAsia" w:ascii="宋体" w:hAnsi="宋体"/>
          <w:kern w:val="0"/>
          <w:sz w:val="24"/>
          <w:szCs w:val="24"/>
        </w:rPr>
        <w:t>（盖单位章）</w:t>
      </w:r>
    </w:p>
    <w:p w14:paraId="4E976053">
      <w:pPr>
        <w:widowControl/>
        <w:wordWrap w:val="0"/>
        <w:spacing w:after="200" w:line="400" w:lineRule="exact"/>
        <w:jc w:val="right"/>
        <w:rPr>
          <w:rFonts w:ascii="宋体" w:hAnsi="宋体"/>
          <w:kern w:val="0"/>
          <w:sz w:val="24"/>
          <w:szCs w:val="24"/>
          <w:u w:val="single"/>
        </w:rPr>
      </w:pPr>
      <w:r>
        <w:rPr>
          <w:rFonts w:hint="eastAsia" w:ascii="宋体" w:hAnsi="宋体"/>
          <w:kern w:val="0"/>
          <w:sz w:val="24"/>
          <w:szCs w:val="24"/>
        </w:rPr>
        <w:t>法定代表人：</w:t>
      </w:r>
      <w:r>
        <w:rPr>
          <w:rFonts w:hint="eastAsia" w:ascii="宋体" w:hAnsi="宋体"/>
          <w:kern w:val="0"/>
          <w:sz w:val="24"/>
          <w:szCs w:val="24"/>
          <w:u w:val="single"/>
        </w:rPr>
        <w:t xml:space="preserve">  （职务） </w:t>
      </w:r>
    </w:p>
    <w:p w14:paraId="33EE128B">
      <w:pPr>
        <w:widowControl/>
        <w:wordWrap w:val="0"/>
        <w:spacing w:after="200" w:line="400" w:lineRule="exact"/>
        <w:ind w:firstLine="1800" w:firstLineChars="750"/>
        <w:jc w:val="right"/>
        <w:rPr>
          <w:rFonts w:ascii="宋体" w:hAnsi="宋体"/>
          <w:kern w:val="0"/>
          <w:sz w:val="24"/>
          <w:szCs w:val="24"/>
          <w:u w:val="single"/>
        </w:rPr>
      </w:pPr>
      <w:r>
        <w:rPr>
          <w:rFonts w:hint="eastAsia" w:ascii="宋体" w:hAnsi="宋体"/>
          <w:kern w:val="0"/>
          <w:sz w:val="24"/>
          <w:szCs w:val="24"/>
          <w:u w:val="single"/>
        </w:rPr>
        <w:t xml:space="preserve">  （姓名） </w:t>
      </w:r>
    </w:p>
    <w:p w14:paraId="2FBE0FE7">
      <w:pPr>
        <w:widowControl/>
        <w:wordWrap w:val="0"/>
        <w:spacing w:after="200" w:line="400" w:lineRule="exact"/>
        <w:ind w:firstLine="1800" w:firstLineChars="750"/>
        <w:jc w:val="right"/>
        <w:rPr>
          <w:rFonts w:ascii="宋体" w:hAnsi="宋体"/>
          <w:kern w:val="0"/>
          <w:sz w:val="24"/>
          <w:szCs w:val="24"/>
          <w:u w:val="single"/>
        </w:rPr>
      </w:pPr>
      <w:r>
        <w:rPr>
          <w:rFonts w:hint="eastAsia" w:ascii="宋体" w:hAnsi="宋体"/>
          <w:kern w:val="0"/>
          <w:sz w:val="24"/>
          <w:szCs w:val="24"/>
          <w:u w:val="single"/>
        </w:rPr>
        <w:t xml:space="preserve">  （签字） </w:t>
      </w:r>
    </w:p>
    <w:p w14:paraId="449AA104">
      <w:pPr>
        <w:widowControl/>
        <w:spacing w:after="200" w:line="400" w:lineRule="exact"/>
        <w:jc w:val="left"/>
        <w:rPr>
          <w:rFonts w:ascii="宋体" w:hAnsi="宋体"/>
          <w:kern w:val="0"/>
          <w:sz w:val="24"/>
          <w:szCs w:val="24"/>
        </w:rPr>
      </w:pPr>
    </w:p>
    <w:p w14:paraId="653BD952">
      <w:pPr>
        <w:widowControl/>
        <w:wordWrap w:val="0"/>
        <w:spacing w:after="200" w:line="400" w:lineRule="exact"/>
        <w:ind w:right="240"/>
        <w:jc w:val="right"/>
        <w:rPr>
          <w:rFonts w:ascii="宋体" w:hAnsi="宋体"/>
          <w:kern w:val="0"/>
          <w:sz w:val="24"/>
          <w:szCs w:val="24"/>
        </w:rPr>
      </w:pPr>
      <w:r>
        <w:rPr>
          <w:rFonts w:hint="eastAsia" w:ascii="宋体" w:hAnsi="宋体"/>
          <w:kern w:val="0"/>
          <w:sz w:val="24"/>
          <w:szCs w:val="24"/>
          <w:u w:val="single"/>
        </w:rPr>
        <w:t xml:space="preserve">     </w:t>
      </w:r>
      <w:r>
        <w:rPr>
          <w:rFonts w:hint="eastAsia" w:ascii="宋体" w:hAnsi="宋体"/>
          <w:kern w:val="0"/>
          <w:sz w:val="24"/>
          <w:szCs w:val="24"/>
        </w:rPr>
        <w:t>年</w:t>
      </w:r>
      <w:r>
        <w:rPr>
          <w:rFonts w:hint="eastAsia" w:ascii="宋体" w:hAnsi="宋体"/>
          <w:kern w:val="0"/>
          <w:sz w:val="24"/>
          <w:szCs w:val="24"/>
          <w:u w:val="single"/>
        </w:rPr>
        <w:t xml:space="preserve">    </w:t>
      </w:r>
      <w:r>
        <w:rPr>
          <w:rFonts w:hint="eastAsia" w:ascii="宋体" w:hAnsi="宋体"/>
          <w:kern w:val="0"/>
          <w:sz w:val="24"/>
          <w:szCs w:val="24"/>
        </w:rPr>
        <w:t>月</w:t>
      </w:r>
      <w:r>
        <w:rPr>
          <w:rFonts w:hint="eastAsia" w:ascii="宋体" w:hAnsi="宋体"/>
          <w:kern w:val="0"/>
          <w:sz w:val="24"/>
          <w:szCs w:val="24"/>
          <w:u w:val="single"/>
        </w:rPr>
        <w:t xml:space="preserve">     </w:t>
      </w:r>
      <w:r>
        <w:rPr>
          <w:rFonts w:hint="eastAsia" w:ascii="宋体" w:hAnsi="宋体"/>
          <w:kern w:val="0"/>
          <w:sz w:val="24"/>
          <w:szCs w:val="24"/>
        </w:rPr>
        <w:t xml:space="preserve"> 日</w:t>
      </w:r>
    </w:p>
    <w:p w14:paraId="439D3EA7">
      <w:pPr>
        <w:widowControl/>
        <w:spacing w:after="200" w:line="400" w:lineRule="exact"/>
        <w:jc w:val="left"/>
        <w:rPr>
          <w:rFonts w:ascii="宋体" w:hAnsi="宋体"/>
          <w:kern w:val="0"/>
          <w:szCs w:val="21"/>
        </w:rPr>
      </w:pPr>
    </w:p>
    <w:p w14:paraId="6668AB6B">
      <w:pPr>
        <w:spacing w:line="440" w:lineRule="exact"/>
        <w:ind w:firstLine="6662" w:firstLineChars="2776"/>
        <w:rPr>
          <w:rFonts w:ascii="宋体" w:hAnsi="宋体"/>
          <w:sz w:val="24"/>
          <w:szCs w:val="24"/>
        </w:rPr>
      </w:pPr>
      <w:r>
        <w:rPr>
          <w:rFonts w:hint="eastAsia" w:ascii="宋体" w:hAnsi="宋体"/>
          <w:kern w:val="0"/>
          <w:sz w:val="24"/>
          <w:szCs w:val="24"/>
        </w:rPr>
        <w:t>抄送：</w:t>
      </w:r>
      <w:r>
        <w:rPr>
          <w:rFonts w:hint="eastAsia" w:ascii="宋体" w:hAnsi="宋体"/>
          <w:kern w:val="0"/>
          <w:sz w:val="24"/>
          <w:szCs w:val="24"/>
          <w:u w:val="single"/>
        </w:rPr>
        <w:t xml:space="preserve">  （监理人）</w:t>
      </w:r>
    </w:p>
    <w:p w14:paraId="198E9C49">
      <w:pPr>
        <w:spacing w:line="360" w:lineRule="auto"/>
        <w:rPr>
          <w:rFonts w:hint="eastAsia" w:ascii="宋体" w:hAnsi="宋体" w:cs="宋体"/>
          <w:sz w:val="24"/>
          <w:szCs w:val="24"/>
        </w:rPr>
      </w:pPr>
      <w:r>
        <w:rPr>
          <w:rFonts w:ascii="宋体" w:hAnsi="宋体"/>
          <w:sz w:val="24"/>
          <w:szCs w:val="24"/>
        </w:rPr>
        <w:br w:type="page"/>
      </w:r>
      <w:r>
        <w:rPr>
          <w:rFonts w:hint="eastAsia" w:ascii="宋体" w:hAnsi="宋体" w:cs="宋体"/>
          <w:b/>
          <w:bCs w:val="0"/>
          <w:sz w:val="24"/>
          <w:szCs w:val="24"/>
        </w:rPr>
        <w:t>附件七  履约担保格式</w:t>
      </w:r>
    </w:p>
    <w:p w14:paraId="6FB1CDBF">
      <w:pPr>
        <w:spacing w:before="162" w:line="220" w:lineRule="auto"/>
        <w:jc w:val="center"/>
        <w:rPr>
          <w:rFonts w:hint="eastAsia" w:ascii="宋体" w:hAnsi="宋体" w:cs="宋体"/>
          <w:sz w:val="25"/>
          <w:szCs w:val="25"/>
        </w:rPr>
      </w:pPr>
      <w:r>
        <w:rPr>
          <w:rFonts w:hint="eastAsia" w:ascii="宋体" w:hAnsi="宋体" w:cs="宋体"/>
          <w:spacing w:val="-10"/>
          <w:sz w:val="25"/>
          <w:szCs w:val="25"/>
        </w:rPr>
        <w:t>履</w:t>
      </w:r>
      <w:r>
        <w:rPr>
          <w:rFonts w:hint="eastAsia" w:ascii="宋体" w:hAnsi="宋体" w:cs="宋体"/>
          <w:spacing w:val="5"/>
          <w:sz w:val="25"/>
          <w:szCs w:val="25"/>
        </w:rPr>
        <w:t xml:space="preserve"> </w:t>
      </w:r>
      <w:r>
        <w:rPr>
          <w:rFonts w:hint="eastAsia" w:ascii="宋体" w:hAnsi="宋体" w:cs="宋体"/>
          <w:spacing w:val="-10"/>
          <w:sz w:val="25"/>
          <w:szCs w:val="25"/>
        </w:rPr>
        <w:t>约 担</w:t>
      </w:r>
      <w:r>
        <w:rPr>
          <w:rFonts w:hint="eastAsia" w:ascii="宋体" w:hAnsi="宋体" w:cs="宋体"/>
          <w:sz w:val="25"/>
          <w:szCs w:val="25"/>
        </w:rPr>
        <w:t xml:space="preserve"> </w:t>
      </w:r>
      <w:r>
        <w:rPr>
          <w:rFonts w:hint="eastAsia" w:ascii="宋体" w:hAnsi="宋体" w:cs="宋体"/>
          <w:spacing w:val="-10"/>
          <w:sz w:val="25"/>
          <w:szCs w:val="25"/>
        </w:rPr>
        <w:t>保</w:t>
      </w:r>
    </w:p>
    <w:p w14:paraId="24B94561">
      <w:pPr>
        <w:spacing w:after="120" w:line="270" w:lineRule="auto"/>
        <w:rPr>
          <w:rFonts w:hint="eastAsia" w:ascii="宋体" w:hAnsi="宋体" w:cs="宋体"/>
          <w:kern w:val="0"/>
          <w:sz w:val="20"/>
          <w:szCs w:val="20"/>
        </w:rPr>
      </w:pPr>
    </w:p>
    <w:p w14:paraId="303C8B69">
      <w:pPr>
        <w:spacing w:after="120" w:line="271" w:lineRule="auto"/>
        <w:rPr>
          <w:rFonts w:hint="eastAsia" w:ascii="宋体" w:hAnsi="宋体" w:cs="宋体"/>
          <w:kern w:val="0"/>
          <w:sz w:val="24"/>
          <w:szCs w:val="24"/>
        </w:rPr>
      </w:pPr>
    </w:p>
    <w:p w14:paraId="2E58DF98">
      <w:pPr>
        <w:keepNext w:val="0"/>
        <w:keepLines w:val="0"/>
        <w:pageBreakBefore w:val="0"/>
        <w:widowControl w:val="0"/>
        <w:tabs>
          <w:tab w:val="left" w:pos="2288"/>
        </w:tabs>
        <w:kinsoku/>
        <w:wordWrap w:val="0"/>
        <w:overflowPunct/>
        <w:topLinePunct/>
        <w:autoSpaceDE/>
        <w:autoSpaceDN/>
        <w:bidi w:val="0"/>
        <w:adjustRightInd/>
        <w:snapToGrid/>
        <w:spacing w:before="81" w:line="221" w:lineRule="auto"/>
        <w:jc w:val="both"/>
        <w:textAlignment w:val="auto"/>
        <w:rPr>
          <w:rFonts w:hint="eastAsia" w:ascii="宋体" w:hAnsi="宋体" w:cs="宋体"/>
          <w:sz w:val="24"/>
          <w:szCs w:val="24"/>
          <w:u w:val="single"/>
        </w:rPr>
      </w:pPr>
      <w:r>
        <w:rPr>
          <w:rFonts w:hint="eastAsia" w:ascii="宋体" w:hAnsi="宋体" w:cs="宋体"/>
          <w:spacing w:val="9"/>
          <w:sz w:val="24"/>
          <w:szCs w:val="24"/>
          <w:u w:val="single"/>
        </w:rPr>
        <w:t xml:space="preserve">   </w:t>
      </w:r>
      <w:r>
        <w:rPr>
          <w:rFonts w:hint="eastAsia" w:ascii="宋体" w:hAnsi="宋体" w:cs="宋体"/>
          <w:spacing w:val="9"/>
          <w:sz w:val="24"/>
          <w:szCs w:val="24"/>
          <w:u w:val="single"/>
          <w:lang w:val="en-US" w:eastAsia="zh-CN"/>
        </w:rPr>
        <w:t xml:space="preserve">       </w:t>
      </w:r>
      <w:r>
        <w:rPr>
          <w:rFonts w:hint="eastAsia" w:ascii="宋体" w:hAnsi="宋体" w:cs="宋体"/>
          <w:spacing w:val="9"/>
          <w:sz w:val="24"/>
          <w:szCs w:val="24"/>
          <w:u w:val="single"/>
        </w:rPr>
        <w:t xml:space="preserve"> </w:t>
      </w:r>
      <w:r>
        <w:rPr>
          <w:rFonts w:hint="eastAsia" w:ascii="宋体" w:hAnsi="宋体" w:cs="宋体"/>
          <w:spacing w:val="5"/>
          <w:sz w:val="24"/>
          <w:szCs w:val="24"/>
          <w:u w:val="single"/>
        </w:rPr>
        <w:t>(发包人名称):</w:t>
      </w:r>
    </w:p>
    <w:p w14:paraId="22AACEEF">
      <w:pPr>
        <w:spacing w:after="120" w:line="276" w:lineRule="auto"/>
        <w:rPr>
          <w:rFonts w:hint="eastAsia" w:ascii="宋体" w:hAnsi="宋体" w:cs="宋体"/>
          <w:kern w:val="0"/>
          <w:sz w:val="24"/>
          <w:szCs w:val="24"/>
        </w:rPr>
      </w:pPr>
    </w:p>
    <w:p w14:paraId="7ABB75F5">
      <w:pPr>
        <w:tabs>
          <w:tab w:val="left" w:pos="0"/>
          <w:tab w:val="left" w:pos="959"/>
        </w:tabs>
        <w:spacing w:before="81" w:line="348" w:lineRule="auto"/>
        <w:ind w:firstLine="448" w:firstLineChars="200"/>
        <w:rPr>
          <w:rFonts w:ascii="宋体" w:hAnsi="宋体" w:cs="宋体"/>
          <w:sz w:val="24"/>
          <w:szCs w:val="24"/>
        </w:rPr>
      </w:pPr>
      <w:r>
        <w:rPr>
          <w:rFonts w:hint="eastAsia" w:ascii="宋体" w:hAnsi="宋体" w:cs="宋体"/>
          <w:spacing w:val="-8"/>
          <w:sz w:val="24"/>
          <w:szCs w:val="24"/>
        </w:rPr>
        <w:t>鉴于</w:t>
      </w:r>
      <w:r>
        <w:rPr>
          <w:rFonts w:hint="eastAsia" w:ascii="宋体" w:hAnsi="宋体" w:cs="宋体"/>
          <w:spacing w:val="9"/>
          <w:sz w:val="24"/>
          <w:szCs w:val="24"/>
          <w:u w:val="single"/>
        </w:rPr>
        <w:t xml:space="preserve">       </w:t>
      </w:r>
      <w:r>
        <w:rPr>
          <w:rFonts w:hint="eastAsia" w:ascii="宋体" w:hAnsi="宋体" w:cs="宋体"/>
          <w:spacing w:val="-21"/>
          <w:sz w:val="24"/>
          <w:szCs w:val="24"/>
        </w:rPr>
        <w:t xml:space="preserve"> </w:t>
      </w:r>
      <w:r>
        <w:rPr>
          <w:rFonts w:hint="eastAsia" w:ascii="宋体" w:hAnsi="宋体" w:cs="宋体"/>
          <w:spacing w:val="-8"/>
          <w:sz w:val="24"/>
          <w:szCs w:val="24"/>
        </w:rPr>
        <w:t>(发包人名称，以下简称“发包人”)接受</w:t>
      </w:r>
      <w:r>
        <w:rPr>
          <w:rFonts w:hint="eastAsia" w:ascii="宋体" w:hAnsi="宋体" w:cs="宋体"/>
          <w:spacing w:val="12"/>
          <w:sz w:val="24"/>
          <w:szCs w:val="24"/>
          <w:u w:val="single"/>
        </w:rPr>
        <w:t xml:space="preserve">       </w:t>
      </w:r>
      <w:r>
        <w:rPr>
          <w:rFonts w:hint="eastAsia" w:ascii="宋体" w:hAnsi="宋体" w:cs="宋体"/>
          <w:spacing w:val="-34"/>
          <w:sz w:val="24"/>
          <w:szCs w:val="24"/>
        </w:rPr>
        <w:t xml:space="preserve"> </w:t>
      </w:r>
      <w:r>
        <w:rPr>
          <w:rFonts w:hint="eastAsia" w:ascii="宋体" w:hAnsi="宋体" w:cs="宋体"/>
          <w:spacing w:val="-8"/>
          <w:sz w:val="24"/>
          <w:szCs w:val="24"/>
        </w:rPr>
        <w:t>(承</w:t>
      </w:r>
      <w:r>
        <w:rPr>
          <w:rFonts w:hint="eastAsia" w:ascii="宋体" w:hAnsi="宋体" w:cs="宋体"/>
          <w:spacing w:val="-9"/>
          <w:sz w:val="24"/>
          <w:szCs w:val="24"/>
        </w:rPr>
        <w:t>包人名称)</w:t>
      </w:r>
      <w:r>
        <w:rPr>
          <w:rFonts w:hint="eastAsia" w:ascii="宋体" w:hAnsi="宋体" w:cs="宋体"/>
          <w:sz w:val="24"/>
          <w:szCs w:val="24"/>
        </w:rPr>
        <w:t xml:space="preserve"> </w:t>
      </w:r>
      <w:r>
        <w:rPr>
          <w:rFonts w:hint="eastAsia" w:ascii="宋体" w:hAnsi="宋体" w:cs="宋体"/>
          <w:spacing w:val="-7"/>
          <w:sz w:val="24"/>
          <w:szCs w:val="24"/>
        </w:rPr>
        <w:t>(以下称“承包人”)于</w:t>
      </w:r>
      <w:r>
        <w:rPr>
          <w:rFonts w:hint="eastAsia" w:ascii="宋体" w:hAnsi="宋体" w:cs="宋体"/>
          <w:spacing w:val="18"/>
          <w:sz w:val="24"/>
          <w:szCs w:val="24"/>
          <w:u w:val="single"/>
        </w:rPr>
        <w:t xml:space="preserve">     </w:t>
      </w:r>
      <w:r>
        <w:rPr>
          <w:rFonts w:hint="eastAsia" w:ascii="宋体" w:hAnsi="宋体" w:cs="宋体"/>
          <w:spacing w:val="-7"/>
          <w:sz w:val="24"/>
          <w:szCs w:val="24"/>
        </w:rPr>
        <w:t>年</w:t>
      </w:r>
      <w:r>
        <w:rPr>
          <w:rFonts w:hint="eastAsia" w:ascii="宋体" w:hAnsi="宋体" w:cs="宋体"/>
          <w:spacing w:val="-113"/>
          <w:sz w:val="24"/>
          <w:szCs w:val="24"/>
        </w:rPr>
        <w:t xml:space="preserve"> </w:t>
      </w:r>
      <w:r>
        <w:rPr>
          <w:rFonts w:hint="eastAsia" w:ascii="宋体" w:hAnsi="宋体" w:cs="宋体"/>
          <w:spacing w:val="10"/>
          <w:sz w:val="24"/>
          <w:szCs w:val="24"/>
          <w:u w:val="single"/>
        </w:rPr>
        <w:t xml:space="preserve">    </w:t>
      </w:r>
      <w:r>
        <w:rPr>
          <w:rFonts w:hint="eastAsia" w:ascii="宋体" w:hAnsi="宋体" w:cs="宋体"/>
          <w:spacing w:val="-7"/>
          <w:sz w:val="24"/>
          <w:szCs w:val="24"/>
          <w:u w:val="single"/>
        </w:rPr>
        <w:t xml:space="preserve">月    </w:t>
      </w:r>
      <w:r>
        <w:rPr>
          <w:rFonts w:hint="eastAsia" w:ascii="宋体" w:hAnsi="宋体" w:cs="宋体"/>
          <w:spacing w:val="-115"/>
          <w:sz w:val="24"/>
          <w:szCs w:val="24"/>
        </w:rPr>
        <w:t xml:space="preserve"> </w:t>
      </w:r>
      <w:r>
        <w:rPr>
          <w:rFonts w:hint="eastAsia" w:ascii="宋体" w:hAnsi="宋体" w:cs="宋体"/>
          <w:spacing w:val="-7"/>
          <w:sz w:val="24"/>
          <w:szCs w:val="24"/>
        </w:rPr>
        <w:t>日参加</w:t>
      </w:r>
      <w:r>
        <w:rPr>
          <w:rFonts w:hint="eastAsia" w:ascii="宋体" w:hAnsi="宋体" w:cs="宋体"/>
          <w:spacing w:val="-7"/>
          <w:sz w:val="24"/>
          <w:szCs w:val="24"/>
          <w:u w:val="single"/>
        </w:rPr>
        <w:t xml:space="preserve">      </w:t>
      </w:r>
      <w:r>
        <w:rPr>
          <w:rFonts w:hint="eastAsia" w:ascii="宋体" w:hAnsi="宋体" w:cs="宋体"/>
          <w:spacing w:val="-55"/>
          <w:sz w:val="24"/>
          <w:szCs w:val="24"/>
        </w:rPr>
        <w:t xml:space="preserve"> </w:t>
      </w:r>
      <w:r>
        <w:rPr>
          <w:rFonts w:hint="eastAsia" w:ascii="宋体" w:hAnsi="宋体" w:cs="宋体"/>
          <w:spacing w:val="-7"/>
          <w:sz w:val="24"/>
          <w:szCs w:val="24"/>
        </w:rPr>
        <w:t>(项目名称)</w:t>
      </w:r>
      <w:r>
        <w:rPr>
          <w:rFonts w:hint="eastAsia" w:ascii="宋体" w:hAnsi="宋体" w:cs="宋体"/>
          <w:spacing w:val="-119"/>
          <w:sz w:val="24"/>
          <w:szCs w:val="24"/>
        </w:rPr>
        <w:t xml:space="preserve"> </w:t>
      </w:r>
      <w:r>
        <w:rPr>
          <w:rFonts w:hint="eastAsia" w:ascii="宋体" w:hAnsi="宋体" w:cs="宋体"/>
          <w:spacing w:val="7"/>
          <w:sz w:val="24"/>
          <w:szCs w:val="24"/>
          <w:u w:val="single"/>
        </w:rPr>
        <w:t xml:space="preserve">    </w:t>
      </w:r>
      <w:r>
        <w:rPr>
          <w:rFonts w:hint="eastAsia" w:ascii="宋体" w:hAnsi="宋体" w:cs="宋体"/>
          <w:spacing w:val="-7"/>
          <w:sz w:val="24"/>
          <w:szCs w:val="24"/>
        </w:rPr>
        <w:t>施工的</w:t>
      </w:r>
      <w:r>
        <w:rPr>
          <w:rFonts w:hint="eastAsia" w:ascii="宋体" w:hAnsi="宋体" w:cs="宋体"/>
          <w:spacing w:val="2"/>
          <w:sz w:val="24"/>
          <w:szCs w:val="24"/>
        </w:rPr>
        <w:t xml:space="preserve"> </w:t>
      </w:r>
      <w:r>
        <w:rPr>
          <w:rFonts w:hint="eastAsia" w:ascii="宋体" w:hAnsi="宋体" w:cs="宋体"/>
          <w:spacing w:val="-12"/>
          <w:sz w:val="24"/>
          <w:szCs w:val="24"/>
        </w:rPr>
        <w:t>投标。我方愿意无条件地、不可撤销地就承包</w:t>
      </w:r>
      <w:r>
        <w:rPr>
          <w:rFonts w:hint="eastAsia" w:ascii="宋体" w:hAnsi="宋体" w:cs="宋体"/>
          <w:spacing w:val="-13"/>
          <w:sz w:val="24"/>
          <w:szCs w:val="24"/>
        </w:rPr>
        <w:t>人履行与你方订立的合同，向你方提供</w:t>
      </w:r>
      <w:r>
        <w:rPr>
          <w:rFonts w:hint="eastAsia" w:ascii="宋体" w:hAnsi="宋体" w:cs="宋体"/>
          <w:spacing w:val="-11"/>
          <w:sz w:val="24"/>
          <w:szCs w:val="24"/>
        </w:rPr>
        <w:t>担保。</w:t>
      </w:r>
    </w:p>
    <w:p w14:paraId="28A903EE">
      <w:pPr>
        <w:tabs>
          <w:tab w:val="left" w:pos="0"/>
          <w:tab w:val="left" w:pos="840"/>
          <w:tab w:val="left" w:pos="959"/>
        </w:tabs>
        <w:spacing w:before="81" w:line="348" w:lineRule="auto"/>
        <w:ind w:firstLine="524" w:firstLineChars="200"/>
        <w:rPr>
          <w:rFonts w:ascii="宋体" w:hAnsi="宋体" w:cs="宋体"/>
          <w:sz w:val="24"/>
          <w:szCs w:val="24"/>
        </w:rPr>
      </w:pPr>
      <w:r>
        <w:rPr>
          <w:rFonts w:hint="eastAsia" w:ascii="宋体" w:hAnsi="宋体" w:cs="宋体"/>
          <w:spacing w:val="11"/>
          <w:sz w:val="24"/>
          <w:szCs w:val="24"/>
        </w:rPr>
        <w:t>1.担保金额人民币(大写)</w:t>
      </w:r>
      <w:r>
        <w:rPr>
          <w:rFonts w:hint="eastAsia" w:ascii="宋体" w:hAnsi="宋体" w:cs="宋体"/>
          <w:spacing w:val="11"/>
          <w:sz w:val="24"/>
          <w:szCs w:val="24"/>
          <w:u w:val="single"/>
        </w:rPr>
        <w:t xml:space="preserve">       </w:t>
      </w:r>
      <w:r>
        <w:rPr>
          <w:rFonts w:hint="eastAsia" w:ascii="宋体" w:hAnsi="宋体" w:cs="宋体"/>
          <w:spacing w:val="-104"/>
          <w:sz w:val="24"/>
          <w:szCs w:val="24"/>
        </w:rPr>
        <w:t xml:space="preserve"> </w:t>
      </w:r>
      <w:r>
        <w:rPr>
          <w:rFonts w:hint="eastAsia" w:ascii="宋体" w:hAnsi="宋体" w:cs="宋体"/>
          <w:spacing w:val="11"/>
          <w:sz w:val="24"/>
          <w:szCs w:val="24"/>
        </w:rPr>
        <w:t>元(¥</w:t>
      </w:r>
      <w:r>
        <w:rPr>
          <w:rFonts w:hint="eastAsia" w:ascii="宋体" w:hAnsi="宋体" w:cs="宋体"/>
          <w:spacing w:val="11"/>
          <w:sz w:val="24"/>
          <w:szCs w:val="24"/>
          <w:u w:val="single"/>
        </w:rPr>
        <w:t xml:space="preserve">       </w:t>
      </w:r>
      <w:r>
        <w:rPr>
          <w:rFonts w:hint="eastAsia" w:ascii="宋体" w:hAnsi="宋体" w:cs="宋体"/>
          <w:spacing w:val="-95"/>
          <w:sz w:val="24"/>
          <w:szCs w:val="24"/>
        </w:rPr>
        <w:t xml:space="preserve"> </w:t>
      </w:r>
      <w:r>
        <w:rPr>
          <w:rFonts w:hint="eastAsia" w:ascii="宋体" w:hAnsi="宋体" w:cs="宋体"/>
          <w:spacing w:val="11"/>
          <w:sz w:val="24"/>
          <w:szCs w:val="24"/>
        </w:rPr>
        <w:t>)。</w:t>
      </w:r>
    </w:p>
    <w:p w14:paraId="6B5A69AE">
      <w:pPr>
        <w:spacing w:line="360" w:lineRule="auto"/>
        <w:ind w:firstLine="480" w:firstLineChars="200"/>
        <w:rPr>
          <w:rFonts w:ascii="宋体" w:hAnsi="宋体"/>
          <w:sz w:val="24"/>
          <w:szCs w:val="24"/>
        </w:rPr>
      </w:pPr>
      <w:r>
        <w:rPr>
          <w:rFonts w:hint="eastAsia" w:ascii="宋体" w:hAnsi="宋体"/>
          <w:sz w:val="24"/>
          <w:szCs w:val="24"/>
        </w:rPr>
        <w:t>2.担保有效期自发包人与承包人签订的合同生效之日起至发包人签发工程接收交工验收证书之日止。</w:t>
      </w:r>
    </w:p>
    <w:p w14:paraId="331AD26D">
      <w:pPr>
        <w:tabs>
          <w:tab w:val="left" w:pos="0"/>
          <w:tab w:val="left" w:pos="840"/>
          <w:tab w:val="left" w:pos="959"/>
        </w:tabs>
        <w:spacing w:before="81" w:line="348" w:lineRule="auto"/>
        <w:ind w:firstLine="432" w:firstLineChars="200"/>
        <w:rPr>
          <w:rFonts w:ascii="宋体" w:hAnsi="宋体" w:cs="宋体"/>
          <w:sz w:val="24"/>
          <w:szCs w:val="24"/>
        </w:rPr>
      </w:pPr>
      <w:r>
        <w:rPr>
          <w:rFonts w:hint="eastAsia" w:ascii="宋体" w:hAnsi="宋体" w:cs="宋体"/>
          <w:spacing w:val="-12"/>
          <w:sz w:val="24"/>
          <w:szCs w:val="24"/>
        </w:rPr>
        <w:t>3.在本担保有效期内，因承包人违反合同约定的义务给你方造成经济损失时，我</w:t>
      </w:r>
      <w:r>
        <w:rPr>
          <w:rFonts w:hint="eastAsia" w:ascii="宋体" w:hAnsi="宋体" w:cs="宋体"/>
          <w:spacing w:val="-8"/>
          <w:sz w:val="24"/>
          <w:szCs w:val="24"/>
        </w:rPr>
        <w:t>方在收到你方以书面形式提出的在担保金额内的</w:t>
      </w:r>
      <w:r>
        <w:rPr>
          <w:rFonts w:hint="eastAsia" w:ascii="宋体" w:hAnsi="宋体" w:cs="宋体"/>
          <w:spacing w:val="-9"/>
          <w:sz w:val="24"/>
          <w:szCs w:val="24"/>
        </w:rPr>
        <w:t>赔偿要求后，在7天内无条件支付，</w:t>
      </w:r>
      <w:r>
        <w:rPr>
          <w:rFonts w:hint="eastAsia" w:ascii="宋体" w:hAnsi="宋体" w:cs="宋体"/>
          <w:spacing w:val="-12"/>
          <w:sz w:val="24"/>
          <w:szCs w:val="24"/>
        </w:rPr>
        <w:t>无须你方出具证明或陈述理由。</w:t>
      </w:r>
    </w:p>
    <w:p w14:paraId="6FC407CA">
      <w:pPr>
        <w:tabs>
          <w:tab w:val="left" w:pos="0"/>
          <w:tab w:val="left" w:pos="840"/>
          <w:tab w:val="left" w:pos="959"/>
        </w:tabs>
        <w:spacing w:before="81" w:line="348" w:lineRule="auto"/>
        <w:ind w:firstLine="480" w:firstLineChars="200"/>
        <w:rPr>
          <w:rFonts w:hint="eastAsia" w:ascii="宋体" w:hAnsi="宋体" w:cs="宋体"/>
          <w:sz w:val="24"/>
          <w:szCs w:val="24"/>
        </w:rPr>
      </w:pPr>
      <w:r>
        <w:rPr>
          <w:rFonts w:hint="eastAsia" w:ascii="宋体" w:hAnsi="宋体" w:cs="宋体"/>
          <w:sz w:val="24"/>
          <w:szCs w:val="28"/>
        </w:rPr>
        <w:t>4.发包人和承包人按合同条款第15条变更合同时，我方承担本担保规定的义务不变。</w:t>
      </w:r>
    </w:p>
    <w:p w14:paraId="4BEC5EC4">
      <w:pPr>
        <w:spacing w:after="120" w:line="282" w:lineRule="auto"/>
        <w:rPr>
          <w:rFonts w:hint="eastAsia" w:ascii="宋体" w:hAnsi="宋体" w:cs="宋体"/>
          <w:kern w:val="0"/>
          <w:sz w:val="24"/>
          <w:szCs w:val="24"/>
        </w:rPr>
      </w:pPr>
    </w:p>
    <w:p w14:paraId="45284BF4">
      <w:pPr>
        <w:spacing w:before="81" w:line="360" w:lineRule="auto"/>
        <w:ind w:left="4769"/>
        <w:rPr>
          <w:rFonts w:hint="eastAsia" w:ascii="宋体" w:hAnsi="宋体" w:cs="宋体"/>
          <w:sz w:val="24"/>
          <w:szCs w:val="24"/>
        </w:rPr>
      </w:pPr>
      <w:r>
        <w:rPr>
          <w:rFonts w:hint="eastAsia" w:ascii="宋体" w:hAnsi="宋体" w:cs="宋体"/>
          <w:spacing w:val="-10"/>
          <w:sz w:val="24"/>
          <w:szCs w:val="24"/>
        </w:rPr>
        <w:t>担</w:t>
      </w:r>
      <w:r>
        <w:rPr>
          <w:rFonts w:hint="eastAsia" w:ascii="宋体" w:hAnsi="宋体" w:cs="宋体"/>
          <w:spacing w:val="-33"/>
          <w:sz w:val="24"/>
          <w:szCs w:val="24"/>
        </w:rPr>
        <w:t xml:space="preserve"> </w:t>
      </w:r>
      <w:r>
        <w:rPr>
          <w:rFonts w:hint="eastAsia" w:ascii="宋体" w:hAnsi="宋体" w:cs="宋体"/>
          <w:spacing w:val="-10"/>
          <w:sz w:val="24"/>
          <w:szCs w:val="24"/>
        </w:rPr>
        <w:t>保</w:t>
      </w:r>
      <w:r>
        <w:rPr>
          <w:rFonts w:hint="eastAsia" w:ascii="宋体" w:hAnsi="宋体" w:cs="宋体"/>
          <w:spacing w:val="-36"/>
          <w:sz w:val="24"/>
          <w:szCs w:val="24"/>
        </w:rPr>
        <w:t xml:space="preserve"> </w:t>
      </w:r>
      <w:r>
        <w:rPr>
          <w:rFonts w:hint="eastAsia" w:ascii="宋体" w:hAnsi="宋体" w:cs="宋体"/>
          <w:spacing w:val="-10"/>
          <w:sz w:val="24"/>
          <w:szCs w:val="24"/>
        </w:rPr>
        <w:t>人</w:t>
      </w:r>
      <w:r>
        <w:rPr>
          <w:rFonts w:hint="eastAsia" w:ascii="宋体" w:hAnsi="宋体" w:cs="宋体"/>
          <w:spacing w:val="-47"/>
          <w:sz w:val="24"/>
          <w:szCs w:val="24"/>
        </w:rPr>
        <w:t xml:space="preserve"> </w:t>
      </w:r>
      <w:r>
        <w:rPr>
          <w:rFonts w:hint="eastAsia" w:ascii="宋体" w:hAnsi="宋体" w:cs="宋体"/>
          <w:spacing w:val="-10"/>
          <w:sz w:val="24"/>
          <w:szCs w:val="24"/>
        </w:rPr>
        <w:t>：</w:t>
      </w:r>
      <w:r>
        <w:rPr>
          <w:rFonts w:hint="eastAsia" w:ascii="宋体" w:hAnsi="宋体" w:cs="宋体"/>
          <w:spacing w:val="5"/>
          <w:sz w:val="24"/>
          <w:szCs w:val="24"/>
          <w:u w:val="single"/>
        </w:rPr>
        <w:t xml:space="preserve">                </w:t>
      </w:r>
      <w:r>
        <w:rPr>
          <w:rFonts w:hint="eastAsia" w:ascii="宋体" w:hAnsi="宋体" w:cs="宋体"/>
          <w:spacing w:val="-10"/>
          <w:sz w:val="24"/>
          <w:szCs w:val="24"/>
        </w:rPr>
        <w:t xml:space="preserve"> (盖单位章)</w:t>
      </w:r>
      <w:r>
        <w:rPr>
          <w:rFonts w:hint="eastAsia" w:ascii="宋体" w:hAnsi="宋体" w:cs="宋体"/>
          <w:spacing w:val="-18"/>
          <w:sz w:val="24"/>
          <w:szCs w:val="24"/>
        </w:rPr>
        <w:t>法定代表人或其委托代理人：</w:t>
      </w:r>
      <w:r>
        <w:rPr>
          <w:rFonts w:hint="eastAsia" w:ascii="宋体" w:hAnsi="宋体" w:cs="宋体"/>
          <w:spacing w:val="37"/>
          <w:sz w:val="24"/>
          <w:szCs w:val="24"/>
        </w:rPr>
        <w:t xml:space="preserve"> </w:t>
      </w:r>
      <w:r>
        <w:rPr>
          <w:rFonts w:hint="eastAsia" w:ascii="宋体" w:hAnsi="宋体" w:cs="宋体"/>
          <w:spacing w:val="3"/>
          <w:sz w:val="24"/>
          <w:szCs w:val="24"/>
          <w:u w:val="single"/>
        </w:rPr>
        <w:t xml:space="preserve">      </w:t>
      </w:r>
      <w:r>
        <w:rPr>
          <w:rFonts w:hint="eastAsia" w:ascii="宋体" w:hAnsi="宋体" w:cs="宋体"/>
          <w:spacing w:val="-18"/>
          <w:sz w:val="24"/>
          <w:szCs w:val="24"/>
        </w:rPr>
        <w:t xml:space="preserve"> (签字)</w:t>
      </w:r>
    </w:p>
    <w:p w14:paraId="7CF8A50E">
      <w:pPr>
        <w:spacing w:line="360" w:lineRule="auto"/>
        <w:ind w:firstLine="4818" w:firstLineChars="2231"/>
        <w:rPr>
          <w:rFonts w:hint="eastAsia" w:ascii="宋体" w:hAnsi="宋体" w:cs="宋体"/>
          <w:spacing w:val="-12"/>
          <w:sz w:val="24"/>
          <w:szCs w:val="24"/>
        </w:rPr>
      </w:pPr>
      <w:r>
        <w:rPr>
          <w:rFonts w:hint="eastAsia" w:ascii="宋体" w:hAnsi="宋体" w:cs="宋体"/>
          <w:spacing w:val="-12"/>
          <w:sz w:val="24"/>
          <w:szCs w:val="24"/>
        </w:rPr>
        <w:t>地   址：</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3CDFBE3C">
      <w:pPr>
        <w:spacing w:line="360" w:lineRule="auto"/>
        <w:ind w:firstLine="4818" w:firstLineChars="2231"/>
        <w:rPr>
          <w:rFonts w:hint="eastAsia" w:ascii="宋体" w:hAnsi="宋体" w:cs="宋体"/>
          <w:spacing w:val="-12"/>
          <w:sz w:val="24"/>
          <w:szCs w:val="24"/>
        </w:rPr>
      </w:pPr>
      <w:r>
        <w:rPr>
          <w:rFonts w:hint="eastAsia" w:ascii="宋体" w:hAnsi="宋体" w:cs="宋体"/>
          <w:spacing w:val="-12"/>
          <w:sz w:val="24"/>
          <w:szCs w:val="24"/>
        </w:rPr>
        <w:t>邮政编码：</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02BAED96">
      <w:pPr>
        <w:spacing w:line="360" w:lineRule="auto"/>
        <w:ind w:firstLine="4818" w:firstLineChars="2231"/>
        <w:rPr>
          <w:rFonts w:hint="eastAsia" w:ascii="宋体" w:hAnsi="宋体" w:cs="宋体"/>
          <w:spacing w:val="-12"/>
          <w:sz w:val="24"/>
          <w:szCs w:val="24"/>
        </w:rPr>
      </w:pPr>
      <w:r>
        <w:rPr>
          <w:rFonts w:hint="eastAsia" w:ascii="宋体" w:hAnsi="宋体" w:cs="宋体"/>
          <w:spacing w:val="-12"/>
          <w:sz w:val="24"/>
          <w:szCs w:val="24"/>
        </w:rPr>
        <w:t>电   话：</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4E672FE6">
      <w:pPr>
        <w:spacing w:line="360" w:lineRule="auto"/>
        <w:ind w:firstLine="4818" w:firstLineChars="2231"/>
        <w:rPr>
          <w:rFonts w:hint="eastAsia" w:ascii="宋体" w:hAnsi="宋体" w:cs="宋体"/>
          <w:spacing w:val="-12"/>
          <w:sz w:val="24"/>
          <w:szCs w:val="24"/>
        </w:rPr>
      </w:pPr>
      <w:r>
        <w:rPr>
          <w:rFonts w:hint="eastAsia" w:ascii="宋体" w:hAnsi="宋体" w:cs="宋体"/>
          <w:spacing w:val="-12"/>
          <w:sz w:val="24"/>
          <w:szCs w:val="24"/>
        </w:rPr>
        <w:t>传   真：</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46759D43">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55616DDC">
      <w:pPr>
        <w:spacing w:line="227" w:lineRule="auto"/>
        <w:rPr>
          <w:rFonts w:hint="eastAsia" w:ascii="宋体" w:hAnsi="宋体" w:cs="宋体"/>
          <w:sz w:val="24"/>
          <w:szCs w:val="24"/>
        </w:rPr>
        <w:sectPr>
          <w:footerReference r:id="rId5" w:type="default"/>
          <w:pgSz w:w="11910" w:h="16840"/>
          <w:pgMar w:top="1361" w:right="1417" w:bottom="1361" w:left="1417" w:header="850" w:footer="850" w:gutter="0"/>
          <w:pgNumType w:fmt="decimal" w:start="1"/>
          <w:cols w:space="720" w:num="1"/>
        </w:sectPr>
      </w:pPr>
    </w:p>
    <w:p w14:paraId="420A96A8">
      <w:pPr>
        <w:spacing w:before="96" w:line="219" w:lineRule="auto"/>
        <w:rPr>
          <w:rFonts w:hint="eastAsia" w:ascii="宋体" w:hAnsi="宋体" w:cs="宋体"/>
          <w:b/>
          <w:bCs w:val="0"/>
          <w:sz w:val="24"/>
          <w:szCs w:val="24"/>
        </w:rPr>
      </w:pPr>
      <w:r>
        <w:rPr>
          <w:rFonts w:hint="eastAsia" w:ascii="宋体" w:hAnsi="宋体" w:cs="宋体"/>
          <w:b/>
          <w:bCs w:val="0"/>
          <w:spacing w:val="6"/>
          <w:sz w:val="24"/>
          <w:szCs w:val="24"/>
        </w:rPr>
        <w:t>附件八</w:t>
      </w:r>
      <w:r>
        <w:rPr>
          <w:rFonts w:hint="eastAsia" w:ascii="宋体" w:hAnsi="宋体" w:cs="宋体"/>
          <w:b/>
          <w:bCs w:val="0"/>
          <w:spacing w:val="34"/>
          <w:sz w:val="24"/>
          <w:szCs w:val="24"/>
        </w:rPr>
        <w:t xml:space="preserve">  </w:t>
      </w:r>
      <w:r>
        <w:rPr>
          <w:rFonts w:hint="eastAsia" w:ascii="宋体" w:hAnsi="宋体" w:cs="宋体"/>
          <w:b/>
          <w:bCs w:val="0"/>
          <w:spacing w:val="6"/>
          <w:sz w:val="24"/>
          <w:szCs w:val="24"/>
        </w:rPr>
        <w:t>预付款担保格式</w:t>
      </w:r>
    </w:p>
    <w:p w14:paraId="0D5EDA6A">
      <w:pPr>
        <w:spacing w:after="120" w:line="292" w:lineRule="auto"/>
        <w:rPr>
          <w:rFonts w:hint="eastAsia" w:ascii="宋体" w:hAnsi="宋体" w:cs="宋体"/>
          <w:kern w:val="0"/>
          <w:sz w:val="20"/>
          <w:szCs w:val="20"/>
        </w:rPr>
      </w:pPr>
    </w:p>
    <w:p w14:paraId="57980A83">
      <w:pPr>
        <w:spacing w:after="120" w:line="293" w:lineRule="auto"/>
        <w:rPr>
          <w:rFonts w:hint="eastAsia" w:ascii="宋体" w:hAnsi="宋体" w:cs="宋体"/>
          <w:kern w:val="0"/>
          <w:sz w:val="20"/>
          <w:szCs w:val="20"/>
        </w:rPr>
      </w:pPr>
    </w:p>
    <w:p w14:paraId="7C27E2FF">
      <w:pPr>
        <w:spacing w:before="78" w:line="219" w:lineRule="auto"/>
        <w:jc w:val="center"/>
        <w:rPr>
          <w:rFonts w:hint="eastAsia" w:ascii="宋体" w:hAnsi="宋体" w:cs="宋体"/>
          <w:sz w:val="24"/>
          <w:szCs w:val="24"/>
        </w:rPr>
      </w:pPr>
      <w:r>
        <w:rPr>
          <w:rFonts w:hint="eastAsia" w:ascii="宋体" w:hAnsi="宋体" w:cs="宋体"/>
          <w:spacing w:val="-9"/>
          <w:sz w:val="24"/>
          <w:szCs w:val="24"/>
        </w:rPr>
        <w:t>预</w:t>
      </w:r>
      <w:r>
        <w:rPr>
          <w:rFonts w:hint="eastAsia" w:ascii="宋体" w:hAnsi="宋体" w:cs="宋体"/>
          <w:spacing w:val="21"/>
          <w:sz w:val="24"/>
          <w:szCs w:val="24"/>
        </w:rPr>
        <w:t xml:space="preserve"> </w:t>
      </w:r>
      <w:r>
        <w:rPr>
          <w:rFonts w:hint="eastAsia" w:ascii="宋体" w:hAnsi="宋体" w:cs="宋体"/>
          <w:spacing w:val="-9"/>
          <w:sz w:val="24"/>
          <w:szCs w:val="24"/>
        </w:rPr>
        <w:t>付</w:t>
      </w:r>
      <w:r>
        <w:rPr>
          <w:rFonts w:hint="eastAsia" w:ascii="宋体" w:hAnsi="宋体" w:cs="宋体"/>
          <w:spacing w:val="21"/>
          <w:sz w:val="24"/>
          <w:szCs w:val="24"/>
        </w:rPr>
        <w:t xml:space="preserve"> </w:t>
      </w:r>
      <w:r>
        <w:rPr>
          <w:rFonts w:hint="eastAsia" w:ascii="宋体" w:hAnsi="宋体" w:cs="宋体"/>
          <w:spacing w:val="-9"/>
          <w:sz w:val="24"/>
          <w:szCs w:val="24"/>
        </w:rPr>
        <w:t>款</w:t>
      </w:r>
      <w:r>
        <w:rPr>
          <w:rFonts w:hint="eastAsia" w:ascii="宋体" w:hAnsi="宋体" w:cs="宋体"/>
          <w:spacing w:val="20"/>
          <w:sz w:val="24"/>
          <w:szCs w:val="24"/>
        </w:rPr>
        <w:t xml:space="preserve"> </w:t>
      </w:r>
      <w:r>
        <w:rPr>
          <w:rFonts w:hint="eastAsia" w:ascii="宋体" w:hAnsi="宋体" w:cs="宋体"/>
          <w:spacing w:val="-9"/>
          <w:sz w:val="24"/>
          <w:szCs w:val="24"/>
        </w:rPr>
        <w:t>担</w:t>
      </w:r>
      <w:r>
        <w:rPr>
          <w:rFonts w:hint="eastAsia" w:ascii="宋体" w:hAnsi="宋体" w:cs="宋体"/>
          <w:spacing w:val="20"/>
          <w:sz w:val="24"/>
          <w:szCs w:val="24"/>
        </w:rPr>
        <w:t xml:space="preserve"> </w:t>
      </w:r>
      <w:r>
        <w:rPr>
          <w:rFonts w:hint="eastAsia" w:ascii="宋体" w:hAnsi="宋体" w:cs="宋体"/>
          <w:spacing w:val="-9"/>
          <w:sz w:val="24"/>
          <w:szCs w:val="24"/>
        </w:rPr>
        <w:t>保</w:t>
      </w:r>
    </w:p>
    <w:p w14:paraId="33B87B52">
      <w:pPr>
        <w:spacing w:after="120" w:line="277" w:lineRule="auto"/>
        <w:rPr>
          <w:rFonts w:hint="eastAsia" w:ascii="宋体" w:hAnsi="宋体" w:cs="宋体"/>
          <w:kern w:val="0"/>
          <w:sz w:val="20"/>
          <w:szCs w:val="20"/>
        </w:rPr>
      </w:pPr>
    </w:p>
    <w:p w14:paraId="24F417E7">
      <w:pPr>
        <w:spacing w:after="120" w:line="277" w:lineRule="auto"/>
        <w:rPr>
          <w:rFonts w:hint="eastAsia" w:ascii="宋体" w:hAnsi="宋体" w:cs="宋体"/>
          <w:kern w:val="0"/>
          <w:sz w:val="20"/>
          <w:szCs w:val="20"/>
        </w:rPr>
      </w:pPr>
    </w:p>
    <w:p w14:paraId="12197608">
      <w:pPr>
        <w:tabs>
          <w:tab w:val="left" w:pos="2278"/>
        </w:tabs>
        <w:spacing w:before="78" w:line="220" w:lineRule="auto"/>
        <w:rPr>
          <w:rFonts w:hint="eastAsia" w:ascii="宋体" w:hAnsi="宋体" w:cs="宋体"/>
          <w:sz w:val="24"/>
          <w:szCs w:val="24"/>
        </w:rPr>
      </w:pPr>
      <w:r>
        <w:rPr>
          <w:rFonts w:hint="eastAsia" w:ascii="宋体" w:hAnsi="宋体" w:cs="宋体"/>
          <w:sz w:val="24"/>
          <w:szCs w:val="24"/>
          <w:u w:val="single"/>
        </w:rPr>
        <w:tab/>
      </w:r>
      <w:r>
        <w:rPr>
          <w:rFonts w:hint="eastAsia" w:ascii="宋体" w:hAnsi="宋体" w:cs="宋体"/>
          <w:spacing w:val="-14"/>
          <w:sz w:val="24"/>
          <w:szCs w:val="24"/>
        </w:rPr>
        <w:t xml:space="preserve"> </w:t>
      </w:r>
      <w:r>
        <w:rPr>
          <w:rFonts w:hint="eastAsia" w:ascii="宋体" w:hAnsi="宋体" w:cs="宋体"/>
          <w:spacing w:val="14"/>
          <w:sz w:val="24"/>
          <w:szCs w:val="24"/>
        </w:rPr>
        <w:t>(发包人名称):</w:t>
      </w:r>
    </w:p>
    <w:p w14:paraId="6E72475D">
      <w:pPr>
        <w:spacing w:after="120" w:line="286" w:lineRule="auto"/>
        <w:rPr>
          <w:rFonts w:hint="eastAsia" w:ascii="宋体" w:hAnsi="宋体" w:cs="宋体"/>
          <w:kern w:val="0"/>
          <w:sz w:val="20"/>
          <w:szCs w:val="20"/>
        </w:rPr>
      </w:pPr>
    </w:p>
    <w:p w14:paraId="5F3A10A4">
      <w:pPr>
        <w:spacing w:line="360" w:lineRule="auto"/>
        <w:ind w:firstLine="528" w:firstLineChars="200"/>
        <w:rPr>
          <w:rFonts w:hint="eastAsia" w:ascii="宋体" w:hAnsi="宋体" w:cs="宋体"/>
          <w:sz w:val="24"/>
          <w:szCs w:val="24"/>
        </w:rPr>
      </w:pPr>
      <w:r>
        <w:rPr>
          <w:rFonts w:hint="eastAsia" w:ascii="宋体" w:hAnsi="宋体" w:cs="宋体"/>
          <w:spacing w:val="12"/>
          <w:sz w:val="24"/>
          <w:szCs w:val="24"/>
        </w:rPr>
        <w:t>根据</w:t>
      </w:r>
      <w:r>
        <w:rPr>
          <w:rFonts w:hint="eastAsia" w:ascii="宋体" w:hAnsi="宋体" w:cs="宋体"/>
          <w:spacing w:val="17"/>
          <w:sz w:val="24"/>
          <w:szCs w:val="24"/>
          <w:u w:val="single"/>
        </w:rPr>
        <w:t xml:space="preserve">       </w:t>
      </w:r>
      <w:r>
        <w:rPr>
          <w:rFonts w:hint="eastAsia" w:ascii="宋体" w:hAnsi="宋体" w:cs="宋体"/>
          <w:spacing w:val="-27"/>
          <w:sz w:val="24"/>
          <w:szCs w:val="24"/>
        </w:rPr>
        <w:t xml:space="preserve"> </w:t>
      </w:r>
      <w:r>
        <w:rPr>
          <w:rFonts w:hint="eastAsia" w:ascii="宋体" w:hAnsi="宋体" w:cs="宋体"/>
          <w:spacing w:val="12"/>
          <w:sz w:val="24"/>
          <w:szCs w:val="24"/>
        </w:rPr>
        <w:t>(承包人名称)(以下称“承包人”)与</w:t>
      </w:r>
      <w:r>
        <w:rPr>
          <w:rFonts w:hint="eastAsia" w:ascii="宋体" w:hAnsi="宋体" w:cs="宋体"/>
          <w:spacing w:val="20"/>
          <w:sz w:val="24"/>
          <w:szCs w:val="24"/>
          <w:u w:val="single"/>
        </w:rPr>
        <w:t xml:space="preserve">     </w:t>
      </w:r>
      <w:r>
        <w:rPr>
          <w:rFonts w:hint="eastAsia" w:ascii="宋体" w:hAnsi="宋体" w:cs="宋体"/>
          <w:spacing w:val="-20"/>
          <w:sz w:val="24"/>
          <w:szCs w:val="24"/>
        </w:rPr>
        <w:t xml:space="preserve"> </w:t>
      </w:r>
      <w:r>
        <w:rPr>
          <w:rFonts w:hint="eastAsia" w:ascii="宋体" w:hAnsi="宋体" w:cs="宋体"/>
          <w:spacing w:val="12"/>
          <w:sz w:val="24"/>
          <w:szCs w:val="24"/>
        </w:rPr>
        <w:t>(发包人名称)(以</w:t>
      </w:r>
      <w:r>
        <w:rPr>
          <w:rFonts w:hint="eastAsia" w:ascii="宋体" w:hAnsi="宋体" w:cs="宋体"/>
          <w:sz w:val="24"/>
          <w:szCs w:val="24"/>
        </w:rPr>
        <w:t xml:space="preserve"> </w:t>
      </w:r>
      <w:r>
        <w:rPr>
          <w:rFonts w:hint="eastAsia" w:ascii="宋体" w:hAnsi="宋体" w:cs="宋体"/>
          <w:spacing w:val="-2"/>
          <w:sz w:val="24"/>
          <w:szCs w:val="24"/>
        </w:rPr>
        <w:t>下简称“发包人”)于</w:t>
      </w:r>
      <w:r>
        <w:rPr>
          <w:rFonts w:hint="eastAsia" w:ascii="宋体" w:hAnsi="宋体" w:cs="宋体"/>
          <w:spacing w:val="-2"/>
          <w:sz w:val="24"/>
          <w:szCs w:val="24"/>
          <w:u w:val="single"/>
        </w:rPr>
        <w:t xml:space="preserve">      </w:t>
      </w:r>
      <w:r>
        <w:rPr>
          <w:rFonts w:hint="eastAsia" w:ascii="宋体" w:hAnsi="宋体" w:cs="宋体"/>
          <w:spacing w:val="-110"/>
          <w:sz w:val="24"/>
          <w:szCs w:val="24"/>
        </w:rPr>
        <w:t xml:space="preserve"> </w:t>
      </w:r>
      <w:r>
        <w:rPr>
          <w:rFonts w:hint="eastAsia" w:ascii="宋体" w:hAnsi="宋体" w:cs="宋体"/>
          <w:spacing w:val="-2"/>
          <w:sz w:val="24"/>
          <w:szCs w:val="24"/>
        </w:rPr>
        <w:t>年</w:t>
      </w:r>
      <w:r>
        <w:rPr>
          <w:rFonts w:hint="eastAsia" w:ascii="宋体" w:hAnsi="宋体" w:cs="宋体"/>
          <w:spacing w:val="-2"/>
          <w:sz w:val="24"/>
          <w:szCs w:val="24"/>
          <w:u w:val="single"/>
        </w:rPr>
        <w:t xml:space="preserve">    </w:t>
      </w:r>
      <w:r>
        <w:rPr>
          <w:rFonts w:hint="eastAsia" w:ascii="宋体" w:hAnsi="宋体" w:cs="宋体"/>
          <w:spacing w:val="-2"/>
          <w:sz w:val="24"/>
          <w:szCs w:val="24"/>
        </w:rPr>
        <w:t>月</w:t>
      </w:r>
      <w:r>
        <w:rPr>
          <w:rFonts w:hint="eastAsia" w:ascii="宋体" w:hAnsi="宋体" w:cs="宋体"/>
          <w:spacing w:val="-2"/>
          <w:sz w:val="24"/>
          <w:szCs w:val="24"/>
          <w:u w:val="single"/>
        </w:rPr>
        <w:t xml:space="preserve">     </w:t>
      </w:r>
      <w:r>
        <w:rPr>
          <w:rFonts w:hint="eastAsia" w:ascii="宋体" w:hAnsi="宋体" w:cs="宋体"/>
          <w:spacing w:val="-2"/>
          <w:sz w:val="24"/>
          <w:szCs w:val="24"/>
        </w:rPr>
        <w:t>日签订的</w:t>
      </w:r>
      <w:r>
        <w:rPr>
          <w:rFonts w:hint="eastAsia" w:ascii="宋体" w:hAnsi="宋体" w:cs="宋体"/>
          <w:spacing w:val="-2"/>
          <w:sz w:val="24"/>
          <w:szCs w:val="24"/>
          <w:u w:val="single"/>
        </w:rPr>
        <w:t xml:space="preserve">        </w:t>
      </w:r>
      <w:r>
        <w:rPr>
          <w:rFonts w:hint="eastAsia" w:ascii="宋体" w:hAnsi="宋体" w:cs="宋体"/>
          <w:spacing w:val="-2"/>
          <w:sz w:val="24"/>
          <w:szCs w:val="24"/>
        </w:rPr>
        <w:t xml:space="preserve"> (项目名称)</w:t>
      </w:r>
      <w:r>
        <w:rPr>
          <w:rFonts w:hint="eastAsia" w:ascii="宋体" w:hAnsi="宋体" w:cs="宋体"/>
          <w:spacing w:val="-103"/>
          <w:sz w:val="24"/>
          <w:szCs w:val="24"/>
        </w:rPr>
        <w:t xml:space="preserve"> </w:t>
      </w:r>
      <w:r>
        <w:rPr>
          <w:rFonts w:hint="eastAsia" w:ascii="宋体" w:hAnsi="宋体" w:cs="宋体"/>
          <w:spacing w:val="17"/>
          <w:sz w:val="24"/>
          <w:szCs w:val="24"/>
          <w:u w:val="single"/>
        </w:rPr>
        <w:t xml:space="preserve">    </w:t>
      </w:r>
      <w:r>
        <w:rPr>
          <w:rFonts w:hint="eastAsia" w:ascii="宋体" w:hAnsi="宋体" w:cs="宋体"/>
          <w:spacing w:val="-119"/>
          <w:sz w:val="24"/>
          <w:szCs w:val="24"/>
        </w:rPr>
        <w:t xml:space="preserve"> </w:t>
      </w:r>
      <w:r>
        <w:rPr>
          <w:rFonts w:hint="eastAsia" w:ascii="宋体" w:hAnsi="宋体" w:cs="宋体"/>
          <w:spacing w:val="-2"/>
          <w:position w:val="3"/>
          <w:sz w:val="24"/>
          <w:szCs w:val="24"/>
        </w:rPr>
        <w:t>施工</w:t>
      </w:r>
      <w:r>
        <w:rPr>
          <w:rFonts w:hint="eastAsia" w:ascii="宋体" w:hAnsi="宋体" w:cs="宋体"/>
          <w:position w:val="3"/>
          <w:sz w:val="24"/>
          <w:szCs w:val="24"/>
        </w:rPr>
        <w:t xml:space="preserve"> </w:t>
      </w:r>
      <w:r>
        <w:rPr>
          <w:rFonts w:hint="eastAsia" w:ascii="宋体" w:hAnsi="宋体" w:cs="宋体"/>
          <w:spacing w:val="-2"/>
          <w:sz w:val="24"/>
          <w:szCs w:val="24"/>
        </w:rPr>
        <w:t>承包合同，承包人按约定的金额向发包人提交一份预付款担保，即有权得到</w:t>
      </w:r>
      <w:r>
        <w:rPr>
          <w:rFonts w:hint="eastAsia" w:ascii="宋体" w:hAnsi="宋体" w:cs="宋体"/>
          <w:spacing w:val="-3"/>
          <w:sz w:val="24"/>
          <w:szCs w:val="24"/>
        </w:rPr>
        <w:t>发包人支</w:t>
      </w:r>
      <w:r>
        <w:rPr>
          <w:rFonts w:hint="eastAsia" w:ascii="宋体" w:hAnsi="宋体" w:cs="宋体"/>
          <w:spacing w:val="-1"/>
          <w:sz w:val="24"/>
          <w:szCs w:val="24"/>
        </w:rPr>
        <w:t>付相等金额的预付款。我方愿意就你方提供给</w:t>
      </w:r>
      <w:r>
        <w:rPr>
          <w:rFonts w:hint="eastAsia" w:ascii="宋体" w:hAnsi="宋体" w:cs="宋体"/>
          <w:spacing w:val="-2"/>
          <w:sz w:val="24"/>
          <w:szCs w:val="24"/>
        </w:rPr>
        <w:t>承包人的预付款提供担保。</w:t>
      </w:r>
    </w:p>
    <w:p w14:paraId="7D36148A">
      <w:pPr>
        <w:numPr>
          <w:ilvl w:val="0"/>
          <w:numId w:val="16"/>
        </w:numPr>
        <w:spacing w:line="360" w:lineRule="auto"/>
        <w:ind w:firstLine="488" w:firstLineChars="200"/>
        <w:rPr>
          <w:rFonts w:hint="eastAsia" w:ascii="宋体" w:hAnsi="宋体" w:cs="宋体"/>
          <w:spacing w:val="2"/>
          <w:sz w:val="24"/>
          <w:szCs w:val="24"/>
        </w:rPr>
      </w:pPr>
      <w:r>
        <w:rPr>
          <w:rFonts w:hint="eastAsia" w:ascii="宋体" w:hAnsi="宋体" w:cs="宋体"/>
          <w:spacing w:val="2"/>
          <w:sz w:val="24"/>
          <w:szCs w:val="24"/>
        </w:rPr>
        <w:t>担保金额人民币(大写)</w:t>
      </w:r>
      <w:r>
        <w:rPr>
          <w:rFonts w:hint="eastAsia" w:ascii="宋体" w:hAnsi="宋体" w:cs="宋体"/>
          <w:spacing w:val="-69"/>
          <w:sz w:val="24"/>
          <w:szCs w:val="24"/>
        </w:rPr>
        <w:t xml:space="preserve"> </w:t>
      </w:r>
      <w:r>
        <w:rPr>
          <w:rFonts w:hint="eastAsia" w:ascii="宋体" w:hAnsi="宋体" w:cs="宋体"/>
          <w:spacing w:val="1"/>
          <w:sz w:val="24"/>
          <w:szCs w:val="24"/>
          <w:u w:val="single"/>
        </w:rPr>
        <w:t xml:space="preserve">      </w:t>
      </w:r>
      <w:r>
        <w:rPr>
          <w:rFonts w:hint="eastAsia" w:ascii="宋体" w:hAnsi="宋体" w:cs="宋体"/>
          <w:spacing w:val="-106"/>
          <w:sz w:val="24"/>
          <w:szCs w:val="24"/>
        </w:rPr>
        <w:t xml:space="preserve"> </w:t>
      </w:r>
      <w:r>
        <w:rPr>
          <w:rFonts w:hint="eastAsia" w:ascii="宋体" w:hAnsi="宋体" w:cs="宋体"/>
          <w:spacing w:val="2"/>
          <w:sz w:val="24"/>
          <w:szCs w:val="24"/>
        </w:rPr>
        <w:t>元 (</w:t>
      </w:r>
      <w:r>
        <w:rPr>
          <w:rFonts w:hint="eastAsia" w:ascii="宋体" w:hAnsi="宋体" w:cs="宋体"/>
          <w:spacing w:val="-54"/>
          <w:sz w:val="24"/>
          <w:szCs w:val="24"/>
        </w:rPr>
        <w:t xml:space="preserve"> </w:t>
      </w:r>
      <w:r>
        <w:rPr>
          <w:rFonts w:hint="eastAsia" w:ascii="宋体" w:hAnsi="宋体" w:cs="宋体"/>
          <w:spacing w:val="2"/>
          <w:sz w:val="24"/>
          <w:szCs w:val="24"/>
        </w:rPr>
        <w:t>¥</w:t>
      </w:r>
      <w:r>
        <w:rPr>
          <w:rFonts w:hint="eastAsia" w:ascii="宋体" w:hAnsi="宋体" w:cs="宋体"/>
          <w:sz w:val="24"/>
          <w:szCs w:val="24"/>
          <w:u w:val="single"/>
        </w:rPr>
        <w:t xml:space="preserve">      </w:t>
      </w:r>
      <w:r>
        <w:rPr>
          <w:rFonts w:hint="eastAsia" w:ascii="宋体" w:hAnsi="宋体" w:cs="宋体"/>
          <w:spacing w:val="2"/>
          <w:sz w:val="24"/>
          <w:szCs w:val="24"/>
        </w:rPr>
        <w:t>)。</w:t>
      </w:r>
    </w:p>
    <w:p w14:paraId="2CBB8F18">
      <w:pPr>
        <w:numPr>
          <w:ilvl w:val="0"/>
          <w:numId w:val="16"/>
        </w:numPr>
        <w:spacing w:line="360" w:lineRule="auto"/>
        <w:ind w:firstLine="480" w:firstLineChars="200"/>
        <w:rPr>
          <w:rFonts w:hint="eastAsia"/>
          <w:sz w:val="24"/>
          <w:szCs w:val="28"/>
        </w:rPr>
      </w:pPr>
      <w:r>
        <w:rPr>
          <w:rFonts w:hint="eastAsia"/>
          <w:sz w:val="24"/>
          <w:szCs w:val="28"/>
        </w:rPr>
        <w:t>担保有效期自预付款支付给承包人起生效，至发包人签发的进度付款证书说明已完全扣清止。</w:t>
      </w:r>
    </w:p>
    <w:p w14:paraId="08C03E72">
      <w:pPr>
        <w:spacing w:line="360" w:lineRule="auto"/>
        <w:ind w:right="1" w:firstLine="472" w:firstLineChars="200"/>
        <w:rPr>
          <w:rFonts w:hint="eastAsia" w:ascii="宋体" w:hAnsi="宋体" w:cs="宋体"/>
          <w:spacing w:val="-3"/>
          <w:sz w:val="24"/>
          <w:szCs w:val="24"/>
        </w:rPr>
      </w:pPr>
      <w:r>
        <w:rPr>
          <w:rFonts w:hint="eastAsia" w:ascii="宋体" w:hAnsi="宋体" w:cs="宋体"/>
          <w:spacing w:val="-2"/>
          <w:sz w:val="24"/>
          <w:szCs w:val="24"/>
        </w:rPr>
        <w:t>3.在本保函有效期内，因承包人违反合同约定的义务而要</w:t>
      </w:r>
      <w:r>
        <w:rPr>
          <w:rFonts w:hint="eastAsia" w:ascii="宋体" w:hAnsi="宋体" w:cs="宋体"/>
          <w:spacing w:val="-3"/>
          <w:sz w:val="24"/>
          <w:szCs w:val="24"/>
        </w:rPr>
        <w:t>求收回预付款时，我方</w:t>
      </w:r>
      <w:r>
        <w:rPr>
          <w:rFonts w:hint="eastAsia" w:ascii="宋体" w:hAnsi="宋体" w:cs="宋体"/>
          <w:sz w:val="24"/>
          <w:szCs w:val="24"/>
        </w:rPr>
        <w:t xml:space="preserve"> </w:t>
      </w:r>
      <w:r>
        <w:rPr>
          <w:rFonts w:hint="eastAsia" w:ascii="宋体" w:hAnsi="宋体" w:cs="宋体"/>
          <w:spacing w:val="1"/>
          <w:sz w:val="24"/>
          <w:szCs w:val="24"/>
        </w:rPr>
        <w:t>在收到你方的书面通知后，在7天内无条件支付，无须你方出具证</w:t>
      </w:r>
      <w:r>
        <w:rPr>
          <w:rFonts w:hint="eastAsia" w:ascii="宋体" w:hAnsi="宋体" w:cs="宋体"/>
          <w:sz w:val="24"/>
          <w:szCs w:val="24"/>
        </w:rPr>
        <w:t xml:space="preserve">明或陈述理由。但 </w:t>
      </w:r>
      <w:r>
        <w:rPr>
          <w:rFonts w:hint="eastAsia" w:ascii="宋体" w:hAnsi="宋体" w:cs="宋体"/>
          <w:spacing w:val="-2"/>
          <w:sz w:val="24"/>
          <w:szCs w:val="24"/>
        </w:rPr>
        <w:t>本保函的担保金额，在任何时候不应超过预付款</w:t>
      </w:r>
      <w:r>
        <w:rPr>
          <w:rFonts w:hint="eastAsia" w:ascii="宋体" w:hAnsi="宋体" w:cs="宋体"/>
          <w:spacing w:val="-3"/>
          <w:sz w:val="24"/>
          <w:szCs w:val="24"/>
        </w:rPr>
        <w:t>金额减去发包人按合同约定在向承包人签发的进度付款证书中扣除的金额。</w:t>
      </w:r>
    </w:p>
    <w:p w14:paraId="4C5BADFF">
      <w:pPr>
        <w:spacing w:line="360" w:lineRule="auto"/>
        <w:ind w:right="1" w:firstLine="496" w:firstLineChars="200"/>
        <w:rPr>
          <w:rFonts w:hint="eastAsia" w:ascii="宋体" w:hAnsi="宋体" w:cs="宋体"/>
          <w:sz w:val="24"/>
          <w:szCs w:val="24"/>
        </w:rPr>
      </w:pPr>
      <w:r>
        <w:rPr>
          <w:rFonts w:hint="eastAsia" w:ascii="宋体" w:hAnsi="宋体" w:cs="宋体"/>
          <w:spacing w:val="4"/>
          <w:position w:val="17"/>
          <w:sz w:val="24"/>
          <w:szCs w:val="24"/>
        </w:rPr>
        <w:t>4.发包人和承包人按合同条款第15条变更合同时，我方承担本保函规</w:t>
      </w:r>
      <w:r>
        <w:rPr>
          <w:rFonts w:hint="eastAsia" w:ascii="宋体" w:hAnsi="宋体" w:cs="宋体"/>
          <w:spacing w:val="3"/>
          <w:position w:val="17"/>
          <w:sz w:val="24"/>
          <w:szCs w:val="24"/>
        </w:rPr>
        <w:t>定的义务</w:t>
      </w:r>
    </w:p>
    <w:p w14:paraId="751E6178">
      <w:pPr>
        <w:spacing w:line="360" w:lineRule="auto"/>
        <w:rPr>
          <w:rFonts w:hint="eastAsia" w:ascii="宋体" w:hAnsi="宋体" w:cs="宋体"/>
        </w:rPr>
      </w:pPr>
      <w:r>
        <w:rPr>
          <w:rFonts w:hint="eastAsia" w:ascii="宋体" w:hAnsi="宋体" w:cs="宋体"/>
          <w:spacing w:val="-11"/>
          <w:sz w:val="24"/>
          <w:szCs w:val="24"/>
        </w:rPr>
        <w:t>不变。</w:t>
      </w:r>
    </w:p>
    <w:p w14:paraId="753DFC09">
      <w:pPr>
        <w:spacing w:after="120" w:line="279" w:lineRule="auto"/>
        <w:rPr>
          <w:rFonts w:hint="eastAsia" w:ascii="宋体" w:hAnsi="宋体" w:cs="宋体"/>
          <w:kern w:val="0"/>
          <w:sz w:val="20"/>
          <w:szCs w:val="20"/>
        </w:rPr>
      </w:pPr>
    </w:p>
    <w:p w14:paraId="7A7EE842">
      <w:pPr>
        <w:spacing w:line="360" w:lineRule="auto"/>
        <w:ind w:firstLine="4294" w:firstLineChars="1900"/>
        <w:rPr>
          <w:rFonts w:ascii="宋体" w:hAnsi="宋体" w:cs="宋体"/>
          <w:sz w:val="24"/>
          <w:szCs w:val="24"/>
        </w:rPr>
      </w:pPr>
      <w:r>
        <w:rPr>
          <w:rFonts w:hint="eastAsia" w:ascii="宋体" w:hAnsi="宋体" w:cs="宋体"/>
          <w:spacing w:val="-7"/>
          <w:sz w:val="24"/>
          <w:szCs w:val="24"/>
        </w:rPr>
        <w:t>担</w:t>
      </w:r>
      <w:r>
        <w:rPr>
          <w:rFonts w:hint="eastAsia" w:ascii="宋体" w:hAnsi="宋体" w:cs="宋体"/>
          <w:spacing w:val="-20"/>
          <w:sz w:val="24"/>
          <w:szCs w:val="24"/>
        </w:rPr>
        <w:t xml:space="preserve"> </w:t>
      </w:r>
      <w:r>
        <w:rPr>
          <w:rFonts w:hint="eastAsia" w:ascii="宋体" w:hAnsi="宋体" w:cs="宋体"/>
          <w:spacing w:val="-7"/>
          <w:sz w:val="24"/>
          <w:szCs w:val="24"/>
        </w:rPr>
        <w:t>保 人</w:t>
      </w:r>
      <w:r>
        <w:rPr>
          <w:rFonts w:hint="eastAsia" w:ascii="宋体" w:hAnsi="宋体" w:cs="宋体"/>
          <w:spacing w:val="-32"/>
          <w:sz w:val="24"/>
          <w:szCs w:val="24"/>
        </w:rPr>
        <w:t xml:space="preserve"> </w:t>
      </w:r>
      <w:r>
        <w:rPr>
          <w:rFonts w:hint="eastAsia" w:ascii="宋体" w:hAnsi="宋体" w:cs="宋体"/>
          <w:spacing w:val="-7"/>
          <w:sz w:val="24"/>
          <w:szCs w:val="24"/>
        </w:rPr>
        <w:t>：</w:t>
      </w:r>
      <w:r>
        <w:rPr>
          <w:rFonts w:hint="eastAsia" w:ascii="宋体" w:hAnsi="宋体" w:cs="宋体"/>
          <w:spacing w:val="2"/>
          <w:sz w:val="24"/>
          <w:szCs w:val="24"/>
          <w:u w:val="single"/>
        </w:rPr>
        <w:t xml:space="preserve">                </w:t>
      </w:r>
      <w:r>
        <w:rPr>
          <w:rFonts w:hint="eastAsia" w:ascii="宋体" w:hAnsi="宋体" w:cs="宋体"/>
          <w:spacing w:val="4"/>
          <w:sz w:val="24"/>
          <w:szCs w:val="24"/>
        </w:rPr>
        <w:t xml:space="preserve"> </w:t>
      </w:r>
      <w:r>
        <w:rPr>
          <w:rFonts w:hint="eastAsia" w:ascii="宋体" w:hAnsi="宋体" w:cs="宋体"/>
          <w:spacing w:val="-7"/>
          <w:sz w:val="24"/>
          <w:szCs w:val="24"/>
        </w:rPr>
        <w:t>(盖单位章)</w:t>
      </w:r>
      <w:r>
        <w:rPr>
          <w:rFonts w:hint="eastAsia" w:ascii="宋体" w:hAnsi="宋体" w:cs="宋体"/>
          <w:sz w:val="24"/>
          <w:szCs w:val="24"/>
        </w:rPr>
        <w:t xml:space="preserve">  </w:t>
      </w:r>
    </w:p>
    <w:p w14:paraId="3DB4946D">
      <w:pPr>
        <w:spacing w:line="360" w:lineRule="auto"/>
        <w:ind w:firstLine="4276" w:firstLineChars="1944"/>
        <w:rPr>
          <w:rFonts w:ascii="宋体" w:hAnsi="宋体" w:cs="宋体"/>
          <w:sz w:val="24"/>
          <w:szCs w:val="24"/>
        </w:rPr>
      </w:pPr>
      <w:r>
        <w:rPr>
          <w:rFonts w:hint="eastAsia" w:ascii="宋体" w:hAnsi="宋体" w:cs="宋体"/>
          <w:spacing w:val="-10"/>
          <w:sz w:val="24"/>
          <w:szCs w:val="24"/>
        </w:rPr>
        <w:t>法定代表人或其委托代理人：</w:t>
      </w:r>
      <w:r>
        <w:rPr>
          <w:rFonts w:hint="eastAsia" w:ascii="宋体" w:hAnsi="宋体" w:cs="宋体"/>
          <w:spacing w:val="41"/>
          <w:sz w:val="24"/>
          <w:szCs w:val="24"/>
        </w:rPr>
        <w:t xml:space="preserve"> </w:t>
      </w:r>
      <w:r>
        <w:rPr>
          <w:rFonts w:hint="eastAsia" w:ascii="宋体" w:hAnsi="宋体" w:cs="宋体"/>
          <w:spacing w:val="10"/>
          <w:sz w:val="24"/>
          <w:szCs w:val="24"/>
          <w:u w:val="single"/>
        </w:rPr>
        <w:t xml:space="preserve">    </w:t>
      </w:r>
      <w:r>
        <w:rPr>
          <w:rFonts w:hint="eastAsia" w:ascii="宋体" w:hAnsi="宋体" w:cs="宋体"/>
          <w:spacing w:val="-10"/>
          <w:sz w:val="24"/>
          <w:szCs w:val="24"/>
        </w:rPr>
        <w:t xml:space="preserve"> (签字)</w:t>
      </w:r>
    </w:p>
    <w:p w14:paraId="69280563">
      <w:pPr>
        <w:spacing w:line="360" w:lineRule="auto"/>
        <w:ind w:firstLine="4250" w:firstLineChars="1968"/>
        <w:rPr>
          <w:rFonts w:hint="eastAsia" w:ascii="宋体" w:hAnsi="宋体" w:cs="宋体"/>
          <w:sz w:val="24"/>
          <w:szCs w:val="24"/>
        </w:rPr>
      </w:pPr>
      <w:r>
        <w:rPr>
          <w:rFonts w:hint="eastAsia" w:ascii="宋体" w:hAnsi="宋体" w:cs="宋体"/>
          <w:spacing w:val="-12"/>
          <w:sz w:val="24"/>
          <w:szCs w:val="24"/>
        </w:rPr>
        <w:t>地   址：</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1ACBF2D8">
      <w:pPr>
        <w:spacing w:line="360" w:lineRule="auto"/>
        <w:ind w:firstLine="4250" w:firstLineChars="1968"/>
        <w:rPr>
          <w:rFonts w:hint="eastAsia" w:ascii="宋体" w:hAnsi="宋体" w:cs="宋体"/>
          <w:spacing w:val="-12"/>
          <w:sz w:val="24"/>
          <w:szCs w:val="24"/>
        </w:rPr>
      </w:pPr>
      <w:r>
        <w:rPr>
          <w:rFonts w:hint="eastAsia" w:ascii="宋体" w:hAnsi="宋体" w:cs="宋体"/>
          <w:spacing w:val="-12"/>
          <w:sz w:val="24"/>
          <w:szCs w:val="24"/>
        </w:rPr>
        <w:t>邮政编码：</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r>
        <w:rPr>
          <w:rFonts w:hint="eastAsia" w:cs="宋体"/>
          <w:spacing w:val="-12"/>
          <w:sz w:val="24"/>
          <w:szCs w:val="24"/>
          <w:lang w:val="en-US" w:eastAsia="zh-CN"/>
        </w:rPr>
        <w:t xml:space="preserve">                          </w:t>
      </w:r>
      <w:r>
        <w:rPr>
          <w:rFonts w:hint="eastAsia" w:ascii="宋体" w:hAnsi="宋体" w:cs="宋体"/>
          <w:spacing w:val="-12"/>
          <w:sz w:val="24"/>
          <w:szCs w:val="24"/>
        </w:rPr>
        <w:t xml:space="preserve"> 电   话：</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pacing w:val="-12"/>
          <w:sz w:val="24"/>
          <w:szCs w:val="24"/>
        </w:rPr>
        <w:t xml:space="preserve">         </w:t>
      </w:r>
    </w:p>
    <w:p w14:paraId="1489405E">
      <w:pPr>
        <w:tabs>
          <w:tab w:val="left" w:pos="9369"/>
        </w:tabs>
        <w:spacing w:line="360" w:lineRule="auto"/>
        <w:ind w:right="263" w:firstLine="4320" w:firstLineChars="2000"/>
        <w:rPr>
          <w:rFonts w:hint="eastAsia" w:ascii="宋体" w:hAnsi="宋体" w:cs="宋体"/>
        </w:rPr>
      </w:pPr>
      <w:r>
        <w:rPr>
          <w:rFonts w:hint="eastAsia" w:ascii="宋体" w:hAnsi="宋体" w:cs="宋体"/>
          <w:spacing w:val="-12"/>
          <w:sz w:val="24"/>
          <w:szCs w:val="24"/>
        </w:rPr>
        <w:t>传   真：</w:t>
      </w:r>
      <w:r>
        <w:rPr>
          <w:rFonts w:hint="eastAsia" w:ascii="宋体" w:hAnsi="宋体" w:cs="宋体"/>
          <w:spacing w:val="5"/>
          <w:sz w:val="24"/>
          <w:szCs w:val="24"/>
          <w:u w:val="single"/>
        </w:rPr>
        <w:t xml:space="preserve">            </w:t>
      </w:r>
      <w:r>
        <w:rPr>
          <w:rFonts w:ascii="宋体" w:hAnsi="宋体" w:cs="宋体"/>
          <w:spacing w:val="5"/>
          <w:sz w:val="24"/>
          <w:szCs w:val="24"/>
          <w:u w:val="single"/>
        </w:rPr>
        <w:t xml:space="preserve">       </w:t>
      </w:r>
      <w:r>
        <w:rPr>
          <w:rFonts w:hint="eastAsia" w:ascii="宋体" w:hAnsi="宋体" w:cs="宋体"/>
          <w:spacing w:val="5"/>
          <w:sz w:val="24"/>
          <w:szCs w:val="24"/>
          <w:u w:val="single"/>
        </w:rPr>
        <w:t xml:space="preserve">    </w:t>
      </w:r>
      <w:r>
        <w:rPr>
          <w:rFonts w:hint="eastAsia" w:ascii="宋体" w:hAnsi="宋体" w:cs="宋体"/>
          <w:sz w:val="24"/>
          <w:szCs w:val="24"/>
          <w:u w:val="single"/>
        </w:rPr>
        <w:t xml:space="preserve"> </w:t>
      </w:r>
    </w:p>
    <w:p w14:paraId="59C7FE74">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660ADCDD">
      <w:pPr>
        <w:spacing w:line="219" w:lineRule="auto"/>
        <w:rPr>
          <w:rFonts w:hint="eastAsia" w:ascii="宋体" w:hAnsi="宋体" w:cs="宋体"/>
          <w:sz w:val="20"/>
          <w:szCs w:val="20"/>
        </w:rPr>
        <w:sectPr>
          <w:footerReference r:id="rId6" w:type="default"/>
          <w:pgSz w:w="11910" w:h="16840"/>
          <w:pgMar w:top="1361" w:right="1417" w:bottom="1361" w:left="1417" w:header="850" w:footer="850" w:gutter="0"/>
          <w:pgNumType w:fmt="decimal"/>
          <w:cols w:space="720" w:num="1"/>
        </w:sectPr>
      </w:pPr>
    </w:p>
    <w:p w14:paraId="763C08C2">
      <w:pPr>
        <w:spacing w:before="106" w:line="219" w:lineRule="auto"/>
        <w:rPr>
          <w:rFonts w:hint="eastAsia" w:ascii="宋体" w:hAnsi="宋体" w:cs="宋体"/>
          <w:b/>
          <w:bCs w:val="0"/>
          <w:sz w:val="23"/>
          <w:szCs w:val="23"/>
        </w:rPr>
      </w:pPr>
      <w:r>
        <w:rPr>
          <w:rFonts w:hint="eastAsia" w:ascii="宋体" w:hAnsi="宋体" w:cs="宋体"/>
          <w:b/>
          <w:bCs w:val="0"/>
          <w:spacing w:val="15"/>
          <w:sz w:val="23"/>
          <w:szCs w:val="23"/>
        </w:rPr>
        <w:t>附件九</w:t>
      </w:r>
      <w:r>
        <w:rPr>
          <w:rFonts w:hint="eastAsia" w:ascii="宋体" w:hAnsi="宋体" w:cs="宋体"/>
          <w:b/>
          <w:bCs w:val="0"/>
          <w:spacing w:val="26"/>
          <w:sz w:val="23"/>
          <w:szCs w:val="23"/>
        </w:rPr>
        <w:t xml:space="preserve">  </w:t>
      </w:r>
      <w:r>
        <w:rPr>
          <w:rFonts w:hint="eastAsia" w:ascii="宋体" w:hAnsi="宋体" w:cs="宋体"/>
          <w:b/>
          <w:bCs w:val="0"/>
          <w:spacing w:val="15"/>
          <w:sz w:val="23"/>
          <w:szCs w:val="23"/>
        </w:rPr>
        <w:t>工程资金监管协议格式</w:t>
      </w:r>
    </w:p>
    <w:p w14:paraId="7C9F5C29">
      <w:pPr>
        <w:wordWrap/>
        <w:spacing w:before="197" w:line="470" w:lineRule="exact"/>
        <w:ind w:right="9"/>
        <w:jc w:val="left"/>
        <w:rPr>
          <w:rFonts w:hint="eastAsia" w:ascii="宋体" w:hAnsi="宋体" w:cs="宋体"/>
          <w:sz w:val="23"/>
          <w:szCs w:val="23"/>
        </w:rPr>
      </w:pPr>
      <w:r>
        <w:rPr>
          <w:rFonts w:hint="eastAsia" w:ascii="宋体" w:hAnsi="宋体" w:cs="宋体"/>
          <w:spacing w:val="14"/>
          <w:position w:val="18"/>
          <w:sz w:val="23"/>
          <w:szCs w:val="23"/>
        </w:rPr>
        <w:t>(发包人与承包人签订合同协议书时应与发包人制订的</w:t>
      </w:r>
      <w:r>
        <w:rPr>
          <w:rFonts w:hint="eastAsia" w:ascii="宋体" w:hAnsi="宋体" w:cs="宋体"/>
          <w:spacing w:val="13"/>
          <w:position w:val="18"/>
          <w:sz w:val="23"/>
          <w:szCs w:val="23"/>
        </w:rPr>
        <w:t>银行签署工程资金监管</w:t>
      </w:r>
    </w:p>
    <w:p w14:paraId="746E7DE7">
      <w:pPr>
        <w:wordWrap/>
        <w:spacing w:line="218" w:lineRule="auto"/>
        <w:ind w:right="2"/>
        <w:jc w:val="left"/>
        <w:rPr>
          <w:rFonts w:hint="eastAsia" w:ascii="宋体" w:hAnsi="宋体" w:cs="宋体"/>
          <w:sz w:val="23"/>
          <w:szCs w:val="23"/>
        </w:rPr>
      </w:pPr>
      <w:r>
        <w:rPr>
          <w:rFonts w:hint="eastAsia" w:ascii="宋体" w:hAnsi="宋体" w:cs="宋体"/>
          <w:spacing w:val="11"/>
          <w:sz w:val="23"/>
          <w:szCs w:val="23"/>
        </w:rPr>
        <w:t>协议，工程资金监管协议内容在保证本项目资金有效监</w:t>
      </w:r>
      <w:r>
        <w:rPr>
          <w:rFonts w:hint="eastAsia" w:ascii="宋体" w:hAnsi="宋体" w:cs="宋体"/>
          <w:spacing w:val="10"/>
          <w:sz w:val="23"/>
          <w:szCs w:val="23"/>
        </w:rPr>
        <w:t>管的前提下由三方共同商定)</w:t>
      </w:r>
    </w:p>
    <w:p w14:paraId="2516573F">
      <w:pPr>
        <w:keepNext w:val="0"/>
        <w:keepLines w:val="0"/>
        <w:pageBreakBefore w:val="0"/>
        <w:widowControl w:val="0"/>
        <w:kinsoku/>
        <w:wordWrap w:val="0"/>
        <w:overflowPunct/>
        <w:topLinePunct/>
        <w:autoSpaceDE/>
        <w:autoSpaceDN/>
        <w:bidi w:val="0"/>
        <w:adjustRightInd/>
        <w:snapToGrid/>
        <w:spacing w:after="120" w:line="351" w:lineRule="auto"/>
        <w:ind w:left="0"/>
        <w:textAlignment w:val="auto"/>
        <w:rPr>
          <w:rFonts w:hint="eastAsia" w:ascii="宋体" w:hAnsi="宋体" w:cs="宋体"/>
          <w:kern w:val="0"/>
          <w:sz w:val="20"/>
          <w:szCs w:val="20"/>
        </w:rPr>
      </w:pPr>
    </w:p>
    <w:p w14:paraId="3AAFABE6">
      <w:pPr>
        <w:keepNext w:val="0"/>
        <w:keepLines w:val="0"/>
        <w:pageBreakBefore w:val="0"/>
        <w:widowControl w:val="0"/>
        <w:kinsoku/>
        <w:wordWrap w:val="0"/>
        <w:overflowPunct/>
        <w:topLinePunct/>
        <w:autoSpaceDE/>
        <w:autoSpaceDN/>
        <w:bidi w:val="0"/>
        <w:adjustRightInd/>
        <w:snapToGrid/>
        <w:spacing w:before="75" w:line="219" w:lineRule="auto"/>
        <w:ind w:left="0"/>
        <w:jc w:val="center"/>
        <w:textAlignment w:val="auto"/>
        <w:rPr>
          <w:rFonts w:hint="eastAsia" w:ascii="宋体" w:hAnsi="宋体" w:cs="宋体"/>
          <w:sz w:val="23"/>
          <w:szCs w:val="23"/>
        </w:rPr>
      </w:pPr>
      <w:r>
        <w:rPr>
          <w:rFonts w:hint="eastAsia" w:ascii="宋体" w:hAnsi="宋体" w:cs="宋体"/>
          <w:spacing w:val="11"/>
          <w:sz w:val="23"/>
          <w:szCs w:val="23"/>
        </w:rPr>
        <w:t>工程资金监管协议</w:t>
      </w:r>
    </w:p>
    <w:p w14:paraId="57049953">
      <w:pPr>
        <w:spacing w:after="120" w:line="359" w:lineRule="auto"/>
        <w:rPr>
          <w:rFonts w:hint="eastAsia" w:ascii="宋体" w:hAnsi="宋体" w:cs="宋体"/>
          <w:kern w:val="0"/>
          <w:sz w:val="20"/>
          <w:szCs w:val="20"/>
        </w:rPr>
      </w:pPr>
    </w:p>
    <w:p w14:paraId="36AC4CD0">
      <w:pPr>
        <w:spacing w:line="360" w:lineRule="auto"/>
        <w:ind w:left="820"/>
        <w:rPr>
          <w:rFonts w:hint="eastAsia" w:ascii="宋体" w:hAnsi="宋体" w:cs="宋体"/>
          <w:sz w:val="23"/>
          <w:szCs w:val="23"/>
        </w:rPr>
      </w:pPr>
      <w:r>
        <w:rPr>
          <w:rFonts w:hint="eastAsia" w:ascii="宋体" w:hAnsi="宋体" w:cs="宋体"/>
          <w:spacing w:val="3"/>
          <w:sz w:val="23"/>
          <w:szCs w:val="23"/>
        </w:rPr>
        <w:t>发 包 人</w:t>
      </w:r>
      <w:r>
        <w:rPr>
          <w:rFonts w:hint="eastAsia" w:ascii="宋体" w:hAnsi="宋体" w:cs="宋体"/>
          <w:spacing w:val="-14"/>
          <w:sz w:val="23"/>
          <w:szCs w:val="23"/>
        </w:rPr>
        <w:t xml:space="preserve"> </w:t>
      </w:r>
      <w:r>
        <w:rPr>
          <w:rFonts w:hint="eastAsia" w:ascii="宋体" w:hAnsi="宋体" w:cs="宋体"/>
          <w:spacing w:val="3"/>
          <w:sz w:val="23"/>
          <w:szCs w:val="23"/>
        </w:rPr>
        <w:t>：</w:t>
      </w:r>
      <w:r>
        <w:rPr>
          <w:rFonts w:hint="eastAsia" w:ascii="宋体" w:hAnsi="宋体" w:cs="宋体"/>
          <w:sz w:val="23"/>
          <w:szCs w:val="23"/>
          <w:u w:val="single"/>
        </w:rPr>
        <w:t xml:space="preserve">               </w:t>
      </w:r>
      <w:r>
        <w:rPr>
          <w:rFonts w:hint="eastAsia" w:ascii="宋体" w:hAnsi="宋体" w:cs="宋体"/>
          <w:spacing w:val="-10"/>
          <w:sz w:val="23"/>
          <w:szCs w:val="23"/>
        </w:rPr>
        <w:t xml:space="preserve"> </w:t>
      </w:r>
      <w:r>
        <w:rPr>
          <w:rFonts w:hint="eastAsia" w:ascii="宋体" w:hAnsi="宋体" w:cs="宋体"/>
          <w:spacing w:val="3"/>
          <w:sz w:val="23"/>
          <w:szCs w:val="23"/>
        </w:rPr>
        <w:t>(以下简称“甲方”)</w:t>
      </w:r>
    </w:p>
    <w:p w14:paraId="6F0E425D">
      <w:pPr>
        <w:spacing w:line="360" w:lineRule="auto"/>
        <w:ind w:left="830"/>
        <w:rPr>
          <w:rFonts w:hint="eastAsia" w:ascii="宋体" w:hAnsi="宋体" w:cs="宋体"/>
          <w:sz w:val="23"/>
          <w:szCs w:val="23"/>
        </w:rPr>
      </w:pPr>
      <w:r>
        <w:rPr>
          <w:rFonts w:hint="eastAsia" w:ascii="宋体" w:hAnsi="宋体" w:cs="宋体"/>
          <w:spacing w:val="4"/>
          <w:sz w:val="23"/>
          <w:szCs w:val="23"/>
        </w:rPr>
        <w:t>承 包 人</w:t>
      </w:r>
      <w:r>
        <w:rPr>
          <w:rFonts w:hint="eastAsia" w:ascii="宋体" w:hAnsi="宋体" w:cs="宋体"/>
          <w:spacing w:val="-20"/>
          <w:sz w:val="23"/>
          <w:szCs w:val="23"/>
        </w:rPr>
        <w:t xml:space="preserve"> </w:t>
      </w:r>
      <w:r>
        <w:rPr>
          <w:rFonts w:hint="eastAsia" w:ascii="宋体" w:hAnsi="宋体" w:cs="宋体"/>
          <w:spacing w:val="4"/>
          <w:sz w:val="23"/>
          <w:szCs w:val="23"/>
        </w:rPr>
        <w:t>：</w:t>
      </w:r>
      <w:r>
        <w:rPr>
          <w:rFonts w:hint="eastAsia" w:ascii="宋体" w:hAnsi="宋体" w:cs="宋体"/>
          <w:spacing w:val="1"/>
          <w:sz w:val="23"/>
          <w:szCs w:val="23"/>
          <w:u w:val="single"/>
        </w:rPr>
        <w:t xml:space="preserve">               </w:t>
      </w:r>
      <w:r>
        <w:rPr>
          <w:rFonts w:hint="eastAsia" w:ascii="宋体" w:hAnsi="宋体" w:cs="宋体"/>
          <w:spacing w:val="-25"/>
          <w:sz w:val="23"/>
          <w:szCs w:val="23"/>
        </w:rPr>
        <w:t xml:space="preserve"> </w:t>
      </w:r>
      <w:r>
        <w:rPr>
          <w:rFonts w:hint="eastAsia" w:ascii="宋体" w:hAnsi="宋体" w:cs="宋体"/>
          <w:spacing w:val="4"/>
          <w:sz w:val="23"/>
          <w:szCs w:val="23"/>
        </w:rPr>
        <w:t>(以下简称“乙方”)</w:t>
      </w:r>
    </w:p>
    <w:p w14:paraId="36E4EF86">
      <w:pPr>
        <w:spacing w:line="360" w:lineRule="auto"/>
        <w:ind w:left="830"/>
        <w:rPr>
          <w:rFonts w:hint="eastAsia" w:ascii="宋体" w:hAnsi="宋体" w:cs="宋体"/>
          <w:sz w:val="23"/>
          <w:szCs w:val="23"/>
        </w:rPr>
      </w:pPr>
      <w:r>
        <w:rPr>
          <w:rFonts w:hint="eastAsia" w:ascii="宋体" w:hAnsi="宋体" w:cs="宋体"/>
          <w:sz w:val="23"/>
          <w:szCs w:val="23"/>
        </w:rPr>
        <w:t xml:space="preserve">经办银行： </w:t>
      </w:r>
      <w:r>
        <w:rPr>
          <w:rFonts w:hint="eastAsia" w:ascii="宋体" w:hAnsi="宋体" w:cs="宋体"/>
          <w:sz w:val="23"/>
          <w:szCs w:val="23"/>
          <w:u w:val="single"/>
        </w:rPr>
        <w:t xml:space="preserve">               </w:t>
      </w:r>
      <w:r>
        <w:rPr>
          <w:rFonts w:hint="eastAsia" w:ascii="宋体" w:hAnsi="宋体" w:cs="宋体"/>
          <w:sz w:val="23"/>
          <w:szCs w:val="23"/>
        </w:rPr>
        <w:t xml:space="preserve"> (以下简称“丙方”)</w:t>
      </w:r>
    </w:p>
    <w:p w14:paraId="6512D7D5">
      <w:pPr>
        <w:spacing w:line="360" w:lineRule="auto"/>
        <w:ind w:firstLine="480" w:firstLineChars="200"/>
        <w:rPr>
          <w:rFonts w:hint="eastAsia" w:ascii="宋体" w:hAnsi="宋体" w:cs="宋体"/>
          <w:sz w:val="24"/>
          <w:szCs w:val="24"/>
        </w:rPr>
      </w:pPr>
      <w:r>
        <w:rPr>
          <w:rFonts w:hint="eastAsia" w:ascii="宋体" w:hAnsi="宋体" w:cs="宋体"/>
          <w:sz w:val="24"/>
          <w:szCs w:val="24"/>
        </w:rPr>
        <w:t>为了促进          (项目名称)的顺利实施，管好用好建设资金，确保工程资金 专款专用，同时为承包人提供便捷有效的银行业务服务，根据</w:t>
      </w:r>
      <w:r>
        <w:rPr>
          <w:rFonts w:hint="eastAsia" w:ascii="宋体" w:hAnsi="宋体" w:cs="宋体"/>
          <w:sz w:val="24"/>
          <w:szCs w:val="24"/>
          <w:u w:val="single"/>
        </w:rPr>
        <w:t xml:space="preserve">      (项目名称)</w:t>
      </w:r>
      <w:r>
        <w:rPr>
          <w:rFonts w:hint="eastAsia" w:ascii="宋体" w:hAnsi="宋体" w:cs="宋体"/>
          <w:sz w:val="24"/>
          <w:szCs w:val="24"/>
        </w:rPr>
        <w:t>合同条款有关规定，经甲、乙、丙三方协商，达成协议如下：</w:t>
      </w:r>
    </w:p>
    <w:p w14:paraId="491EA6D8">
      <w:pPr>
        <w:spacing w:line="360" w:lineRule="auto"/>
        <w:ind w:firstLine="480" w:firstLineChars="200"/>
        <w:rPr>
          <w:rFonts w:hint="eastAsia" w:ascii="宋体" w:hAnsi="宋体" w:cs="宋体"/>
          <w:sz w:val="24"/>
          <w:szCs w:val="24"/>
        </w:rPr>
      </w:pPr>
      <w:r>
        <w:rPr>
          <w:rFonts w:hint="eastAsia" w:ascii="宋体" w:hAnsi="宋体" w:cs="宋体"/>
          <w:sz w:val="24"/>
          <w:szCs w:val="24"/>
        </w:rPr>
        <w:t>1.资金管理的内容</w:t>
      </w:r>
    </w:p>
    <w:p w14:paraId="39E36989">
      <w:pPr>
        <w:spacing w:line="360" w:lineRule="auto"/>
        <w:ind w:firstLine="480" w:firstLineChars="200"/>
        <w:rPr>
          <w:rFonts w:hint="eastAsia" w:ascii="宋体" w:hAnsi="宋体" w:cs="宋体"/>
          <w:sz w:val="24"/>
          <w:szCs w:val="24"/>
        </w:rPr>
      </w:pPr>
      <w:r>
        <w:rPr>
          <w:rFonts w:hint="eastAsia" w:ascii="宋体" w:hAnsi="宋体" w:cs="宋体"/>
          <w:sz w:val="24"/>
          <w:szCs w:val="24"/>
        </w:rPr>
        <w:t>(1)乙方为完成</w:t>
      </w:r>
      <w:r>
        <w:rPr>
          <w:rFonts w:hint="eastAsia" w:ascii="宋体" w:hAnsi="宋体" w:cs="宋体"/>
          <w:sz w:val="24"/>
          <w:szCs w:val="24"/>
          <w:u w:val="single"/>
        </w:rPr>
        <w:t xml:space="preserve">       </w:t>
      </w:r>
      <w:r>
        <w:rPr>
          <w:rFonts w:hint="eastAsia" w:ascii="宋体" w:hAnsi="宋体" w:cs="宋体"/>
          <w:sz w:val="24"/>
          <w:szCs w:val="24"/>
        </w:rPr>
        <w:t xml:space="preserve"> (项目名称)工程成立的项目经理部在丙方开设基本结算户；</w:t>
      </w:r>
    </w:p>
    <w:p w14:paraId="3544BFFF">
      <w:pPr>
        <w:spacing w:line="360" w:lineRule="auto"/>
        <w:ind w:firstLine="480" w:firstLineChars="200"/>
        <w:rPr>
          <w:rFonts w:hint="eastAsia" w:ascii="宋体" w:hAnsi="宋体" w:cs="宋体"/>
          <w:sz w:val="24"/>
          <w:szCs w:val="24"/>
        </w:rPr>
      </w:pPr>
      <w:r>
        <w:rPr>
          <w:rFonts w:hint="eastAsia" w:ascii="宋体" w:hAnsi="宋体" w:cs="宋体"/>
          <w:sz w:val="24"/>
          <w:szCs w:val="24"/>
        </w:rPr>
        <w:t>(2)甲方应将按合同规定将工程款(质量保证金除外)汇入乙方在丙方开设的账户；</w:t>
      </w:r>
    </w:p>
    <w:p w14:paraId="7B7C9335">
      <w:pPr>
        <w:spacing w:line="360" w:lineRule="auto"/>
        <w:ind w:firstLine="480" w:firstLineChars="200"/>
        <w:rPr>
          <w:rFonts w:hint="eastAsia" w:ascii="宋体" w:hAnsi="宋体" w:cs="宋体"/>
          <w:sz w:val="24"/>
          <w:szCs w:val="24"/>
        </w:rPr>
      </w:pPr>
      <w:r>
        <w:rPr>
          <w:rFonts w:hint="eastAsia" w:ascii="宋体" w:hAnsi="宋体" w:cs="宋体"/>
          <w:sz w:val="24"/>
          <w:szCs w:val="24"/>
        </w:rPr>
        <w:t>(3)乙方应将流动资金及甲方所拨付资金专项用于</w:t>
      </w:r>
      <w:r>
        <w:rPr>
          <w:rFonts w:hint="eastAsia" w:ascii="宋体" w:hAnsi="宋体" w:cs="宋体"/>
          <w:sz w:val="24"/>
          <w:szCs w:val="24"/>
          <w:u w:val="single"/>
        </w:rPr>
        <w:t xml:space="preserve">       </w:t>
      </w:r>
      <w:r>
        <w:rPr>
          <w:rFonts w:hint="eastAsia" w:ascii="宋体" w:hAnsi="宋体" w:cs="宋体"/>
          <w:sz w:val="24"/>
          <w:szCs w:val="24"/>
        </w:rPr>
        <w:t xml:space="preserve"> (项目名称); </w:t>
      </w:r>
    </w:p>
    <w:p w14:paraId="0E4DD90F">
      <w:pPr>
        <w:spacing w:line="360" w:lineRule="auto"/>
        <w:ind w:firstLine="480" w:firstLineChars="200"/>
        <w:rPr>
          <w:rFonts w:hint="eastAsia" w:ascii="宋体" w:hAnsi="宋体" w:cs="宋体"/>
          <w:sz w:val="24"/>
          <w:szCs w:val="24"/>
        </w:rPr>
      </w:pPr>
      <w:r>
        <w:rPr>
          <w:rFonts w:hint="eastAsia" w:ascii="宋体" w:hAnsi="宋体" w:cs="宋体"/>
          <w:sz w:val="24"/>
          <w:szCs w:val="24"/>
        </w:rPr>
        <w:t>(4)丙方应为乙方提供便捷有效的银行业务服务，并接受甲方委托对乙方在丙方开设的基本结算户资金使用情况进行监督。</w:t>
      </w:r>
    </w:p>
    <w:p w14:paraId="6AE0D861">
      <w:pPr>
        <w:spacing w:line="360" w:lineRule="auto"/>
        <w:ind w:firstLine="480" w:firstLineChars="200"/>
        <w:rPr>
          <w:rFonts w:hint="eastAsia" w:ascii="宋体" w:hAnsi="宋体" w:cs="宋体"/>
          <w:sz w:val="24"/>
          <w:szCs w:val="24"/>
        </w:rPr>
      </w:pPr>
      <w:r>
        <w:rPr>
          <w:rFonts w:hint="eastAsia" w:ascii="宋体" w:hAnsi="宋体" w:cs="宋体"/>
          <w:sz w:val="24"/>
          <w:szCs w:val="24"/>
        </w:rPr>
        <w:t>2.甲方的权责</w:t>
      </w:r>
    </w:p>
    <w:p w14:paraId="467B1B19">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 (1)按照</w:t>
      </w:r>
      <w:r>
        <w:rPr>
          <w:rFonts w:hint="eastAsia" w:ascii="宋体" w:hAnsi="宋体" w:cs="宋体"/>
          <w:sz w:val="24"/>
          <w:szCs w:val="24"/>
          <w:u w:val="single"/>
        </w:rPr>
        <w:t xml:space="preserve">        (</w:t>
      </w:r>
      <w:r>
        <w:rPr>
          <w:rFonts w:hint="eastAsia" w:ascii="宋体" w:hAnsi="宋体" w:cs="宋体"/>
          <w:sz w:val="24"/>
          <w:szCs w:val="24"/>
        </w:rPr>
        <w:t>项目名称)合同有关条款规定的时间和方式，向乙方支付工程款；</w:t>
      </w:r>
    </w:p>
    <w:p w14:paraId="66E1B27B">
      <w:pPr>
        <w:spacing w:line="360" w:lineRule="auto"/>
        <w:ind w:firstLine="480" w:firstLineChars="200"/>
        <w:rPr>
          <w:rFonts w:hint="eastAsia" w:ascii="宋体" w:hAnsi="宋体" w:cs="宋体"/>
          <w:sz w:val="24"/>
          <w:szCs w:val="24"/>
        </w:rPr>
      </w:pPr>
      <w:r>
        <w:rPr>
          <w:rFonts w:hint="eastAsia" w:ascii="宋体" w:hAnsi="宋体" w:cs="宋体"/>
          <w:sz w:val="24"/>
          <w:szCs w:val="24"/>
        </w:rPr>
        <w:t>(2)在发现乙方将本项目资金挪用、转移时，甲方有权中止工程支付，直至乙方改正为止；</w:t>
      </w:r>
    </w:p>
    <w:p w14:paraId="66FE6659">
      <w:pPr>
        <w:spacing w:line="360" w:lineRule="auto"/>
        <w:ind w:firstLine="480" w:firstLineChars="200"/>
        <w:rPr>
          <w:rFonts w:hint="eastAsia" w:ascii="宋体" w:hAnsi="宋体" w:cs="宋体"/>
          <w:sz w:val="24"/>
          <w:szCs w:val="24"/>
        </w:rPr>
      </w:pPr>
      <w:r>
        <w:rPr>
          <w:rFonts w:hint="eastAsia" w:ascii="宋体" w:hAnsi="宋体" w:cs="宋体"/>
          <w:sz w:val="24"/>
          <w:szCs w:val="24"/>
        </w:rPr>
        <w:t>(3)不定期审查丙方对乙方的资金使用监督情况，如丙方不能履行其责任，甲方有权随时终止本协议；</w:t>
      </w:r>
    </w:p>
    <w:p w14:paraId="187E8E09">
      <w:pPr>
        <w:spacing w:line="360" w:lineRule="auto"/>
        <w:ind w:firstLine="480" w:firstLineChars="200"/>
        <w:rPr>
          <w:rFonts w:hint="eastAsia" w:ascii="宋体" w:hAnsi="宋体" w:cs="宋体"/>
          <w:sz w:val="24"/>
          <w:szCs w:val="24"/>
        </w:rPr>
      </w:pPr>
      <w:r>
        <w:rPr>
          <w:rFonts w:hint="eastAsia" w:ascii="宋体" w:hAnsi="宋体" w:cs="宋体"/>
          <w:sz w:val="24"/>
          <w:szCs w:val="24"/>
        </w:rPr>
        <w:t>(4)在乙、丙双方发生争议时，甲方应负责协调、解决。</w:t>
      </w:r>
    </w:p>
    <w:p w14:paraId="2B608CE2">
      <w:pPr>
        <w:spacing w:line="360" w:lineRule="auto"/>
        <w:ind w:firstLine="480" w:firstLineChars="200"/>
        <w:rPr>
          <w:rFonts w:hint="eastAsia" w:ascii="宋体" w:hAnsi="宋体" w:cs="宋体"/>
          <w:sz w:val="24"/>
          <w:szCs w:val="24"/>
        </w:rPr>
      </w:pPr>
      <w:r>
        <w:rPr>
          <w:rFonts w:hint="eastAsia" w:ascii="宋体" w:hAnsi="宋体" w:cs="宋体"/>
          <w:sz w:val="24"/>
          <w:szCs w:val="24"/>
        </w:rPr>
        <w:t>3.乙方的权责</w:t>
      </w:r>
    </w:p>
    <w:p w14:paraId="43521053">
      <w:pPr>
        <w:spacing w:line="360" w:lineRule="auto"/>
        <w:ind w:firstLine="480" w:firstLineChars="200"/>
        <w:rPr>
          <w:rFonts w:hint="eastAsia" w:ascii="宋体" w:hAnsi="宋体" w:cs="宋体"/>
          <w:sz w:val="24"/>
          <w:szCs w:val="24"/>
        </w:rPr>
      </w:pPr>
      <w:r>
        <w:rPr>
          <w:rFonts w:hint="eastAsia" w:ascii="宋体" w:hAnsi="宋体" w:cs="宋体"/>
          <w:sz w:val="24"/>
          <w:szCs w:val="24"/>
        </w:rPr>
        <w:t>(1)项目经理部成立以后，乙方应尽快在丙方开设基本结算户；</w:t>
      </w:r>
    </w:p>
    <w:p w14:paraId="62A1A028">
      <w:pPr>
        <w:spacing w:line="360" w:lineRule="auto"/>
        <w:ind w:firstLine="480" w:firstLineChars="200"/>
        <w:rPr>
          <w:rFonts w:hint="eastAsia" w:ascii="宋体" w:hAnsi="宋体" w:cs="宋体"/>
          <w:sz w:val="24"/>
          <w:szCs w:val="24"/>
        </w:rPr>
      </w:pPr>
      <w:r>
        <w:rPr>
          <w:rFonts w:hint="eastAsia" w:ascii="宋体" w:hAnsi="宋体" w:cs="宋体"/>
          <w:sz w:val="24"/>
          <w:szCs w:val="24"/>
        </w:rPr>
        <w:t>(2)确保本项目资金专款专用，不发生挪用、转移资金的现象；保证不通过权益转让、抵押、担保承担债务等任何其他方式使用基本结算户的资金；</w:t>
      </w:r>
    </w:p>
    <w:p w14:paraId="7FFB978D">
      <w:pPr>
        <w:spacing w:line="360" w:lineRule="auto"/>
        <w:ind w:firstLine="480" w:firstLineChars="200"/>
        <w:rPr>
          <w:rFonts w:hint="eastAsia" w:ascii="宋体" w:hAnsi="宋体" w:cs="宋体"/>
          <w:sz w:val="24"/>
          <w:szCs w:val="24"/>
        </w:rPr>
      </w:pPr>
      <w:r>
        <w:rPr>
          <w:rFonts w:hint="eastAsia" w:ascii="宋体" w:hAnsi="宋体" w:cs="宋体"/>
          <w:sz w:val="24"/>
          <w:szCs w:val="24"/>
        </w:rPr>
        <w:t>(3)办理材料、设备等采购业务金额在</w:t>
      </w:r>
      <w:r>
        <w:rPr>
          <w:rFonts w:hint="eastAsia" w:ascii="宋体" w:hAnsi="宋体" w:cs="宋体"/>
          <w:sz w:val="24"/>
          <w:szCs w:val="24"/>
          <w:u w:val="single"/>
        </w:rPr>
        <w:t xml:space="preserve">      </w:t>
      </w:r>
      <w:r>
        <w:rPr>
          <w:rFonts w:hint="eastAsia" w:ascii="宋体" w:hAnsi="宋体" w:cs="宋体"/>
          <w:sz w:val="24"/>
          <w:szCs w:val="24"/>
        </w:rPr>
        <w:t>万元以上的，应出示购货合同、协 议和发票；在办理总额超过</w:t>
      </w:r>
      <w:r>
        <w:rPr>
          <w:rFonts w:hint="eastAsia" w:ascii="宋体" w:hAnsi="宋体" w:cs="宋体"/>
          <w:sz w:val="24"/>
          <w:szCs w:val="24"/>
          <w:u w:val="single"/>
        </w:rPr>
        <w:t xml:space="preserve">      </w:t>
      </w:r>
      <w:r>
        <w:rPr>
          <w:rFonts w:hint="eastAsia" w:ascii="宋体" w:hAnsi="宋体" w:cs="宋体"/>
          <w:sz w:val="24"/>
          <w:szCs w:val="24"/>
        </w:rPr>
        <w:t>万元以上的采购业务时，应将合同、协议和发票复 印件送丙方备案；购买应急材料、设备时可先办理支付手续，但事后必须补备有关资料；</w:t>
      </w:r>
    </w:p>
    <w:p w14:paraId="609D4EA7">
      <w:pPr>
        <w:spacing w:line="360" w:lineRule="auto"/>
        <w:ind w:firstLine="480" w:firstLineChars="200"/>
        <w:rPr>
          <w:rFonts w:hint="eastAsia" w:ascii="宋体" w:hAnsi="宋体" w:cs="宋体"/>
          <w:sz w:val="24"/>
          <w:szCs w:val="24"/>
        </w:rPr>
      </w:pPr>
      <w:r>
        <w:rPr>
          <w:rFonts w:hint="eastAsia" w:ascii="宋体" w:hAnsi="宋体" w:cs="宋体"/>
          <w:sz w:val="24"/>
          <w:szCs w:val="24"/>
        </w:rPr>
        <w:t>(4)用银行转账支票办理支付款项时，必须将转账支票送交丙方，由丙方负责办理支票转付手续；</w:t>
      </w:r>
    </w:p>
    <w:p w14:paraId="42A694B0">
      <w:pPr>
        <w:spacing w:line="360" w:lineRule="auto"/>
        <w:ind w:firstLine="480" w:firstLineChars="200"/>
        <w:rPr>
          <w:rFonts w:hint="eastAsia" w:ascii="宋体" w:hAnsi="宋体" w:cs="宋体"/>
          <w:sz w:val="24"/>
          <w:szCs w:val="24"/>
        </w:rPr>
      </w:pPr>
      <w:r>
        <w:rPr>
          <w:rFonts w:hint="eastAsia" w:ascii="宋体" w:hAnsi="宋体" w:cs="宋体"/>
          <w:sz w:val="24"/>
          <w:szCs w:val="24"/>
        </w:rPr>
        <w:t>(5)向分包单位支付工程进度款时，应附甲方批准分包的文件；</w:t>
      </w:r>
    </w:p>
    <w:p w14:paraId="770FA544">
      <w:pPr>
        <w:spacing w:line="360" w:lineRule="auto"/>
        <w:ind w:firstLine="480" w:firstLineChars="200"/>
        <w:rPr>
          <w:rFonts w:hint="eastAsia" w:ascii="宋体" w:hAnsi="宋体" w:cs="宋体"/>
          <w:sz w:val="24"/>
          <w:szCs w:val="24"/>
        </w:rPr>
      </w:pPr>
      <w:r>
        <w:rPr>
          <w:rFonts w:hint="eastAsia" w:ascii="宋体" w:hAnsi="宋体" w:cs="宋体"/>
          <w:sz w:val="24"/>
          <w:szCs w:val="24"/>
        </w:rPr>
        <w:t>(6)向上级单位缴纳管理费、机械设备及周转材料租赁摊销费等款项时，应附上级单位出具的转账通知等有关资料，以确保资金专款专用。</w:t>
      </w:r>
    </w:p>
    <w:p w14:paraId="790E71F5">
      <w:pPr>
        <w:spacing w:line="360" w:lineRule="auto"/>
        <w:ind w:firstLine="480" w:firstLineChars="200"/>
        <w:rPr>
          <w:rFonts w:hint="eastAsia" w:ascii="宋体" w:hAnsi="宋体" w:cs="宋体"/>
          <w:sz w:val="24"/>
          <w:szCs w:val="24"/>
        </w:rPr>
      </w:pPr>
      <w:r>
        <w:rPr>
          <w:rFonts w:hint="eastAsia" w:ascii="宋体" w:hAnsi="宋体" w:cs="宋体"/>
          <w:sz w:val="24"/>
          <w:szCs w:val="24"/>
        </w:rPr>
        <w:t>4.丙方的权责</w:t>
      </w:r>
    </w:p>
    <w:p w14:paraId="1935CB06">
      <w:pPr>
        <w:spacing w:line="360" w:lineRule="auto"/>
        <w:ind w:firstLine="480" w:firstLineChars="200"/>
        <w:rPr>
          <w:rFonts w:hint="eastAsia" w:ascii="宋体" w:hAnsi="宋体" w:cs="宋体"/>
          <w:sz w:val="24"/>
          <w:szCs w:val="24"/>
        </w:rPr>
      </w:pPr>
      <w:r>
        <w:rPr>
          <w:rFonts w:hint="eastAsia" w:ascii="宋体" w:hAnsi="宋体" w:cs="宋体"/>
          <w:sz w:val="24"/>
          <w:szCs w:val="24"/>
        </w:rPr>
        <w:t>(1)成立</w:t>
      </w:r>
      <w:r>
        <w:rPr>
          <w:rFonts w:hint="eastAsia" w:ascii="宋体" w:hAnsi="宋体" w:cs="宋体"/>
          <w:sz w:val="24"/>
          <w:szCs w:val="24"/>
          <w:u w:val="single"/>
        </w:rPr>
        <w:t xml:space="preserve">       </w:t>
      </w:r>
      <w:r>
        <w:rPr>
          <w:rFonts w:hint="eastAsia" w:ascii="宋体" w:hAnsi="宋体" w:cs="宋体"/>
          <w:sz w:val="24"/>
          <w:szCs w:val="24"/>
        </w:rPr>
        <w:t>(项目名称)工程资金管理服务小组，明确业务流程，提高工作效率，杜绝“压票”现象；</w:t>
      </w:r>
    </w:p>
    <w:p w14:paraId="35FF2508">
      <w:pPr>
        <w:spacing w:line="360" w:lineRule="auto"/>
        <w:ind w:firstLine="480" w:firstLineChars="200"/>
        <w:rPr>
          <w:rFonts w:hint="eastAsia" w:ascii="宋体" w:hAnsi="宋体" w:cs="宋体"/>
          <w:sz w:val="24"/>
          <w:szCs w:val="24"/>
        </w:rPr>
      </w:pPr>
      <w:r>
        <w:rPr>
          <w:rFonts w:hint="eastAsia" w:ascii="宋体" w:hAnsi="宋体" w:cs="宋体"/>
          <w:sz w:val="24"/>
          <w:szCs w:val="24"/>
        </w:rPr>
        <w:t>(2)根据乙方提供的购货合同、协议和发票，检查其所购材料、设备是否用于(项目名称)工程建设，对本标段以外的购货款项，有权拒绝办理，并及时报告甲方；</w:t>
      </w:r>
    </w:p>
    <w:p w14:paraId="4E8B4D07">
      <w:pPr>
        <w:spacing w:line="360" w:lineRule="auto"/>
        <w:ind w:firstLine="480" w:firstLineChars="200"/>
        <w:rPr>
          <w:rFonts w:hint="eastAsia" w:ascii="宋体" w:hAnsi="宋体" w:cs="宋体"/>
          <w:sz w:val="24"/>
          <w:szCs w:val="24"/>
        </w:rPr>
      </w:pPr>
      <w:r>
        <w:rPr>
          <w:rFonts w:hint="eastAsia" w:ascii="宋体" w:hAnsi="宋体" w:cs="宋体"/>
          <w:sz w:val="24"/>
          <w:szCs w:val="24"/>
        </w:rPr>
        <w:t>(3)根据乙方与分包单位签订的合同及支付文件，检查其支付款项是否符合有关条件，向分包单位以外单位的支付有权拒绝办理，并及时报告甲方；</w:t>
      </w:r>
    </w:p>
    <w:p w14:paraId="6F46E54C">
      <w:pPr>
        <w:spacing w:line="360" w:lineRule="auto"/>
        <w:ind w:firstLine="480" w:firstLineChars="200"/>
        <w:rPr>
          <w:rFonts w:hint="eastAsia" w:ascii="宋体" w:hAnsi="宋体" w:cs="宋体"/>
          <w:sz w:val="24"/>
          <w:szCs w:val="24"/>
        </w:rPr>
      </w:pPr>
      <w:r>
        <w:rPr>
          <w:rFonts w:hint="eastAsia" w:ascii="宋体" w:hAnsi="宋体" w:cs="宋体"/>
          <w:sz w:val="24"/>
          <w:szCs w:val="24"/>
        </w:rPr>
        <w:t>(4)根据乙方提供的上级单位出具的转账通知等有关资料，办理管理费、机械 设备及周转材料租赁摊销费等款项的支付；对超出转账通知等有关资料以外的支付，有权拒绝办理，并及时转告甲方；</w:t>
      </w:r>
    </w:p>
    <w:p w14:paraId="5253AFE8">
      <w:pPr>
        <w:spacing w:line="360" w:lineRule="auto"/>
        <w:ind w:firstLine="480" w:firstLineChars="200"/>
        <w:rPr>
          <w:rFonts w:hint="eastAsia" w:ascii="宋体" w:hAnsi="宋体" w:cs="宋体"/>
          <w:sz w:val="24"/>
          <w:szCs w:val="24"/>
        </w:rPr>
      </w:pPr>
      <w:r>
        <w:rPr>
          <w:rFonts w:hint="eastAsia" w:ascii="宋体" w:hAnsi="宋体" w:cs="宋体"/>
          <w:sz w:val="24"/>
          <w:szCs w:val="24"/>
        </w:rPr>
        <w:t>(5)定期将乙方前一个周期的支付情况，整理后书面报送甲方；乙方复印备案的材料一并送甲方。</w:t>
      </w:r>
    </w:p>
    <w:p w14:paraId="65E0EBC6">
      <w:pPr>
        <w:spacing w:line="360" w:lineRule="auto"/>
        <w:ind w:firstLine="480" w:firstLineChars="200"/>
        <w:rPr>
          <w:rFonts w:hint="eastAsia" w:ascii="宋体" w:hAnsi="宋体" w:cs="宋体"/>
          <w:sz w:val="24"/>
          <w:szCs w:val="24"/>
        </w:rPr>
      </w:pPr>
      <w:r>
        <w:rPr>
          <w:rFonts w:hint="eastAsia" w:ascii="宋体" w:hAnsi="宋体" w:cs="宋体"/>
          <w:sz w:val="24"/>
          <w:szCs w:val="24"/>
        </w:rPr>
        <w:t>5.甲、乙、丙三方都应履行保密责任，不得将其他两方的业务情况透露给三方以外的其他单位或个人。</w:t>
      </w:r>
    </w:p>
    <w:p w14:paraId="2258692F">
      <w:pPr>
        <w:spacing w:line="360" w:lineRule="auto"/>
        <w:ind w:firstLine="480" w:firstLineChars="200"/>
        <w:rPr>
          <w:rFonts w:hint="eastAsia" w:ascii="宋体" w:hAnsi="宋体" w:cs="宋体"/>
          <w:sz w:val="24"/>
          <w:szCs w:val="24"/>
        </w:rPr>
      </w:pPr>
      <w:r>
        <w:rPr>
          <w:rFonts w:hint="eastAsia" w:ascii="宋体" w:hAnsi="宋体" w:cs="宋体"/>
          <w:sz w:val="24"/>
          <w:szCs w:val="24"/>
        </w:rPr>
        <w:t>6.本协议有效期自乙方在丙方开户起，至工程交工验收甲方向乙方颁发交工验收证书后结束。</w:t>
      </w:r>
    </w:p>
    <w:p w14:paraId="53B8759E">
      <w:pPr>
        <w:spacing w:line="360" w:lineRule="auto"/>
        <w:ind w:firstLine="480" w:firstLineChars="200"/>
        <w:rPr>
          <w:rFonts w:hint="eastAsia" w:ascii="宋体" w:hAnsi="宋体" w:cs="宋体"/>
          <w:sz w:val="24"/>
          <w:szCs w:val="24"/>
        </w:rPr>
      </w:pPr>
      <w:r>
        <w:rPr>
          <w:rFonts w:hint="eastAsia" w:ascii="宋体" w:hAnsi="宋体" w:cs="宋体"/>
          <w:sz w:val="24"/>
          <w:szCs w:val="24"/>
        </w:rPr>
        <w:t>7.本协议未尽事宜，由甲方牵头，三方协商解决。</w:t>
      </w:r>
    </w:p>
    <w:p w14:paraId="2B7B1E53">
      <w:pPr>
        <w:spacing w:line="360" w:lineRule="auto"/>
        <w:ind w:firstLine="480" w:firstLineChars="200"/>
        <w:rPr>
          <w:rFonts w:hint="eastAsia" w:ascii="宋体" w:hAnsi="宋体" w:cs="宋体"/>
          <w:sz w:val="24"/>
          <w:szCs w:val="24"/>
        </w:rPr>
      </w:pPr>
      <w:r>
        <w:rPr>
          <w:rFonts w:hint="eastAsia" w:ascii="宋体" w:hAnsi="宋体" w:cs="宋体"/>
          <w:sz w:val="24"/>
          <w:szCs w:val="24"/>
        </w:rPr>
        <w:t>8.本协议正本三份、副本</w:t>
      </w:r>
      <w:r>
        <w:rPr>
          <w:rFonts w:hint="eastAsia" w:ascii="宋体" w:hAnsi="宋体" w:cs="宋体"/>
          <w:sz w:val="24"/>
          <w:szCs w:val="24"/>
          <w:u w:val="single"/>
        </w:rPr>
        <w:t xml:space="preserve">     </w:t>
      </w:r>
      <w:r>
        <w:rPr>
          <w:rFonts w:hint="eastAsia" w:ascii="宋体" w:hAnsi="宋体" w:cs="宋体"/>
          <w:sz w:val="24"/>
          <w:szCs w:val="24"/>
        </w:rPr>
        <w:t>份。合同三方各执正本一份、副本</w:t>
      </w:r>
      <w:r>
        <w:rPr>
          <w:rFonts w:hint="eastAsia" w:ascii="宋体" w:hAnsi="宋体" w:cs="宋体"/>
          <w:sz w:val="24"/>
          <w:szCs w:val="24"/>
          <w:u w:val="single"/>
        </w:rPr>
        <w:t xml:space="preserve">      </w:t>
      </w:r>
      <w:r>
        <w:rPr>
          <w:rFonts w:hint="eastAsia" w:ascii="宋体" w:hAnsi="宋体" w:cs="宋体"/>
          <w:sz w:val="24"/>
          <w:szCs w:val="24"/>
        </w:rPr>
        <w:t>份，当正本与副本内容不一致时，以正本为准。</w:t>
      </w:r>
    </w:p>
    <w:p w14:paraId="24BA6181">
      <w:pPr>
        <w:spacing w:before="97" w:line="360" w:lineRule="auto"/>
        <w:ind w:left="643" w:firstLine="3000" w:firstLineChars="1500"/>
        <w:rPr>
          <w:rFonts w:hint="eastAsia" w:ascii="宋体" w:hAnsi="宋体" w:cs="宋体"/>
          <w:spacing w:val="-20"/>
          <w:sz w:val="24"/>
          <w:szCs w:val="24"/>
        </w:rPr>
      </w:pPr>
    </w:p>
    <w:p w14:paraId="7FCF9288">
      <w:pPr>
        <w:spacing w:before="97" w:line="360" w:lineRule="auto"/>
        <w:ind w:left="643" w:firstLine="3000" w:firstLineChars="1500"/>
        <w:rPr>
          <w:rFonts w:hint="eastAsia" w:ascii="宋体" w:hAnsi="宋体" w:cs="宋体"/>
          <w:sz w:val="24"/>
          <w:szCs w:val="24"/>
        </w:rPr>
      </w:pPr>
      <w:r>
        <w:rPr>
          <w:rFonts w:hint="eastAsia" w:ascii="宋体" w:hAnsi="宋体" w:cs="宋体"/>
          <w:spacing w:val="-20"/>
          <w:sz w:val="24"/>
          <w:szCs w:val="24"/>
        </w:rPr>
        <w:t xml:space="preserve">发包人： </w:t>
      </w:r>
      <w:r>
        <w:rPr>
          <w:rFonts w:hint="eastAsia" w:ascii="宋体" w:hAnsi="宋体" w:cs="宋体"/>
          <w:spacing w:val="2"/>
          <w:sz w:val="24"/>
          <w:szCs w:val="24"/>
          <w:u w:val="single"/>
        </w:rPr>
        <w:t xml:space="preserve">                   </w:t>
      </w:r>
      <w:r>
        <w:rPr>
          <w:rFonts w:hint="eastAsia" w:cs="宋体"/>
          <w:spacing w:val="2"/>
          <w:sz w:val="24"/>
          <w:szCs w:val="24"/>
          <w:u w:val="single"/>
          <w:lang w:val="en-US" w:eastAsia="zh-CN"/>
        </w:rPr>
        <w:t xml:space="preserve">  </w:t>
      </w:r>
      <w:r>
        <w:rPr>
          <w:rFonts w:hint="eastAsia" w:ascii="宋体" w:hAnsi="宋体" w:cs="宋体"/>
          <w:spacing w:val="2"/>
          <w:sz w:val="24"/>
          <w:szCs w:val="24"/>
          <w:u w:val="single"/>
        </w:rPr>
        <w:t xml:space="preserve">  </w:t>
      </w:r>
      <w:r>
        <w:rPr>
          <w:rFonts w:hint="eastAsia" w:ascii="宋体" w:hAnsi="宋体" w:cs="宋体"/>
          <w:spacing w:val="-20"/>
          <w:sz w:val="24"/>
          <w:szCs w:val="24"/>
        </w:rPr>
        <w:t xml:space="preserve"> (盖单位章)</w:t>
      </w:r>
    </w:p>
    <w:p w14:paraId="26AC417E">
      <w:pPr>
        <w:spacing w:line="360" w:lineRule="auto"/>
        <w:ind w:left="643" w:firstLine="3060" w:firstLineChars="1500"/>
        <w:rPr>
          <w:rFonts w:hint="eastAsia" w:ascii="宋体" w:hAnsi="宋体" w:cs="宋体"/>
          <w:sz w:val="24"/>
          <w:szCs w:val="24"/>
        </w:rPr>
      </w:pPr>
      <w:r>
        <w:rPr>
          <w:rFonts w:hint="eastAsia" w:ascii="宋体" w:hAnsi="宋体" w:cs="宋体"/>
          <w:spacing w:val="-18"/>
          <w:sz w:val="24"/>
          <w:szCs w:val="24"/>
        </w:rPr>
        <w:t>法定人或代表其委托代理人：</w:t>
      </w:r>
      <w:r>
        <w:rPr>
          <w:rFonts w:hint="eastAsia" w:ascii="宋体" w:hAnsi="宋体" w:cs="宋体"/>
          <w:spacing w:val="37"/>
          <w:sz w:val="24"/>
          <w:szCs w:val="24"/>
        </w:rPr>
        <w:t xml:space="preserve"> </w:t>
      </w:r>
      <w:r>
        <w:rPr>
          <w:rFonts w:hint="eastAsia" w:ascii="宋体" w:hAnsi="宋体" w:cs="宋体"/>
          <w:spacing w:val="16"/>
          <w:sz w:val="24"/>
          <w:szCs w:val="24"/>
          <w:u w:val="single"/>
        </w:rPr>
        <w:t xml:space="preserve">       </w:t>
      </w:r>
      <w:r>
        <w:rPr>
          <w:rFonts w:hint="eastAsia" w:ascii="宋体" w:hAnsi="宋体" w:cs="宋体"/>
          <w:spacing w:val="-18"/>
          <w:sz w:val="24"/>
          <w:szCs w:val="24"/>
        </w:rPr>
        <w:t xml:space="preserve"> (签字)</w:t>
      </w:r>
    </w:p>
    <w:p w14:paraId="1141EF01">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2B5418D2">
      <w:pPr>
        <w:spacing w:after="120" w:line="360" w:lineRule="auto"/>
        <w:rPr>
          <w:rFonts w:hint="eastAsia" w:ascii="宋体" w:hAnsi="宋体" w:cs="宋体"/>
          <w:kern w:val="0"/>
          <w:sz w:val="24"/>
          <w:szCs w:val="24"/>
        </w:rPr>
      </w:pPr>
    </w:p>
    <w:p w14:paraId="0A7C60E7">
      <w:pPr>
        <w:spacing w:before="81" w:line="360" w:lineRule="auto"/>
        <w:ind w:left="643" w:firstLine="3000" w:firstLineChars="1500"/>
        <w:rPr>
          <w:rFonts w:hint="eastAsia" w:ascii="宋体" w:hAnsi="宋体" w:cs="宋体"/>
          <w:sz w:val="24"/>
          <w:szCs w:val="24"/>
        </w:rPr>
      </w:pPr>
      <w:r>
        <w:rPr>
          <w:rFonts w:hint="eastAsia" w:ascii="宋体" w:hAnsi="宋体" w:cs="宋体"/>
          <w:spacing w:val="-20"/>
          <w:sz w:val="24"/>
          <w:szCs w:val="24"/>
        </w:rPr>
        <w:t xml:space="preserve">承包人： </w:t>
      </w:r>
      <w:r>
        <w:rPr>
          <w:rFonts w:hint="eastAsia" w:ascii="宋体" w:hAnsi="宋体" w:cs="宋体"/>
          <w:spacing w:val="2"/>
          <w:sz w:val="24"/>
          <w:szCs w:val="24"/>
          <w:u w:val="single"/>
        </w:rPr>
        <w:t xml:space="preserve">                     </w:t>
      </w:r>
      <w:r>
        <w:rPr>
          <w:rFonts w:hint="eastAsia" w:ascii="宋体" w:hAnsi="宋体" w:cs="宋体"/>
          <w:spacing w:val="-20"/>
          <w:sz w:val="24"/>
          <w:szCs w:val="24"/>
        </w:rPr>
        <w:t xml:space="preserve"> (盖单位章)</w:t>
      </w:r>
    </w:p>
    <w:p w14:paraId="3E1D9991">
      <w:pPr>
        <w:spacing w:before="1" w:line="360" w:lineRule="auto"/>
        <w:ind w:left="643" w:firstLine="3060" w:firstLineChars="1500"/>
        <w:rPr>
          <w:rFonts w:hint="eastAsia" w:ascii="宋体" w:hAnsi="宋体" w:cs="宋体"/>
          <w:sz w:val="24"/>
          <w:szCs w:val="24"/>
        </w:rPr>
      </w:pPr>
      <w:r>
        <w:rPr>
          <w:rFonts w:hint="eastAsia" w:ascii="宋体" w:hAnsi="宋体" w:cs="宋体"/>
          <w:spacing w:val="-18"/>
          <w:sz w:val="24"/>
          <w:szCs w:val="24"/>
        </w:rPr>
        <w:t>法定人或代表其委托代理人：</w:t>
      </w:r>
      <w:r>
        <w:rPr>
          <w:rFonts w:hint="eastAsia" w:ascii="宋体" w:hAnsi="宋体" w:cs="宋体"/>
          <w:spacing w:val="37"/>
          <w:sz w:val="24"/>
          <w:szCs w:val="24"/>
        </w:rPr>
        <w:t xml:space="preserve"> </w:t>
      </w:r>
      <w:r>
        <w:rPr>
          <w:rFonts w:hint="eastAsia" w:ascii="宋体" w:hAnsi="宋体" w:cs="宋体"/>
          <w:spacing w:val="16"/>
          <w:sz w:val="24"/>
          <w:szCs w:val="24"/>
          <w:u w:val="single"/>
        </w:rPr>
        <w:t xml:space="preserve">       </w:t>
      </w:r>
      <w:r>
        <w:rPr>
          <w:rFonts w:hint="eastAsia" w:ascii="宋体" w:hAnsi="宋体" w:cs="宋体"/>
          <w:spacing w:val="-18"/>
          <w:sz w:val="24"/>
          <w:szCs w:val="24"/>
        </w:rPr>
        <w:t xml:space="preserve"> (签字)</w:t>
      </w:r>
    </w:p>
    <w:p w14:paraId="618A5B6A">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773B4DD1">
      <w:pPr>
        <w:spacing w:after="120" w:line="360" w:lineRule="auto"/>
        <w:rPr>
          <w:rFonts w:hint="eastAsia" w:ascii="宋体" w:hAnsi="宋体" w:cs="宋体"/>
          <w:kern w:val="0"/>
          <w:sz w:val="24"/>
          <w:szCs w:val="24"/>
        </w:rPr>
      </w:pPr>
      <w:r>
        <w:rPr>
          <w:rFonts w:hint="eastAsia" w:ascii="宋体" w:hAnsi="宋体" w:cs="宋体"/>
          <w:kern w:val="0"/>
          <w:sz w:val="24"/>
          <w:szCs w:val="24"/>
        </w:rPr>
        <w:t xml:space="preserve">     </w:t>
      </w:r>
    </w:p>
    <w:p w14:paraId="7ECFE451">
      <w:pPr>
        <w:spacing w:after="120" w:line="360" w:lineRule="auto"/>
        <w:rPr>
          <w:rFonts w:hint="eastAsia" w:ascii="宋体" w:hAnsi="宋体" w:cs="宋体"/>
          <w:kern w:val="0"/>
          <w:sz w:val="24"/>
          <w:szCs w:val="24"/>
        </w:rPr>
      </w:pPr>
    </w:p>
    <w:p w14:paraId="2D77B235">
      <w:pPr>
        <w:spacing w:before="82" w:line="360" w:lineRule="auto"/>
        <w:ind w:left="643" w:firstLine="2996" w:firstLineChars="1400"/>
        <w:rPr>
          <w:rFonts w:hint="eastAsia" w:ascii="宋体" w:hAnsi="宋体" w:cs="宋体"/>
          <w:sz w:val="24"/>
          <w:szCs w:val="24"/>
        </w:rPr>
      </w:pPr>
      <w:r>
        <w:rPr>
          <w:rFonts w:hint="eastAsia" w:ascii="宋体" w:hAnsi="宋体" w:cs="宋体"/>
          <w:spacing w:val="-13"/>
          <w:sz w:val="24"/>
          <w:szCs w:val="24"/>
        </w:rPr>
        <w:t xml:space="preserve">经办银行： </w:t>
      </w:r>
      <w:r>
        <w:rPr>
          <w:rFonts w:hint="eastAsia" w:ascii="宋体" w:hAnsi="宋体" w:cs="宋体"/>
          <w:spacing w:val="-13"/>
          <w:sz w:val="24"/>
          <w:szCs w:val="24"/>
          <w:u w:val="single"/>
        </w:rPr>
        <w:t xml:space="preserve">                </w:t>
      </w:r>
      <w:r>
        <w:rPr>
          <w:rFonts w:hint="eastAsia" w:ascii="宋体" w:hAnsi="宋体" w:cs="宋体"/>
          <w:spacing w:val="-14"/>
          <w:sz w:val="24"/>
          <w:szCs w:val="24"/>
          <w:u w:val="single"/>
        </w:rPr>
        <w:t xml:space="preserve">    </w:t>
      </w:r>
      <w:r>
        <w:rPr>
          <w:rFonts w:hint="eastAsia" w:cs="宋体"/>
          <w:spacing w:val="-14"/>
          <w:sz w:val="24"/>
          <w:szCs w:val="24"/>
          <w:u w:val="single"/>
          <w:lang w:val="en-US" w:eastAsia="zh-CN"/>
        </w:rPr>
        <w:t xml:space="preserve">   </w:t>
      </w:r>
      <w:r>
        <w:rPr>
          <w:rFonts w:hint="eastAsia" w:ascii="宋体" w:hAnsi="宋体" w:cs="宋体"/>
          <w:spacing w:val="-14"/>
          <w:sz w:val="24"/>
          <w:szCs w:val="24"/>
          <w:u w:val="single"/>
        </w:rPr>
        <w:t xml:space="preserve"> </w:t>
      </w:r>
      <w:r>
        <w:rPr>
          <w:rFonts w:hint="eastAsia" w:ascii="宋体" w:hAnsi="宋体" w:cs="宋体"/>
          <w:spacing w:val="5"/>
          <w:sz w:val="24"/>
          <w:szCs w:val="24"/>
        </w:rPr>
        <w:t xml:space="preserve"> </w:t>
      </w:r>
      <w:r>
        <w:rPr>
          <w:rFonts w:hint="eastAsia" w:ascii="宋体" w:hAnsi="宋体" w:cs="宋体"/>
          <w:spacing w:val="-14"/>
          <w:sz w:val="24"/>
          <w:szCs w:val="24"/>
        </w:rPr>
        <w:t>(盖单位章)</w:t>
      </w:r>
    </w:p>
    <w:p w14:paraId="35AC56C8">
      <w:pPr>
        <w:spacing w:before="174" w:line="360" w:lineRule="auto"/>
        <w:ind w:left="643" w:firstLine="3060" w:firstLineChars="1500"/>
        <w:rPr>
          <w:rFonts w:hint="eastAsia" w:ascii="宋体" w:hAnsi="宋体" w:cs="宋体"/>
          <w:sz w:val="24"/>
          <w:szCs w:val="24"/>
        </w:rPr>
      </w:pPr>
      <w:r>
        <w:rPr>
          <w:rFonts w:hint="eastAsia" w:ascii="宋体" w:hAnsi="宋体" w:cs="宋体"/>
          <w:spacing w:val="-18"/>
          <w:sz w:val="24"/>
          <w:szCs w:val="24"/>
        </w:rPr>
        <w:t>法定人或代表其委托代理人：</w:t>
      </w:r>
      <w:r>
        <w:rPr>
          <w:rFonts w:hint="eastAsia" w:ascii="宋体" w:hAnsi="宋体" w:cs="宋体"/>
          <w:spacing w:val="37"/>
          <w:sz w:val="24"/>
          <w:szCs w:val="24"/>
        </w:rPr>
        <w:t xml:space="preserve"> </w:t>
      </w:r>
      <w:r>
        <w:rPr>
          <w:rFonts w:hint="eastAsia" w:ascii="宋体" w:hAnsi="宋体" w:cs="宋体"/>
          <w:spacing w:val="16"/>
          <w:sz w:val="24"/>
          <w:szCs w:val="24"/>
          <w:u w:val="single"/>
        </w:rPr>
        <w:t xml:space="preserve">       </w:t>
      </w:r>
      <w:r>
        <w:rPr>
          <w:rFonts w:hint="eastAsia" w:ascii="宋体" w:hAnsi="宋体" w:cs="宋体"/>
          <w:spacing w:val="-18"/>
          <w:sz w:val="24"/>
          <w:szCs w:val="24"/>
        </w:rPr>
        <w:t xml:space="preserve"> (签字)</w:t>
      </w:r>
    </w:p>
    <w:p w14:paraId="271DFC38">
      <w:pPr>
        <w:tabs>
          <w:tab w:val="left" w:pos="6579"/>
        </w:tabs>
        <w:spacing w:before="79" w:line="219" w:lineRule="auto"/>
        <w:ind w:left="5849"/>
        <w:rPr>
          <w:rFonts w:hint="eastAsia" w:ascii="宋体" w:hAnsi="宋体" w:cs="宋体"/>
          <w:sz w:val="20"/>
          <w:szCs w:val="20"/>
        </w:rPr>
      </w:pPr>
      <w:r>
        <w:rPr>
          <w:rFonts w:hint="eastAsia" w:ascii="宋体" w:hAnsi="宋体" w:cs="宋体"/>
          <w:sz w:val="24"/>
          <w:szCs w:val="24"/>
          <w:u w:val="single"/>
        </w:rPr>
        <w:tab/>
      </w:r>
      <w:r>
        <w:rPr>
          <w:rFonts w:hint="eastAsia" w:ascii="宋体" w:hAnsi="宋体" w:cs="宋体"/>
          <w:spacing w:val="-99"/>
          <w:sz w:val="24"/>
          <w:szCs w:val="24"/>
        </w:rPr>
        <w:t xml:space="preserve"> </w:t>
      </w:r>
      <w:r>
        <w:rPr>
          <w:rFonts w:hint="eastAsia" w:ascii="宋体" w:hAnsi="宋体" w:cs="宋体"/>
          <w:spacing w:val="-9"/>
          <w:sz w:val="24"/>
          <w:szCs w:val="24"/>
        </w:rPr>
        <w:t>年</w:t>
      </w:r>
      <w:r>
        <w:rPr>
          <w:rFonts w:hint="eastAsia" w:ascii="宋体" w:hAnsi="宋体" w:cs="宋体"/>
          <w:spacing w:val="2"/>
          <w:sz w:val="24"/>
          <w:szCs w:val="24"/>
          <w:u w:val="single"/>
        </w:rPr>
        <w:t xml:space="preserve">    </w:t>
      </w:r>
      <w:r>
        <w:rPr>
          <w:rFonts w:hint="eastAsia" w:ascii="宋体" w:hAnsi="宋体" w:cs="宋体"/>
          <w:spacing w:val="-9"/>
          <w:sz w:val="24"/>
          <w:szCs w:val="24"/>
        </w:rPr>
        <w:t>月</w:t>
      </w:r>
      <w:r>
        <w:rPr>
          <w:rFonts w:hint="eastAsia" w:ascii="宋体" w:hAnsi="宋体" w:cs="宋体"/>
          <w:spacing w:val="6"/>
          <w:sz w:val="24"/>
          <w:szCs w:val="24"/>
          <w:u w:val="single"/>
        </w:rPr>
        <w:t xml:space="preserve">    </w:t>
      </w:r>
      <w:r>
        <w:rPr>
          <w:rFonts w:hint="eastAsia" w:ascii="宋体" w:hAnsi="宋体" w:cs="宋体"/>
          <w:spacing w:val="-9"/>
          <w:position w:val="2"/>
          <w:sz w:val="20"/>
          <w:szCs w:val="20"/>
        </w:rPr>
        <w:t>日</w:t>
      </w:r>
    </w:p>
    <w:p w14:paraId="4F9FCFDD">
      <w:pPr>
        <w:spacing w:line="360" w:lineRule="auto"/>
        <w:rPr>
          <w:rFonts w:ascii="宋体" w:hAnsi="宋体"/>
          <w:sz w:val="24"/>
          <w:szCs w:val="24"/>
        </w:rPr>
      </w:pPr>
    </w:p>
    <w:p w14:paraId="75A16B19">
      <w:pPr>
        <w:spacing w:line="360" w:lineRule="auto"/>
        <w:rPr>
          <w:rFonts w:hint="eastAsia" w:ascii="宋体" w:hAnsi="宋体" w:eastAsia="宋体" w:cs="宋体"/>
          <w:color w:val="000000"/>
          <w:sz w:val="21"/>
          <w:szCs w:val="21"/>
          <w:highlight w:val="none"/>
        </w:rPr>
      </w:pPr>
    </w:p>
    <w:p w14:paraId="04A310D2">
      <w:pPr>
        <w:spacing w:line="360" w:lineRule="auto"/>
        <w:rPr>
          <w:rFonts w:hint="eastAsia" w:ascii="宋体" w:hAnsi="宋体" w:eastAsia="宋体" w:cs="宋体"/>
          <w:color w:val="000000"/>
          <w:sz w:val="21"/>
          <w:szCs w:val="21"/>
          <w:highlight w:val="none"/>
        </w:rPr>
      </w:pPr>
    </w:p>
    <w:p w14:paraId="1694E54E">
      <w:pPr>
        <w:spacing w:line="360" w:lineRule="auto"/>
        <w:rPr>
          <w:rFonts w:hint="eastAsia" w:ascii="宋体" w:hAnsi="宋体" w:eastAsia="宋体" w:cs="宋体"/>
          <w:color w:val="000000"/>
          <w:sz w:val="21"/>
          <w:szCs w:val="21"/>
          <w:highlight w:val="none"/>
        </w:rPr>
      </w:pPr>
    </w:p>
    <w:p w14:paraId="6BDDFA2F">
      <w:pPr>
        <w:spacing w:line="360" w:lineRule="auto"/>
        <w:rPr>
          <w:rFonts w:hint="eastAsia" w:ascii="宋体" w:hAnsi="宋体" w:eastAsia="宋体" w:cs="宋体"/>
          <w:color w:val="000000"/>
          <w:sz w:val="21"/>
          <w:szCs w:val="21"/>
          <w:highlight w:val="none"/>
        </w:rPr>
      </w:pPr>
    </w:p>
    <w:p w14:paraId="206CAA62">
      <w:pPr>
        <w:spacing w:line="360" w:lineRule="auto"/>
        <w:rPr>
          <w:rFonts w:hint="eastAsia" w:ascii="宋体" w:hAnsi="宋体" w:eastAsia="宋体" w:cs="宋体"/>
          <w:color w:val="000000"/>
          <w:sz w:val="21"/>
          <w:szCs w:val="21"/>
          <w:highlight w:val="none"/>
        </w:rPr>
      </w:pPr>
    </w:p>
    <w:p w14:paraId="49BAE7C3">
      <w:pPr>
        <w:spacing w:line="360" w:lineRule="auto"/>
        <w:rPr>
          <w:rFonts w:hint="eastAsia" w:ascii="宋体" w:hAnsi="宋体" w:eastAsia="宋体" w:cs="宋体"/>
          <w:color w:val="000000"/>
          <w:sz w:val="21"/>
          <w:szCs w:val="21"/>
          <w:highlight w:val="none"/>
        </w:rPr>
      </w:pPr>
    </w:p>
    <w:p w14:paraId="17C1389D">
      <w:pPr>
        <w:bidi w:val="0"/>
        <w:rPr>
          <w:rFonts w:hint="eastAsia"/>
          <w:lang w:val="en-US" w:eastAsia="zh-CN"/>
        </w:rPr>
      </w:pPr>
      <w:bookmarkStart w:id="1702" w:name="_Toc23967"/>
    </w:p>
    <w:p w14:paraId="738F4EC1">
      <w:pPr>
        <w:bidi w:val="0"/>
        <w:rPr>
          <w:rFonts w:hint="eastAsia"/>
          <w:lang w:val="en-US" w:eastAsia="zh-CN"/>
        </w:rPr>
      </w:pPr>
    </w:p>
    <w:p w14:paraId="43952A2A">
      <w:pPr>
        <w:bidi w:val="0"/>
        <w:rPr>
          <w:rFonts w:hint="eastAsia"/>
          <w:lang w:val="en-US" w:eastAsia="zh-CN"/>
        </w:rPr>
      </w:pPr>
    </w:p>
    <w:p w14:paraId="148267CB">
      <w:pPr>
        <w:bidi w:val="0"/>
        <w:rPr>
          <w:rFonts w:hint="eastAsia"/>
          <w:lang w:val="en-US" w:eastAsia="zh-CN"/>
        </w:rPr>
      </w:pPr>
    </w:p>
    <w:p w14:paraId="58C1870A">
      <w:pPr>
        <w:pStyle w:val="20"/>
        <w:numPr>
          <w:ilvl w:val="0"/>
          <w:numId w:val="0"/>
        </w:numPr>
        <w:spacing w:before="312" w:beforeLines="100" w:after="312" w:afterLines="100" w:line="600" w:lineRule="exact"/>
        <w:jc w:val="center"/>
        <w:outlineLvl w:val="0"/>
        <w:rPr>
          <w:rFonts w:hint="default"/>
          <w:highlight w:val="none"/>
          <w:lang w:val="en-US"/>
        </w:rPr>
      </w:pPr>
      <w:r>
        <w:rPr>
          <w:rFonts w:hint="eastAsia" w:hAnsi="Courier New" w:cs="Courier New"/>
          <w:b/>
          <w:bCs/>
          <w:color w:val="auto"/>
          <w:sz w:val="32"/>
          <w:szCs w:val="32"/>
          <w:highlight w:val="none"/>
          <w:lang w:val="en-US" w:eastAsia="zh-CN"/>
        </w:rPr>
        <w:br w:type="page"/>
      </w:r>
      <w:bookmarkStart w:id="1703" w:name="_Toc5567"/>
      <w:bookmarkStart w:id="1704" w:name="_Toc13191"/>
      <w:r>
        <w:rPr>
          <w:rFonts w:hint="eastAsia" w:hAnsi="Courier New" w:cs="Courier New"/>
          <w:b/>
          <w:bCs/>
          <w:color w:val="auto"/>
          <w:sz w:val="32"/>
          <w:szCs w:val="32"/>
          <w:highlight w:val="none"/>
          <w:lang w:val="en-US" w:eastAsia="zh-CN"/>
        </w:rPr>
        <w:t>第五章 控制价编制依据</w:t>
      </w:r>
      <w:bookmarkEnd w:id="1703"/>
      <w:bookmarkEnd w:id="1704"/>
    </w:p>
    <w:p w14:paraId="01D6BF4D">
      <w:pPr>
        <w:pStyle w:val="171"/>
        <w:keepNext w:val="0"/>
        <w:keepLines w:val="0"/>
        <w:pageBreakBefore w:val="0"/>
        <w:widowControl w:val="0"/>
        <w:numPr>
          <w:ilvl w:val="0"/>
          <w:numId w:val="17"/>
        </w:numPr>
        <w:kinsoku/>
        <w:wordWrap w:val="0"/>
        <w:overflowPunct/>
        <w:topLinePunct/>
        <w:autoSpaceDE/>
        <w:autoSpaceDN/>
        <w:bidi w:val="0"/>
        <w:adjustRightInd/>
        <w:snapToGrid w:val="0"/>
        <w:spacing w:line="360" w:lineRule="auto"/>
        <w:ind w:firstLineChars="0"/>
        <w:jc w:val="left"/>
        <w:textAlignment w:val="auto"/>
        <w:rPr>
          <w:b/>
          <w:sz w:val="24"/>
          <w:szCs w:val="24"/>
        </w:rPr>
      </w:pPr>
      <w:bookmarkStart w:id="1705" w:name="_Toc12390"/>
      <w:r>
        <w:rPr>
          <w:rFonts w:hint="eastAsia"/>
          <w:b/>
          <w:sz w:val="24"/>
          <w:szCs w:val="24"/>
        </w:rPr>
        <w:t>编制依据</w:t>
      </w:r>
    </w:p>
    <w:p w14:paraId="2BE0605B">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sz w:val="24"/>
          <w:szCs w:val="24"/>
        </w:rPr>
      </w:pPr>
      <w:r>
        <w:rPr>
          <w:sz w:val="24"/>
          <w:szCs w:val="24"/>
        </w:rPr>
        <w:t>1</w:t>
      </w:r>
      <w:r>
        <w:rPr>
          <w:rFonts w:hint="eastAsia"/>
          <w:sz w:val="24"/>
          <w:szCs w:val="24"/>
        </w:rPr>
        <w:t>、《施工图设计》及业主方提供的相关资料。</w:t>
      </w:r>
    </w:p>
    <w:p w14:paraId="08B147BC">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sz w:val="24"/>
          <w:szCs w:val="24"/>
        </w:rPr>
      </w:pPr>
      <w:r>
        <w:rPr>
          <w:rFonts w:hint="eastAsia"/>
          <w:sz w:val="24"/>
          <w:szCs w:val="24"/>
          <w:lang w:val="en-US" w:eastAsia="zh-CN"/>
        </w:rPr>
        <w:t>2</w:t>
      </w:r>
      <w:r>
        <w:rPr>
          <w:rFonts w:hint="eastAsia"/>
          <w:sz w:val="24"/>
          <w:szCs w:val="24"/>
        </w:rPr>
        <w:t>、《河南省普通公路养护工程预算编制办法》；</w:t>
      </w:r>
    </w:p>
    <w:p w14:paraId="4A3D0E6A">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3、《河南省普通公路养护工程预算定额》</w:t>
      </w:r>
    </w:p>
    <w:p w14:paraId="262C52C9">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4、《河南省普通公路养护工程机械台班费用定额》；</w:t>
      </w:r>
    </w:p>
    <w:p w14:paraId="65ACD450">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5、《河南省普通公路日常养护预算指标》；</w:t>
      </w:r>
    </w:p>
    <w:p w14:paraId="361980AB">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sz w:val="24"/>
          <w:szCs w:val="24"/>
        </w:rPr>
      </w:pPr>
      <w:r>
        <w:rPr>
          <w:rFonts w:hint="eastAsia"/>
          <w:sz w:val="24"/>
          <w:szCs w:val="24"/>
          <w:lang w:val="en-US" w:eastAsia="zh-CN"/>
        </w:rPr>
        <w:t>6</w:t>
      </w:r>
      <w:r>
        <w:rPr>
          <w:rFonts w:hint="eastAsia"/>
          <w:sz w:val="24"/>
          <w:szCs w:val="24"/>
        </w:rPr>
        <w:t>、</w:t>
      </w:r>
      <w:r>
        <w:rPr>
          <w:rFonts w:hint="eastAsia"/>
          <w:sz w:val="24"/>
          <w:szCs w:val="24"/>
          <w:lang w:eastAsia="zh-CN"/>
        </w:rPr>
        <w:t>《</w:t>
      </w:r>
      <w:r>
        <w:rPr>
          <w:rFonts w:hint="eastAsia"/>
          <w:sz w:val="24"/>
          <w:szCs w:val="24"/>
        </w:rPr>
        <w:t>公路工程预算定额》（JTG/T 3832—2018）；</w:t>
      </w:r>
    </w:p>
    <w:p w14:paraId="7DDA378D">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、《公路工程机械台班费用定额》（JTG/T 3833—2018）。</w:t>
      </w:r>
    </w:p>
    <w:p w14:paraId="10398877">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河南省交通厅关于发布《河南省普通公路养护工程预算编制办法》、《河南省普通公路养护工程预算定额》、《河南省普通公路养护工程机械台班费用定额》及《河南省普通公路日常养护预算编制办法》、《河南省普通公路日常养护预算指标（定额）》的通知（豫交文【2021】76号）；</w:t>
      </w:r>
    </w:p>
    <w:p w14:paraId="1BD44141">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、财政部、税务总局关于调整增值税税率的通知财税〔2018〕32号文件。</w:t>
      </w:r>
    </w:p>
    <w:p w14:paraId="24A0B672">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10、其他有关文件的规定。</w:t>
      </w:r>
    </w:p>
    <w:p w14:paraId="11262535">
      <w:pPr>
        <w:keepNext w:val="0"/>
        <w:keepLines w:val="0"/>
        <w:pageBreakBefore w:val="0"/>
        <w:widowControl w:val="0"/>
        <w:kinsoku/>
        <w:wordWrap w:val="0"/>
        <w:overflowPunct/>
        <w:topLinePunct/>
        <w:autoSpaceDE/>
        <w:autoSpaceDN/>
        <w:bidi w:val="0"/>
        <w:adjustRightInd/>
        <w:snapToGrid w:val="0"/>
        <w:spacing w:line="360" w:lineRule="auto"/>
        <w:jc w:val="left"/>
        <w:textAlignment w:val="auto"/>
        <w:rPr>
          <w:rFonts w:hint="default" w:eastAsia="宋体"/>
          <w:b/>
          <w:sz w:val="24"/>
          <w:szCs w:val="24"/>
          <w:lang w:val="en-US" w:eastAsia="zh-CN"/>
        </w:rPr>
      </w:pPr>
      <w:r>
        <w:rPr>
          <w:rFonts w:hint="eastAsia"/>
          <w:b/>
          <w:sz w:val="24"/>
          <w:szCs w:val="24"/>
        </w:rPr>
        <w:t>二、</w:t>
      </w:r>
      <w:r>
        <w:rPr>
          <w:rFonts w:hint="eastAsia"/>
          <w:b/>
          <w:sz w:val="24"/>
          <w:szCs w:val="24"/>
          <w:lang w:val="en-US" w:eastAsia="zh-CN"/>
        </w:rPr>
        <w:t>取费标准</w:t>
      </w:r>
    </w:p>
    <w:p w14:paraId="60DCEFFC">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sz w:val="24"/>
          <w:szCs w:val="24"/>
        </w:rPr>
      </w:pPr>
      <w:r>
        <w:rPr>
          <w:sz w:val="24"/>
          <w:szCs w:val="24"/>
        </w:rPr>
        <w:t>1</w:t>
      </w:r>
      <w:r>
        <w:rPr>
          <w:rFonts w:hint="eastAsia"/>
          <w:sz w:val="24"/>
          <w:szCs w:val="24"/>
        </w:rPr>
        <w:t>、人工、机械工费：依据河南省交通运输厅文件“豫交文【2019】27</w:t>
      </w:r>
      <w:r>
        <w:rPr>
          <w:rFonts w:hint="eastAsia"/>
          <w:sz w:val="24"/>
          <w:szCs w:val="24"/>
          <w:lang w:val="en-US" w:eastAsia="zh-CN"/>
        </w:rPr>
        <w:t>4</w:t>
      </w:r>
      <w:r>
        <w:rPr>
          <w:rFonts w:hint="eastAsia"/>
          <w:sz w:val="24"/>
          <w:szCs w:val="24"/>
        </w:rPr>
        <w:t>号文件”人工费单价为108.85元/工日。</w:t>
      </w:r>
    </w:p>
    <w:p w14:paraId="0C2A29B2">
      <w:pPr>
        <w:keepNext w:val="0"/>
        <w:keepLines w:val="0"/>
        <w:pageBreakBefore w:val="0"/>
        <w:widowControl w:val="0"/>
        <w:kinsoku/>
        <w:wordWrap w:val="0"/>
        <w:overflowPunct/>
        <w:topLinePunct/>
        <w:autoSpaceDE/>
        <w:autoSpaceDN/>
        <w:bidi w:val="0"/>
        <w:adjustRightInd/>
        <w:snapToGrid w:val="0"/>
        <w:spacing w:line="360" w:lineRule="auto"/>
        <w:ind w:firstLine="480" w:firstLineChars="200"/>
        <w:jc w:val="left"/>
        <w:textAlignment w:val="auto"/>
        <w:rPr>
          <w:rFonts w:hint="eastAsia"/>
          <w:sz w:val="24"/>
          <w:szCs w:val="24"/>
        </w:rPr>
      </w:pPr>
      <w:r>
        <w:rPr>
          <w:rFonts w:hint="eastAsia"/>
          <w:sz w:val="24"/>
          <w:szCs w:val="24"/>
          <w:lang w:val="zh-CN"/>
        </w:rPr>
        <w:t>2、材料</w:t>
      </w:r>
      <w:r>
        <w:rPr>
          <w:rFonts w:hint="eastAsia"/>
          <w:sz w:val="24"/>
          <w:szCs w:val="24"/>
          <w:lang w:val="en-US" w:eastAsia="zh-CN"/>
        </w:rPr>
        <w:t>价格</w:t>
      </w:r>
      <w:r>
        <w:rPr>
          <w:rFonts w:hint="eastAsia"/>
          <w:sz w:val="24"/>
          <w:szCs w:val="24"/>
          <w:lang w:val="zh-CN"/>
        </w:rPr>
        <w:t>根据2025年第3期及《河南省交通材料价格调查系统》同期发布的材料单价。</w:t>
      </w:r>
    </w:p>
    <w:p w14:paraId="37711B1E">
      <w:pPr>
        <w:keepNext w:val="0"/>
        <w:keepLines w:val="0"/>
        <w:pageBreakBefore w:val="0"/>
        <w:widowControl w:val="0"/>
        <w:kinsoku/>
        <w:wordWrap w:val="0"/>
        <w:overflowPunct/>
        <w:topLinePunct/>
        <w:autoSpaceDE/>
        <w:autoSpaceDN/>
        <w:bidi w:val="0"/>
        <w:adjustRightInd/>
        <w:snapToGrid w:val="0"/>
        <w:spacing w:line="360" w:lineRule="auto"/>
        <w:jc w:val="left"/>
        <w:textAlignment w:val="auto"/>
        <w:rPr>
          <w:b/>
          <w:bCs/>
          <w:sz w:val="24"/>
          <w:szCs w:val="24"/>
        </w:rPr>
      </w:pPr>
      <w:r>
        <w:rPr>
          <w:rFonts w:hint="eastAsia"/>
          <w:b/>
          <w:bCs/>
          <w:sz w:val="24"/>
          <w:szCs w:val="24"/>
        </w:rPr>
        <w:t>三、编制范围</w:t>
      </w:r>
    </w:p>
    <w:p w14:paraId="39BE9C95">
      <w:pPr>
        <w:keepNext w:val="0"/>
        <w:keepLines w:val="0"/>
        <w:pageBreakBefore w:val="0"/>
        <w:widowControl w:val="0"/>
        <w:kinsoku/>
        <w:wordWrap w:val="0"/>
        <w:overflowPunct/>
        <w:topLinePunct/>
        <w:autoSpaceDE/>
        <w:autoSpaceDN/>
        <w:bidi w:val="0"/>
        <w:adjustRightInd/>
        <w:snapToGrid w:val="0"/>
        <w:spacing w:line="360" w:lineRule="auto"/>
        <w:ind w:firstLine="240" w:firstLineChars="100"/>
        <w:jc w:val="left"/>
        <w:textAlignment w:val="auto"/>
        <w:rPr>
          <w:sz w:val="22"/>
          <w:szCs w:val="20"/>
        </w:rPr>
      </w:pPr>
      <w:r>
        <w:rPr>
          <w:rFonts w:hint="eastAsia"/>
          <w:sz w:val="24"/>
          <w:szCs w:val="24"/>
        </w:rPr>
        <w:t>《施工图设计》中的全部内容。</w:t>
      </w:r>
    </w:p>
    <w:p w14:paraId="5417C2DB">
      <w:pPr>
        <w:pStyle w:val="20"/>
        <w:numPr>
          <w:ilvl w:val="0"/>
          <w:numId w:val="0"/>
        </w:numPr>
        <w:spacing w:before="312" w:beforeLines="100" w:after="312" w:afterLines="100" w:line="600" w:lineRule="exact"/>
        <w:jc w:val="center"/>
        <w:outlineLvl w:val="0"/>
        <w:rPr>
          <w:rFonts w:hint="default" w:hAnsi="Courier New" w:cs="Courier New"/>
          <w:b/>
          <w:bCs/>
          <w:color w:val="auto"/>
          <w:sz w:val="32"/>
          <w:szCs w:val="32"/>
          <w:highlight w:val="none"/>
          <w:lang w:val="en-US" w:eastAsia="zh-CN"/>
        </w:rPr>
      </w:pPr>
      <w:r>
        <w:rPr>
          <w:rFonts w:hint="eastAsia" w:hAnsi="Courier New" w:cs="Courier New"/>
          <w:b/>
          <w:bCs/>
          <w:color w:val="auto"/>
          <w:sz w:val="32"/>
          <w:szCs w:val="32"/>
          <w:highlight w:val="none"/>
          <w:lang w:val="en-US" w:eastAsia="zh-CN"/>
        </w:rPr>
        <w:br w:type="page"/>
      </w:r>
      <w:bookmarkStart w:id="1706" w:name="_Toc28568"/>
      <w:r>
        <w:rPr>
          <w:rFonts w:hint="eastAsia" w:hAnsi="Courier New" w:cs="Courier New"/>
          <w:b/>
          <w:bCs/>
          <w:color w:val="auto"/>
          <w:sz w:val="32"/>
          <w:szCs w:val="32"/>
          <w:highlight w:val="none"/>
          <w:lang w:val="en-US" w:eastAsia="zh-CN"/>
        </w:rPr>
        <w:t>第六章 工程量清单（另附）</w:t>
      </w:r>
      <w:bookmarkEnd w:id="1705"/>
      <w:bookmarkEnd w:id="1706"/>
    </w:p>
    <w:p w14:paraId="011A50B8">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rPr>
      </w:pPr>
      <w:r>
        <w:rPr>
          <w:rFonts w:hint="eastAsia" w:ascii="宋体" w:hAnsi="宋体" w:eastAsia="宋体" w:cs="宋体"/>
          <w:b/>
          <w:bCs/>
          <w:sz w:val="24"/>
          <w:szCs w:val="24"/>
        </w:rPr>
        <w:t>1.工程量清单说明</w:t>
      </w:r>
    </w:p>
    <w:p w14:paraId="3FCC7519">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1.1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3B44F50C">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1.2本工程量清单应与招标文件中的投标人须知、通用合同条款、专用合同条款、工程量清单计量规则、技术规范及图纸等一起阅读和理解。</w:t>
      </w:r>
    </w:p>
    <w:p w14:paraId="38BDB445">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1.3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的规定，按监理人确定的单价或总额价计算支付额。</w:t>
      </w:r>
    </w:p>
    <w:p w14:paraId="307649F0">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1.4工程量清单各章是按“工程量清单计量规则”、“技术规范”的相应章次编号的，因此，工程量清单中各章的工程子目的范围与计量等应与“工程量清单计量规则”“技术规范”相应章节的范围、计量与支付条款结合起来理解或解释。</w:t>
      </w:r>
    </w:p>
    <w:p w14:paraId="1D60406C">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1.5对作业和材料的一般说明或规定，未重复写入工程量清单内，在给工程量清单各子目标价前，应参阅“技术规范”的有关内容。</w:t>
      </w:r>
    </w:p>
    <w:p w14:paraId="59F27363">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1.6工程量清单中所列工程量的变动，丝毫不会降低或影响合同条款的效力,也不免除承包人按规定的标准进行施工和修复缺陷的责任。</w:t>
      </w:r>
    </w:p>
    <w:p w14:paraId="0A3CA9AC">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1.7图纸中所列的工程数量表及数量汇总表仅是提供资料，不是工程量清单的外延。当图纸与工程量清单所列数量不一致时，以工程量清单所列数量作为报价的依据。</w:t>
      </w:r>
    </w:p>
    <w:p w14:paraId="1235582A">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rPr>
      </w:pPr>
      <w:r>
        <w:rPr>
          <w:rFonts w:hint="eastAsia" w:ascii="宋体" w:hAnsi="宋体" w:eastAsia="宋体" w:cs="宋体"/>
          <w:b/>
          <w:bCs/>
          <w:sz w:val="24"/>
          <w:szCs w:val="24"/>
        </w:rPr>
        <w:t>2．投标报价说明</w:t>
      </w:r>
    </w:p>
    <w:p w14:paraId="1BDCED56">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2.1 工程量清单中的每一子目须填入单价或价格，且只允许有一个报价。</w:t>
      </w:r>
    </w:p>
    <w:p w14:paraId="535C19E5">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23541ED8">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2.3 工程量清单中投标人没有填入单价或价格的子目，其费用视为己分摊在工程量清单中其他相关子目的单价或价格之中。承包人必须按监理人指令完成工程量清单中未填入单价或价格的子目，但不能得到结算与支付。</w:t>
      </w:r>
    </w:p>
    <w:p w14:paraId="399EEB83">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2.4 符合合同条款规定的全部费用应认为已被计入有标价的工程量清单所列各子目之中，未列子目不予计量的工作，其费用应视为已分摊在本合同工程的有关子目的单价或总额价之中。</w:t>
      </w:r>
    </w:p>
    <w:p w14:paraId="7A33921C">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2.5承包人用于本合同工程的各类装备的提供、运输、维护、拆卸、拼装等支付的费用，已包括在工程量清单的单价与总额价之中。</w:t>
      </w:r>
    </w:p>
    <w:p w14:paraId="1F79CC39">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2.6 工程量清单中各项金额均以人民币（元）结算。</w:t>
      </w:r>
    </w:p>
    <w:p w14:paraId="0A1D9F00">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2.8 暂列金额（不含计日工总额）的数量及拟用子目的说明：</w:t>
      </w:r>
      <w:r>
        <w:rPr>
          <w:rFonts w:hint="eastAsia" w:ascii="宋体" w:hAnsi="宋体" w:eastAsia="宋体" w:cs="宋体"/>
          <w:sz w:val="24"/>
          <w:szCs w:val="24"/>
          <w:u w:val="single"/>
        </w:rPr>
        <w:t xml:space="preserve">       /        </w:t>
      </w:r>
      <w:r>
        <w:rPr>
          <w:rFonts w:hint="eastAsia" w:ascii="宋体" w:hAnsi="宋体" w:eastAsia="宋体" w:cs="宋体"/>
          <w:sz w:val="24"/>
          <w:szCs w:val="24"/>
        </w:rPr>
        <w:t>。</w:t>
      </w:r>
    </w:p>
    <w:p w14:paraId="6950F0CD">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2.9 暂估价的数量及拟用子目的说明：</w:t>
      </w:r>
      <w:r>
        <w:rPr>
          <w:rFonts w:hint="eastAsia" w:ascii="宋体" w:hAnsi="宋体" w:eastAsia="宋体" w:cs="宋体"/>
          <w:sz w:val="24"/>
          <w:szCs w:val="24"/>
          <w:u w:val="single"/>
        </w:rPr>
        <w:t xml:space="preserve">          /        </w:t>
      </w:r>
      <w:r>
        <w:rPr>
          <w:rFonts w:hint="eastAsia" w:ascii="宋体" w:hAnsi="宋体" w:eastAsia="宋体" w:cs="宋体"/>
          <w:sz w:val="24"/>
          <w:szCs w:val="24"/>
        </w:rPr>
        <w:t>。</w:t>
      </w:r>
    </w:p>
    <w:p w14:paraId="5F3A0141">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、其他说明：</w:t>
      </w:r>
    </w:p>
    <w:p w14:paraId="3CC257B3">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3.1工程保险费：包含建筑工程一切险和第三者责任险，暂按评审结论2869.31元计列。</w:t>
      </w:r>
    </w:p>
    <w:p w14:paraId="2AF2E8B3">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3.2安全生产费：按招标控制价的1.5%计列。</w:t>
      </w:r>
    </w:p>
    <w:p w14:paraId="7B83764C">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3.3</w:t>
      </w:r>
      <w:r>
        <w:rPr>
          <w:rFonts w:hint="eastAsia" w:ascii="宋体" w:hAnsi="宋体" w:eastAsia="宋体" w:cs="宋体"/>
          <w:sz w:val="24"/>
          <w:szCs w:val="24"/>
        </w:rPr>
        <w:t>工程量清单电子版作为附件从三门峡市公共资源交易中心网站点击下载。</w:t>
      </w:r>
    </w:p>
    <w:p w14:paraId="213EBA28">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lang w:val="en-US" w:eastAsia="zh-CN"/>
        </w:rPr>
      </w:pPr>
    </w:p>
    <w:p w14:paraId="37DE0DEF">
      <w:pPr>
        <w:pStyle w:val="20"/>
        <w:numPr>
          <w:ilvl w:val="0"/>
          <w:numId w:val="0"/>
        </w:numPr>
        <w:spacing w:before="312" w:beforeLines="100" w:after="312" w:afterLines="100" w:line="600" w:lineRule="exact"/>
        <w:jc w:val="center"/>
        <w:outlineLvl w:val="0"/>
        <w:rPr>
          <w:rFonts w:hint="default" w:hAnsi="Courier New" w:cs="Courier New"/>
          <w:b/>
          <w:bCs/>
          <w:color w:val="auto"/>
          <w:sz w:val="32"/>
          <w:szCs w:val="32"/>
          <w:highlight w:val="yellow"/>
          <w:lang w:val="en-US" w:eastAsia="zh-CN"/>
        </w:rPr>
      </w:pPr>
      <w:bookmarkStart w:id="1707" w:name="_Toc16567"/>
      <w:r>
        <w:rPr>
          <w:rFonts w:hint="eastAsia" w:hAnsi="Courier New" w:cs="Courier New"/>
          <w:b/>
          <w:bCs/>
          <w:color w:val="auto"/>
          <w:sz w:val="32"/>
          <w:szCs w:val="32"/>
          <w:highlight w:val="none"/>
          <w:lang w:val="en-US" w:eastAsia="zh-CN"/>
        </w:rPr>
        <w:br w:type="page"/>
      </w:r>
      <w:bookmarkStart w:id="1708" w:name="_Toc31624"/>
      <w:r>
        <w:rPr>
          <w:rFonts w:hint="eastAsia" w:hAnsi="Courier New" w:cs="Courier New"/>
          <w:b/>
          <w:bCs/>
          <w:color w:val="auto"/>
          <w:sz w:val="32"/>
          <w:szCs w:val="32"/>
          <w:highlight w:val="none"/>
          <w:lang w:val="en-US" w:eastAsia="zh-CN"/>
        </w:rPr>
        <w:t>第七章 图纸（另附）</w:t>
      </w:r>
      <w:bookmarkEnd w:id="1708"/>
    </w:p>
    <w:p w14:paraId="63B7823F">
      <w:pPr>
        <w:pStyle w:val="20"/>
        <w:numPr>
          <w:ilvl w:val="0"/>
          <w:numId w:val="0"/>
        </w:numPr>
        <w:spacing w:before="312" w:beforeLines="100" w:after="312" w:afterLines="100" w:line="600" w:lineRule="exact"/>
        <w:jc w:val="center"/>
        <w:outlineLvl w:val="0"/>
        <w:rPr>
          <w:rFonts w:hint="eastAsia" w:hAnsi="Courier New" w:cs="Courier New"/>
          <w:b/>
          <w:bCs/>
          <w:color w:val="auto"/>
          <w:sz w:val="32"/>
          <w:szCs w:val="32"/>
          <w:highlight w:val="none"/>
          <w:lang w:val="en-US" w:eastAsia="zh-CN"/>
        </w:rPr>
      </w:pPr>
      <w:r>
        <w:rPr>
          <w:rFonts w:hint="eastAsia" w:hAnsi="Courier New" w:cs="Courier New"/>
          <w:b/>
          <w:bCs/>
          <w:color w:val="auto"/>
          <w:sz w:val="32"/>
          <w:szCs w:val="32"/>
          <w:highlight w:val="none"/>
          <w:lang w:val="en-US" w:eastAsia="zh-CN"/>
        </w:rPr>
        <w:br w:type="page"/>
      </w:r>
      <w:bookmarkStart w:id="1709" w:name="_Toc6717"/>
      <w:r>
        <w:rPr>
          <w:rFonts w:hint="eastAsia" w:hAnsi="Courier New" w:cs="Courier New"/>
          <w:b/>
          <w:bCs/>
          <w:color w:val="auto"/>
          <w:sz w:val="32"/>
          <w:szCs w:val="32"/>
          <w:highlight w:val="none"/>
          <w:lang w:val="en-US" w:eastAsia="zh-CN"/>
        </w:rPr>
        <w:t>第八章 技术标准和要求</w:t>
      </w:r>
      <w:bookmarkEnd w:id="1707"/>
      <w:bookmarkEnd w:id="1709"/>
    </w:p>
    <w:bookmarkEnd w:id="1702"/>
    <w:p w14:paraId="27C74C74">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一、适用范围</w:t>
      </w:r>
    </w:p>
    <w:p w14:paraId="3E294153">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规范及技术要求的详细内容均己注明于施工图和有关文件之中。该规范仅适用于本工程施工。</w:t>
      </w:r>
    </w:p>
    <w:p w14:paraId="0BB31646">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二、实施的有关标准与法规</w:t>
      </w:r>
    </w:p>
    <w:p w14:paraId="5EB27032">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规范中指定的标准或规范为工程实施中实际采用的标准和规范，成交人提出采用的其它标准及规范，如能保证其达到与本规范所规定的标准及规范相同的质量或更高的质量，经项目总监事先审阅和书面批准即可采用。</w:t>
      </w:r>
    </w:p>
    <w:p w14:paraId="318FAA77">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2、本规范与图纸中明显地未提到的任何细节，或在涉及任何条款的细节说明中有明显的遗漏，都应被认为指的是采用令人满意的习惯作法。本工程实施中所采用的设备和工艺应在各方面符合引用的标准规范。本工程实施中采用图纸中指定的及以其它现行的工程技术、施工验收标准及规范。所采用的规范和标准如出现标准不一致的情况，以标准高的为准。</w:t>
      </w:r>
    </w:p>
    <w:p w14:paraId="61265A65">
      <w:pPr>
        <w:keepNext w:val="0"/>
        <w:keepLines w:val="0"/>
        <w:pageBreakBefore w:val="0"/>
        <w:widowControl w:val="0"/>
        <w:kinsoku/>
        <w:wordWrap/>
        <w:overflowPunct/>
        <w:topLinePunct w:val="0"/>
        <w:autoSpaceDE/>
        <w:autoSpaceDN/>
        <w:bidi w:val="0"/>
        <w:adjustRightInd/>
        <w:snapToGrid/>
        <w:spacing w:after="0" w:line="520" w:lineRule="exact"/>
        <w:ind w:firstLine="420" w:firstLineChars="175"/>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以上技术规范标准与新技术规范标准不一致时，以新技术规范标准为准。</w:t>
      </w:r>
    </w:p>
    <w:p w14:paraId="36829F85">
      <w:pPr>
        <w:keepNext w:val="0"/>
        <w:keepLines w:val="0"/>
        <w:pageBreakBefore w:val="0"/>
        <w:widowControl w:val="0"/>
        <w:kinsoku/>
        <w:wordWrap/>
        <w:overflowPunct/>
        <w:topLinePunct w:val="0"/>
        <w:autoSpaceDE/>
        <w:autoSpaceDN/>
        <w:bidi w:val="0"/>
        <w:adjustRightInd/>
        <w:snapToGrid/>
        <w:spacing w:after="0" w:line="520" w:lineRule="exact"/>
        <w:ind w:firstLine="367" w:firstLineChars="175"/>
        <w:textAlignment w:val="auto"/>
        <w:rPr>
          <w:rFonts w:hint="eastAsia" w:ascii="宋体" w:hAnsi="宋体" w:eastAsia="宋体" w:cs="宋体"/>
          <w:sz w:val="21"/>
          <w:szCs w:val="21"/>
          <w:lang w:val="zh-CN"/>
        </w:rPr>
      </w:pPr>
    </w:p>
    <w:p w14:paraId="56115FA9">
      <w:pPr>
        <w:spacing w:line="480" w:lineRule="exact"/>
        <w:rPr>
          <w:rFonts w:hint="eastAsia"/>
          <w:color w:val="auto"/>
          <w:highlight w:val="none"/>
        </w:rPr>
      </w:pPr>
    </w:p>
    <w:p w14:paraId="4E9A3145">
      <w:pPr>
        <w:bidi w:val="0"/>
        <w:rPr>
          <w:rFonts w:hint="eastAsia"/>
          <w:lang w:val="en-US" w:eastAsia="zh-CN"/>
        </w:rPr>
      </w:pPr>
      <w:bookmarkStart w:id="1710" w:name="_Toc3615"/>
    </w:p>
    <w:p w14:paraId="77AEDAC9">
      <w:pPr>
        <w:bidi w:val="0"/>
        <w:rPr>
          <w:rFonts w:hint="eastAsia"/>
          <w:lang w:val="en-US" w:eastAsia="zh-CN"/>
        </w:rPr>
      </w:pPr>
    </w:p>
    <w:p w14:paraId="1E3FE5AD">
      <w:pPr>
        <w:bidi w:val="0"/>
        <w:rPr>
          <w:rFonts w:hint="eastAsia"/>
          <w:lang w:val="en-US" w:eastAsia="zh-CN"/>
        </w:rPr>
      </w:pPr>
    </w:p>
    <w:p w14:paraId="69E28EE5">
      <w:pPr>
        <w:bidi w:val="0"/>
        <w:rPr>
          <w:rFonts w:hint="eastAsia"/>
          <w:lang w:val="en-US" w:eastAsia="zh-CN"/>
        </w:rPr>
      </w:pPr>
    </w:p>
    <w:p w14:paraId="7465742B">
      <w:pPr>
        <w:bidi w:val="0"/>
        <w:rPr>
          <w:rFonts w:hint="eastAsia"/>
          <w:lang w:val="en-US" w:eastAsia="zh-CN"/>
        </w:rPr>
      </w:pPr>
    </w:p>
    <w:p w14:paraId="659006CC">
      <w:pPr>
        <w:bidi w:val="0"/>
        <w:rPr>
          <w:rFonts w:hint="eastAsia"/>
          <w:lang w:val="en-US" w:eastAsia="zh-CN"/>
        </w:rPr>
      </w:pPr>
    </w:p>
    <w:p w14:paraId="693D0899">
      <w:pPr>
        <w:pStyle w:val="20"/>
        <w:numPr>
          <w:ilvl w:val="0"/>
          <w:numId w:val="0"/>
        </w:numPr>
        <w:spacing w:before="312" w:beforeLines="100" w:after="312" w:afterLines="100" w:line="600" w:lineRule="exact"/>
        <w:jc w:val="center"/>
        <w:outlineLvl w:val="0"/>
        <w:rPr>
          <w:rFonts w:hint="eastAsia"/>
          <w:b/>
          <w:color w:val="auto"/>
          <w:sz w:val="52"/>
          <w:szCs w:val="52"/>
          <w:highlight w:val="none"/>
          <w:lang w:val="en-US" w:eastAsia="zh-CN"/>
        </w:rPr>
      </w:pPr>
      <w:r>
        <w:rPr>
          <w:rFonts w:hint="eastAsia" w:ascii="宋体" w:hAnsi="Courier New" w:eastAsia="宋体" w:cs="Courier New"/>
          <w:b/>
          <w:bCs/>
          <w:color w:val="auto"/>
          <w:sz w:val="32"/>
          <w:szCs w:val="32"/>
          <w:highlight w:val="none"/>
          <w:lang w:val="en-US" w:eastAsia="zh-CN"/>
        </w:rPr>
        <w:br w:type="page"/>
      </w:r>
      <w:bookmarkStart w:id="1711" w:name="_Toc11715"/>
      <w:bookmarkStart w:id="1712" w:name="_Toc31202"/>
      <w:r>
        <w:rPr>
          <w:rFonts w:hint="eastAsia" w:ascii="宋体" w:hAnsi="Courier New" w:eastAsia="宋体" w:cs="Courier New"/>
          <w:b/>
          <w:bCs/>
          <w:color w:val="auto"/>
          <w:sz w:val="32"/>
          <w:szCs w:val="32"/>
          <w:highlight w:val="none"/>
          <w:lang w:val="en-US" w:eastAsia="zh-CN"/>
        </w:rPr>
        <w:t xml:space="preserve">第九章 </w:t>
      </w:r>
      <w:r>
        <w:rPr>
          <w:rFonts w:hint="eastAsia" w:ascii="宋体" w:hAnsi="Courier New" w:eastAsia="宋体" w:cs="Courier New"/>
          <w:b/>
          <w:bCs/>
          <w:color w:val="auto"/>
          <w:sz w:val="32"/>
          <w:szCs w:val="32"/>
          <w:highlight w:val="none"/>
          <w:lang w:eastAsia="zh-CN"/>
        </w:rPr>
        <w:t>响应文件</w:t>
      </w:r>
      <w:r>
        <w:rPr>
          <w:rFonts w:hint="eastAsia" w:hAnsi="Courier New" w:cs="Courier New"/>
          <w:b/>
          <w:bCs/>
          <w:color w:val="auto"/>
          <w:sz w:val="32"/>
          <w:szCs w:val="32"/>
          <w:highlight w:val="none"/>
        </w:rPr>
        <w:t>格式</w:t>
      </w:r>
      <w:bookmarkEnd w:id="586"/>
      <w:bookmarkEnd w:id="1710"/>
      <w:bookmarkEnd w:id="1711"/>
      <w:bookmarkEnd w:id="1712"/>
      <w:r>
        <w:rPr>
          <w:rFonts w:hint="eastAsia"/>
          <w:b/>
          <w:color w:val="auto"/>
          <w:sz w:val="52"/>
          <w:szCs w:val="52"/>
          <w:highlight w:val="none"/>
          <w:lang w:val="en-US" w:eastAsia="zh-CN"/>
        </w:rPr>
        <w:t xml:space="preserve"> </w:t>
      </w:r>
    </w:p>
    <w:p w14:paraId="00AF40A3">
      <w:pPr>
        <w:pStyle w:val="20"/>
        <w:numPr>
          <w:ilvl w:val="0"/>
          <w:numId w:val="0"/>
        </w:numPr>
        <w:spacing w:before="312" w:beforeLines="100" w:after="312" w:afterLines="100" w:line="600" w:lineRule="exact"/>
        <w:ind w:firstLine="1320" w:firstLineChars="300"/>
        <w:jc w:val="both"/>
        <w:rPr>
          <w:rFonts w:hint="eastAsia"/>
          <w:b/>
          <w:color w:val="auto"/>
          <w:sz w:val="44"/>
          <w:szCs w:val="44"/>
          <w:highlight w:val="none"/>
          <w:u w:val="single"/>
        </w:rPr>
      </w:pPr>
    </w:p>
    <w:p w14:paraId="0F12646E">
      <w:pPr>
        <w:pStyle w:val="20"/>
        <w:numPr>
          <w:ilvl w:val="0"/>
          <w:numId w:val="0"/>
        </w:numPr>
        <w:spacing w:before="312" w:beforeLines="100" w:after="312" w:afterLines="100" w:line="600" w:lineRule="exact"/>
        <w:ind w:firstLine="2640" w:firstLineChars="600"/>
        <w:jc w:val="both"/>
        <w:rPr>
          <w:rFonts w:hint="eastAsia"/>
          <w:b/>
          <w:color w:val="auto"/>
          <w:sz w:val="44"/>
          <w:szCs w:val="44"/>
          <w:highlight w:val="none"/>
        </w:rPr>
      </w:pPr>
      <w:r>
        <w:rPr>
          <w:rFonts w:hint="eastAsia"/>
          <w:b/>
          <w:color w:val="auto"/>
          <w:sz w:val="44"/>
          <w:szCs w:val="44"/>
          <w:highlight w:val="none"/>
          <w:u w:val="single"/>
          <w:lang w:val="en-US" w:eastAsia="zh-CN"/>
        </w:rPr>
        <w:t xml:space="preserve"> </w:t>
      </w:r>
      <w:r>
        <w:rPr>
          <w:rFonts w:hint="eastAsia"/>
          <w:b/>
          <w:color w:val="auto"/>
          <w:sz w:val="44"/>
          <w:szCs w:val="44"/>
          <w:highlight w:val="none"/>
          <w:u w:val="single"/>
        </w:rPr>
        <w:t xml:space="preserve">      </w:t>
      </w:r>
      <w:r>
        <w:rPr>
          <w:rFonts w:hint="eastAsia"/>
          <w:b/>
          <w:color w:val="auto"/>
          <w:sz w:val="44"/>
          <w:szCs w:val="44"/>
          <w:highlight w:val="none"/>
          <w:u w:val="single"/>
          <w:lang w:val="en-US" w:eastAsia="zh-CN"/>
        </w:rPr>
        <w:t xml:space="preserve"> </w:t>
      </w:r>
      <w:r>
        <w:rPr>
          <w:rFonts w:hint="eastAsia"/>
          <w:b/>
          <w:color w:val="auto"/>
          <w:sz w:val="44"/>
          <w:szCs w:val="44"/>
          <w:highlight w:val="none"/>
          <w:u w:val="single"/>
        </w:rPr>
        <w:t xml:space="preserve">  </w:t>
      </w:r>
      <w:r>
        <w:rPr>
          <w:rFonts w:hint="eastAsia"/>
          <w:b/>
          <w:color w:val="auto"/>
          <w:sz w:val="44"/>
          <w:szCs w:val="44"/>
          <w:highlight w:val="none"/>
          <w:u w:val="single"/>
          <w:lang w:val="en-US" w:eastAsia="zh-CN"/>
        </w:rPr>
        <w:t xml:space="preserve"> </w:t>
      </w:r>
      <w:r>
        <w:rPr>
          <w:rFonts w:hint="eastAsia"/>
          <w:b/>
          <w:color w:val="auto"/>
          <w:sz w:val="44"/>
          <w:szCs w:val="44"/>
          <w:highlight w:val="none"/>
          <w:u w:val="single"/>
        </w:rPr>
        <w:t xml:space="preserve">    </w:t>
      </w:r>
      <w:r>
        <w:rPr>
          <w:rFonts w:hint="eastAsia"/>
          <w:b/>
          <w:color w:val="auto"/>
          <w:sz w:val="44"/>
          <w:szCs w:val="44"/>
          <w:highlight w:val="none"/>
        </w:rPr>
        <w:t>项目</w:t>
      </w:r>
    </w:p>
    <w:p w14:paraId="4919B668">
      <w:pPr>
        <w:pStyle w:val="20"/>
        <w:spacing w:before="312" w:beforeLines="100" w:after="312" w:afterLines="100" w:line="600" w:lineRule="exact"/>
        <w:jc w:val="center"/>
        <w:rPr>
          <w:rFonts w:hint="eastAsia"/>
          <w:b/>
          <w:bCs/>
          <w:color w:val="auto"/>
          <w:sz w:val="32"/>
          <w:highlight w:val="none"/>
          <w:u w:val="single"/>
        </w:rPr>
      </w:pPr>
    </w:p>
    <w:p w14:paraId="0C594EB0">
      <w:pPr>
        <w:pStyle w:val="20"/>
        <w:spacing w:before="312" w:beforeLines="100" w:after="312" w:afterLines="100"/>
        <w:jc w:val="center"/>
        <w:rPr>
          <w:rFonts w:hint="eastAsia"/>
          <w:b/>
          <w:bCs/>
          <w:color w:val="auto"/>
          <w:sz w:val="84"/>
          <w:szCs w:val="84"/>
          <w:highlight w:val="none"/>
        </w:rPr>
      </w:pPr>
      <w:r>
        <w:rPr>
          <w:rFonts w:hint="eastAsia"/>
          <w:b/>
          <w:bCs/>
          <w:color w:val="auto"/>
          <w:sz w:val="84"/>
          <w:szCs w:val="84"/>
          <w:highlight w:val="none"/>
        </w:rPr>
        <w:t>响应文件</w:t>
      </w:r>
    </w:p>
    <w:p w14:paraId="27CB9C27">
      <w:pPr>
        <w:bidi w:val="0"/>
        <w:ind w:firstLine="3360" w:firstLineChars="1200"/>
        <w:jc w:val="both"/>
        <w:rPr>
          <w:rFonts w:hint="default"/>
          <w:b/>
          <w:bCs/>
          <w:sz w:val="28"/>
          <w:szCs w:val="22"/>
          <w:lang w:val="en-US" w:eastAsia="zh-CN"/>
        </w:rPr>
      </w:pPr>
      <w:r>
        <w:rPr>
          <w:rFonts w:hint="eastAsia"/>
          <w:b/>
          <w:bCs/>
          <w:sz w:val="28"/>
          <w:szCs w:val="22"/>
          <w:lang w:val="en-US" w:eastAsia="zh-CN"/>
        </w:rPr>
        <w:t>项目编号：</w:t>
      </w:r>
    </w:p>
    <w:p w14:paraId="43C63F30">
      <w:pPr>
        <w:pStyle w:val="20"/>
        <w:spacing w:before="312" w:beforeLines="100" w:after="312" w:afterLines="100" w:line="600" w:lineRule="exact"/>
        <w:jc w:val="center"/>
        <w:rPr>
          <w:rFonts w:hint="eastAsia"/>
          <w:bCs/>
          <w:color w:val="auto"/>
          <w:sz w:val="32"/>
          <w:highlight w:val="none"/>
          <w:lang w:val="en-US" w:eastAsia="zh-CN"/>
        </w:rPr>
      </w:pPr>
    </w:p>
    <w:p w14:paraId="463638F3">
      <w:pPr>
        <w:pStyle w:val="20"/>
        <w:spacing w:before="312" w:beforeLines="100" w:after="312" w:afterLines="100" w:line="600" w:lineRule="exact"/>
        <w:jc w:val="center"/>
        <w:rPr>
          <w:rFonts w:hint="eastAsia"/>
          <w:b/>
          <w:bCs/>
          <w:color w:val="auto"/>
          <w:sz w:val="32"/>
          <w:highlight w:val="none"/>
          <w:u w:val="single"/>
        </w:rPr>
      </w:pPr>
    </w:p>
    <w:p w14:paraId="20D97FFA">
      <w:pPr>
        <w:pStyle w:val="20"/>
        <w:spacing w:before="312" w:beforeLines="100" w:after="312" w:afterLines="100" w:line="600" w:lineRule="exact"/>
        <w:jc w:val="both"/>
        <w:rPr>
          <w:rFonts w:hint="eastAsia"/>
          <w:b/>
          <w:bCs/>
          <w:color w:val="auto"/>
          <w:sz w:val="32"/>
          <w:highlight w:val="none"/>
          <w:u w:val="single"/>
        </w:rPr>
      </w:pPr>
    </w:p>
    <w:p w14:paraId="7EBF0B78">
      <w:pPr>
        <w:pStyle w:val="20"/>
        <w:spacing w:before="312" w:beforeLines="100" w:after="312" w:afterLines="100" w:line="600" w:lineRule="exact"/>
        <w:jc w:val="both"/>
        <w:rPr>
          <w:rFonts w:hint="eastAsia"/>
          <w:b/>
          <w:bCs/>
          <w:color w:val="auto"/>
          <w:sz w:val="32"/>
          <w:highlight w:val="none"/>
          <w:u w:val="single"/>
        </w:rPr>
      </w:pPr>
    </w:p>
    <w:p w14:paraId="002A08EF">
      <w:pPr>
        <w:pStyle w:val="20"/>
        <w:keepNext w:val="0"/>
        <w:keepLines w:val="0"/>
        <w:pageBreakBefore w:val="0"/>
        <w:widowControl w:val="0"/>
        <w:kinsoku/>
        <w:wordWrap w:val="0"/>
        <w:overflowPunct/>
        <w:topLinePunct/>
        <w:autoSpaceDE/>
        <w:autoSpaceDN/>
        <w:bidi w:val="0"/>
        <w:adjustRightInd/>
        <w:snapToGrid/>
        <w:spacing w:before="312" w:beforeLines="100" w:after="312" w:afterLines="100" w:line="600" w:lineRule="exact"/>
        <w:ind w:left="720" w:leftChars="300" w:firstLine="0" w:firstLineChars="0"/>
        <w:jc w:val="both"/>
        <w:textAlignment w:val="auto"/>
        <w:rPr>
          <w:rFonts w:hint="eastAsia"/>
          <w:b/>
          <w:bCs/>
          <w:color w:val="auto"/>
          <w:sz w:val="32"/>
          <w:highlight w:val="none"/>
          <w:u w:val="single"/>
        </w:rPr>
      </w:pPr>
      <w:r>
        <w:rPr>
          <w:rFonts w:hint="eastAsia"/>
          <w:b/>
          <w:bCs/>
          <w:color w:val="auto"/>
          <w:sz w:val="32"/>
          <w:highlight w:val="none"/>
        </w:rPr>
        <w:t>供 应 商：</w:t>
      </w:r>
      <w:r>
        <w:rPr>
          <w:rFonts w:hint="eastAsia"/>
          <w:b/>
          <w:bCs/>
          <w:color w:val="auto"/>
          <w:sz w:val="32"/>
          <w:highlight w:val="none"/>
          <w:u w:val="single"/>
        </w:rPr>
        <w:t xml:space="preserve">                     </w:t>
      </w:r>
      <w:r>
        <w:rPr>
          <w:rFonts w:hint="eastAsia"/>
          <w:b/>
          <w:bCs/>
          <w:color w:val="auto"/>
          <w:sz w:val="32"/>
          <w:highlight w:val="none"/>
        </w:rPr>
        <w:t>（盖单位章）</w:t>
      </w:r>
    </w:p>
    <w:p w14:paraId="2F6B64ED">
      <w:pPr>
        <w:pStyle w:val="20"/>
        <w:keepNext w:val="0"/>
        <w:keepLines w:val="0"/>
        <w:pageBreakBefore w:val="0"/>
        <w:widowControl w:val="0"/>
        <w:kinsoku/>
        <w:wordWrap w:val="0"/>
        <w:overflowPunct/>
        <w:topLinePunct/>
        <w:autoSpaceDE/>
        <w:autoSpaceDN/>
        <w:bidi w:val="0"/>
        <w:adjustRightInd/>
        <w:snapToGrid/>
        <w:spacing w:before="312" w:beforeLines="100" w:after="312" w:afterLines="100" w:line="600" w:lineRule="exact"/>
        <w:ind w:left="720" w:leftChars="300" w:firstLine="0" w:firstLineChars="0"/>
        <w:jc w:val="both"/>
        <w:textAlignment w:val="auto"/>
        <w:rPr>
          <w:rFonts w:hint="eastAsia"/>
          <w:b/>
          <w:bCs/>
          <w:color w:val="auto"/>
          <w:sz w:val="30"/>
          <w:szCs w:val="30"/>
          <w:highlight w:val="none"/>
        </w:rPr>
      </w:pPr>
      <w:r>
        <w:rPr>
          <w:rFonts w:hint="eastAsia"/>
          <w:b/>
          <w:bCs/>
          <w:color w:val="auto"/>
          <w:sz w:val="30"/>
          <w:szCs w:val="30"/>
          <w:highlight w:val="none"/>
        </w:rPr>
        <w:t>法定代表人：</w:t>
      </w:r>
      <w:r>
        <w:rPr>
          <w:rFonts w:hint="eastAsia"/>
          <w:b/>
          <w:bCs/>
          <w:color w:val="auto"/>
          <w:sz w:val="30"/>
          <w:szCs w:val="30"/>
          <w:highlight w:val="none"/>
          <w:u w:val="single"/>
        </w:rPr>
        <w:t xml:space="preserve">    </w:t>
      </w:r>
      <w:r>
        <w:rPr>
          <w:rFonts w:hint="eastAsia"/>
          <w:b/>
          <w:bCs/>
          <w:color w:val="auto"/>
          <w:sz w:val="30"/>
          <w:szCs w:val="30"/>
          <w:highlight w:val="none"/>
          <w:u w:val="single"/>
          <w:lang w:val="en-US" w:eastAsia="zh-CN"/>
        </w:rPr>
        <w:t xml:space="preserve">        </w:t>
      </w:r>
      <w:r>
        <w:rPr>
          <w:rFonts w:hint="eastAsia"/>
          <w:b/>
          <w:bCs/>
          <w:color w:val="auto"/>
          <w:sz w:val="30"/>
          <w:szCs w:val="30"/>
          <w:highlight w:val="none"/>
          <w:u w:val="single"/>
        </w:rPr>
        <w:t xml:space="preserve">          </w:t>
      </w:r>
      <w:r>
        <w:rPr>
          <w:rFonts w:hint="eastAsia"/>
          <w:b/>
          <w:bCs/>
          <w:color w:val="auto"/>
          <w:sz w:val="30"/>
          <w:szCs w:val="30"/>
          <w:highlight w:val="none"/>
        </w:rPr>
        <w:t>（</w:t>
      </w:r>
      <w:r>
        <w:rPr>
          <w:rFonts w:hint="eastAsia"/>
          <w:b/>
          <w:bCs/>
          <w:color w:val="auto"/>
          <w:sz w:val="30"/>
          <w:szCs w:val="30"/>
          <w:highlight w:val="none"/>
          <w:lang w:val="en-US" w:eastAsia="zh-CN"/>
        </w:rPr>
        <w:t>电子签章</w:t>
      </w:r>
      <w:r>
        <w:rPr>
          <w:rFonts w:hint="eastAsia"/>
          <w:b/>
          <w:bCs/>
          <w:color w:val="auto"/>
          <w:sz w:val="30"/>
          <w:szCs w:val="30"/>
          <w:highlight w:val="none"/>
        </w:rPr>
        <w:t>）</w:t>
      </w:r>
    </w:p>
    <w:p w14:paraId="19377050">
      <w:pPr>
        <w:pStyle w:val="23"/>
        <w:keepNext w:val="0"/>
        <w:keepLines w:val="0"/>
        <w:pageBreakBefore w:val="0"/>
        <w:widowControl w:val="0"/>
        <w:kinsoku/>
        <w:wordWrap w:val="0"/>
        <w:overflowPunct/>
        <w:topLinePunct/>
        <w:autoSpaceDE/>
        <w:autoSpaceDN/>
        <w:bidi w:val="0"/>
        <w:adjustRightInd/>
        <w:snapToGrid/>
        <w:spacing w:line="500" w:lineRule="exact"/>
        <w:ind w:left="720" w:leftChars="300" w:firstLine="0" w:firstLineChars="0"/>
        <w:jc w:val="both"/>
        <w:textAlignment w:val="auto"/>
        <w:rPr>
          <w:rFonts w:hint="eastAsia"/>
          <w:b/>
          <w:bCs/>
          <w:color w:val="auto"/>
          <w:sz w:val="30"/>
          <w:szCs w:val="30"/>
          <w:highlight w:val="none"/>
        </w:rPr>
      </w:pPr>
      <w:r>
        <w:rPr>
          <w:rFonts w:hint="eastAsia"/>
          <w:b/>
          <w:bCs/>
          <w:color w:val="auto"/>
          <w:sz w:val="30"/>
          <w:szCs w:val="30"/>
          <w:highlight w:val="none"/>
        </w:rPr>
        <w:t>日      期：       年    月    日</w:t>
      </w:r>
    </w:p>
    <w:p w14:paraId="7E381115">
      <w:pPr>
        <w:pStyle w:val="23"/>
        <w:spacing w:line="500" w:lineRule="exact"/>
        <w:ind w:left="0" w:leftChars="0" w:firstLine="2121" w:firstLineChars="707"/>
        <w:rPr>
          <w:rFonts w:hint="eastAsia"/>
          <w:b/>
          <w:bCs/>
          <w:color w:val="auto"/>
          <w:sz w:val="30"/>
          <w:szCs w:val="30"/>
          <w:highlight w:val="none"/>
        </w:rPr>
      </w:pPr>
    </w:p>
    <w:p w14:paraId="3F35B424">
      <w:pPr>
        <w:pStyle w:val="23"/>
        <w:spacing w:line="500" w:lineRule="exact"/>
        <w:ind w:left="0" w:leftChars="0" w:firstLine="1979" w:firstLineChars="707"/>
        <w:rPr>
          <w:bCs/>
          <w:color w:val="auto"/>
          <w:sz w:val="28"/>
          <w:szCs w:val="28"/>
          <w:highlight w:val="none"/>
        </w:rPr>
      </w:pPr>
    </w:p>
    <w:p w14:paraId="3574A203">
      <w:pPr>
        <w:keepNext w:val="0"/>
        <w:keepLines w:val="0"/>
        <w:pageBreakBefore w:val="0"/>
        <w:widowControl w:val="0"/>
        <w:kinsoku/>
        <w:wordWrap w:val="0"/>
        <w:overflowPunct/>
        <w:topLinePunct/>
        <w:autoSpaceDE/>
        <w:autoSpaceDN/>
        <w:bidi w:val="0"/>
        <w:adjustRightInd/>
        <w:snapToGrid/>
        <w:spacing w:before="313" w:beforeLines="100"/>
        <w:jc w:val="center"/>
        <w:textAlignment w:val="auto"/>
        <w:rPr>
          <w:rFonts w:hint="eastAsia"/>
          <w:b/>
          <w:sz w:val="36"/>
          <w:szCs w:val="36"/>
          <w:highlight w:val="none"/>
        </w:rPr>
      </w:pPr>
      <w:r>
        <w:rPr>
          <w:bCs/>
          <w:color w:val="auto"/>
          <w:sz w:val="28"/>
          <w:szCs w:val="28"/>
          <w:highlight w:val="none"/>
        </w:rPr>
        <w:br w:type="page"/>
      </w:r>
      <w:bookmarkStart w:id="1713" w:name="_Toc2421"/>
      <w:r>
        <w:rPr>
          <w:rFonts w:hint="eastAsia"/>
          <w:b/>
          <w:sz w:val="36"/>
          <w:szCs w:val="36"/>
          <w:highlight w:val="none"/>
        </w:rPr>
        <w:t>目</w:t>
      </w:r>
      <w:r>
        <w:rPr>
          <w:rFonts w:hint="eastAsia"/>
          <w:b/>
          <w:sz w:val="36"/>
          <w:szCs w:val="36"/>
          <w:highlight w:val="none"/>
          <w:lang w:val="en-US" w:eastAsia="zh-CN"/>
        </w:rPr>
        <w:t xml:space="preserve"> </w:t>
      </w:r>
      <w:r>
        <w:rPr>
          <w:rFonts w:hint="eastAsia"/>
          <w:b/>
          <w:sz w:val="36"/>
          <w:szCs w:val="36"/>
          <w:highlight w:val="none"/>
        </w:rPr>
        <w:t>录</w:t>
      </w:r>
    </w:p>
    <w:p w14:paraId="4614D0D5">
      <w:pPr>
        <w:pStyle w:val="22"/>
        <w:keepNext w:val="0"/>
        <w:keepLines w:val="0"/>
        <w:pageBreakBefore w:val="0"/>
        <w:widowControl w:val="0"/>
        <w:kinsoku/>
        <w:overflowPunct/>
        <w:bidi w:val="0"/>
        <w:snapToGrid/>
        <w:spacing w:line="360" w:lineRule="auto"/>
        <w:textAlignment w:val="auto"/>
        <w:rPr>
          <w:rFonts w:hint="eastAsia"/>
          <w:sz w:val="24"/>
          <w:szCs w:val="24"/>
          <w:highlight w:val="none"/>
          <w:lang w:eastAsia="zh-CN"/>
        </w:rPr>
      </w:pPr>
    </w:p>
    <w:p w14:paraId="08497013">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一、响应函及响应函附录</w:t>
      </w:r>
    </w:p>
    <w:p w14:paraId="4C055DAD">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二、法定代表人身份证明及授权委托书</w:t>
      </w:r>
    </w:p>
    <w:p w14:paraId="4163A211">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三、响应承诺函</w:t>
      </w:r>
    </w:p>
    <w:p w14:paraId="008071B5">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四、供应商资格证明文件</w:t>
      </w:r>
    </w:p>
    <w:p w14:paraId="73C45014">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五、已标价工程量清单</w:t>
      </w:r>
    </w:p>
    <w:p w14:paraId="4CC76135">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六、施工组织设计</w:t>
      </w:r>
    </w:p>
    <w:p w14:paraId="7DBCF23A">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七、项目管理机构</w:t>
      </w:r>
    </w:p>
    <w:p w14:paraId="351B1C6F">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八、供应商基本情况资料</w:t>
      </w:r>
    </w:p>
    <w:p w14:paraId="2D758F1D">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九、商务标证明文件</w:t>
      </w:r>
    </w:p>
    <w:p w14:paraId="5E58F859">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十、中小企业证明</w:t>
      </w:r>
    </w:p>
    <w:p w14:paraId="779A6AD2">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textAlignment w:val="auto"/>
        <w:rPr>
          <w:rFonts w:hint="eastAsia"/>
          <w:sz w:val="24"/>
          <w:szCs w:val="24"/>
        </w:rPr>
      </w:pPr>
      <w:r>
        <w:rPr>
          <w:rFonts w:hint="eastAsia"/>
          <w:sz w:val="24"/>
          <w:szCs w:val="24"/>
        </w:rPr>
        <w:t>十一、其他资料</w:t>
      </w:r>
    </w:p>
    <w:p w14:paraId="1A24079A">
      <w:pPr>
        <w:pStyle w:val="3"/>
        <w:numPr>
          <w:ilvl w:val="0"/>
          <w:numId w:val="18"/>
        </w:numPr>
        <w:bidi w:val="0"/>
        <w:rPr>
          <w:rFonts w:hint="eastAsia" w:hAnsi="宋体"/>
          <w:b w:val="0"/>
          <w:color w:val="auto"/>
          <w:szCs w:val="28"/>
          <w:highlight w:val="none"/>
        </w:rPr>
      </w:pPr>
      <w:r>
        <w:rPr>
          <w:bCs w:val="0"/>
          <w:color w:val="auto"/>
          <w:szCs w:val="28"/>
          <w:highlight w:val="none"/>
        </w:rPr>
        <w:br w:type="page"/>
      </w:r>
      <w:bookmarkEnd w:id="1713"/>
      <w:bookmarkStart w:id="1714" w:name="_Toc12087"/>
      <w:bookmarkStart w:id="1715" w:name="_Toc20046"/>
      <w:r>
        <w:rPr>
          <w:rFonts w:hint="eastAsia"/>
          <w:lang w:val="en-US" w:eastAsia="zh-CN"/>
        </w:rPr>
        <w:t>响应函</w:t>
      </w:r>
      <w:r>
        <w:rPr>
          <w:rFonts w:hint="eastAsia"/>
          <w:lang w:val="zh-CN" w:eastAsia="zh-CN"/>
        </w:rPr>
        <w:t>及</w:t>
      </w:r>
      <w:r>
        <w:rPr>
          <w:rFonts w:hint="eastAsia"/>
          <w:lang w:val="en-US" w:eastAsia="zh-CN"/>
        </w:rPr>
        <w:t>响应函</w:t>
      </w:r>
      <w:r>
        <w:rPr>
          <w:rFonts w:hint="eastAsia"/>
          <w:lang w:val="zh-CN" w:eastAsia="zh-CN"/>
        </w:rPr>
        <w:t>附录</w:t>
      </w:r>
      <w:bookmarkEnd w:id="1714"/>
      <w:bookmarkEnd w:id="1715"/>
    </w:p>
    <w:p w14:paraId="0D268781">
      <w:pPr>
        <w:pStyle w:val="4"/>
        <w:numPr>
          <w:ilvl w:val="0"/>
          <w:numId w:val="19"/>
        </w:numPr>
        <w:bidi w:val="0"/>
        <w:jc w:val="center"/>
        <w:rPr>
          <w:rFonts w:hint="eastAsia"/>
          <w:lang w:val="en-US" w:eastAsia="zh-CN"/>
        </w:rPr>
      </w:pPr>
      <w:r>
        <w:rPr>
          <w:rFonts w:hint="eastAsia"/>
          <w:lang w:val="en-US" w:eastAsia="zh-CN"/>
        </w:rPr>
        <w:t>响应函</w:t>
      </w:r>
    </w:p>
    <w:p w14:paraId="65AAB173">
      <w:pPr>
        <w:numPr>
          <w:ilvl w:val="0"/>
          <w:numId w:val="0"/>
        </w:numPr>
        <w:rPr>
          <w:rFonts w:hint="eastAsia"/>
        </w:rPr>
      </w:pPr>
    </w:p>
    <w:p w14:paraId="6BA3EFDF">
      <w:pPr>
        <w:keepNext w:val="0"/>
        <w:keepLines w:val="0"/>
        <w:pageBreakBefore w:val="0"/>
        <w:kinsoku/>
        <w:wordWrap w:val="0"/>
        <w:overflowPunct/>
        <w:topLinePunct/>
        <w:autoSpaceDE/>
        <w:autoSpaceDN/>
        <w:bidi w:val="0"/>
        <w:adjustRightInd/>
        <w:snapToGrid/>
        <w:spacing w:line="360" w:lineRule="auto"/>
        <w:textAlignment w:val="auto"/>
        <w:rPr>
          <w:rFonts w:hint="eastAsia" w:ascii="宋体" w:hAnsi="宋体"/>
          <w:color w:val="000000"/>
          <w:sz w:val="24"/>
          <w:szCs w:val="24"/>
          <w:highlight w:val="none"/>
        </w:rPr>
      </w:pPr>
      <w:r>
        <w:rPr>
          <w:rFonts w:hint="eastAsia" w:ascii="宋体" w:hAnsi="宋体"/>
          <w:color w:val="000000"/>
          <w:sz w:val="24"/>
          <w:szCs w:val="24"/>
          <w:highlight w:val="none"/>
        </w:rPr>
        <w:t>致：</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color w:val="000000"/>
          <w:sz w:val="24"/>
          <w:szCs w:val="24"/>
          <w:highlight w:val="none"/>
          <w:u w:val="single"/>
        </w:rPr>
        <w:t>（采购人）</w:t>
      </w:r>
    </w:p>
    <w:p w14:paraId="2454FAAC">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1.</w:t>
      </w:r>
      <w:r>
        <w:rPr>
          <w:rFonts w:hint="eastAsia" w:ascii="宋体" w:hAnsi="宋体"/>
          <w:sz w:val="24"/>
          <w:szCs w:val="24"/>
        </w:rPr>
        <w:t>我方已仔细研究了</w:t>
      </w:r>
      <w:r>
        <w:rPr>
          <w:rFonts w:hint="eastAsia" w:ascii="宋体" w:hAnsi="宋体"/>
          <w:sz w:val="24"/>
          <w:szCs w:val="24"/>
          <w:u w:val="single"/>
        </w:rPr>
        <w:t xml:space="preserve">     （项目名称）</w:t>
      </w:r>
      <w:r>
        <w:rPr>
          <w:rFonts w:hint="eastAsia" w:ascii="宋体" w:hAnsi="宋体"/>
          <w:sz w:val="24"/>
          <w:szCs w:val="24"/>
        </w:rPr>
        <w:t xml:space="preserve"> 竞争性磋商文件的全部内容，愿以人民币</w:t>
      </w:r>
      <w:r>
        <w:rPr>
          <w:rFonts w:hint="eastAsia" w:ascii="宋体" w:hAnsi="宋体"/>
          <w:sz w:val="24"/>
          <w:szCs w:val="24"/>
          <w:u w:val="single"/>
        </w:rPr>
        <w:t>（大写）</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u w:val="single"/>
          <w:lang w:val="en-US" w:eastAsia="zh-CN"/>
        </w:rPr>
        <w:t xml:space="preserve">       元</w:t>
      </w:r>
      <w:r>
        <w:rPr>
          <w:rFonts w:hint="eastAsia" w:ascii="宋体" w:hAnsi="宋体"/>
          <w:sz w:val="24"/>
          <w:szCs w:val="24"/>
          <w:u w:val="single"/>
        </w:rPr>
        <w:t>）</w:t>
      </w:r>
      <w:r>
        <w:rPr>
          <w:rFonts w:hint="eastAsia" w:ascii="宋体" w:hAnsi="宋体"/>
          <w:sz w:val="24"/>
          <w:szCs w:val="24"/>
        </w:rPr>
        <w:t>的</w:t>
      </w:r>
      <w:r>
        <w:rPr>
          <w:rFonts w:hint="eastAsia" w:ascii="宋体" w:hAnsi="宋体"/>
          <w:sz w:val="24"/>
          <w:szCs w:val="24"/>
          <w:lang w:eastAsia="zh-CN"/>
        </w:rPr>
        <w:t>响应总报价</w:t>
      </w:r>
      <w:r>
        <w:rPr>
          <w:rFonts w:hint="eastAsia" w:ascii="宋体" w:hAnsi="宋体"/>
          <w:sz w:val="24"/>
          <w:szCs w:val="24"/>
        </w:rPr>
        <w:t>，</w:t>
      </w:r>
      <w:r>
        <w:rPr>
          <w:rFonts w:hint="eastAsia" w:ascii="宋体" w:hAnsi="宋体"/>
          <w:color w:val="000000"/>
          <w:spacing w:val="-3"/>
          <w:sz w:val="24"/>
          <w:szCs w:val="24"/>
        </w:rPr>
        <w:t>按合同约定实施和完成承包工程，修补工程中的任何缺陷</w:t>
      </w:r>
      <w:r>
        <w:rPr>
          <w:rFonts w:hint="eastAsia" w:ascii="宋体" w:hAnsi="宋体" w:eastAsia="宋体" w:cs="宋体"/>
          <w:color w:val="000000"/>
          <w:sz w:val="24"/>
          <w:szCs w:val="24"/>
          <w:highlight w:val="none"/>
        </w:rPr>
        <w:t>。</w:t>
      </w:r>
    </w:p>
    <w:p w14:paraId="1CEA7D56">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如果我方</w:t>
      </w:r>
      <w:r>
        <w:rPr>
          <w:rFonts w:hint="eastAsia" w:ascii="宋体" w:hAnsi="宋体" w:eastAsia="宋体" w:cs="宋体"/>
          <w:color w:val="000000"/>
          <w:sz w:val="24"/>
          <w:szCs w:val="24"/>
          <w:highlight w:val="none"/>
          <w:lang w:eastAsia="zh-CN"/>
        </w:rPr>
        <w:t>成交</w:t>
      </w:r>
      <w:r>
        <w:rPr>
          <w:rFonts w:hint="eastAsia" w:ascii="宋体" w:hAnsi="宋体" w:eastAsia="宋体" w:cs="宋体"/>
          <w:color w:val="000000"/>
          <w:sz w:val="24"/>
          <w:szCs w:val="24"/>
          <w:highlight w:val="none"/>
        </w:rPr>
        <w:t>，我方将按</w:t>
      </w:r>
      <w:r>
        <w:rPr>
          <w:rFonts w:hint="eastAsia" w:ascii="宋体" w:hAnsi="宋体" w:eastAsia="宋体" w:cs="宋体"/>
          <w:color w:val="000000"/>
          <w:sz w:val="24"/>
          <w:szCs w:val="24"/>
          <w:highlight w:val="none"/>
          <w:lang w:eastAsia="zh-CN"/>
        </w:rPr>
        <w:t>竞争性磋商文件</w:t>
      </w:r>
      <w:r>
        <w:rPr>
          <w:rFonts w:hint="eastAsia" w:ascii="宋体" w:hAnsi="宋体" w:eastAsia="宋体" w:cs="宋体"/>
          <w:color w:val="000000"/>
          <w:sz w:val="24"/>
          <w:szCs w:val="24"/>
          <w:highlight w:val="none"/>
        </w:rPr>
        <w:t>的规定签订并严格履行合同中的责任和义务，在签订合同时不向你方提出附加条件，在合同约定的期限内完成合同规定的全部内容。</w:t>
      </w:r>
    </w:p>
    <w:p w14:paraId="1D953221">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我方已详细审查全部</w:t>
      </w:r>
      <w:r>
        <w:rPr>
          <w:rFonts w:hint="eastAsia" w:ascii="宋体" w:hAnsi="宋体" w:eastAsia="宋体" w:cs="宋体"/>
          <w:color w:val="000000"/>
          <w:sz w:val="24"/>
          <w:szCs w:val="24"/>
          <w:highlight w:val="none"/>
          <w:lang w:eastAsia="zh-CN"/>
        </w:rPr>
        <w:t>竞争性磋商文件</w:t>
      </w:r>
      <w:r>
        <w:rPr>
          <w:rFonts w:hint="eastAsia" w:ascii="宋体" w:hAnsi="宋体" w:eastAsia="宋体" w:cs="宋体"/>
          <w:color w:val="000000"/>
          <w:sz w:val="24"/>
          <w:szCs w:val="24"/>
          <w:highlight w:val="none"/>
        </w:rPr>
        <w:t>，包括修改文件以及全部参考资料和有关附件。我方完全理解并同意放弃对这方面有不明及误解的权力。</w:t>
      </w:r>
    </w:p>
    <w:p w14:paraId="20C1355C">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eastAsia="zh-CN"/>
        </w:rPr>
        <w:t>磋商</w:t>
      </w:r>
      <w:r>
        <w:rPr>
          <w:rFonts w:hint="eastAsia" w:ascii="宋体" w:hAnsi="宋体" w:eastAsia="宋体" w:cs="宋体"/>
          <w:color w:val="000000"/>
          <w:sz w:val="24"/>
          <w:szCs w:val="24"/>
          <w:highlight w:val="none"/>
        </w:rPr>
        <w:t>有效期为提交</w:t>
      </w:r>
      <w:r>
        <w:rPr>
          <w:rFonts w:hint="eastAsia" w:ascii="宋体" w:hAnsi="宋体" w:eastAsia="宋体" w:cs="宋体"/>
          <w:color w:val="000000"/>
          <w:sz w:val="24"/>
          <w:szCs w:val="24"/>
          <w:highlight w:val="none"/>
          <w:lang w:eastAsia="zh-CN"/>
        </w:rPr>
        <w:t>首次响应</w:t>
      </w:r>
      <w:r>
        <w:rPr>
          <w:rFonts w:hint="eastAsia" w:ascii="宋体" w:hAnsi="宋体" w:eastAsia="宋体" w:cs="宋体"/>
          <w:color w:val="000000"/>
          <w:sz w:val="24"/>
          <w:szCs w:val="24"/>
          <w:highlight w:val="none"/>
        </w:rPr>
        <w:t xml:space="preserve">文件的截止之日起 </w:t>
      </w:r>
      <w:r>
        <w:rPr>
          <w:rFonts w:hint="eastAsia" w:ascii="宋体" w:hAnsi="宋体" w:eastAsia="宋体" w:cs="宋体"/>
          <w:color w:val="000000"/>
          <w:sz w:val="24"/>
          <w:szCs w:val="24"/>
          <w:highlight w:val="none"/>
          <w:lang w:val="en-US" w:eastAsia="zh-CN"/>
        </w:rPr>
        <w:t>60</w:t>
      </w:r>
      <w:r>
        <w:rPr>
          <w:rFonts w:hint="eastAsia" w:ascii="宋体" w:hAnsi="宋体" w:eastAsia="宋体" w:cs="宋体"/>
          <w:color w:val="000000"/>
          <w:sz w:val="24"/>
          <w:szCs w:val="24"/>
          <w:highlight w:val="none"/>
        </w:rPr>
        <w:t>日历天。</w:t>
      </w:r>
    </w:p>
    <w:p w14:paraId="565F3E2E">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我方在此声明，所递交的</w:t>
      </w:r>
      <w:r>
        <w:rPr>
          <w:rFonts w:hint="eastAsia" w:ascii="宋体" w:hAnsi="宋体" w:eastAsia="宋体" w:cs="宋体"/>
          <w:color w:val="000000"/>
          <w:sz w:val="24"/>
          <w:szCs w:val="24"/>
          <w:highlight w:val="none"/>
          <w:lang w:eastAsia="zh-CN"/>
        </w:rPr>
        <w:t>响应文件</w:t>
      </w:r>
      <w:r>
        <w:rPr>
          <w:rFonts w:hint="eastAsia" w:ascii="宋体" w:hAnsi="宋体" w:eastAsia="宋体" w:cs="宋体"/>
          <w:color w:val="000000"/>
          <w:sz w:val="24"/>
          <w:szCs w:val="24"/>
          <w:highlight w:val="none"/>
        </w:rPr>
        <w:t>及有关资料内容完整、真实和准确，且不存在第</w:t>
      </w:r>
      <w:r>
        <w:rPr>
          <w:rFonts w:hint="eastAsia" w:ascii="宋体" w:hAnsi="宋体" w:eastAsia="宋体" w:cs="宋体"/>
          <w:color w:val="000000"/>
          <w:sz w:val="24"/>
          <w:szCs w:val="24"/>
          <w:highlight w:val="none"/>
          <w:lang w:eastAsia="zh-CN"/>
        </w:rPr>
        <w:t>二</w:t>
      </w:r>
      <w:r>
        <w:rPr>
          <w:rFonts w:hint="eastAsia" w:ascii="宋体" w:hAnsi="宋体" w:eastAsia="宋体" w:cs="宋体"/>
          <w:color w:val="000000"/>
          <w:sz w:val="24"/>
          <w:szCs w:val="24"/>
          <w:highlight w:val="none"/>
        </w:rPr>
        <w:t>章“</w:t>
      </w: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 xml:space="preserve">须知”第 </w:t>
      </w:r>
      <w:r>
        <w:rPr>
          <w:rFonts w:hint="eastAsia" w:ascii="宋体" w:hAnsi="宋体" w:eastAsia="宋体" w:cs="宋体"/>
          <w:color w:val="000000"/>
          <w:sz w:val="24"/>
          <w:szCs w:val="24"/>
          <w:highlight w:val="none"/>
          <w:lang w:val="en-US" w:eastAsia="zh-CN"/>
        </w:rPr>
        <w:t>1.4.3</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eastAsia="zh-CN"/>
        </w:rPr>
        <w:t>项</w:t>
      </w:r>
      <w:r>
        <w:rPr>
          <w:rFonts w:hint="eastAsia" w:ascii="宋体" w:hAnsi="宋体" w:eastAsia="宋体" w:cs="宋体"/>
          <w:color w:val="000000"/>
          <w:sz w:val="24"/>
          <w:szCs w:val="24"/>
          <w:highlight w:val="none"/>
        </w:rPr>
        <w:t>规定的情形。</w:t>
      </w:r>
    </w:p>
    <w:p w14:paraId="7E2FC114">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我方同意提供按照贵方可能要求的与其</w:t>
      </w:r>
      <w:r>
        <w:rPr>
          <w:rFonts w:hint="eastAsia" w:ascii="宋体" w:hAnsi="宋体" w:eastAsia="宋体" w:cs="宋体"/>
          <w:color w:val="000000"/>
          <w:sz w:val="24"/>
          <w:szCs w:val="24"/>
          <w:highlight w:val="none"/>
          <w:lang w:eastAsia="zh-CN"/>
        </w:rPr>
        <w:t>磋商</w:t>
      </w:r>
      <w:r>
        <w:rPr>
          <w:rFonts w:hint="eastAsia" w:ascii="宋体" w:hAnsi="宋体" w:eastAsia="宋体" w:cs="宋体"/>
          <w:color w:val="000000"/>
          <w:sz w:val="24"/>
          <w:szCs w:val="24"/>
          <w:highlight w:val="none"/>
        </w:rPr>
        <w:t>有关的一切数据或资料，完全理解贵方不一定接受最低价的</w:t>
      </w:r>
      <w:r>
        <w:rPr>
          <w:rFonts w:hint="eastAsia" w:ascii="宋体" w:hAnsi="宋体" w:eastAsia="宋体" w:cs="宋体"/>
          <w:color w:val="000000"/>
          <w:sz w:val="24"/>
          <w:szCs w:val="24"/>
          <w:highlight w:val="none"/>
          <w:lang w:eastAsia="zh-CN"/>
        </w:rPr>
        <w:t>响应</w:t>
      </w:r>
      <w:r>
        <w:rPr>
          <w:rFonts w:hint="eastAsia" w:ascii="宋体" w:hAnsi="宋体" w:eastAsia="宋体" w:cs="宋体"/>
          <w:color w:val="000000"/>
          <w:sz w:val="24"/>
          <w:szCs w:val="24"/>
          <w:highlight w:val="none"/>
        </w:rPr>
        <w:t>。</w:t>
      </w:r>
    </w:p>
    <w:p w14:paraId="6831120E">
      <w:pPr>
        <w:keepNext w:val="0"/>
        <w:keepLines w:val="0"/>
        <w:pageBreakBefore w:val="0"/>
        <w:kinsoku/>
        <w:wordWrap w:val="0"/>
        <w:overflowPunct/>
        <w:topLinePunct/>
        <w:autoSpaceDE/>
        <w:autoSpaceDN/>
        <w:bidi w:val="0"/>
        <w:adjustRightInd/>
        <w:snapToGrid/>
        <w:spacing w:line="360" w:lineRule="auto"/>
        <w:textAlignment w:val="auto"/>
        <w:rPr>
          <w:rFonts w:hint="eastAsia" w:ascii="宋体" w:hAnsi="宋体"/>
          <w:color w:val="000000"/>
          <w:sz w:val="24"/>
          <w:szCs w:val="24"/>
          <w:highlight w:val="none"/>
        </w:rPr>
      </w:pPr>
    </w:p>
    <w:p w14:paraId="2362800C">
      <w:pPr>
        <w:keepNext w:val="0"/>
        <w:keepLines w:val="0"/>
        <w:pageBreakBefore w:val="0"/>
        <w:kinsoku/>
        <w:wordWrap w:val="0"/>
        <w:overflowPunct/>
        <w:topLinePunct/>
        <w:autoSpaceDE/>
        <w:autoSpaceDN/>
        <w:bidi w:val="0"/>
        <w:adjustRightInd/>
        <w:snapToGrid/>
        <w:spacing w:line="360" w:lineRule="auto"/>
        <w:textAlignment w:val="auto"/>
        <w:rPr>
          <w:rFonts w:hint="eastAsia"/>
          <w:color w:val="auto"/>
          <w:sz w:val="24"/>
          <w:szCs w:val="24"/>
          <w:highlight w:val="none"/>
        </w:rPr>
      </w:pPr>
    </w:p>
    <w:p w14:paraId="6AC31A8B">
      <w:pPr>
        <w:keepNext w:val="0"/>
        <w:keepLines w:val="0"/>
        <w:pageBreakBefore w:val="0"/>
        <w:kinsoku/>
        <w:wordWrap w:val="0"/>
        <w:overflowPunct/>
        <w:topLinePunct/>
        <w:autoSpaceDE/>
        <w:autoSpaceDN/>
        <w:bidi w:val="0"/>
        <w:adjustRightInd/>
        <w:snapToGrid/>
        <w:spacing w:line="360" w:lineRule="auto"/>
        <w:textAlignment w:val="auto"/>
        <w:rPr>
          <w:rFonts w:hint="eastAsia"/>
          <w:color w:val="auto"/>
          <w:sz w:val="24"/>
          <w:szCs w:val="24"/>
          <w:highlight w:val="none"/>
        </w:rPr>
      </w:pPr>
    </w:p>
    <w:p w14:paraId="2B2D280F">
      <w:pPr>
        <w:keepNext w:val="0"/>
        <w:keepLines w:val="0"/>
        <w:pageBreakBefore w:val="0"/>
        <w:kinsoku/>
        <w:wordWrap w:val="0"/>
        <w:overflowPunct/>
        <w:topLinePunct/>
        <w:autoSpaceDE/>
        <w:autoSpaceDN/>
        <w:bidi w:val="0"/>
        <w:adjustRightInd/>
        <w:snapToGrid/>
        <w:spacing w:line="360" w:lineRule="auto"/>
        <w:textAlignment w:val="auto"/>
        <w:rPr>
          <w:rFonts w:hint="eastAsia"/>
          <w:color w:val="auto"/>
          <w:sz w:val="24"/>
          <w:szCs w:val="24"/>
          <w:highlight w:val="none"/>
        </w:rPr>
      </w:pPr>
    </w:p>
    <w:p w14:paraId="099C3E44">
      <w:pPr>
        <w:keepNext w:val="0"/>
        <w:keepLines w:val="0"/>
        <w:pageBreakBefore w:val="0"/>
        <w:kinsoku/>
        <w:wordWrap w:val="0"/>
        <w:overflowPunct/>
        <w:topLinePunct/>
        <w:autoSpaceDE/>
        <w:autoSpaceDN/>
        <w:bidi w:val="0"/>
        <w:adjustRightInd/>
        <w:snapToGrid/>
        <w:spacing w:line="360" w:lineRule="auto"/>
        <w:textAlignment w:val="auto"/>
        <w:rPr>
          <w:rFonts w:hint="eastAsia" w:ascii="宋体" w:hAnsi="宋体"/>
          <w:color w:val="auto"/>
          <w:sz w:val="36"/>
          <w:szCs w:val="36"/>
          <w:highlight w:val="none"/>
        </w:rPr>
      </w:pPr>
      <w:r>
        <w:rPr>
          <w:rFonts w:hint="eastAsia" w:ascii="宋体" w:hAnsi="宋体"/>
          <w:color w:val="000000"/>
          <w:sz w:val="24"/>
          <w:szCs w:val="24"/>
          <w:highlight w:val="none"/>
        </w:rPr>
        <w:t xml:space="preserve">   </w:t>
      </w:r>
      <w:r>
        <w:rPr>
          <w:rFonts w:hint="eastAsia" w:ascii="宋体" w:hAnsi="宋体"/>
          <w:color w:val="000000"/>
          <w:sz w:val="24"/>
          <w:szCs w:val="24"/>
          <w:highlight w:val="none"/>
          <w:lang w:val="en-US" w:eastAsia="zh-CN"/>
        </w:rPr>
        <w:t xml:space="preserve">                          </w:t>
      </w:r>
      <w:r>
        <w:rPr>
          <w:rFonts w:hint="eastAsia" w:ascii="宋体" w:hAnsi="宋体"/>
          <w:color w:val="000000"/>
          <w:sz w:val="24"/>
          <w:szCs w:val="24"/>
          <w:highlight w:val="none"/>
        </w:rPr>
        <w:t xml:space="preserve"> </w:t>
      </w:r>
      <w:r>
        <w:rPr>
          <w:rFonts w:hint="eastAsia" w:ascii="宋体" w:hAnsi="宋体"/>
          <w:color w:val="000000"/>
          <w:sz w:val="24"/>
          <w:szCs w:val="24"/>
          <w:highlight w:val="none"/>
          <w:lang w:eastAsia="zh-CN"/>
        </w:rPr>
        <w:t>供</w:t>
      </w:r>
      <w:r>
        <w:rPr>
          <w:rFonts w:hint="eastAsia"/>
          <w:color w:val="000000"/>
          <w:sz w:val="24"/>
          <w:szCs w:val="24"/>
          <w:highlight w:val="none"/>
          <w:lang w:eastAsia="zh-CN"/>
        </w:rPr>
        <w:t>应商</w:t>
      </w:r>
      <w:r>
        <w:rPr>
          <w:rFonts w:hint="eastAsia" w:ascii="宋体" w:hAnsi="宋体"/>
          <w:color w:val="000000"/>
          <w:sz w:val="24"/>
          <w:szCs w:val="24"/>
          <w:highlight w:val="none"/>
        </w:rPr>
        <w:t>：</w:t>
      </w:r>
      <w:r>
        <w:rPr>
          <w:rFonts w:hint="eastAsia" w:ascii="宋体" w:hAnsi="宋体"/>
          <w:color w:val="000000"/>
          <w:sz w:val="24"/>
          <w:szCs w:val="24"/>
          <w:highlight w:val="none"/>
          <w:u w:val="single"/>
          <w:lang w:val="en-US" w:eastAsia="zh-CN"/>
        </w:rPr>
        <w:t xml:space="preserve">                              </w:t>
      </w:r>
      <w:r>
        <w:rPr>
          <w:rFonts w:hint="eastAsia" w:ascii="宋体" w:hAnsi="宋体"/>
          <w:color w:val="000000"/>
          <w:sz w:val="24"/>
          <w:szCs w:val="24"/>
          <w:highlight w:val="none"/>
        </w:rPr>
        <w:t>（</w:t>
      </w:r>
      <w:r>
        <w:rPr>
          <w:rFonts w:hint="eastAsia" w:ascii="宋体" w:hAnsi="宋体"/>
          <w:color w:val="000000"/>
          <w:sz w:val="24"/>
          <w:szCs w:val="24"/>
          <w:highlight w:val="none"/>
          <w:lang w:eastAsia="zh-CN"/>
        </w:rPr>
        <w:t>盖章</w:t>
      </w:r>
      <w:r>
        <w:rPr>
          <w:rFonts w:hint="eastAsia" w:ascii="宋体" w:hAnsi="宋体"/>
          <w:color w:val="000000"/>
          <w:sz w:val="24"/>
          <w:szCs w:val="24"/>
          <w:highlight w:val="none"/>
        </w:rPr>
        <w:t>）</w:t>
      </w:r>
    </w:p>
    <w:p w14:paraId="7B88982F">
      <w:pPr>
        <w:keepNext w:val="0"/>
        <w:keepLines w:val="0"/>
        <w:pageBreakBefore w:val="0"/>
        <w:kinsoku/>
        <w:wordWrap w:val="0"/>
        <w:overflowPunct/>
        <w:topLinePunct/>
        <w:autoSpaceDE/>
        <w:autoSpaceDN/>
        <w:bidi w:val="0"/>
        <w:adjustRightInd/>
        <w:snapToGrid/>
        <w:spacing w:line="360" w:lineRule="auto"/>
        <w:ind w:firstLine="3600" w:firstLineChars="1500"/>
        <w:textAlignment w:val="auto"/>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法定代表人</w:t>
      </w:r>
      <w:r>
        <w:rPr>
          <w:rFonts w:hint="eastAsia" w:ascii="宋体" w:hAnsi="宋体"/>
          <w:color w:val="000000"/>
          <w:sz w:val="24"/>
          <w:szCs w:val="24"/>
          <w:highlight w:val="none"/>
        </w:rPr>
        <w:t>：</w:t>
      </w:r>
      <w:r>
        <w:rPr>
          <w:rFonts w:hint="eastAsia" w:ascii="宋体" w:hAnsi="宋体"/>
          <w:color w:val="000000"/>
          <w:sz w:val="24"/>
          <w:szCs w:val="24"/>
          <w:highlight w:val="none"/>
          <w:u w:val="single"/>
          <w:lang w:val="en-US" w:eastAsia="zh-CN"/>
        </w:rPr>
        <w:t xml:space="preserve">                      </w:t>
      </w:r>
      <w:r>
        <w:rPr>
          <w:rFonts w:hint="eastAsia" w:ascii="宋体" w:hAnsi="宋体"/>
          <w:color w:val="000000"/>
          <w:sz w:val="24"/>
          <w:szCs w:val="24"/>
          <w:highlight w:val="none"/>
        </w:rPr>
        <w:t>（</w:t>
      </w:r>
      <w:r>
        <w:rPr>
          <w:rFonts w:hint="eastAsia" w:ascii="宋体" w:hAnsi="宋体"/>
          <w:color w:val="000000"/>
          <w:sz w:val="24"/>
          <w:szCs w:val="24"/>
          <w:highlight w:val="none"/>
          <w:lang w:val="en-US" w:eastAsia="zh-CN"/>
        </w:rPr>
        <w:t>电子签章</w:t>
      </w:r>
      <w:r>
        <w:rPr>
          <w:rFonts w:hint="eastAsia" w:ascii="宋体" w:hAnsi="宋体"/>
          <w:color w:val="000000"/>
          <w:sz w:val="24"/>
          <w:szCs w:val="24"/>
          <w:highlight w:val="none"/>
        </w:rPr>
        <w:t>）</w:t>
      </w:r>
    </w:p>
    <w:p w14:paraId="143A5C10">
      <w:pPr>
        <w:keepNext w:val="0"/>
        <w:keepLines w:val="0"/>
        <w:pageBreakBefore w:val="0"/>
        <w:kinsoku/>
        <w:wordWrap w:val="0"/>
        <w:overflowPunct/>
        <w:topLinePunct/>
        <w:autoSpaceDE/>
        <w:autoSpaceDN/>
        <w:bidi w:val="0"/>
        <w:adjustRightInd/>
        <w:snapToGrid/>
        <w:spacing w:line="360" w:lineRule="auto"/>
        <w:ind w:firstLine="3600" w:firstLineChars="1500"/>
        <w:textAlignment w:val="auto"/>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rPr>
        <w:t>日</w:t>
      </w:r>
      <w:r>
        <w:rPr>
          <w:rFonts w:hint="eastAsia" w:ascii="宋体" w:hAnsi="宋体"/>
          <w:color w:val="000000"/>
          <w:sz w:val="24"/>
          <w:szCs w:val="24"/>
          <w:highlight w:val="none"/>
          <w:lang w:val="en-US" w:eastAsia="zh-CN"/>
        </w:rPr>
        <w:t xml:space="preserve">   </w:t>
      </w:r>
      <w:r>
        <w:rPr>
          <w:rFonts w:hint="eastAsia" w:ascii="宋体" w:hAnsi="宋体"/>
          <w:color w:val="000000"/>
          <w:sz w:val="24"/>
          <w:szCs w:val="24"/>
          <w:highlight w:val="none"/>
        </w:rPr>
        <w:t>期：</w:t>
      </w:r>
      <w:r>
        <w:rPr>
          <w:rFonts w:hint="eastAsia" w:ascii="宋体" w:hAnsi="宋体"/>
          <w:color w:val="000000"/>
          <w:sz w:val="24"/>
          <w:szCs w:val="24"/>
          <w:highlight w:val="none"/>
          <w:lang w:val="en-US" w:eastAsia="zh-CN"/>
        </w:rPr>
        <w:t xml:space="preserve">     年   月    日</w:t>
      </w:r>
    </w:p>
    <w:p w14:paraId="72049747">
      <w:pPr>
        <w:pStyle w:val="91"/>
        <w:rPr>
          <w:rFonts w:hint="eastAsia"/>
          <w:sz w:val="24"/>
          <w:szCs w:val="24"/>
          <w:highlight w:val="none"/>
        </w:rPr>
        <w:sectPr>
          <w:headerReference r:id="rId8" w:type="first"/>
          <w:footerReference r:id="rId10" w:type="first"/>
          <w:headerReference r:id="rId7" w:type="default"/>
          <w:footerReference r:id="rId9" w:type="default"/>
          <w:pgSz w:w="11907" w:h="16840"/>
          <w:pgMar w:top="1400" w:right="1418" w:bottom="1089" w:left="1418" w:header="850" w:footer="850" w:gutter="0"/>
          <w:pgBorders>
            <w:top w:val="none" w:sz="0" w:space="0"/>
            <w:left w:val="none" w:sz="0" w:space="0"/>
            <w:bottom w:val="none" w:sz="0" w:space="0"/>
            <w:right w:val="none" w:sz="0" w:space="0"/>
          </w:pgBorders>
          <w:pgNumType w:fmt="decimal"/>
          <w:cols w:space="720" w:num="1"/>
          <w:rtlGutter w:val="0"/>
          <w:docGrid w:type="linesAndChars" w:linePitch="312" w:charSpace="0"/>
        </w:sectPr>
      </w:pPr>
    </w:p>
    <w:p w14:paraId="68CC78B4">
      <w:pPr>
        <w:pStyle w:val="4"/>
        <w:numPr>
          <w:ilvl w:val="0"/>
          <w:numId w:val="20"/>
        </w:numPr>
        <w:bidi w:val="0"/>
        <w:jc w:val="center"/>
        <w:rPr>
          <w:rFonts w:hint="eastAsia"/>
          <w:lang w:val="zh-CN" w:eastAsia="zh-CN"/>
        </w:rPr>
      </w:pPr>
      <w:bookmarkStart w:id="1716" w:name="_Toc21386"/>
      <w:bookmarkStart w:id="1717" w:name="_Toc21652"/>
      <w:r>
        <w:rPr>
          <w:rFonts w:hint="eastAsia"/>
          <w:lang w:val="en-US" w:eastAsia="zh-CN"/>
        </w:rPr>
        <w:t>响应函</w:t>
      </w:r>
      <w:r>
        <w:rPr>
          <w:rFonts w:hint="eastAsia"/>
        </w:rPr>
        <w:t>附录</w:t>
      </w:r>
      <w:bookmarkEnd w:id="1716"/>
      <w:r>
        <w:rPr>
          <w:rFonts w:hint="eastAsia"/>
          <w:lang w:eastAsia="zh-CN"/>
        </w:rPr>
        <w:t>（</w:t>
      </w:r>
      <w:r>
        <w:rPr>
          <w:rFonts w:hint="eastAsia"/>
          <w:lang w:val="en-US" w:eastAsia="zh-CN"/>
        </w:rPr>
        <w:t>第一轮报价</w:t>
      </w:r>
      <w:r>
        <w:rPr>
          <w:rFonts w:hint="eastAsia"/>
          <w:lang w:eastAsia="zh-CN"/>
        </w:rPr>
        <w:t>）</w:t>
      </w:r>
    </w:p>
    <w:p w14:paraId="5E07D1A8">
      <w:pPr>
        <w:rPr>
          <w:rFonts w:hint="eastAsia"/>
          <w:lang w:val="zh-CN" w:eastAsia="zh-CN"/>
        </w:rPr>
      </w:pPr>
    </w:p>
    <w:tbl>
      <w:tblPr>
        <w:tblStyle w:val="48"/>
        <w:tblW w:w="8459" w:type="dxa"/>
        <w:tblInd w:w="227" w:type="dxa"/>
        <w:tblLayout w:type="fixed"/>
        <w:tblCellMar>
          <w:top w:w="0" w:type="dxa"/>
          <w:left w:w="108" w:type="dxa"/>
          <w:bottom w:w="0" w:type="dxa"/>
          <w:right w:w="108" w:type="dxa"/>
        </w:tblCellMar>
      </w:tblPr>
      <w:tblGrid>
        <w:gridCol w:w="1789"/>
        <w:gridCol w:w="2386"/>
        <w:gridCol w:w="1719"/>
        <w:gridCol w:w="2565"/>
      </w:tblGrid>
      <w:tr w14:paraId="6D244F87">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auto" w:sz="4" w:space="0"/>
            </w:tcBorders>
            <w:noWrap w:val="0"/>
            <w:tcMar>
              <w:top w:w="0" w:type="dxa"/>
              <w:left w:w="0" w:type="dxa"/>
              <w:bottom w:w="0" w:type="dxa"/>
              <w:right w:w="0" w:type="dxa"/>
            </w:tcMar>
            <w:vAlign w:val="center"/>
          </w:tcPr>
          <w:p w14:paraId="49D470A2">
            <w:pPr>
              <w:spacing w:before="100" w:beforeAutospacing="1" w:line="271" w:lineRule="auto"/>
              <w:jc w:val="center"/>
              <w:rPr>
                <w:rFonts w:ascii="宋体" w:hAnsi="宋体"/>
                <w:sz w:val="24"/>
                <w:szCs w:val="24"/>
              </w:rPr>
            </w:pPr>
            <w:r>
              <w:rPr>
                <w:rFonts w:hint="eastAsia" w:ascii="宋体" w:hAnsi="宋体"/>
                <w:sz w:val="24"/>
                <w:szCs w:val="24"/>
              </w:rPr>
              <w:t>项目名称</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11ECA86A">
            <w:pPr>
              <w:spacing w:before="100" w:beforeAutospacing="1" w:line="271" w:lineRule="auto"/>
              <w:ind w:firstLine="240" w:firstLineChars="100"/>
              <w:rPr>
                <w:rFonts w:ascii="宋体" w:hAnsi="宋体"/>
                <w:sz w:val="24"/>
                <w:szCs w:val="24"/>
              </w:rPr>
            </w:pPr>
            <w:r>
              <w:rPr>
                <w:rFonts w:hint="eastAsia" w:ascii="宋体" w:hAnsi="宋体"/>
                <w:sz w:val="24"/>
                <w:szCs w:val="24"/>
              </w:rPr>
              <w:t xml:space="preserve">                                   　</w:t>
            </w:r>
          </w:p>
        </w:tc>
      </w:tr>
      <w:tr w14:paraId="5A044E90">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auto" w:sz="4" w:space="0"/>
            </w:tcBorders>
            <w:noWrap w:val="0"/>
            <w:tcMar>
              <w:top w:w="0" w:type="dxa"/>
              <w:left w:w="0" w:type="dxa"/>
              <w:bottom w:w="0" w:type="dxa"/>
              <w:right w:w="0" w:type="dxa"/>
            </w:tcMar>
            <w:vAlign w:val="center"/>
          </w:tcPr>
          <w:p w14:paraId="4A3CB822">
            <w:pPr>
              <w:spacing w:before="100" w:beforeAutospacing="1" w:line="271" w:lineRule="auto"/>
              <w:jc w:val="center"/>
              <w:rPr>
                <w:rFonts w:ascii="宋体" w:hAnsi="宋体"/>
                <w:sz w:val="24"/>
                <w:szCs w:val="24"/>
              </w:rPr>
            </w:pPr>
            <w:r>
              <w:rPr>
                <w:rFonts w:hint="eastAsia" w:ascii="宋体" w:hAnsi="宋体"/>
                <w:sz w:val="24"/>
                <w:szCs w:val="24"/>
              </w:rPr>
              <w:t>磋商响应人</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0F6DD7DA">
            <w:pPr>
              <w:spacing w:before="100" w:beforeAutospacing="1" w:line="271" w:lineRule="auto"/>
              <w:jc w:val="center"/>
              <w:rPr>
                <w:rFonts w:ascii="宋体" w:hAnsi="宋体"/>
                <w:sz w:val="24"/>
                <w:szCs w:val="24"/>
              </w:rPr>
            </w:pPr>
          </w:p>
        </w:tc>
      </w:tr>
      <w:tr w14:paraId="1FF17503">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CB0B211">
            <w:pPr>
              <w:spacing w:before="100" w:beforeAutospacing="1" w:line="320" w:lineRule="exact"/>
              <w:jc w:val="center"/>
              <w:rPr>
                <w:rFonts w:hint="eastAsia" w:ascii="宋体" w:hAnsi="宋体" w:eastAsia="宋体"/>
                <w:sz w:val="24"/>
                <w:szCs w:val="24"/>
                <w:lang w:eastAsia="zh-CN"/>
              </w:rPr>
            </w:pPr>
            <w:r>
              <w:rPr>
                <w:rFonts w:hint="eastAsia" w:ascii="宋体" w:hAnsi="宋体"/>
                <w:sz w:val="24"/>
                <w:szCs w:val="24"/>
              </w:rPr>
              <w:t>拟派</w:t>
            </w:r>
            <w:r>
              <w:rPr>
                <w:rFonts w:hint="eastAsia" w:ascii="宋体" w:hAnsi="宋体"/>
                <w:sz w:val="24"/>
                <w:szCs w:val="24"/>
                <w:lang w:eastAsia="zh-CN"/>
              </w:rPr>
              <w:t>项目经理</w:t>
            </w:r>
          </w:p>
        </w:tc>
        <w:tc>
          <w:tcPr>
            <w:tcW w:w="2386" w:type="dxa"/>
            <w:tcBorders>
              <w:top w:val="single" w:color="000000" w:sz="6" w:space="0"/>
              <w:left w:val="nil"/>
              <w:bottom w:val="single" w:color="000000" w:sz="6" w:space="0"/>
              <w:right w:val="single" w:color="auto" w:sz="4" w:space="0"/>
            </w:tcBorders>
            <w:noWrap w:val="0"/>
            <w:tcMar>
              <w:top w:w="0" w:type="dxa"/>
              <w:left w:w="0" w:type="dxa"/>
              <w:bottom w:w="0" w:type="dxa"/>
              <w:right w:w="0" w:type="dxa"/>
            </w:tcMar>
            <w:vAlign w:val="center"/>
          </w:tcPr>
          <w:p w14:paraId="0CCFA417">
            <w:pPr>
              <w:spacing w:before="100" w:beforeAutospacing="1" w:line="271" w:lineRule="auto"/>
              <w:jc w:val="center"/>
              <w:rPr>
                <w:rFonts w:ascii="宋体" w:hAnsi="宋体"/>
                <w:sz w:val="24"/>
                <w:szCs w:val="24"/>
              </w:rPr>
            </w:pPr>
          </w:p>
        </w:tc>
        <w:tc>
          <w:tcPr>
            <w:tcW w:w="1719" w:type="dxa"/>
            <w:tcBorders>
              <w:top w:val="single" w:color="000000" w:sz="6" w:space="0"/>
              <w:left w:val="single" w:color="auto" w:sz="4" w:space="0"/>
              <w:bottom w:val="single" w:color="000000" w:sz="6" w:space="0"/>
              <w:right w:val="single" w:color="auto" w:sz="4" w:space="0"/>
            </w:tcBorders>
            <w:noWrap w:val="0"/>
            <w:tcMar>
              <w:top w:w="0" w:type="dxa"/>
              <w:left w:w="0" w:type="dxa"/>
              <w:bottom w:w="0" w:type="dxa"/>
              <w:right w:w="0" w:type="dxa"/>
            </w:tcMar>
            <w:vAlign w:val="center"/>
          </w:tcPr>
          <w:p w14:paraId="039FD687">
            <w:pPr>
              <w:spacing w:before="100" w:beforeAutospacing="1" w:line="271" w:lineRule="auto"/>
              <w:jc w:val="center"/>
              <w:rPr>
                <w:rFonts w:ascii="宋体" w:hAnsi="宋体"/>
                <w:sz w:val="24"/>
                <w:szCs w:val="24"/>
              </w:rPr>
            </w:pPr>
            <w:r>
              <w:rPr>
                <w:rFonts w:hint="eastAsia" w:ascii="宋体" w:hAnsi="宋体"/>
                <w:sz w:val="24"/>
                <w:szCs w:val="24"/>
              </w:rPr>
              <w:t>证书编号</w:t>
            </w:r>
          </w:p>
        </w:tc>
        <w:tc>
          <w:tcPr>
            <w:tcW w:w="2565" w:type="dxa"/>
            <w:tcBorders>
              <w:top w:val="single" w:color="000000" w:sz="6" w:space="0"/>
              <w:left w:val="single" w:color="auto" w:sz="4" w:space="0"/>
              <w:bottom w:val="single" w:color="000000" w:sz="6" w:space="0"/>
              <w:right w:val="single" w:color="000000" w:sz="6" w:space="0"/>
            </w:tcBorders>
            <w:noWrap w:val="0"/>
            <w:tcMar>
              <w:top w:w="0" w:type="dxa"/>
              <w:left w:w="0" w:type="dxa"/>
              <w:bottom w:w="0" w:type="dxa"/>
              <w:right w:w="0" w:type="dxa"/>
            </w:tcMar>
            <w:vAlign w:val="center"/>
          </w:tcPr>
          <w:p w14:paraId="27B71BD0">
            <w:pPr>
              <w:spacing w:before="100" w:beforeAutospacing="1" w:line="271" w:lineRule="auto"/>
              <w:jc w:val="center"/>
              <w:rPr>
                <w:rFonts w:ascii="宋体" w:hAnsi="宋体"/>
                <w:sz w:val="24"/>
                <w:szCs w:val="24"/>
              </w:rPr>
            </w:pPr>
          </w:p>
        </w:tc>
      </w:tr>
      <w:tr w14:paraId="1411D29F">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3B5E816E">
            <w:pPr>
              <w:spacing w:before="100" w:beforeAutospacing="1" w:line="320" w:lineRule="exact"/>
              <w:jc w:val="center"/>
              <w:rPr>
                <w:rFonts w:hint="default" w:ascii="宋体" w:hAnsi="宋体" w:eastAsia="宋体"/>
                <w:sz w:val="24"/>
                <w:szCs w:val="24"/>
                <w:lang w:val="en-US" w:eastAsia="zh-CN"/>
              </w:rPr>
            </w:pPr>
            <w:r>
              <w:rPr>
                <w:rFonts w:hint="eastAsia" w:ascii="宋体" w:hAnsi="宋体"/>
                <w:sz w:val="24"/>
                <w:szCs w:val="24"/>
                <w:lang w:val="en-US" w:eastAsia="zh-CN"/>
              </w:rPr>
              <w:t>项目总工</w:t>
            </w:r>
          </w:p>
        </w:tc>
        <w:tc>
          <w:tcPr>
            <w:tcW w:w="2386" w:type="dxa"/>
            <w:tcBorders>
              <w:top w:val="single" w:color="000000" w:sz="6" w:space="0"/>
              <w:left w:val="nil"/>
              <w:bottom w:val="single" w:color="000000" w:sz="6" w:space="0"/>
              <w:right w:val="single" w:color="auto" w:sz="4" w:space="0"/>
            </w:tcBorders>
            <w:noWrap w:val="0"/>
            <w:tcMar>
              <w:top w:w="0" w:type="dxa"/>
              <w:left w:w="0" w:type="dxa"/>
              <w:bottom w:w="0" w:type="dxa"/>
              <w:right w:w="0" w:type="dxa"/>
            </w:tcMar>
            <w:vAlign w:val="center"/>
          </w:tcPr>
          <w:p w14:paraId="45FCDF2D">
            <w:pPr>
              <w:spacing w:before="100" w:beforeAutospacing="1" w:line="271" w:lineRule="auto"/>
              <w:jc w:val="center"/>
              <w:rPr>
                <w:rFonts w:ascii="宋体" w:hAnsi="宋体"/>
                <w:sz w:val="24"/>
                <w:szCs w:val="24"/>
              </w:rPr>
            </w:pPr>
          </w:p>
        </w:tc>
        <w:tc>
          <w:tcPr>
            <w:tcW w:w="1719" w:type="dxa"/>
            <w:tcBorders>
              <w:top w:val="single" w:color="000000" w:sz="6" w:space="0"/>
              <w:left w:val="single" w:color="auto" w:sz="4" w:space="0"/>
              <w:bottom w:val="single" w:color="000000" w:sz="6" w:space="0"/>
              <w:right w:val="single" w:color="auto" w:sz="4" w:space="0"/>
            </w:tcBorders>
            <w:noWrap w:val="0"/>
            <w:tcMar>
              <w:top w:w="0" w:type="dxa"/>
              <w:left w:w="0" w:type="dxa"/>
              <w:bottom w:w="0" w:type="dxa"/>
              <w:right w:w="0" w:type="dxa"/>
            </w:tcMar>
            <w:vAlign w:val="center"/>
          </w:tcPr>
          <w:p w14:paraId="238402EB">
            <w:pPr>
              <w:spacing w:before="100" w:beforeAutospacing="1" w:line="271" w:lineRule="auto"/>
              <w:jc w:val="center"/>
              <w:rPr>
                <w:rFonts w:hint="eastAsia" w:ascii="宋体" w:hAnsi="宋体" w:eastAsia="宋体"/>
                <w:sz w:val="24"/>
                <w:szCs w:val="24"/>
                <w:lang w:val="en-US" w:eastAsia="zh-CN"/>
              </w:rPr>
            </w:pPr>
            <w:r>
              <w:rPr>
                <w:rFonts w:hint="eastAsia" w:ascii="宋体" w:hAnsi="宋体"/>
                <w:sz w:val="24"/>
                <w:szCs w:val="24"/>
                <w:lang w:val="en-US" w:eastAsia="zh-CN"/>
              </w:rPr>
              <w:t>职称</w:t>
            </w:r>
          </w:p>
        </w:tc>
        <w:tc>
          <w:tcPr>
            <w:tcW w:w="2565" w:type="dxa"/>
            <w:tcBorders>
              <w:top w:val="single" w:color="000000" w:sz="6" w:space="0"/>
              <w:left w:val="single" w:color="auto" w:sz="4" w:space="0"/>
              <w:bottom w:val="single" w:color="000000" w:sz="6" w:space="0"/>
              <w:right w:val="single" w:color="000000" w:sz="6" w:space="0"/>
            </w:tcBorders>
            <w:noWrap w:val="0"/>
            <w:tcMar>
              <w:top w:w="0" w:type="dxa"/>
              <w:left w:w="0" w:type="dxa"/>
              <w:bottom w:w="0" w:type="dxa"/>
              <w:right w:w="0" w:type="dxa"/>
            </w:tcMar>
            <w:vAlign w:val="center"/>
          </w:tcPr>
          <w:p w14:paraId="5493C6A5">
            <w:pPr>
              <w:spacing w:before="100" w:beforeAutospacing="1" w:line="271" w:lineRule="auto"/>
              <w:jc w:val="center"/>
              <w:rPr>
                <w:rFonts w:ascii="宋体" w:hAnsi="宋体"/>
                <w:sz w:val="24"/>
                <w:szCs w:val="24"/>
              </w:rPr>
            </w:pPr>
          </w:p>
        </w:tc>
      </w:tr>
      <w:tr w14:paraId="72DFB154">
        <w:tblPrEx>
          <w:tblCellMar>
            <w:top w:w="0" w:type="dxa"/>
            <w:left w:w="108" w:type="dxa"/>
            <w:bottom w:w="0" w:type="dxa"/>
            <w:right w:w="108" w:type="dxa"/>
          </w:tblCellMar>
        </w:tblPrEx>
        <w:trPr>
          <w:trHeight w:val="1507"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2F7FACC">
            <w:pPr>
              <w:spacing w:before="100" w:beforeAutospacing="1" w:line="271" w:lineRule="auto"/>
              <w:ind w:left="19" w:hanging="19" w:hangingChars="8"/>
              <w:jc w:val="center"/>
              <w:rPr>
                <w:rFonts w:ascii="宋体" w:hAnsi="宋体"/>
                <w:sz w:val="24"/>
                <w:szCs w:val="24"/>
              </w:rPr>
            </w:pPr>
            <w:r>
              <w:rPr>
                <w:rFonts w:hint="eastAsia" w:ascii="宋体" w:hAnsi="宋体"/>
                <w:sz w:val="24"/>
                <w:szCs w:val="24"/>
                <w:lang w:eastAsia="zh-CN"/>
              </w:rPr>
              <w:t>响应总报价</w:t>
            </w:r>
            <w:r>
              <w:rPr>
                <w:rFonts w:hint="eastAsia" w:ascii="宋体" w:hAnsi="宋体"/>
                <w:sz w:val="24"/>
                <w:szCs w:val="24"/>
              </w:rPr>
              <w:t>（元）</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6F7B3D1E">
            <w:pPr>
              <w:ind w:firstLine="249" w:firstLineChars="104"/>
              <w:rPr>
                <w:rFonts w:ascii="宋体" w:hAnsi="宋体"/>
                <w:sz w:val="24"/>
                <w:szCs w:val="24"/>
              </w:rPr>
            </w:pP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 xml:space="preserve">          </w:t>
            </w:r>
          </w:p>
          <w:p w14:paraId="3F9DE5A6">
            <w:pPr>
              <w:spacing w:before="100" w:beforeAutospacing="1" w:line="271" w:lineRule="auto"/>
              <w:ind w:firstLine="249" w:firstLineChars="104"/>
              <w:rPr>
                <w:rFonts w:ascii="宋体" w:hAnsi="宋体"/>
                <w:sz w:val="24"/>
                <w:szCs w:val="24"/>
              </w:rPr>
            </w:pPr>
            <w:r>
              <w:rPr>
                <w:rFonts w:hint="eastAsia" w:ascii="宋体" w:hAnsi="宋体"/>
                <w:sz w:val="24"/>
                <w:szCs w:val="24"/>
                <w:lang w:val="en-US" w:eastAsia="zh-CN"/>
              </w:rPr>
              <w:t>小写：</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元</w:t>
            </w:r>
          </w:p>
        </w:tc>
      </w:tr>
      <w:tr w14:paraId="64EA09F4">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499069F">
            <w:pPr>
              <w:spacing w:before="100" w:beforeAutospacing="1" w:line="271" w:lineRule="auto"/>
              <w:jc w:val="center"/>
              <w:rPr>
                <w:rFonts w:ascii="宋体" w:hAnsi="宋体"/>
                <w:sz w:val="24"/>
                <w:szCs w:val="24"/>
              </w:rPr>
            </w:pPr>
            <w:r>
              <w:rPr>
                <w:rFonts w:hint="eastAsia" w:ascii="宋体" w:hAnsi="宋体"/>
                <w:sz w:val="24"/>
                <w:szCs w:val="24"/>
              </w:rPr>
              <w:t xml:space="preserve">质量 </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407EB660">
            <w:pPr>
              <w:pStyle w:val="43"/>
              <w:shd w:val="clear" w:color="auto" w:fill="FFFFFF"/>
              <w:spacing w:after="0" w:afterAutospacing="0" w:line="500" w:lineRule="exact"/>
              <w:jc w:val="center"/>
              <w:rPr>
                <w:rFonts w:hint="eastAsia" w:eastAsia="宋体" w:cs="Times New Roman"/>
                <w:kern w:val="2"/>
                <w:lang w:eastAsia="zh-CN"/>
              </w:rPr>
            </w:pPr>
          </w:p>
        </w:tc>
      </w:tr>
      <w:tr w14:paraId="21832633">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9372E12">
            <w:pPr>
              <w:spacing w:before="100" w:beforeAutospacing="1" w:line="271" w:lineRule="auto"/>
              <w:jc w:val="center"/>
              <w:rPr>
                <w:rFonts w:ascii="宋体" w:hAnsi="宋体"/>
                <w:sz w:val="24"/>
                <w:szCs w:val="24"/>
              </w:rPr>
            </w:pPr>
            <w:r>
              <w:rPr>
                <w:rFonts w:hint="eastAsia" w:ascii="宋体" w:hAnsi="宋体"/>
                <w:sz w:val="24"/>
                <w:szCs w:val="24"/>
              </w:rPr>
              <w:t xml:space="preserve">工期 </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4084BDDC">
            <w:pPr>
              <w:spacing w:before="100" w:beforeAutospacing="1" w:after="200" w:line="320" w:lineRule="exact"/>
              <w:ind w:firstLine="24" w:firstLineChars="10"/>
              <w:rPr>
                <w:rFonts w:ascii="宋体" w:hAnsi="宋体"/>
                <w:sz w:val="24"/>
                <w:szCs w:val="24"/>
              </w:rPr>
            </w:pPr>
          </w:p>
        </w:tc>
      </w:tr>
      <w:tr w14:paraId="0DA552BD">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2D3B4FB">
            <w:pPr>
              <w:spacing w:before="100" w:beforeAutospacing="1" w:line="271" w:lineRule="auto"/>
              <w:ind w:left="-36" w:leftChars="-15"/>
              <w:jc w:val="center"/>
              <w:rPr>
                <w:rFonts w:ascii="宋体" w:hAnsi="宋体"/>
                <w:sz w:val="24"/>
                <w:szCs w:val="24"/>
              </w:rPr>
            </w:pPr>
            <w:r>
              <w:rPr>
                <w:rFonts w:hint="eastAsia" w:ascii="宋体" w:hAnsi="宋体"/>
                <w:sz w:val="24"/>
                <w:szCs w:val="24"/>
              </w:rPr>
              <w:t>磋商有效期</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71BEA9C0">
            <w:pPr>
              <w:spacing w:before="100" w:beforeAutospacing="1" w:after="200" w:line="320" w:lineRule="exact"/>
              <w:rPr>
                <w:rFonts w:ascii="宋体" w:hAnsi="宋体"/>
                <w:sz w:val="24"/>
                <w:szCs w:val="24"/>
              </w:rPr>
            </w:pPr>
          </w:p>
        </w:tc>
      </w:tr>
      <w:tr w14:paraId="51B3EFEC">
        <w:tblPrEx>
          <w:tblCellMar>
            <w:top w:w="0" w:type="dxa"/>
            <w:left w:w="108" w:type="dxa"/>
            <w:bottom w:w="0" w:type="dxa"/>
            <w:right w:w="108" w:type="dxa"/>
          </w:tblCellMar>
        </w:tblPrEx>
        <w:trPr>
          <w:trHeight w:val="850" w:hRule="atLeast"/>
        </w:trPr>
        <w:tc>
          <w:tcPr>
            <w:tcW w:w="178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DFC72A5">
            <w:pPr>
              <w:spacing w:before="100" w:beforeAutospacing="1" w:line="271" w:lineRule="auto"/>
              <w:jc w:val="center"/>
              <w:rPr>
                <w:rFonts w:ascii="宋体" w:hAnsi="宋体"/>
                <w:color w:val="FF0000"/>
                <w:sz w:val="24"/>
                <w:szCs w:val="24"/>
              </w:rPr>
            </w:pPr>
            <w:r>
              <w:rPr>
                <w:rFonts w:hint="eastAsia" w:ascii="宋体" w:hAnsi="宋体"/>
                <w:sz w:val="24"/>
                <w:szCs w:val="24"/>
              </w:rPr>
              <w:t>备注</w:t>
            </w:r>
          </w:p>
        </w:tc>
        <w:tc>
          <w:tcPr>
            <w:tcW w:w="6670" w:type="dxa"/>
            <w:gridSpan w:val="3"/>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3FACAEDF">
            <w:pPr>
              <w:spacing w:before="100" w:beforeAutospacing="1" w:line="271" w:lineRule="auto"/>
              <w:jc w:val="center"/>
              <w:rPr>
                <w:rFonts w:ascii="宋体" w:hAnsi="宋体"/>
                <w:sz w:val="24"/>
                <w:szCs w:val="24"/>
              </w:rPr>
            </w:pPr>
          </w:p>
        </w:tc>
      </w:tr>
    </w:tbl>
    <w:p w14:paraId="0E103413">
      <w:pPr>
        <w:rPr>
          <w:rFonts w:hint="eastAsia" w:ascii="宋体" w:hAnsi="宋体"/>
          <w:b/>
          <w:bCs/>
          <w:color w:val="auto"/>
          <w:szCs w:val="21"/>
          <w:highlight w:val="none"/>
          <w:lang w:eastAsia="zh-CN"/>
        </w:rPr>
      </w:pPr>
    </w:p>
    <w:p w14:paraId="62FDE383">
      <w:pPr>
        <w:rPr>
          <w:rFonts w:hint="eastAsia" w:ascii="宋体" w:hAnsi="宋体"/>
          <w:b/>
          <w:bCs/>
          <w:color w:val="auto"/>
          <w:szCs w:val="21"/>
          <w:highlight w:val="none"/>
          <w:lang w:eastAsia="zh-CN"/>
        </w:rPr>
      </w:pPr>
    </w:p>
    <w:p w14:paraId="41CF3925">
      <w:pPr>
        <w:ind w:firstLine="2880" w:firstLineChars="1200"/>
        <w:jc w:val="right"/>
        <w:rPr>
          <w:rFonts w:hint="eastAsia" w:ascii="宋体" w:hAnsi="宋体"/>
          <w:color w:val="auto"/>
          <w:szCs w:val="21"/>
          <w:highlight w:val="none"/>
          <w:lang w:eastAsia="zh-CN"/>
        </w:rPr>
      </w:pPr>
    </w:p>
    <w:p w14:paraId="0019D7F4">
      <w:pPr>
        <w:ind w:firstLine="2880" w:firstLineChars="1200"/>
        <w:jc w:val="right"/>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（盖章）</w:t>
      </w:r>
    </w:p>
    <w:p w14:paraId="2BC0A033">
      <w:pPr>
        <w:jc w:val="right"/>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     </w:t>
      </w:r>
    </w:p>
    <w:p w14:paraId="7BEFD852">
      <w:pPr>
        <w:ind w:firstLine="2880" w:firstLineChars="1200"/>
        <w:jc w:val="right"/>
        <w:rPr>
          <w:rFonts w:hint="eastAsia" w:ascii="宋体" w:hAnsi="宋体"/>
          <w:color w:val="auto"/>
          <w:sz w:val="24"/>
          <w:szCs w:val="24"/>
          <w:highlight w:val="none"/>
        </w:rPr>
      </w:pPr>
      <w:r>
        <w:rPr>
          <w:rFonts w:hint="eastAsia" w:ascii="宋体" w:hAnsi="宋体"/>
          <w:color w:val="auto"/>
          <w:sz w:val="24"/>
          <w:szCs w:val="24"/>
          <w:highlight w:val="none"/>
        </w:rPr>
        <w:t>法定代表人：</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电子签章</w:t>
      </w:r>
      <w:r>
        <w:rPr>
          <w:rFonts w:hint="eastAsia" w:ascii="宋体" w:hAnsi="宋体"/>
          <w:color w:val="auto"/>
          <w:sz w:val="24"/>
          <w:szCs w:val="24"/>
          <w:highlight w:val="none"/>
        </w:rPr>
        <w:t>）</w:t>
      </w:r>
    </w:p>
    <w:p w14:paraId="65B5361C">
      <w:pPr>
        <w:jc w:val="right"/>
        <w:rPr>
          <w:rFonts w:hint="eastAsia" w:ascii="宋体" w:hAnsi="宋体"/>
          <w:color w:val="auto"/>
          <w:sz w:val="24"/>
          <w:szCs w:val="24"/>
          <w:highlight w:val="none"/>
        </w:rPr>
      </w:pPr>
    </w:p>
    <w:p w14:paraId="4B8EF1E5">
      <w:pPr>
        <w:tabs>
          <w:tab w:val="left" w:pos="5380"/>
          <w:tab w:val="left" w:pos="6520"/>
          <w:tab w:val="left" w:pos="7680"/>
        </w:tabs>
        <w:autoSpaceDE w:val="0"/>
        <w:autoSpaceDN w:val="0"/>
        <w:adjustRightInd w:val="0"/>
        <w:ind w:right="-20" w:firstLine="4320" w:firstLineChars="1800"/>
        <w:jc w:val="righ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u w:val="single"/>
        </w:rPr>
        <w:t xml:space="preserve">     </w:t>
      </w:r>
      <w:r>
        <w:rPr>
          <w:rFonts w:hint="eastAsia" w:ascii="宋体" w:hAnsi="宋体" w:cs="宋体"/>
          <w:color w:val="auto"/>
          <w:spacing w:val="43"/>
          <w:kern w:val="0"/>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日</w:t>
      </w:r>
    </w:p>
    <w:p w14:paraId="19FACD70">
      <w:pPr>
        <w:pStyle w:val="3"/>
        <w:numPr>
          <w:ilvl w:val="0"/>
          <w:numId w:val="18"/>
        </w:numPr>
        <w:bidi w:val="0"/>
        <w:rPr>
          <w:rFonts w:hint="eastAsia" w:ascii="宋体" w:hAnsi="宋体" w:eastAsia="宋体" w:cs="Times New Roman"/>
          <w:bCs w:val="0"/>
          <w:color w:val="auto"/>
          <w:szCs w:val="24"/>
          <w:highlight w:val="none"/>
          <w:lang w:val="zh-CN" w:eastAsia="zh-CN"/>
        </w:rPr>
      </w:pPr>
      <w:r>
        <w:rPr>
          <w:rFonts w:hint="eastAsia" w:ascii="宋体" w:hAnsi="宋体" w:eastAsia="宋体" w:cs="Times New Roman"/>
          <w:bCs w:val="0"/>
          <w:color w:val="auto"/>
          <w:szCs w:val="32"/>
          <w:highlight w:val="none"/>
          <w:lang w:val="zh-CN" w:eastAsia="zh-CN"/>
        </w:rPr>
        <w:br w:type="page"/>
      </w:r>
      <w:bookmarkStart w:id="1718" w:name="_Toc31217"/>
      <w:bookmarkStart w:id="1719" w:name="_Toc18489"/>
      <w:r>
        <w:rPr>
          <w:rFonts w:hint="eastAsia"/>
          <w:lang w:val="zh-CN" w:eastAsia="zh-CN"/>
        </w:rPr>
        <w:t>法定代表人身份证明</w:t>
      </w:r>
      <w:bookmarkEnd w:id="1717"/>
      <w:bookmarkEnd w:id="1718"/>
      <w:bookmarkEnd w:id="1719"/>
      <w:r>
        <w:rPr>
          <w:rFonts w:hint="eastAsia"/>
          <w:lang w:val="en-US" w:eastAsia="zh-CN"/>
        </w:rPr>
        <w:t>及授权委托书</w:t>
      </w:r>
    </w:p>
    <w:p w14:paraId="48E15C03">
      <w:pPr>
        <w:rPr>
          <w:rFonts w:hint="eastAsia"/>
          <w:lang w:val="zh-CN" w:eastAsia="zh-CN"/>
        </w:rPr>
      </w:pPr>
    </w:p>
    <w:p w14:paraId="4E537C6C">
      <w:pPr>
        <w:pStyle w:val="4"/>
        <w:numPr>
          <w:ilvl w:val="0"/>
          <w:numId w:val="21"/>
        </w:numPr>
        <w:bidi w:val="0"/>
        <w:ind w:left="0" w:leftChars="0" w:firstLine="420" w:firstLineChars="0"/>
        <w:jc w:val="center"/>
        <w:rPr>
          <w:rFonts w:hint="eastAsia"/>
        </w:rPr>
      </w:pPr>
      <w:r>
        <w:rPr>
          <w:rFonts w:hint="eastAsia"/>
          <w:lang w:val="zh-CN" w:eastAsia="zh-CN"/>
        </w:rPr>
        <w:t>法定代表人身份证明</w:t>
      </w:r>
    </w:p>
    <w:p w14:paraId="1CFEC684">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u w:val="single"/>
        </w:rPr>
      </w:pPr>
      <w:r>
        <w:rPr>
          <w:rFonts w:hint="eastAsia"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4E848A3A">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职务：</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18E3DC23">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名称）的法定代表人。</w:t>
      </w:r>
    </w:p>
    <w:p w14:paraId="0444D99C">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6A8EED8A">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附：法定代表人身份证</w:t>
      </w:r>
      <w:r>
        <w:rPr>
          <w:rFonts w:hint="eastAsia" w:ascii="宋体" w:hAnsi="宋体" w:eastAsia="宋体" w:cs="Times New Roman"/>
          <w:color w:val="auto"/>
          <w:sz w:val="24"/>
          <w:szCs w:val="24"/>
          <w:highlight w:val="none"/>
        </w:rPr>
        <w:t>扫描件</w:t>
      </w:r>
      <w:r>
        <w:rPr>
          <w:rFonts w:hint="eastAsia" w:ascii="宋体" w:hAnsi="宋体" w:eastAsia="宋体" w:cs="宋体"/>
          <w:color w:val="auto"/>
          <w:kern w:val="0"/>
          <w:sz w:val="24"/>
          <w:szCs w:val="24"/>
          <w:highlight w:val="none"/>
        </w:rPr>
        <w:t xml:space="preserve">。 </w:t>
      </w:r>
    </w:p>
    <w:p w14:paraId="2D296F59">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1394A709">
      <w:pPr>
        <w:bidi w:val="0"/>
        <w:rPr>
          <w:rFonts w:hint="eastAsia"/>
          <w:sz w:val="24"/>
          <w:szCs w:val="24"/>
        </w:rPr>
      </w:pPr>
    </w:p>
    <w:p w14:paraId="0D04BECA">
      <w:pPr>
        <w:rPr>
          <w:rFonts w:hint="eastAsia"/>
          <w:sz w:val="24"/>
          <w:szCs w:val="24"/>
        </w:rPr>
      </w:pPr>
    </w:p>
    <w:p w14:paraId="37FA8FAB">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6EA039ED">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5DBC1AE6">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583245FF">
      <w:pPr>
        <w:keepNext w:val="0"/>
        <w:keepLines w:val="0"/>
        <w:pageBreakBefore w:val="0"/>
        <w:widowControl w:val="0"/>
        <w:kinsoku/>
        <w:wordWrap/>
        <w:overflowPunct/>
        <w:topLinePunct w:val="0"/>
        <w:autoSpaceDE w:val="0"/>
        <w:autoSpaceDN w:val="0"/>
        <w:bidi w:val="0"/>
        <w:adjustRightInd w:val="0"/>
        <w:snapToGrid/>
        <w:spacing w:line="480" w:lineRule="auto"/>
        <w:textAlignment w:val="auto"/>
        <w:outlineLvl w:val="9"/>
        <w:rPr>
          <w:rFonts w:hint="eastAsia" w:ascii="宋体" w:hAnsi="宋体" w:eastAsia="宋体" w:cs="宋体"/>
          <w:color w:val="auto"/>
          <w:kern w:val="0"/>
          <w:sz w:val="24"/>
          <w:szCs w:val="24"/>
          <w:highlight w:val="none"/>
        </w:rPr>
      </w:pPr>
    </w:p>
    <w:p w14:paraId="34A9B553">
      <w:pPr>
        <w:ind w:firstLine="3840" w:firstLineChars="160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（盖章）</w:t>
      </w:r>
    </w:p>
    <w:p w14:paraId="3424BEC0">
      <w:pPr>
        <w:rPr>
          <w:rFonts w:hint="eastAsia" w:ascii="宋体" w:hAnsi="宋体"/>
          <w:color w:val="auto"/>
          <w:sz w:val="24"/>
          <w:szCs w:val="24"/>
          <w:highlight w:val="none"/>
        </w:rPr>
      </w:pPr>
    </w:p>
    <w:p w14:paraId="0310C3E8">
      <w:pPr>
        <w:tabs>
          <w:tab w:val="left" w:pos="5380"/>
          <w:tab w:val="left" w:pos="6520"/>
          <w:tab w:val="left" w:pos="7680"/>
        </w:tabs>
        <w:autoSpaceDE w:val="0"/>
        <w:autoSpaceDN w:val="0"/>
        <w:adjustRightInd w:val="0"/>
        <w:ind w:right="-20" w:firstLine="5040" w:firstLineChars="21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u w:val="single"/>
        </w:rPr>
        <w:t xml:space="preserve">     </w:t>
      </w:r>
      <w:r>
        <w:rPr>
          <w:rFonts w:hint="eastAsia" w:ascii="宋体" w:hAnsi="宋体" w:cs="宋体"/>
          <w:color w:val="auto"/>
          <w:spacing w:val="43"/>
          <w:kern w:val="0"/>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日</w:t>
      </w:r>
    </w:p>
    <w:p w14:paraId="1983512D">
      <w:pPr>
        <w:tabs>
          <w:tab w:val="left" w:pos="5340"/>
          <w:tab w:val="left" w:pos="6180"/>
          <w:tab w:val="left" w:pos="7020"/>
        </w:tabs>
        <w:autoSpaceDE w:val="0"/>
        <w:autoSpaceDN w:val="0"/>
        <w:adjustRightInd w:val="0"/>
        <w:ind w:left="4721" w:right="-20"/>
        <w:rPr>
          <w:rFonts w:hint="eastAsia" w:ascii="宋体" w:hAnsi="宋体" w:cs="宋体"/>
          <w:color w:val="auto"/>
          <w:kern w:val="0"/>
          <w:sz w:val="24"/>
          <w:szCs w:val="24"/>
          <w:highlight w:val="none"/>
        </w:rPr>
      </w:pPr>
    </w:p>
    <w:p w14:paraId="7D78F2B6">
      <w:pPr>
        <w:tabs>
          <w:tab w:val="left" w:pos="5340"/>
          <w:tab w:val="left" w:pos="6180"/>
          <w:tab w:val="left" w:pos="7020"/>
        </w:tabs>
        <w:autoSpaceDE w:val="0"/>
        <w:autoSpaceDN w:val="0"/>
        <w:adjustRightInd w:val="0"/>
        <w:ind w:left="4721" w:right="-20"/>
        <w:rPr>
          <w:rFonts w:hint="eastAsia" w:ascii="宋体" w:hAnsi="宋体" w:cs="宋体"/>
          <w:color w:val="auto"/>
          <w:kern w:val="0"/>
          <w:szCs w:val="21"/>
          <w:highlight w:val="none"/>
        </w:rPr>
      </w:pPr>
    </w:p>
    <w:p w14:paraId="759C3F15">
      <w:pPr>
        <w:pStyle w:val="4"/>
        <w:numPr>
          <w:ilvl w:val="0"/>
          <w:numId w:val="21"/>
        </w:numPr>
        <w:bidi w:val="0"/>
        <w:ind w:left="0" w:leftChars="0" w:firstLine="420" w:firstLineChars="0"/>
        <w:jc w:val="center"/>
        <w:rPr>
          <w:rFonts w:hint="eastAsia" w:ascii="宋体" w:hAnsi="宋体" w:eastAsia="宋体" w:cs="Times New Roman"/>
          <w:bCs w:val="0"/>
          <w:color w:val="auto"/>
          <w:sz w:val="24"/>
          <w:szCs w:val="24"/>
          <w:highlight w:val="none"/>
          <w:lang w:val="en-US" w:eastAsia="zh-CN"/>
        </w:rPr>
      </w:pPr>
      <w:r>
        <w:rPr>
          <w:rFonts w:hint="eastAsia"/>
          <w:color w:val="auto"/>
          <w:highlight w:val="none"/>
        </w:rPr>
        <w:br w:type="page"/>
      </w:r>
      <w:bookmarkStart w:id="1720" w:name="_Toc18503"/>
      <w:bookmarkStart w:id="1721" w:name="_Toc11845"/>
      <w:bookmarkStart w:id="1722" w:name="_Toc22029"/>
      <w:bookmarkStart w:id="1723" w:name="_Toc265572092"/>
      <w:r>
        <w:rPr>
          <w:rFonts w:hint="eastAsia"/>
          <w:lang w:val="en-US" w:eastAsia="zh-CN"/>
        </w:rPr>
        <w:t>授权委托书</w:t>
      </w:r>
    </w:p>
    <w:p w14:paraId="60E9CE43">
      <w:pPr>
        <w:wordWrap w:val="0"/>
        <w:topLinePunct/>
        <w:spacing w:line="360" w:lineRule="auto"/>
        <w:ind w:firstLine="480" w:firstLineChars="200"/>
        <w:rPr>
          <w:rFonts w:hint="eastAsia" w:ascii="宋体" w:hAnsi="宋体" w:eastAsia="宋体" w:cs="宋体"/>
          <w:color w:val="auto"/>
          <w:sz w:val="24"/>
          <w:szCs w:val="24"/>
          <w:highlight w:val="none"/>
        </w:rPr>
      </w:pPr>
    </w:p>
    <w:p w14:paraId="2F033F0C">
      <w:pPr>
        <w:wordWrap w:val="0"/>
        <w:topLinePunct/>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（供应商名称）的法定代表人，现委托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（姓名）为我方代理人。代理人根据授权，以我方名义签署、澄清、说明、补正、递交、撤回、修改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、签订合同和处理有关事宜，其法律后果由我方承担。</w:t>
      </w:r>
    </w:p>
    <w:p w14:paraId="7E5F9020">
      <w:pPr>
        <w:wordWrap w:val="0"/>
        <w:topLinePunct/>
        <w:spacing w:before="156" w:beforeLines="50"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AC00A19">
      <w:pPr>
        <w:wordWrap w:val="0"/>
        <w:topLinePunct/>
        <w:spacing w:before="312" w:beforeLines="100" w:after="312" w:afterLines="100"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代理人无转委托权。</w:t>
      </w:r>
    </w:p>
    <w:p w14:paraId="3E34122E">
      <w:pPr>
        <w:wordWrap w:val="0"/>
        <w:topLinePunct/>
        <w:spacing w:after="312" w:afterLines="100"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附：委托代理人身份证</w:t>
      </w:r>
      <w:r>
        <w:rPr>
          <w:rFonts w:hint="eastAsia" w:ascii="宋体" w:hAnsi="宋体" w:eastAsia="宋体" w:cs="Times New Roman"/>
          <w:color w:val="auto"/>
          <w:sz w:val="24"/>
          <w:szCs w:val="24"/>
          <w:highlight w:val="none"/>
        </w:rPr>
        <w:t>扫描件</w:t>
      </w:r>
    </w:p>
    <w:p w14:paraId="78AB299C">
      <w:pPr>
        <w:wordWrap w:val="0"/>
        <w:topLinePunct/>
        <w:spacing w:line="360" w:lineRule="auto"/>
        <w:rPr>
          <w:rFonts w:ascii="宋体" w:hAnsi="宋体" w:eastAsia="宋体" w:cs="宋体"/>
          <w:color w:val="auto"/>
          <w:sz w:val="22"/>
          <w:szCs w:val="20"/>
          <w:highlight w:val="none"/>
        </w:rPr>
      </w:pPr>
    </w:p>
    <w:p w14:paraId="684F136D">
      <w:pPr>
        <w:wordWrap w:val="0"/>
        <w:topLinePunct/>
        <w:spacing w:line="360" w:lineRule="auto"/>
        <w:rPr>
          <w:rFonts w:ascii="宋体" w:hAnsi="宋体" w:eastAsia="宋体" w:cs="宋体"/>
          <w:color w:val="auto"/>
          <w:sz w:val="22"/>
          <w:szCs w:val="20"/>
          <w:highlight w:val="none"/>
        </w:rPr>
      </w:pPr>
    </w:p>
    <w:p w14:paraId="166A14B6">
      <w:pPr>
        <w:wordWrap w:val="0"/>
        <w:topLinePunct/>
        <w:spacing w:line="360" w:lineRule="auto"/>
        <w:rPr>
          <w:rFonts w:ascii="宋体" w:hAnsi="宋体" w:eastAsia="宋体" w:cs="宋体"/>
          <w:color w:val="auto"/>
          <w:sz w:val="22"/>
          <w:szCs w:val="20"/>
          <w:highlight w:val="none"/>
        </w:rPr>
      </w:pPr>
    </w:p>
    <w:p w14:paraId="39013675">
      <w:pPr>
        <w:wordWrap w:val="0"/>
        <w:topLinePunct/>
        <w:spacing w:line="360" w:lineRule="auto"/>
        <w:rPr>
          <w:rFonts w:ascii="宋体" w:hAnsi="宋体" w:eastAsia="宋体" w:cs="宋体"/>
          <w:color w:val="auto"/>
          <w:sz w:val="22"/>
          <w:szCs w:val="20"/>
          <w:highlight w:val="none"/>
        </w:rPr>
      </w:pPr>
    </w:p>
    <w:p w14:paraId="694ED745">
      <w:pPr>
        <w:wordWrap w:val="0"/>
        <w:topLinePunct/>
        <w:spacing w:line="360" w:lineRule="auto"/>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458CE3DC">
      <w:pPr>
        <w:wordWrap w:val="0"/>
        <w:topLinePunct/>
        <w:spacing w:line="360" w:lineRule="auto"/>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432AEFA6">
      <w:pPr>
        <w:tabs>
          <w:tab w:val="left" w:pos="5380"/>
          <w:tab w:val="left" w:pos="6520"/>
          <w:tab w:val="left" w:pos="7680"/>
        </w:tabs>
        <w:wordWrap w:val="0"/>
        <w:topLinePunct/>
        <w:autoSpaceDE w:val="0"/>
        <w:autoSpaceDN w:val="0"/>
        <w:adjustRightInd w:val="0"/>
        <w:spacing w:line="360" w:lineRule="auto"/>
        <w:ind w:right="-20" w:firstLine="1200" w:firstLineChars="500"/>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spacing w:val="43"/>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3CE6FC17">
      <w:pPr>
        <w:wordWrap w:val="0"/>
        <w:topLinePunct/>
        <w:spacing w:before="312" w:beforeLines="100" w:after="156" w:afterLines="50" w:line="360" w:lineRule="auto"/>
        <w:rPr>
          <w:rFonts w:ascii="宋体" w:hAnsi="宋体" w:eastAsia="宋体" w:cs="宋体"/>
          <w:color w:val="auto"/>
          <w:szCs w:val="21"/>
          <w:highlight w:val="none"/>
        </w:rPr>
      </w:pPr>
    </w:p>
    <w:p w14:paraId="54ACEC0F">
      <w:pPr>
        <w:wordWrap w:val="0"/>
        <w:topLinePunct/>
        <w:spacing w:before="312" w:beforeLines="100" w:after="156" w:afterLines="50" w:line="360" w:lineRule="auto"/>
        <w:rPr>
          <w:rFonts w:ascii="宋体" w:hAnsi="宋体" w:eastAsia="宋体" w:cs="宋体"/>
          <w:color w:val="auto"/>
          <w:szCs w:val="21"/>
          <w:highlight w:val="none"/>
        </w:rPr>
      </w:pPr>
    </w:p>
    <w:p w14:paraId="02EA475B">
      <w:pPr>
        <w:wordWrap w:val="0"/>
        <w:topLinePunct/>
        <w:spacing w:before="312" w:beforeLines="100" w:after="156" w:afterLines="50" w:line="360" w:lineRule="auto"/>
        <w:rPr>
          <w:rFonts w:ascii="宋体" w:hAnsi="宋体" w:eastAsia="宋体" w:cs="宋体"/>
          <w:color w:val="auto"/>
          <w:szCs w:val="21"/>
          <w:highlight w:val="none"/>
        </w:rPr>
      </w:pPr>
    </w:p>
    <w:p w14:paraId="00F20669">
      <w:pPr>
        <w:spacing w:line="360" w:lineRule="auto"/>
        <w:ind w:firstLine="480"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说明</w:t>
      </w:r>
      <w:r>
        <w:rPr>
          <w:rFonts w:hint="eastAsia" w:ascii="宋体" w:hAnsi="宋体" w:cs="宋体"/>
          <w:b/>
          <w:bCs/>
          <w:color w:val="auto"/>
          <w:sz w:val="24"/>
          <w:szCs w:val="24"/>
          <w:highlight w:val="none"/>
        </w:rPr>
        <w:t>：如为</w:t>
      </w:r>
      <w:r>
        <w:rPr>
          <w:rFonts w:hint="eastAsia" w:ascii="宋体" w:hAnsi="宋体" w:cs="宋体"/>
          <w:b/>
          <w:bCs/>
          <w:color w:val="auto"/>
          <w:sz w:val="24"/>
          <w:szCs w:val="24"/>
          <w:highlight w:val="none"/>
          <w:lang w:eastAsia="zh-CN"/>
        </w:rPr>
        <w:t>法定代表人</w:t>
      </w:r>
      <w:r>
        <w:rPr>
          <w:rFonts w:hint="eastAsia" w:ascii="宋体" w:hAnsi="宋体" w:cs="宋体"/>
          <w:b/>
          <w:bCs/>
          <w:color w:val="auto"/>
          <w:sz w:val="24"/>
          <w:szCs w:val="24"/>
          <w:highlight w:val="none"/>
        </w:rPr>
        <w:t>参与投标，无委托代理人的，</w:t>
      </w:r>
      <w:r>
        <w:rPr>
          <w:rFonts w:hint="eastAsia" w:ascii="宋体" w:hAnsi="宋体" w:cs="宋体"/>
          <w:b/>
          <w:bCs/>
          <w:color w:val="auto"/>
          <w:sz w:val="24"/>
          <w:szCs w:val="24"/>
          <w:highlight w:val="none"/>
          <w:lang w:eastAsia="zh-CN"/>
        </w:rPr>
        <w:t>响应</w:t>
      </w:r>
      <w:r>
        <w:rPr>
          <w:rFonts w:hint="eastAsia" w:ascii="宋体" w:hAnsi="宋体" w:cs="宋体"/>
          <w:b/>
          <w:bCs/>
          <w:color w:val="auto"/>
          <w:sz w:val="24"/>
          <w:szCs w:val="24"/>
          <w:highlight w:val="none"/>
        </w:rPr>
        <w:t>文件中可以删除此授权委托书。</w:t>
      </w:r>
    </w:p>
    <w:p w14:paraId="2AB2F44F">
      <w:pPr>
        <w:bidi w:val="0"/>
        <w:rPr>
          <w:rFonts w:hint="eastAsia"/>
          <w:lang w:val="en-US" w:eastAsia="zh-CN"/>
        </w:rPr>
      </w:pPr>
    </w:p>
    <w:p w14:paraId="3B69260B">
      <w:pPr>
        <w:pStyle w:val="3"/>
        <w:numPr>
          <w:ilvl w:val="0"/>
          <w:numId w:val="18"/>
        </w:numPr>
        <w:bidi w:val="0"/>
        <w:rPr>
          <w:rFonts w:hint="eastAsia" w:ascii="宋体" w:hAnsi="宋体" w:eastAsia="宋体" w:cs="Times New Roman"/>
          <w:bCs w:val="0"/>
          <w:color w:val="auto"/>
          <w:sz w:val="24"/>
          <w:szCs w:val="24"/>
          <w:highlight w:val="none"/>
          <w:lang w:val="en-US" w:eastAsia="zh-CN"/>
        </w:rPr>
      </w:pPr>
      <w:r>
        <w:rPr>
          <w:rFonts w:hint="eastAsia"/>
          <w:color w:val="auto"/>
          <w:highlight w:val="none"/>
        </w:rPr>
        <w:br w:type="page"/>
      </w:r>
      <w:r>
        <w:rPr>
          <w:rFonts w:hint="eastAsia" w:ascii="宋体" w:hAnsi="宋体" w:eastAsia="宋体" w:cs="宋体"/>
          <w:bCs/>
          <w:lang w:val="zh-CN" w:eastAsia="zh-CN"/>
        </w:rPr>
        <w:t>响应承诺函</w:t>
      </w:r>
      <w:bookmarkEnd w:id="1720"/>
      <w:bookmarkEnd w:id="1721"/>
    </w:p>
    <w:p w14:paraId="31528697">
      <w:pPr>
        <w:keepNext w:val="0"/>
        <w:keepLines w:val="0"/>
        <w:pageBreakBefore w:val="0"/>
        <w:widowControl w:val="0"/>
        <w:kinsoku/>
        <w:wordWrap/>
        <w:overflowPunct/>
        <w:topLinePunct w:val="0"/>
        <w:bidi w:val="0"/>
        <w:snapToGrid/>
        <w:spacing w:line="360" w:lineRule="auto"/>
        <w:textAlignment w:val="auto"/>
        <w:rPr>
          <w:rFonts w:hint="eastAsia" w:ascii="宋体" w:hAnsi="宋体"/>
          <w:color w:val="000000"/>
          <w:sz w:val="24"/>
          <w:szCs w:val="24"/>
          <w:highlight w:val="none"/>
        </w:rPr>
      </w:pPr>
      <w:r>
        <w:rPr>
          <w:rFonts w:hint="eastAsia"/>
          <w:sz w:val="24"/>
          <w:szCs w:val="24"/>
          <w:highlight w:val="none"/>
          <w:u w:val="single"/>
          <w:lang w:val="en-US" w:eastAsia="zh-CN"/>
        </w:rPr>
        <w:t xml:space="preserve">                   </w:t>
      </w:r>
      <w:r>
        <w:rPr>
          <w:rFonts w:hint="eastAsia" w:ascii="宋体" w:hAnsi="宋体"/>
          <w:color w:val="000000"/>
          <w:sz w:val="24"/>
          <w:szCs w:val="24"/>
          <w:highlight w:val="none"/>
        </w:rPr>
        <w:t>（采购人或采购代理机构）：</w:t>
      </w:r>
    </w:p>
    <w:p w14:paraId="56B4E0B8">
      <w:pPr>
        <w:pStyle w:val="22"/>
        <w:keepNext w:val="0"/>
        <w:keepLines w:val="0"/>
        <w:pageBreakBefore w:val="0"/>
        <w:widowControl w:val="0"/>
        <w:kinsoku/>
        <w:wordWrap/>
        <w:overflowPunct/>
        <w:topLinePunct w:val="0"/>
        <w:bidi w:val="0"/>
        <w:snapToGrid/>
        <w:spacing w:line="360" w:lineRule="auto"/>
        <w:ind w:firstLine="480" w:firstLineChars="200"/>
        <w:textAlignment w:val="auto"/>
        <w:rPr>
          <w:rFonts w:hint="eastAsia"/>
          <w:color w:val="000000"/>
          <w:sz w:val="24"/>
          <w:szCs w:val="24"/>
          <w:highlight w:val="none"/>
          <w:lang w:eastAsia="zh-CN"/>
        </w:rPr>
      </w:pPr>
      <w:r>
        <w:rPr>
          <w:rFonts w:hint="eastAsia"/>
          <w:color w:val="000000"/>
          <w:sz w:val="24"/>
          <w:szCs w:val="24"/>
          <w:highlight w:val="none"/>
          <w:lang w:eastAsia="zh-CN"/>
        </w:rPr>
        <w:t>我单位在此郑重承诺</w:t>
      </w:r>
      <w:r>
        <w:rPr>
          <w:rFonts w:hint="eastAsia"/>
          <w:color w:val="000000"/>
          <w:sz w:val="24"/>
          <w:szCs w:val="24"/>
          <w:highlight w:val="none"/>
          <w:lang w:val="en-US" w:eastAsia="zh-CN"/>
        </w:rPr>
        <w:t>,</w:t>
      </w:r>
      <w:r>
        <w:rPr>
          <w:rFonts w:hint="eastAsia"/>
          <w:color w:val="000000"/>
          <w:sz w:val="24"/>
          <w:szCs w:val="24"/>
          <w:highlight w:val="none"/>
          <w:lang w:eastAsia="zh-CN"/>
        </w:rPr>
        <w:t>如有以下情形之一的：</w:t>
      </w:r>
    </w:p>
    <w:p w14:paraId="60A66FFB">
      <w:pPr>
        <w:keepNext w:val="0"/>
        <w:keepLines w:val="0"/>
        <w:pageBreakBefore w:val="0"/>
        <w:widowControl w:val="0"/>
        <w:numPr>
          <w:ilvl w:val="0"/>
          <w:numId w:val="22"/>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在</w:t>
      </w:r>
      <w:r>
        <w:rPr>
          <w:rFonts w:hint="eastAsia" w:ascii="宋体" w:hAnsi="宋体" w:cs="微软雅黑"/>
          <w:kern w:val="0"/>
          <w:sz w:val="24"/>
          <w:szCs w:val="24"/>
          <w:highlight w:val="none"/>
          <w:lang w:val="en-US" w:eastAsia="zh-CN"/>
        </w:rPr>
        <w:t>竞争性磋商文件</w:t>
      </w:r>
      <w:r>
        <w:rPr>
          <w:rFonts w:hint="eastAsia" w:ascii="宋体" w:hAnsi="宋体" w:cs="微软雅黑"/>
          <w:kern w:val="0"/>
          <w:sz w:val="24"/>
          <w:szCs w:val="24"/>
          <w:highlight w:val="none"/>
        </w:rPr>
        <w:t>规定的</w:t>
      </w:r>
      <w:r>
        <w:rPr>
          <w:rFonts w:hint="eastAsia" w:ascii="宋体" w:hAnsi="宋体" w:cs="微软雅黑"/>
          <w:kern w:val="0"/>
          <w:sz w:val="24"/>
          <w:szCs w:val="24"/>
          <w:highlight w:val="none"/>
          <w:lang w:eastAsia="zh-CN"/>
        </w:rPr>
        <w:t>磋商</w:t>
      </w:r>
      <w:r>
        <w:rPr>
          <w:rFonts w:hint="eastAsia" w:ascii="宋体" w:hAnsi="宋体" w:cs="微软雅黑"/>
          <w:kern w:val="0"/>
          <w:sz w:val="24"/>
          <w:szCs w:val="24"/>
          <w:highlight w:val="none"/>
        </w:rPr>
        <w:t>有效期内撤回</w:t>
      </w:r>
      <w:r>
        <w:rPr>
          <w:rFonts w:hint="eastAsia" w:cs="微软雅黑"/>
          <w:kern w:val="0"/>
          <w:sz w:val="24"/>
          <w:szCs w:val="24"/>
          <w:highlight w:val="none"/>
          <w:lang w:eastAsia="zh-CN"/>
        </w:rPr>
        <w:t>响应文件</w:t>
      </w:r>
      <w:r>
        <w:rPr>
          <w:rFonts w:hint="eastAsia" w:ascii="宋体" w:hAnsi="宋体" w:cs="微软雅黑"/>
          <w:kern w:val="0"/>
          <w:sz w:val="24"/>
          <w:szCs w:val="24"/>
          <w:highlight w:val="none"/>
        </w:rPr>
        <w:t>；</w:t>
      </w:r>
    </w:p>
    <w:p w14:paraId="6E300855">
      <w:pPr>
        <w:keepNext w:val="0"/>
        <w:keepLines w:val="0"/>
        <w:pageBreakBefore w:val="0"/>
        <w:widowControl w:val="0"/>
        <w:numPr>
          <w:ilvl w:val="0"/>
          <w:numId w:val="22"/>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在</w:t>
      </w:r>
      <w:r>
        <w:rPr>
          <w:rFonts w:hint="eastAsia" w:ascii="宋体" w:hAnsi="宋体" w:cs="微软雅黑"/>
          <w:kern w:val="0"/>
          <w:sz w:val="24"/>
          <w:szCs w:val="24"/>
          <w:highlight w:val="none"/>
          <w:lang w:eastAsia="zh-CN"/>
        </w:rPr>
        <w:t>响应文件</w:t>
      </w:r>
      <w:r>
        <w:rPr>
          <w:rFonts w:hint="eastAsia" w:ascii="宋体" w:hAnsi="宋体" w:cs="微软雅黑"/>
          <w:kern w:val="0"/>
          <w:sz w:val="24"/>
          <w:szCs w:val="24"/>
          <w:highlight w:val="none"/>
        </w:rPr>
        <w:t>中提供虚假材料；</w:t>
      </w:r>
    </w:p>
    <w:p w14:paraId="20F48E3C">
      <w:pPr>
        <w:keepNext w:val="0"/>
        <w:keepLines w:val="0"/>
        <w:pageBreakBefore w:val="0"/>
        <w:widowControl w:val="0"/>
        <w:numPr>
          <w:ilvl w:val="0"/>
          <w:numId w:val="22"/>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lang w:eastAsia="zh-CN"/>
        </w:rPr>
        <w:t>成交</w:t>
      </w:r>
      <w:r>
        <w:rPr>
          <w:rFonts w:hint="eastAsia" w:ascii="宋体" w:hAnsi="宋体" w:cs="微软雅黑"/>
          <w:kern w:val="0"/>
          <w:sz w:val="24"/>
          <w:szCs w:val="24"/>
          <w:highlight w:val="none"/>
        </w:rPr>
        <w:t>后无正当理由不与采购人或者采购代理机构签订合同；</w:t>
      </w:r>
    </w:p>
    <w:p w14:paraId="5F963CC9">
      <w:pPr>
        <w:keepNext w:val="0"/>
        <w:keepLines w:val="0"/>
        <w:pageBreakBefore w:val="0"/>
        <w:widowControl w:val="0"/>
        <w:numPr>
          <w:ilvl w:val="0"/>
          <w:numId w:val="22"/>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将</w:t>
      </w:r>
      <w:r>
        <w:rPr>
          <w:rFonts w:hint="eastAsia" w:ascii="宋体" w:hAnsi="宋体" w:cs="微软雅黑"/>
          <w:kern w:val="0"/>
          <w:sz w:val="24"/>
          <w:szCs w:val="24"/>
          <w:highlight w:val="none"/>
          <w:lang w:eastAsia="zh-CN"/>
        </w:rPr>
        <w:t>成交</w:t>
      </w:r>
      <w:r>
        <w:rPr>
          <w:rFonts w:hint="eastAsia" w:ascii="宋体" w:hAnsi="宋体" w:cs="微软雅黑"/>
          <w:kern w:val="0"/>
          <w:sz w:val="24"/>
          <w:szCs w:val="24"/>
          <w:highlight w:val="none"/>
        </w:rPr>
        <w:t>项目转让给他人</w:t>
      </w: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rPr>
        <w:t>或者在</w:t>
      </w:r>
      <w:r>
        <w:rPr>
          <w:rFonts w:hint="eastAsia" w:ascii="宋体" w:hAnsi="宋体" w:cs="微软雅黑"/>
          <w:kern w:val="0"/>
          <w:sz w:val="24"/>
          <w:szCs w:val="24"/>
          <w:highlight w:val="none"/>
          <w:lang w:eastAsia="zh-CN"/>
        </w:rPr>
        <w:t>响应</w:t>
      </w:r>
      <w:r>
        <w:rPr>
          <w:rFonts w:hint="eastAsia" w:ascii="宋体" w:hAnsi="宋体" w:cs="微软雅黑"/>
          <w:kern w:val="0"/>
          <w:sz w:val="24"/>
          <w:szCs w:val="24"/>
          <w:highlight w:val="none"/>
        </w:rPr>
        <w:t>文件中未说明</w:t>
      </w: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rPr>
        <w:t>且未经采购人同意</w:t>
      </w: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rPr>
        <w:t>将</w:t>
      </w:r>
      <w:r>
        <w:rPr>
          <w:rFonts w:hint="eastAsia" w:ascii="宋体" w:hAnsi="宋体" w:cs="微软雅黑"/>
          <w:kern w:val="0"/>
          <w:sz w:val="24"/>
          <w:szCs w:val="24"/>
          <w:highlight w:val="none"/>
          <w:lang w:eastAsia="zh-CN"/>
        </w:rPr>
        <w:t>成交</w:t>
      </w:r>
      <w:r>
        <w:rPr>
          <w:rFonts w:hint="eastAsia" w:ascii="宋体" w:hAnsi="宋体" w:cs="微软雅黑"/>
          <w:kern w:val="0"/>
          <w:sz w:val="24"/>
          <w:szCs w:val="24"/>
          <w:highlight w:val="none"/>
        </w:rPr>
        <w:t>项目分包给他人的；</w:t>
      </w:r>
    </w:p>
    <w:p w14:paraId="29110575">
      <w:pPr>
        <w:keepNext w:val="0"/>
        <w:keepLines w:val="0"/>
        <w:pageBreakBefore w:val="0"/>
        <w:widowControl w:val="0"/>
        <w:numPr>
          <w:ilvl w:val="0"/>
          <w:numId w:val="22"/>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拒绝履行合同义务；</w:t>
      </w:r>
    </w:p>
    <w:p w14:paraId="40B84C7C">
      <w:pPr>
        <w:keepNext w:val="0"/>
        <w:keepLines w:val="0"/>
        <w:pageBreakBefore w:val="0"/>
        <w:widowControl w:val="0"/>
        <w:numPr>
          <w:ilvl w:val="0"/>
          <w:numId w:val="22"/>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与采购人、其他</w:t>
      </w:r>
      <w:r>
        <w:rPr>
          <w:rFonts w:hint="eastAsia" w:ascii="宋体" w:hAnsi="宋体" w:cs="微软雅黑"/>
          <w:kern w:val="0"/>
          <w:sz w:val="24"/>
          <w:szCs w:val="24"/>
          <w:highlight w:val="none"/>
          <w:lang w:eastAsia="zh-CN"/>
        </w:rPr>
        <w:t>供应商或者采购代理机构</w:t>
      </w:r>
      <w:r>
        <w:rPr>
          <w:rFonts w:hint="eastAsia" w:ascii="宋体" w:hAnsi="宋体" w:cs="微软雅黑"/>
          <w:kern w:val="0"/>
          <w:sz w:val="24"/>
          <w:szCs w:val="24"/>
          <w:highlight w:val="none"/>
        </w:rPr>
        <w:t>恶意串通；</w:t>
      </w:r>
    </w:p>
    <w:p w14:paraId="3B508C68">
      <w:pPr>
        <w:keepNext w:val="0"/>
        <w:keepLines w:val="0"/>
        <w:pageBreakBefore w:val="0"/>
        <w:widowControl w:val="0"/>
        <w:numPr>
          <w:ilvl w:val="0"/>
          <w:numId w:val="22"/>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rPr>
      </w:pPr>
      <w:r>
        <w:rPr>
          <w:rFonts w:hint="eastAsia" w:ascii="宋体" w:hAnsi="宋体" w:cs="微软雅黑"/>
          <w:kern w:val="0"/>
          <w:sz w:val="24"/>
          <w:szCs w:val="24"/>
          <w:highlight w:val="none"/>
        </w:rPr>
        <w:t>在履约过程中未按</w:t>
      </w:r>
      <w:r>
        <w:rPr>
          <w:rFonts w:hint="eastAsia" w:ascii="宋体" w:hAnsi="宋体" w:cs="微软雅黑"/>
          <w:kern w:val="0"/>
          <w:sz w:val="24"/>
          <w:szCs w:val="24"/>
          <w:highlight w:val="none"/>
          <w:lang w:val="en-US" w:eastAsia="zh-CN"/>
        </w:rPr>
        <w:t>竞争性磋商文件</w:t>
      </w:r>
      <w:r>
        <w:rPr>
          <w:rFonts w:hint="eastAsia" w:cs="微软雅黑"/>
          <w:kern w:val="0"/>
          <w:sz w:val="24"/>
          <w:szCs w:val="24"/>
          <w:highlight w:val="none"/>
          <w:lang w:val="en-US" w:eastAsia="zh-CN"/>
        </w:rPr>
        <w:t>、响应文件、</w:t>
      </w:r>
      <w:r>
        <w:rPr>
          <w:rFonts w:hint="eastAsia" w:ascii="宋体" w:hAnsi="宋体" w:cs="微软雅黑"/>
          <w:kern w:val="0"/>
          <w:sz w:val="24"/>
          <w:szCs w:val="24"/>
          <w:highlight w:val="none"/>
        </w:rPr>
        <w:t>生效的政府采购合同等约定,提供货物、工程和服务；</w:t>
      </w:r>
    </w:p>
    <w:p w14:paraId="11F5F4BA">
      <w:pPr>
        <w:keepNext w:val="0"/>
        <w:keepLines w:val="0"/>
        <w:pageBreakBefore w:val="0"/>
        <w:widowControl w:val="0"/>
        <w:numPr>
          <w:ilvl w:val="0"/>
          <w:numId w:val="22"/>
        </w:numPr>
        <w:kinsoku/>
        <w:wordWrap/>
        <w:overflowPunct/>
        <w:topLinePunct w:val="0"/>
        <w:autoSpaceDE w:val="0"/>
        <w:autoSpaceDN w:val="0"/>
        <w:bidi w:val="0"/>
        <w:adjustRightInd w:val="0"/>
        <w:snapToGrid/>
        <w:spacing w:line="360" w:lineRule="auto"/>
        <w:ind w:left="0" w:leftChars="0" w:right="40" w:firstLine="480" w:firstLineChars="200"/>
        <w:jc w:val="left"/>
        <w:textAlignment w:val="auto"/>
        <w:outlineLvl w:val="9"/>
        <w:rPr>
          <w:rFonts w:hint="eastAsia" w:ascii="宋体" w:hAnsi="宋体" w:cs="微软雅黑"/>
          <w:kern w:val="0"/>
          <w:sz w:val="24"/>
          <w:szCs w:val="24"/>
          <w:highlight w:val="none"/>
          <w:lang w:eastAsia="zh-CN"/>
        </w:rPr>
      </w:pPr>
      <w:r>
        <w:rPr>
          <w:rFonts w:hint="eastAsia" w:ascii="宋体" w:hAnsi="宋体" w:cs="微软雅黑"/>
          <w:kern w:val="0"/>
          <w:sz w:val="24"/>
          <w:szCs w:val="24"/>
          <w:highlight w:val="none"/>
          <w:lang w:eastAsia="zh-CN"/>
        </w:rPr>
        <w:t>未按</w:t>
      </w:r>
      <w:r>
        <w:rPr>
          <w:rFonts w:hint="eastAsia" w:ascii="宋体" w:hAnsi="宋体" w:cs="微软雅黑"/>
          <w:kern w:val="0"/>
          <w:sz w:val="24"/>
          <w:szCs w:val="24"/>
          <w:highlight w:val="none"/>
          <w:lang w:val="en-US" w:eastAsia="zh-CN"/>
        </w:rPr>
        <w:t>竞争性磋商文件</w:t>
      </w:r>
      <w:r>
        <w:rPr>
          <w:rFonts w:hint="eastAsia" w:ascii="宋体" w:hAnsi="宋体" w:cs="微软雅黑"/>
          <w:kern w:val="0"/>
          <w:sz w:val="24"/>
          <w:szCs w:val="24"/>
          <w:highlight w:val="none"/>
          <w:lang w:eastAsia="zh-CN"/>
        </w:rPr>
        <w:t>规定缴纳招标代理服务费；</w:t>
      </w:r>
    </w:p>
    <w:p w14:paraId="20AA9E36">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right="40" w:rightChars="0"/>
        <w:jc w:val="left"/>
        <w:textAlignment w:val="auto"/>
        <w:outlineLvl w:val="9"/>
        <w:rPr>
          <w:rFonts w:hint="eastAsia" w:ascii="宋体" w:hAnsi="宋体" w:cs="微软雅黑"/>
          <w:kern w:val="0"/>
          <w:sz w:val="24"/>
          <w:szCs w:val="24"/>
          <w:highlight w:val="none"/>
          <w:lang w:eastAsia="zh-CN"/>
        </w:rPr>
      </w:pP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lang w:val="en-US" w:eastAsia="zh-CN"/>
        </w:rPr>
        <w:t>10</w:t>
      </w:r>
      <w:r>
        <w:rPr>
          <w:rFonts w:hint="eastAsia" w:ascii="宋体" w:hAnsi="宋体" w:cs="微软雅黑"/>
          <w:kern w:val="0"/>
          <w:sz w:val="24"/>
          <w:szCs w:val="24"/>
          <w:highlight w:val="none"/>
          <w:lang w:eastAsia="zh-CN"/>
        </w:rPr>
        <w:t>）</w:t>
      </w:r>
      <w:r>
        <w:rPr>
          <w:rFonts w:hint="eastAsia" w:ascii="宋体" w:hAnsi="宋体" w:cs="微软雅黑"/>
          <w:kern w:val="0"/>
          <w:sz w:val="24"/>
          <w:szCs w:val="24"/>
          <w:highlight w:val="none"/>
        </w:rPr>
        <w:t>存在其他违法违规行为。</w:t>
      </w:r>
    </w:p>
    <w:p w14:paraId="21CFE5A6">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right="40" w:rightChars="0" w:firstLine="480" w:firstLineChars="200"/>
        <w:jc w:val="left"/>
        <w:textAlignment w:val="auto"/>
        <w:outlineLvl w:val="9"/>
        <w:rPr>
          <w:rFonts w:hint="eastAsia"/>
          <w:color w:val="000000"/>
          <w:sz w:val="24"/>
          <w:szCs w:val="24"/>
          <w:highlight w:val="none"/>
          <w:lang w:eastAsia="zh-CN"/>
        </w:rPr>
      </w:pPr>
      <w:r>
        <w:rPr>
          <w:rFonts w:hint="eastAsia" w:ascii="宋体" w:hAnsi="宋体" w:cs="微软雅黑"/>
          <w:kern w:val="0"/>
          <w:sz w:val="24"/>
          <w:szCs w:val="24"/>
          <w:highlight w:val="none"/>
          <w:lang w:eastAsia="zh-CN"/>
        </w:rPr>
        <w:t>我单位</w:t>
      </w:r>
      <w:r>
        <w:rPr>
          <w:rFonts w:hint="eastAsia"/>
          <w:color w:val="000000"/>
          <w:sz w:val="24"/>
          <w:szCs w:val="24"/>
          <w:highlight w:val="none"/>
          <w:lang w:eastAsia="zh-CN"/>
        </w:rPr>
        <w:t>自愿接受被处以成交无效，采购金额千分之五以上千分之十以下的罚款并赔偿采购人及采购代理机构的损失</w:t>
      </w:r>
      <w:r>
        <w:rPr>
          <w:rFonts w:hint="eastAsia" w:ascii="宋体" w:hAnsi="宋体" w:cs="微软雅黑"/>
          <w:kern w:val="0"/>
          <w:sz w:val="24"/>
          <w:szCs w:val="24"/>
          <w:highlight w:val="none"/>
          <w:lang w:eastAsia="zh-CN"/>
        </w:rPr>
        <w:t>，</w:t>
      </w:r>
      <w:r>
        <w:rPr>
          <w:rFonts w:hint="eastAsia"/>
          <w:color w:val="000000"/>
          <w:sz w:val="24"/>
          <w:szCs w:val="24"/>
          <w:highlight w:val="none"/>
          <w:lang w:eastAsia="zh-CN"/>
        </w:rPr>
        <w:t>列入不良行为记录名单</w:t>
      </w:r>
      <w:r>
        <w:rPr>
          <w:rFonts w:hint="eastAsia" w:ascii="宋体" w:hAnsi="宋体" w:cs="微软雅黑"/>
          <w:kern w:val="0"/>
          <w:sz w:val="24"/>
          <w:szCs w:val="24"/>
          <w:highlight w:val="none"/>
          <w:lang w:eastAsia="zh-CN"/>
        </w:rPr>
        <w:t>，</w:t>
      </w:r>
      <w:r>
        <w:rPr>
          <w:rFonts w:hint="eastAsia"/>
          <w:color w:val="000000"/>
          <w:sz w:val="24"/>
          <w:szCs w:val="24"/>
          <w:highlight w:val="none"/>
          <w:lang w:eastAsia="zh-CN"/>
        </w:rPr>
        <w:t>在一至三年内禁止参加政府采购活动</w:t>
      </w:r>
      <w:r>
        <w:rPr>
          <w:rFonts w:hint="eastAsia" w:ascii="宋体" w:hAnsi="宋体" w:cs="微软雅黑"/>
          <w:kern w:val="0"/>
          <w:sz w:val="24"/>
          <w:szCs w:val="24"/>
          <w:highlight w:val="none"/>
          <w:lang w:eastAsia="zh-CN"/>
        </w:rPr>
        <w:t>，</w:t>
      </w:r>
      <w:r>
        <w:rPr>
          <w:rFonts w:hint="eastAsia"/>
          <w:color w:val="000000"/>
          <w:sz w:val="24"/>
          <w:szCs w:val="24"/>
          <w:highlight w:val="none"/>
          <w:lang w:eastAsia="zh-CN"/>
        </w:rPr>
        <w:t>有违法所得的</w:t>
      </w:r>
      <w:r>
        <w:rPr>
          <w:rFonts w:hint="eastAsia" w:ascii="宋体" w:hAnsi="宋体" w:cs="微软雅黑"/>
          <w:kern w:val="0"/>
          <w:sz w:val="24"/>
          <w:szCs w:val="24"/>
          <w:highlight w:val="none"/>
          <w:lang w:eastAsia="zh-CN"/>
        </w:rPr>
        <w:t>，</w:t>
      </w:r>
      <w:r>
        <w:rPr>
          <w:rFonts w:hint="eastAsia"/>
          <w:color w:val="000000"/>
          <w:sz w:val="24"/>
          <w:szCs w:val="24"/>
          <w:highlight w:val="none"/>
          <w:lang w:eastAsia="zh-CN"/>
        </w:rPr>
        <w:t>并处没收违法所得，情节严重的，由市场监督管理部门吊销营业执照；构成犯罪的，依法追究刑事责任。</w:t>
      </w:r>
    </w:p>
    <w:p w14:paraId="4F828EB6">
      <w:pPr>
        <w:pStyle w:val="22"/>
        <w:rPr>
          <w:rFonts w:hint="eastAsia"/>
          <w:sz w:val="24"/>
          <w:szCs w:val="24"/>
          <w:highlight w:val="none"/>
        </w:rPr>
      </w:pPr>
    </w:p>
    <w:p w14:paraId="1B942453">
      <w:pPr>
        <w:pStyle w:val="22"/>
        <w:rPr>
          <w:rFonts w:hint="eastAsia"/>
          <w:sz w:val="24"/>
          <w:szCs w:val="32"/>
          <w:highlight w:val="none"/>
          <w:lang w:eastAsia="zh-CN"/>
        </w:rPr>
      </w:pPr>
    </w:p>
    <w:p w14:paraId="315599AD">
      <w:pPr>
        <w:pStyle w:val="22"/>
        <w:rPr>
          <w:rFonts w:hint="eastAsia" w:ascii="宋体" w:hAnsi="宋体" w:eastAsia="宋体" w:cs="微软雅黑"/>
          <w:kern w:val="0"/>
          <w:sz w:val="24"/>
          <w:szCs w:val="24"/>
          <w:highlight w:val="none"/>
          <w:lang w:eastAsia="zh-CN"/>
        </w:rPr>
      </w:pPr>
    </w:p>
    <w:p w14:paraId="69112FB0">
      <w:pPr>
        <w:spacing w:line="480" w:lineRule="exact"/>
        <w:ind w:left="2880" w:leftChars="1200" w:firstLine="1440" w:firstLineChars="600"/>
        <w:rPr>
          <w:rFonts w:hint="eastAsia" w:ascii="宋体" w:hAnsi="宋体"/>
          <w:b w:val="0"/>
          <w:bCs/>
          <w:sz w:val="24"/>
          <w:szCs w:val="24"/>
          <w:highlight w:val="none"/>
        </w:rPr>
      </w:pPr>
      <w:r>
        <w:rPr>
          <w:rFonts w:hint="eastAsia" w:cs="微软雅黑"/>
          <w:kern w:val="0"/>
          <w:sz w:val="24"/>
          <w:szCs w:val="24"/>
          <w:highlight w:val="none"/>
          <w:lang w:eastAsia="zh-CN"/>
        </w:rPr>
        <w:t>供应商</w:t>
      </w:r>
      <w:r>
        <w:rPr>
          <w:rFonts w:hint="eastAsia" w:ascii="宋体" w:hAnsi="宋体"/>
          <w:b w:val="0"/>
          <w:bCs/>
          <w:sz w:val="24"/>
          <w:szCs w:val="24"/>
          <w:highlight w:val="none"/>
        </w:rPr>
        <w:t>：</w:t>
      </w:r>
      <w:r>
        <w:rPr>
          <w:rFonts w:hint="eastAsia" w:ascii="宋体" w:hAnsi="宋体"/>
          <w:b w:val="0"/>
          <w:bCs/>
          <w:sz w:val="24"/>
          <w:szCs w:val="24"/>
          <w:highlight w:val="none"/>
          <w:u w:val="single"/>
        </w:rPr>
        <w:t xml:space="preserve"> </w:t>
      </w:r>
      <w:r>
        <w:rPr>
          <w:rFonts w:hint="eastAsia" w:ascii="宋体" w:hAnsi="宋体"/>
          <w:b w:val="0"/>
          <w:bCs/>
          <w:sz w:val="24"/>
          <w:szCs w:val="24"/>
          <w:highlight w:val="none"/>
          <w:u w:val="single"/>
          <w:lang w:val="en-US" w:eastAsia="zh-CN"/>
        </w:rPr>
        <w:t xml:space="preserve">                     </w:t>
      </w:r>
      <w:r>
        <w:rPr>
          <w:rFonts w:hint="eastAsia" w:ascii="宋体" w:hAnsi="宋体"/>
          <w:b w:val="0"/>
          <w:bCs/>
          <w:sz w:val="24"/>
          <w:szCs w:val="24"/>
          <w:highlight w:val="none"/>
        </w:rPr>
        <w:t>（盖单位章）</w:t>
      </w:r>
    </w:p>
    <w:p w14:paraId="05F8545C">
      <w:pPr>
        <w:spacing w:line="480" w:lineRule="exact"/>
        <w:ind w:left="2880" w:leftChars="1200" w:firstLine="1440" w:firstLineChars="600"/>
        <w:rPr>
          <w:rFonts w:hint="eastAsia" w:ascii="宋体" w:hAnsi="宋体"/>
          <w:b w:val="0"/>
          <w:bCs/>
          <w:sz w:val="24"/>
          <w:szCs w:val="24"/>
          <w:highlight w:val="none"/>
        </w:rPr>
      </w:pPr>
      <w:r>
        <w:rPr>
          <w:rFonts w:hint="eastAsia" w:ascii="宋体" w:hAnsi="宋体"/>
          <w:b w:val="0"/>
          <w:bCs/>
          <w:sz w:val="24"/>
          <w:szCs w:val="24"/>
          <w:highlight w:val="none"/>
        </w:rPr>
        <w:t>法定代表人：</w:t>
      </w:r>
      <w:r>
        <w:rPr>
          <w:rFonts w:hint="eastAsia" w:ascii="宋体" w:hAnsi="宋体"/>
          <w:b w:val="0"/>
          <w:bCs/>
          <w:sz w:val="24"/>
          <w:szCs w:val="24"/>
          <w:highlight w:val="none"/>
          <w:u w:val="single"/>
        </w:rPr>
        <w:t xml:space="preserve"> </w:t>
      </w:r>
      <w:r>
        <w:rPr>
          <w:rFonts w:hint="eastAsia" w:ascii="宋体" w:hAnsi="宋体"/>
          <w:b w:val="0"/>
          <w:bCs/>
          <w:sz w:val="24"/>
          <w:szCs w:val="24"/>
          <w:highlight w:val="none"/>
          <w:u w:val="single"/>
          <w:lang w:val="en-US" w:eastAsia="zh-CN"/>
        </w:rPr>
        <w:t xml:space="preserve">       </w:t>
      </w:r>
      <w:r>
        <w:rPr>
          <w:rFonts w:hint="eastAsia" w:ascii="宋体" w:hAnsi="宋体"/>
          <w:b w:val="0"/>
          <w:bCs/>
          <w:sz w:val="24"/>
          <w:szCs w:val="24"/>
          <w:highlight w:val="none"/>
        </w:rPr>
        <w:t>（</w:t>
      </w:r>
      <w:r>
        <w:rPr>
          <w:rFonts w:hint="eastAsia"/>
          <w:b w:val="0"/>
          <w:bCs/>
          <w:sz w:val="24"/>
          <w:szCs w:val="24"/>
          <w:highlight w:val="none"/>
          <w:lang w:val="en-US" w:eastAsia="zh-CN"/>
        </w:rPr>
        <w:t>电子签章</w:t>
      </w:r>
      <w:r>
        <w:rPr>
          <w:rFonts w:hint="eastAsia" w:ascii="宋体" w:hAnsi="宋体"/>
          <w:b w:val="0"/>
          <w:bCs/>
          <w:sz w:val="24"/>
          <w:szCs w:val="24"/>
          <w:highlight w:val="none"/>
        </w:rPr>
        <w:t>）</w:t>
      </w:r>
    </w:p>
    <w:p w14:paraId="45C4F9F1">
      <w:pPr>
        <w:keepNext w:val="0"/>
        <w:keepLines w:val="0"/>
        <w:pageBreakBefore w:val="0"/>
        <w:widowControl w:val="0"/>
        <w:tabs>
          <w:tab w:val="left" w:pos="5380"/>
          <w:tab w:val="left" w:pos="6520"/>
          <w:tab w:val="left" w:pos="7680"/>
        </w:tabs>
        <w:kinsoku/>
        <w:wordWrap/>
        <w:overflowPunct/>
        <w:topLinePunct w:val="0"/>
        <w:autoSpaceDE w:val="0"/>
        <w:autoSpaceDN w:val="0"/>
        <w:bidi w:val="0"/>
        <w:adjustRightInd w:val="0"/>
        <w:snapToGrid/>
        <w:spacing w:line="380" w:lineRule="exact"/>
        <w:ind w:left="2880" w:leftChars="1200" w:right="-23" w:rightChars="0" w:firstLine="1440" w:firstLineChars="600"/>
        <w:jc w:val="left"/>
        <w:textAlignment w:val="auto"/>
        <w:outlineLvl w:val="9"/>
        <w:rPr>
          <w:rFonts w:hint="eastAsia" w:ascii="宋体" w:hAnsi="宋体" w:eastAsia="宋体" w:cs="宋体"/>
          <w:b w:val="0"/>
          <w:bCs/>
          <w:kern w:val="0"/>
          <w:sz w:val="24"/>
          <w:szCs w:val="24"/>
          <w:highlight w:val="none"/>
        </w:rPr>
      </w:pPr>
      <w:r>
        <w:rPr>
          <w:rFonts w:hint="eastAsia" w:ascii="宋体" w:hAnsi="宋体" w:eastAsia="宋体" w:cs="宋体"/>
          <w:b w:val="0"/>
          <w:bCs/>
          <w:kern w:val="0"/>
          <w:sz w:val="24"/>
          <w:szCs w:val="24"/>
          <w:highlight w:val="none"/>
          <w:u w:val="single"/>
        </w:rPr>
        <w:t xml:space="preserve">     </w:t>
      </w:r>
      <w:r>
        <w:rPr>
          <w:rFonts w:hint="eastAsia" w:ascii="宋体" w:hAnsi="宋体" w:eastAsia="宋体" w:cs="宋体"/>
          <w:b w:val="0"/>
          <w:bCs/>
          <w:spacing w:val="43"/>
          <w:kern w:val="0"/>
          <w:sz w:val="24"/>
          <w:szCs w:val="24"/>
          <w:highlight w:val="none"/>
          <w:u w:val="single"/>
        </w:rPr>
        <w:t xml:space="preserve"> </w:t>
      </w:r>
      <w:r>
        <w:rPr>
          <w:rFonts w:hint="eastAsia" w:ascii="宋体" w:hAnsi="宋体" w:eastAsia="宋体" w:cs="宋体"/>
          <w:b w:val="0"/>
          <w:bCs/>
          <w:kern w:val="0"/>
          <w:sz w:val="24"/>
          <w:szCs w:val="24"/>
          <w:highlight w:val="none"/>
        </w:rPr>
        <w:t>年</w:t>
      </w:r>
      <w:r>
        <w:rPr>
          <w:rFonts w:hint="eastAsia" w:ascii="宋体" w:hAnsi="宋体" w:eastAsia="宋体" w:cs="宋体"/>
          <w:b w:val="0"/>
          <w:bCs/>
          <w:kern w:val="0"/>
          <w:sz w:val="24"/>
          <w:szCs w:val="24"/>
          <w:highlight w:val="none"/>
          <w:u w:val="single"/>
        </w:rPr>
        <w:t xml:space="preserve">       </w:t>
      </w:r>
      <w:r>
        <w:rPr>
          <w:rFonts w:hint="eastAsia" w:ascii="宋体" w:hAnsi="宋体" w:eastAsia="宋体" w:cs="宋体"/>
          <w:b w:val="0"/>
          <w:bCs/>
          <w:kern w:val="0"/>
          <w:sz w:val="24"/>
          <w:szCs w:val="24"/>
          <w:highlight w:val="none"/>
        </w:rPr>
        <w:t>月</w:t>
      </w:r>
      <w:r>
        <w:rPr>
          <w:rFonts w:hint="eastAsia" w:ascii="宋体" w:hAnsi="宋体" w:cs="宋体"/>
          <w:b w:val="0"/>
          <w:bCs/>
          <w:kern w:val="0"/>
          <w:sz w:val="24"/>
          <w:szCs w:val="24"/>
          <w:highlight w:val="none"/>
          <w:u w:val="single"/>
          <w:lang w:val="en-US" w:eastAsia="zh-CN"/>
        </w:rPr>
        <w:t xml:space="preserve">      </w:t>
      </w:r>
      <w:r>
        <w:rPr>
          <w:rFonts w:hint="eastAsia" w:ascii="宋体" w:hAnsi="宋体" w:eastAsia="宋体" w:cs="宋体"/>
          <w:b w:val="0"/>
          <w:bCs/>
          <w:kern w:val="0"/>
          <w:sz w:val="24"/>
          <w:szCs w:val="24"/>
          <w:highlight w:val="none"/>
        </w:rPr>
        <w:t>日</w:t>
      </w:r>
    </w:p>
    <w:p w14:paraId="4E3F9E5C">
      <w:pPr>
        <w:rPr>
          <w:highlight w:val="none"/>
        </w:rPr>
      </w:pPr>
    </w:p>
    <w:p w14:paraId="1CB3A840">
      <w:pPr>
        <w:pStyle w:val="3"/>
        <w:numPr>
          <w:ilvl w:val="0"/>
          <w:numId w:val="18"/>
        </w:numPr>
        <w:bidi w:val="0"/>
        <w:rPr>
          <w:rFonts w:hint="eastAsia" w:ascii="宋体" w:hAnsi="宋体" w:eastAsia="宋体" w:cs="Times New Roman"/>
          <w:bCs w:val="0"/>
          <w:color w:val="auto"/>
          <w:szCs w:val="24"/>
          <w:highlight w:val="none"/>
          <w:lang w:val="zh-CN" w:eastAsia="zh-CN"/>
        </w:rPr>
      </w:pPr>
      <w:r>
        <w:rPr>
          <w:color w:val="auto"/>
          <w:highlight w:val="none"/>
        </w:rPr>
        <w:br w:type="page"/>
      </w:r>
      <w:bookmarkStart w:id="1724" w:name="_Toc10055"/>
      <w:bookmarkStart w:id="1725" w:name="_Toc25737"/>
      <w:r>
        <w:rPr>
          <w:rFonts w:hint="eastAsia"/>
          <w:lang w:val="zh-CN" w:eastAsia="zh-CN"/>
        </w:rPr>
        <w:t>供应商资格证明文件</w:t>
      </w:r>
      <w:bookmarkEnd w:id="1722"/>
      <w:bookmarkEnd w:id="1724"/>
      <w:bookmarkEnd w:id="1725"/>
    </w:p>
    <w:p w14:paraId="78E20ADC">
      <w:pPr>
        <w:rPr>
          <w:rFonts w:hint="eastAsia"/>
          <w:color w:val="auto"/>
          <w:highlight w:val="none"/>
        </w:rPr>
      </w:pPr>
    </w:p>
    <w:p w14:paraId="44718940">
      <w:pPr>
        <w:spacing w:line="360" w:lineRule="auto"/>
        <w:ind w:firstLine="420" w:firstLineChars="200"/>
        <w:rPr>
          <w:rFonts w:hint="eastAsia" w:ascii="宋体" w:hAnsi="宋体" w:eastAsia="宋体" w:cs="宋体"/>
          <w:sz w:val="21"/>
          <w:szCs w:val="21"/>
          <w:lang w:val="en-US" w:eastAsia="zh-CN"/>
        </w:rPr>
      </w:pPr>
    </w:p>
    <w:p w14:paraId="2D4F0A07">
      <w:pPr>
        <w:pStyle w:val="3"/>
        <w:numPr>
          <w:ilvl w:val="0"/>
          <w:numId w:val="18"/>
        </w:numPr>
        <w:bidi w:val="0"/>
        <w:rPr>
          <w:rFonts w:hint="eastAsia" w:ascii="宋体" w:hAnsi="宋体" w:eastAsia="宋体" w:cs="宋体"/>
          <w:bCs/>
          <w:lang w:val="en-US" w:eastAsia="zh-CN"/>
        </w:rPr>
      </w:pPr>
      <w:bookmarkStart w:id="1726" w:name="_Toc26305"/>
      <w:bookmarkStart w:id="1727" w:name="_Toc1845"/>
      <w:bookmarkStart w:id="1728" w:name="_Toc24563"/>
      <w:bookmarkStart w:id="1729" w:name="_Toc16946"/>
      <w:r>
        <w:rPr>
          <w:rFonts w:hint="eastAsia" w:ascii="宋体" w:hAnsi="宋体" w:eastAsia="宋体" w:cs="宋体"/>
          <w:bCs/>
          <w:lang w:val="en-US" w:eastAsia="zh-CN"/>
        </w:rPr>
        <w:br w:type="page"/>
      </w:r>
      <w:r>
        <w:rPr>
          <w:rFonts w:hint="eastAsia" w:ascii="宋体" w:hAnsi="宋体" w:eastAsia="宋体" w:cs="宋体"/>
          <w:bCs/>
          <w:lang w:val="en-US" w:eastAsia="zh-CN"/>
        </w:rPr>
        <w:t>已标价工程量清单</w:t>
      </w:r>
      <w:bookmarkEnd w:id="1726"/>
    </w:p>
    <w:p w14:paraId="7A80903F">
      <w:pPr>
        <w:pStyle w:val="3"/>
        <w:numPr>
          <w:ilvl w:val="0"/>
          <w:numId w:val="18"/>
        </w:numPr>
        <w:bidi w:val="0"/>
        <w:rPr>
          <w:rFonts w:hint="eastAsia"/>
          <w:lang w:val="zh-CN" w:eastAsia="zh-CN"/>
        </w:rPr>
      </w:pPr>
      <w:r>
        <w:rPr>
          <w:rFonts w:hint="eastAsia"/>
          <w:lang w:val="en-US" w:eastAsia="zh-CN"/>
        </w:rPr>
        <w:br w:type="page"/>
      </w:r>
      <w:r>
        <w:rPr>
          <w:rFonts w:hint="eastAsia" w:ascii="宋体" w:hAnsi="宋体" w:eastAsia="宋体" w:cs="宋体"/>
          <w:bCs/>
          <w:lang w:val="zh-CN" w:eastAsia="zh-CN"/>
        </w:rPr>
        <w:t>施工组织设计</w:t>
      </w:r>
      <w:bookmarkEnd w:id="1727"/>
      <w:bookmarkEnd w:id="1728"/>
    </w:p>
    <w:p w14:paraId="68DA80C4">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1．供应商应根据</w:t>
      </w:r>
      <w:r>
        <w:rPr>
          <w:rFonts w:hint="eastAsia" w:ascii="宋体" w:hAnsi="宋体" w:eastAsia="宋体" w:cs="宋体"/>
          <w:color w:val="000000"/>
          <w:sz w:val="24"/>
          <w:szCs w:val="24"/>
          <w:highlight w:val="none"/>
          <w:lang w:val="en-US" w:eastAsia="zh-CN"/>
        </w:rPr>
        <w:t>磋商文件及</w:t>
      </w:r>
      <w:r>
        <w:rPr>
          <w:rFonts w:hint="eastAsia" w:ascii="宋体" w:hAnsi="宋体" w:eastAsia="宋体" w:cs="宋体"/>
          <w:color w:val="000000"/>
          <w:sz w:val="24"/>
          <w:szCs w:val="24"/>
          <w:highlight w:val="none"/>
          <w:lang w:eastAsia="zh-CN"/>
        </w:rPr>
        <w:t>评审办法</w:t>
      </w:r>
      <w:r>
        <w:rPr>
          <w:rFonts w:hint="eastAsia" w:ascii="宋体" w:hAnsi="宋体" w:eastAsia="宋体" w:cs="宋体"/>
          <w:color w:val="000000"/>
          <w:sz w:val="24"/>
          <w:szCs w:val="24"/>
          <w:highlight w:val="none"/>
          <w:lang w:val="en-US" w:eastAsia="zh-CN"/>
        </w:rPr>
        <w:t>要求</w:t>
      </w:r>
      <w:r>
        <w:rPr>
          <w:rFonts w:hint="eastAsia" w:ascii="宋体" w:hAnsi="宋体" w:eastAsia="宋体" w:cs="宋体"/>
          <w:color w:val="000000"/>
          <w:sz w:val="24"/>
          <w:szCs w:val="24"/>
          <w:highlight w:val="none"/>
          <w:lang w:eastAsia="zh-CN"/>
        </w:rPr>
        <w:t>，自行编制本工程的施工组织设计。</w:t>
      </w:r>
    </w:p>
    <w:p w14:paraId="0D24CAC7">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2．施工组织设计除采用文字表述外可附下列图表，图表及格式要求附后（如有）。</w:t>
      </w:r>
    </w:p>
    <w:p w14:paraId="7369C284">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附表一  拟投入本工程的主要施工设备表</w:t>
      </w:r>
    </w:p>
    <w:p w14:paraId="00DADD8A">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附表二  拟配备本工程的试验和检测仪器设备表</w:t>
      </w:r>
    </w:p>
    <w:p w14:paraId="4060D819">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附表三  劳动力计划表</w:t>
      </w:r>
    </w:p>
    <w:p w14:paraId="7AEF02B9">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附表四  计划开、竣工日期和施工进度网络图</w:t>
      </w:r>
    </w:p>
    <w:p w14:paraId="495449FF">
      <w:pPr>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 xml:space="preserve">附表五  施工总平面图 </w:t>
      </w:r>
    </w:p>
    <w:p w14:paraId="5DA2EBEF">
      <w:pPr>
        <w:spacing w:line="360" w:lineRule="auto"/>
        <w:ind w:firstLine="480" w:firstLineChars="200"/>
        <w:rPr>
          <w:rFonts w:hint="eastAsia" w:ascii="宋体" w:hAnsi="宋体"/>
          <w:sz w:val="24"/>
          <w:highlight w:val="none"/>
        </w:rPr>
      </w:pPr>
      <w:r>
        <w:rPr>
          <w:rFonts w:hint="eastAsia" w:ascii="宋体" w:hAnsi="宋体" w:eastAsia="宋体" w:cs="宋体"/>
          <w:color w:val="000000"/>
          <w:szCs w:val="21"/>
          <w:highlight w:val="none"/>
          <w:lang w:val="zh-CN" w:eastAsia="zh-CN"/>
        </w:rPr>
        <w:br w:type="page"/>
      </w:r>
      <w:r>
        <w:rPr>
          <w:rFonts w:hint="eastAsia" w:ascii="宋体" w:hAnsi="宋体"/>
          <w:b/>
          <w:bCs/>
          <w:sz w:val="24"/>
          <w:szCs w:val="24"/>
          <w:highlight w:val="none"/>
        </w:rPr>
        <w:t>附表一：拟投入本工程的主要施工设备表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823"/>
        <w:gridCol w:w="871"/>
        <w:gridCol w:w="709"/>
        <w:gridCol w:w="709"/>
        <w:gridCol w:w="1176"/>
        <w:gridCol w:w="872"/>
        <w:gridCol w:w="872"/>
        <w:gridCol w:w="765"/>
      </w:tblGrid>
      <w:tr w14:paraId="2877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noWrap w:val="0"/>
            <w:vAlign w:val="center"/>
          </w:tcPr>
          <w:p w14:paraId="396A71D4">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14:paraId="11B1FA11">
            <w:pPr>
              <w:jc w:val="center"/>
              <w:rPr>
                <w:rFonts w:hint="eastAsia" w:ascii="宋体" w:hAnsi="宋体"/>
                <w:szCs w:val="21"/>
                <w:highlight w:val="none"/>
              </w:rPr>
            </w:pPr>
            <w:r>
              <w:rPr>
                <w:rFonts w:hint="eastAsia" w:ascii="宋体" w:hAnsi="宋体"/>
                <w:szCs w:val="21"/>
                <w:highlight w:val="none"/>
              </w:rPr>
              <w:t>设备</w:t>
            </w:r>
          </w:p>
          <w:p w14:paraId="1169E792">
            <w:pPr>
              <w:jc w:val="center"/>
              <w:rPr>
                <w:rFonts w:hint="eastAsia" w:ascii="宋体" w:hAnsi="宋体"/>
                <w:szCs w:val="21"/>
                <w:highlight w:val="none"/>
              </w:rPr>
            </w:pPr>
            <w:r>
              <w:rPr>
                <w:rFonts w:hint="eastAsia" w:ascii="宋体" w:hAnsi="宋体"/>
                <w:szCs w:val="21"/>
                <w:highlight w:val="none"/>
              </w:rPr>
              <w:t>名称</w:t>
            </w:r>
          </w:p>
        </w:tc>
        <w:tc>
          <w:tcPr>
            <w:tcW w:w="823" w:type="dxa"/>
            <w:noWrap w:val="0"/>
            <w:vAlign w:val="center"/>
          </w:tcPr>
          <w:p w14:paraId="2F58B9F7">
            <w:pPr>
              <w:jc w:val="center"/>
              <w:rPr>
                <w:rFonts w:hint="eastAsia" w:ascii="宋体" w:hAnsi="宋体"/>
                <w:szCs w:val="21"/>
                <w:highlight w:val="none"/>
              </w:rPr>
            </w:pPr>
            <w:r>
              <w:rPr>
                <w:rFonts w:hint="eastAsia" w:ascii="宋体" w:hAnsi="宋体"/>
                <w:szCs w:val="21"/>
                <w:highlight w:val="none"/>
              </w:rPr>
              <w:t>型号</w:t>
            </w:r>
          </w:p>
          <w:p w14:paraId="26209D10">
            <w:pPr>
              <w:jc w:val="center"/>
              <w:rPr>
                <w:rFonts w:hint="eastAsia" w:ascii="宋体" w:hAnsi="宋体"/>
                <w:szCs w:val="21"/>
                <w:highlight w:val="none"/>
              </w:rPr>
            </w:pPr>
            <w:r>
              <w:rPr>
                <w:rFonts w:hint="eastAsia" w:ascii="宋体" w:hAnsi="宋体"/>
                <w:szCs w:val="21"/>
                <w:highlight w:val="none"/>
              </w:rPr>
              <w:t>规格</w:t>
            </w:r>
          </w:p>
        </w:tc>
        <w:tc>
          <w:tcPr>
            <w:tcW w:w="871" w:type="dxa"/>
            <w:noWrap w:val="0"/>
            <w:vAlign w:val="center"/>
          </w:tcPr>
          <w:p w14:paraId="1E7D53BB">
            <w:pPr>
              <w:jc w:val="center"/>
              <w:rPr>
                <w:rFonts w:hint="eastAsia" w:ascii="宋体" w:hAnsi="宋体"/>
                <w:szCs w:val="21"/>
                <w:highlight w:val="none"/>
              </w:rPr>
            </w:pPr>
            <w:r>
              <w:rPr>
                <w:rFonts w:hint="eastAsia" w:ascii="宋体" w:hAnsi="宋体"/>
                <w:szCs w:val="21"/>
                <w:highlight w:val="none"/>
              </w:rPr>
              <w:t>数量</w:t>
            </w:r>
          </w:p>
        </w:tc>
        <w:tc>
          <w:tcPr>
            <w:tcW w:w="709" w:type="dxa"/>
            <w:noWrap w:val="0"/>
            <w:vAlign w:val="center"/>
          </w:tcPr>
          <w:p w14:paraId="46342FDD">
            <w:pPr>
              <w:jc w:val="center"/>
              <w:rPr>
                <w:rFonts w:hint="eastAsia" w:ascii="宋体" w:hAnsi="宋体"/>
                <w:szCs w:val="21"/>
                <w:highlight w:val="none"/>
              </w:rPr>
            </w:pPr>
            <w:r>
              <w:rPr>
                <w:rFonts w:hint="eastAsia" w:ascii="宋体" w:hAnsi="宋体"/>
                <w:szCs w:val="21"/>
                <w:highlight w:val="none"/>
              </w:rPr>
              <w:t>国别</w:t>
            </w:r>
          </w:p>
          <w:p w14:paraId="0D1048A5">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14:paraId="07905D90">
            <w:pPr>
              <w:jc w:val="center"/>
              <w:rPr>
                <w:rFonts w:hint="eastAsia" w:ascii="宋体" w:hAnsi="宋体"/>
                <w:szCs w:val="21"/>
                <w:highlight w:val="none"/>
              </w:rPr>
            </w:pPr>
            <w:r>
              <w:rPr>
                <w:rFonts w:hint="eastAsia" w:ascii="宋体" w:hAnsi="宋体"/>
                <w:szCs w:val="21"/>
                <w:highlight w:val="none"/>
              </w:rPr>
              <w:t>制造</w:t>
            </w:r>
          </w:p>
          <w:p w14:paraId="742BC0AC">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14:paraId="1F8EB57E">
            <w:pPr>
              <w:jc w:val="center"/>
              <w:rPr>
                <w:rFonts w:hint="eastAsia" w:ascii="宋体" w:hAnsi="宋体"/>
                <w:szCs w:val="21"/>
                <w:highlight w:val="none"/>
              </w:rPr>
            </w:pPr>
            <w:r>
              <w:rPr>
                <w:rFonts w:hint="eastAsia" w:ascii="宋体" w:hAnsi="宋体"/>
                <w:szCs w:val="21"/>
                <w:highlight w:val="none"/>
              </w:rPr>
              <w:t>额定功率</w:t>
            </w:r>
          </w:p>
          <w:p w14:paraId="1492D469">
            <w:pPr>
              <w:jc w:val="center"/>
              <w:rPr>
                <w:rFonts w:hint="eastAsia" w:ascii="宋体" w:hAnsi="宋体"/>
                <w:szCs w:val="21"/>
                <w:highlight w:val="none"/>
              </w:rPr>
            </w:pPr>
            <w:r>
              <w:rPr>
                <w:rFonts w:hint="eastAsia" w:ascii="宋体" w:hAnsi="宋体"/>
                <w:szCs w:val="21"/>
                <w:highlight w:val="none"/>
              </w:rPr>
              <w:t>（KW）</w:t>
            </w:r>
          </w:p>
        </w:tc>
        <w:tc>
          <w:tcPr>
            <w:tcW w:w="872" w:type="dxa"/>
            <w:noWrap w:val="0"/>
            <w:vAlign w:val="center"/>
          </w:tcPr>
          <w:p w14:paraId="5C459637">
            <w:pPr>
              <w:jc w:val="center"/>
              <w:rPr>
                <w:rFonts w:hint="eastAsia" w:ascii="宋体" w:hAnsi="宋体"/>
                <w:szCs w:val="21"/>
                <w:highlight w:val="none"/>
              </w:rPr>
            </w:pPr>
            <w:r>
              <w:rPr>
                <w:rFonts w:hint="eastAsia" w:ascii="宋体" w:hAnsi="宋体"/>
                <w:szCs w:val="21"/>
                <w:highlight w:val="none"/>
              </w:rPr>
              <w:t>生产</w:t>
            </w:r>
          </w:p>
          <w:p w14:paraId="111A778F">
            <w:pPr>
              <w:jc w:val="center"/>
              <w:rPr>
                <w:rFonts w:hint="eastAsia" w:ascii="宋体" w:hAnsi="宋体"/>
                <w:szCs w:val="21"/>
                <w:highlight w:val="none"/>
              </w:rPr>
            </w:pPr>
            <w:r>
              <w:rPr>
                <w:rFonts w:hint="eastAsia" w:ascii="宋体" w:hAnsi="宋体"/>
                <w:szCs w:val="21"/>
                <w:highlight w:val="none"/>
              </w:rPr>
              <w:t>能力</w:t>
            </w:r>
          </w:p>
        </w:tc>
        <w:tc>
          <w:tcPr>
            <w:tcW w:w="872" w:type="dxa"/>
            <w:noWrap w:val="0"/>
            <w:vAlign w:val="center"/>
          </w:tcPr>
          <w:p w14:paraId="43902366">
            <w:pPr>
              <w:jc w:val="center"/>
              <w:rPr>
                <w:rFonts w:hint="eastAsia" w:ascii="宋体" w:hAnsi="宋体"/>
                <w:szCs w:val="21"/>
                <w:highlight w:val="none"/>
              </w:rPr>
            </w:pPr>
            <w:r>
              <w:rPr>
                <w:rFonts w:hint="eastAsia" w:ascii="宋体" w:hAnsi="宋体"/>
                <w:szCs w:val="21"/>
                <w:highlight w:val="none"/>
              </w:rPr>
              <w:t>用于施工部位</w:t>
            </w:r>
          </w:p>
        </w:tc>
        <w:tc>
          <w:tcPr>
            <w:tcW w:w="765" w:type="dxa"/>
            <w:noWrap w:val="0"/>
            <w:vAlign w:val="center"/>
          </w:tcPr>
          <w:p w14:paraId="1CD2A6DA">
            <w:pPr>
              <w:jc w:val="center"/>
              <w:rPr>
                <w:rFonts w:hint="eastAsia" w:ascii="宋体" w:hAnsi="宋体"/>
                <w:szCs w:val="21"/>
                <w:highlight w:val="none"/>
              </w:rPr>
            </w:pPr>
            <w:r>
              <w:rPr>
                <w:rFonts w:hint="eastAsia" w:ascii="宋体" w:hAnsi="宋体"/>
                <w:szCs w:val="21"/>
                <w:highlight w:val="none"/>
              </w:rPr>
              <w:t>备注</w:t>
            </w:r>
          </w:p>
        </w:tc>
      </w:tr>
      <w:tr w14:paraId="7B6A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60D3A038">
            <w:pPr>
              <w:jc w:val="center"/>
              <w:rPr>
                <w:rFonts w:hint="eastAsia" w:ascii="宋体" w:hAnsi="宋体"/>
                <w:szCs w:val="21"/>
                <w:highlight w:val="none"/>
              </w:rPr>
            </w:pPr>
          </w:p>
        </w:tc>
        <w:tc>
          <w:tcPr>
            <w:tcW w:w="1064" w:type="dxa"/>
            <w:noWrap w:val="0"/>
            <w:vAlign w:val="center"/>
          </w:tcPr>
          <w:p w14:paraId="5F8B516C">
            <w:pPr>
              <w:jc w:val="center"/>
              <w:rPr>
                <w:rFonts w:hint="eastAsia" w:ascii="宋体" w:hAnsi="宋体"/>
                <w:szCs w:val="21"/>
                <w:highlight w:val="none"/>
              </w:rPr>
            </w:pPr>
          </w:p>
        </w:tc>
        <w:tc>
          <w:tcPr>
            <w:tcW w:w="823" w:type="dxa"/>
            <w:noWrap w:val="0"/>
            <w:vAlign w:val="center"/>
          </w:tcPr>
          <w:p w14:paraId="493BF24D">
            <w:pPr>
              <w:jc w:val="center"/>
              <w:rPr>
                <w:rFonts w:hint="eastAsia" w:ascii="宋体" w:hAnsi="宋体"/>
                <w:szCs w:val="21"/>
                <w:highlight w:val="none"/>
              </w:rPr>
            </w:pPr>
          </w:p>
        </w:tc>
        <w:tc>
          <w:tcPr>
            <w:tcW w:w="871" w:type="dxa"/>
            <w:noWrap w:val="0"/>
            <w:vAlign w:val="center"/>
          </w:tcPr>
          <w:p w14:paraId="0F14EB96">
            <w:pPr>
              <w:jc w:val="center"/>
              <w:rPr>
                <w:rFonts w:hint="eastAsia" w:ascii="宋体" w:hAnsi="宋体"/>
                <w:szCs w:val="21"/>
                <w:highlight w:val="none"/>
              </w:rPr>
            </w:pPr>
          </w:p>
        </w:tc>
        <w:tc>
          <w:tcPr>
            <w:tcW w:w="709" w:type="dxa"/>
            <w:noWrap w:val="0"/>
            <w:vAlign w:val="center"/>
          </w:tcPr>
          <w:p w14:paraId="7E104E75">
            <w:pPr>
              <w:jc w:val="center"/>
              <w:rPr>
                <w:rFonts w:hint="eastAsia" w:ascii="宋体" w:hAnsi="宋体"/>
                <w:szCs w:val="21"/>
                <w:highlight w:val="none"/>
              </w:rPr>
            </w:pPr>
          </w:p>
        </w:tc>
        <w:tc>
          <w:tcPr>
            <w:tcW w:w="709" w:type="dxa"/>
            <w:noWrap w:val="0"/>
            <w:vAlign w:val="center"/>
          </w:tcPr>
          <w:p w14:paraId="4EDA6109">
            <w:pPr>
              <w:jc w:val="center"/>
              <w:rPr>
                <w:rFonts w:hint="eastAsia" w:ascii="宋体" w:hAnsi="宋体"/>
                <w:szCs w:val="21"/>
                <w:highlight w:val="none"/>
              </w:rPr>
            </w:pPr>
          </w:p>
        </w:tc>
        <w:tc>
          <w:tcPr>
            <w:tcW w:w="1176" w:type="dxa"/>
            <w:noWrap w:val="0"/>
            <w:vAlign w:val="center"/>
          </w:tcPr>
          <w:p w14:paraId="78039A4C">
            <w:pPr>
              <w:jc w:val="center"/>
              <w:rPr>
                <w:rFonts w:hint="eastAsia" w:ascii="宋体" w:hAnsi="宋体"/>
                <w:szCs w:val="21"/>
                <w:highlight w:val="none"/>
              </w:rPr>
            </w:pPr>
          </w:p>
        </w:tc>
        <w:tc>
          <w:tcPr>
            <w:tcW w:w="872" w:type="dxa"/>
            <w:noWrap w:val="0"/>
            <w:vAlign w:val="center"/>
          </w:tcPr>
          <w:p w14:paraId="25F308BA">
            <w:pPr>
              <w:jc w:val="center"/>
              <w:rPr>
                <w:rFonts w:hint="eastAsia" w:ascii="宋体" w:hAnsi="宋体"/>
                <w:szCs w:val="21"/>
                <w:highlight w:val="none"/>
              </w:rPr>
            </w:pPr>
          </w:p>
        </w:tc>
        <w:tc>
          <w:tcPr>
            <w:tcW w:w="872" w:type="dxa"/>
            <w:noWrap w:val="0"/>
            <w:vAlign w:val="center"/>
          </w:tcPr>
          <w:p w14:paraId="23E112EC">
            <w:pPr>
              <w:jc w:val="center"/>
              <w:rPr>
                <w:rFonts w:hint="eastAsia" w:ascii="宋体" w:hAnsi="宋体"/>
                <w:szCs w:val="21"/>
                <w:highlight w:val="none"/>
              </w:rPr>
            </w:pPr>
          </w:p>
        </w:tc>
        <w:tc>
          <w:tcPr>
            <w:tcW w:w="765" w:type="dxa"/>
            <w:noWrap w:val="0"/>
            <w:vAlign w:val="center"/>
          </w:tcPr>
          <w:p w14:paraId="065429A5">
            <w:pPr>
              <w:jc w:val="center"/>
              <w:rPr>
                <w:rFonts w:hint="eastAsia" w:ascii="宋体" w:hAnsi="宋体"/>
                <w:szCs w:val="21"/>
                <w:highlight w:val="none"/>
              </w:rPr>
            </w:pPr>
          </w:p>
        </w:tc>
      </w:tr>
      <w:tr w14:paraId="635B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709BB22">
            <w:pPr>
              <w:jc w:val="center"/>
              <w:rPr>
                <w:rFonts w:hint="eastAsia" w:ascii="宋体" w:hAnsi="宋体"/>
                <w:szCs w:val="21"/>
                <w:highlight w:val="none"/>
              </w:rPr>
            </w:pPr>
          </w:p>
        </w:tc>
        <w:tc>
          <w:tcPr>
            <w:tcW w:w="1064" w:type="dxa"/>
            <w:noWrap w:val="0"/>
            <w:vAlign w:val="center"/>
          </w:tcPr>
          <w:p w14:paraId="2FE0F601">
            <w:pPr>
              <w:jc w:val="center"/>
              <w:rPr>
                <w:rFonts w:hint="eastAsia" w:ascii="宋体" w:hAnsi="宋体"/>
                <w:szCs w:val="21"/>
                <w:highlight w:val="none"/>
              </w:rPr>
            </w:pPr>
          </w:p>
        </w:tc>
        <w:tc>
          <w:tcPr>
            <w:tcW w:w="823" w:type="dxa"/>
            <w:noWrap w:val="0"/>
            <w:vAlign w:val="center"/>
          </w:tcPr>
          <w:p w14:paraId="4988B8FF">
            <w:pPr>
              <w:jc w:val="center"/>
              <w:rPr>
                <w:rFonts w:hint="eastAsia" w:ascii="宋体" w:hAnsi="宋体"/>
                <w:szCs w:val="21"/>
                <w:highlight w:val="none"/>
              </w:rPr>
            </w:pPr>
          </w:p>
        </w:tc>
        <w:tc>
          <w:tcPr>
            <w:tcW w:w="871" w:type="dxa"/>
            <w:noWrap w:val="0"/>
            <w:vAlign w:val="center"/>
          </w:tcPr>
          <w:p w14:paraId="59B184C6">
            <w:pPr>
              <w:jc w:val="center"/>
              <w:rPr>
                <w:rFonts w:hint="eastAsia" w:ascii="宋体" w:hAnsi="宋体"/>
                <w:szCs w:val="21"/>
                <w:highlight w:val="none"/>
              </w:rPr>
            </w:pPr>
          </w:p>
        </w:tc>
        <w:tc>
          <w:tcPr>
            <w:tcW w:w="709" w:type="dxa"/>
            <w:noWrap w:val="0"/>
            <w:vAlign w:val="center"/>
          </w:tcPr>
          <w:p w14:paraId="28BA8D8D">
            <w:pPr>
              <w:jc w:val="center"/>
              <w:rPr>
                <w:rFonts w:hint="eastAsia" w:ascii="宋体" w:hAnsi="宋体"/>
                <w:szCs w:val="21"/>
                <w:highlight w:val="none"/>
              </w:rPr>
            </w:pPr>
          </w:p>
        </w:tc>
        <w:tc>
          <w:tcPr>
            <w:tcW w:w="709" w:type="dxa"/>
            <w:noWrap w:val="0"/>
            <w:vAlign w:val="center"/>
          </w:tcPr>
          <w:p w14:paraId="5FC5B59E">
            <w:pPr>
              <w:jc w:val="center"/>
              <w:rPr>
                <w:rFonts w:hint="eastAsia" w:ascii="宋体" w:hAnsi="宋体"/>
                <w:szCs w:val="21"/>
                <w:highlight w:val="none"/>
              </w:rPr>
            </w:pPr>
          </w:p>
        </w:tc>
        <w:tc>
          <w:tcPr>
            <w:tcW w:w="1176" w:type="dxa"/>
            <w:noWrap w:val="0"/>
            <w:vAlign w:val="center"/>
          </w:tcPr>
          <w:p w14:paraId="55719C6F">
            <w:pPr>
              <w:jc w:val="center"/>
              <w:rPr>
                <w:rFonts w:hint="eastAsia" w:ascii="宋体" w:hAnsi="宋体"/>
                <w:szCs w:val="21"/>
                <w:highlight w:val="none"/>
              </w:rPr>
            </w:pPr>
          </w:p>
        </w:tc>
        <w:tc>
          <w:tcPr>
            <w:tcW w:w="872" w:type="dxa"/>
            <w:noWrap w:val="0"/>
            <w:vAlign w:val="center"/>
          </w:tcPr>
          <w:p w14:paraId="35B9292E">
            <w:pPr>
              <w:jc w:val="center"/>
              <w:rPr>
                <w:rFonts w:hint="eastAsia" w:ascii="宋体" w:hAnsi="宋体"/>
                <w:szCs w:val="21"/>
                <w:highlight w:val="none"/>
              </w:rPr>
            </w:pPr>
          </w:p>
        </w:tc>
        <w:tc>
          <w:tcPr>
            <w:tcW w:w="872" w:type="dxa"/>
            <w:noWrap w:val="0"/>
            <w:vAlign w:val="center"/>
          </w:tcPr>
          <w:p w14:paraId="5E0763A4">
            <w:pPr>
              <w:jc w:val="center"/>
              <w:rPr>
                <w:rFonts w:hint="eastAsia" w:ascii="宋体" w:hAnsi="宋体"/>
                <w:szCs w:val="21"/>
                <w:highlight w:val="none"/>
              </w:rPr>
            </w:pPr>
          </w:p>
        </w:tc>
        <w:tc>
          <w:tcPr>
            <w:tcW w:w="765" w:type="dxa"/>
            <w:noWrap w:val="0"/>
            <w:vAlign w:val="center"/>
          </w:tcPr>
          <w:p w14:paraId="261A80B6">
            <w:pPr>
              <w:jc w:val="center"/>
              <w:rPr>
                <w:rFonts w:hint="eastAsia" w:ascii="宋体" w:hAnsi="宋体"/>
                <w:szCs w:val="21"/>
                <w:highlight w:val="none"/>
              </w:rPr>
            </w:pPr>
          </w:p>
        </w:tc>
      </w:tr>
      <w:tr w14:paraId="64D3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040D026D">
            <w:pPr>
              <w:jc w:val="center"/>
              <w:rPr>
                <w:rFonts w:hint="eastAsia" w:ascii="宋体" w:hAnsi="宋体"/>
                <w:szCs w:val="21"/>
                <w:highlight w:val="none"/>
              </w:rPr>
            </w:pPr>
          </w:p>
        </w:tc>
        <w:tc>
          <w:tcPr>
            <w:tcW w:w="1064" w:type="dxa"/>
            <w:noWrap w:val="0"/>
            <w:vAlign w:val="center"/>
          </w:tcPr>
          <w:p w14:paraId="79A6AD69">
            <w:pPr>
              <w:jc w:val="center"/>
              <w:rPr>
                <w:rFonts w:hint="eastAsia" w:ascii="宋体" w:hAnsi="宋体"/>
                <w:szCs w:val="21"/>
                <w:highlight w:val="none"/>
              </w:rPr>
            </w:pPr>
          </w:p>
        </w:tc>
        <w:tc>
          <w:tcPr>
            <w:tcW w:w="823" w:type="dxa"/>
            <w:noWrap w:val="0"/>
            <w:vAlign w:val="center"/>
          </w:tcPr>
          <w:p w14:paraId="13A79498">
            <w:pPr>
              <w:jc w:val="center"/>
              <w:rPr>
                <w:rFonts w:hint="eastAsia" w:ascii="宋体" w:hAnsi="宋体"/>
                <w:szCs w:val="21"/>
                <w:highlight w:val="none"/>
              </w:rPr>
            </w:pPr>
          </w:p>
        </w:tc>
        <w:tc>
          <w:tcPr>
            <w:tcW w:w="871" w:type="dxa"/>
            <w:noWrap w:val="0"/>
            <w:vAlign w:val="center"/>
          </w:tcPr>
          <w:p w14:paraId="0FCEB257">
            <w:pPr>
              <w:jc w:val="center"/>
              <w:rPr>
                <w:rFonts w:hint="eastAsia" w:ascii="宋体" w:hAnsi="宋体"/>
                <w:szCs w:val="21"/>
                <w:highlight w:val="none"/>
              </w:rPr>
            </w:pPr>
          </w:p>
        </w:tc>
        <w:tc>
          <w:tcPr>
            <w:tcW w:w="709" w:type="dxa"/>
            <w:noWrap w:val="0"/>
            <w:vAlign w:val="center"/>
          </w:tcPr>
          <w:p w14:paraId="3552B00D">
            <w:pPr>
              <w:jc w:val="center"/>
              <w:rPr>
                <w:rFonts w:hint="eastAsia" w:ascii="宋体" w:hAnsi="宋体"/>
                <w:szCs w:val="21"/>
                <w:highlight w:val="none"/>
              </w:rPr>
            </w:pPr>
          </w:p>
        </w:tc>
        <w:tc>
          <w:tcPr>
            <w:tcW w:w="709" w:type="dxa"/>
            <w:noWrap w:val="0"/>
            <w:vAlign w:val="center"/>
          </w:tcPr>
          <w:p w14:paraId="3BA2970E">
            <w:pPr>
              <w:jc w:val="center"/>
              <w:rPr>
                <w:rFonts w:hint="eastAsia" w:ascii="宋体" w:hAnsi="宋体"/>
                <w:szCs w:val="21"/>
                <w:highlight w:val="none"/>
              </w:rPr>
            </w:pPr>
          </w:p>
        </w:tc>
        <w:tc>
          <w:tcPr>
            <w:tcW w:w="1176" w:type="dxa"/>
            <w:noWrap w:val="0"/>
            <w:vAlign w:val="center"/>
          </w:tcPr>
          <w:p w14:paraId="13042E66">
            <w:pPr>
              <w:jc w:val="center"/>
              <w:rPr>
                <w:rFonts w:hint="eastAsia" w:ascii="宋体" w:hAnsi="宋体"/>
                <w:szCs w:val="21"/>
                <w:highlight w:val="none"/>
              </w:rPr>
            </w:pPr>
          </w:p>
        </w:tc>
        <w:tc>
          <w:tcPr>
            <w:tcW w:w="872" w:type="dxa"/>
            <w:noWrap w:val="0"/>
            <w:vAlign w:val="center"/>
          </w:tcPr>
          <w:p w14:paraId="1A2AEE85">
            <w:pPr>
              <w:jc w:val="center"/>
              <w:rPr>
                <w:rFonts w:hint="eastAsia" w:ascii="宋体" w:hAnsi="宋体"/>
                <w:szCs w:val="21"/>
                <w:highlight w:val="none"/>
              </w:rPr>
            </w:pPr>
          </w:p>
        </w:tc>
        <w:tc>
          <w:tcPr>
            <w:tcW w:w="872" w:type="dxa"/>
            <w:noWrap w:val="0"/>
            <w:vAlign w:val="center"/>
          </w:tcPr>
          <w:p w14:paraId="6CFB6811">
            <w:pPr>
              <w:jc w:val="center"/>
              <w:rPr>
                <w:rFonts w:hint="eastAsia" w:ascii="宋体" w:hAnsi="宋体"/>
                <w:szCs w:val="21"/>
                <w:highlight w:val="none"/>
              </w:rPr>
            </w:pPr>
          </w:p>
        </w:tc>
        <w:tc>
          <w:tcPr>
            <w:tcW w:w="765" w:type="dxa"/>
            <w:noWrap w:val="0"/>
            <w:vAlign w:val="center"/>
          </w:tcPr>
          <w:p w14:paraId="70023CDC">
            <w:pPr>
              <w:jc w:val="center"/>
              <w:rPr>
                <w:rFonts w:hint="eastAsia" w:ascii="宋体" w:hAnsi="宋体"/>
                <w:szCs w:val="21"/>
                <w:highlight w:val="none"/>
              </w:rPr>
            </w:pPr>
          </w:p>
        </w:tc>
      </w:tr>
      <w:tr w14:paraId="3E6B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2335023">
            <w:pPr>
              <w:jc w:val="center"/>
              <w:rPr>
                <w:rFonts w:hint="eastAsia" w:ascii="宋体" w:hAnsi="宋体"/>
                <w:szCs w:val="21"/>
                <w:highlight w:val="none"/>
              </w:rPr>
            </w:pPr>
          </w:p>
        </w:tc>
        <w:tc>
          <w:tcPr>
            <w:tcW w:w="1064" w:type="dxa"/>
            <w:noWrap w:val="0"/>
            <w:vAlign w:val="center"/>
          </w:tcPr>
          <w:p w14:paraId="10508097">
            <w:pPr>
              <w:jc w:val="center"/>
              <w:rPr>
                <w:rFonts w:hint="eastAsia" w:ascii="宋体" w:hAnsi="宋体"/>
                <w:szCs w:val="21"/>
                <w:highlight w:val="none"/>
              </w:rPr>
            </w:pPr>
          </w:p>
        </w:tc>
        <w:tc>
          <w:tcPr>
            <w:tcW w:w="823" w:type="dxa"/>
            <w:noWrap w:val="0"/>
            <w:vAlign w:val="center"/>
          </w:tcPr>
          <w:p w14:paraId="28A4E7E4">
            <w:pPr>
              <w:jc w:val="center"/>
              <w:rPr>
                <w:rFonts w:hint="eastAsia" w:ascii="宋体" w:hAnsi="宋体"/>
                <w:szCs w:val="21"/>
                <w:highlight w:val="none"/>
              </w:rPr>
            </w:pPr>
          </w:p>
        </w:tc>
        <w:tc>
          <w:tcPr>
            <w:tcW w:w="871" w:type="dxa"/>
            <w:noWrap w:val="0"/>
            <w:vAlign w:val="center"/>
          </w:tcPr>
          <w:p w14:paraId="2A48B19B">
            <w:pPr>
              <w:jc w:val="center"/>
              <w:rPr>
                <w:rFonts w:hint="eastAsia" w:ascii="宋体" w:hAnsi="宋体"/>
                <w:szCs w:val="21"/>
                <w:highlight w:val="none"/>
              </w:rPr>
            </w:pPr>
          </w:p>
        </w:tc>
        <w:tc>
          <w:tcPr>
            <w:tcW w:w="709" w:type="dxa"/>
            <w:noWrap w:val="0"/>
            <w:vAlign w:val="center"/>
          </w:tcPr>
          <w:p w14:paraId="3094702F">
            <w:pPr>
              <w:jc w:val="center"/>
              <w:rPr>
                <w:rFonts w:hint="eastAsia" w:ascii="宋体" w:hAnsi="宋体"/>
                <w:szCs w:val="21"/>
                <w:highlight w:val="none"/>
              </w:rPr>
            </w:pPr>
          </w:p>
        </w:tc>
        <w:tc>
          <w:tcPr>
            <w:tcW w:w="709" w:type="dxa"/>
            <w:noWrap w:val="0"/>
            <w:vAlign w:val="center"/>
          </w:tcPr>
          <w:p w14:paraId="6A961727">
            <w:pPr>
              <w:jc w:val="center"/>
              <w:rPr>
                <w:rFonts w:hint="eastAsia" w:ascii="宋体" w:hAnsi="宋体"/>
                <w:szCs w:val="21"/>
                <w:highlight w:val="none"/>
              </w:rPr>
            </w:pPr>
          </w:p>
        </w:tc>
        <w:tc>
          <w:tcPr>
            <w:tcW w:w="1176" w:type="dxa"/>
            <w:noWrap w:val="0"/>
            <w:vAlign w:val="center"/>
          </w:tcPr>
          <w:p w14:paraId="3F54C0CF">
            <w:pPr>
              <w:jc w:val="center"/>
              <w:rPr>
                <w:rFonts w:hint="eastAsia" w:ascii="宋体" w:hAnsi="宋体"/>
                <w:szCs w:val="21"/>
                <w:highlight w:val="none"/>
              </w:rPr>
            </w:pPr>
          </w:p>
        </w:tc>
        <w:tc>
          <w:tcPr>
            <w:tcW w:w="872" w:type="dxa"/>
            <w:noWrap w:val="0"/>
            <w:vAlign w:val="center"/>
          </w:tcPr>
          <w:p w14:paraId="16AC9326">
            <w:pPr>
              <w:jc w:val="center"/>
              <w:rPr>
                <w:rFonts w:hint="eastAsia" w:ascii="宋体" w:hAnsi="宋体"/>
                <w:szCs w:val="21"/>
                <w:highlight w:val="none"/>
              </w:rPr>
            </w:pPr>
          </w:p>
        </w:tc>
        <w:tc>
          <w:tcPr>
            <w:tcW w:w="872" w:type="dxa"/>
            <w:noWrap w:val="0"/>
            <w:vAlign w:val="center"/>
          </w:tcPr>
          <w:p w14:paraId="585ED5BA">
            <w:pPr>
              <w:jc w:val="center"/>
              <w:rPr>
                <w:rFonts w:hint="eastAsia" w:ascii="宋体" w:hAnsi="宋体"/>
                <w:szCs w:val="21"/>
                <w:highlight w:val="none"/>
              </w:rPr>
            </w:pPr>
          </w:p>
        </w:tc>
        <w:tc>
          <w:tcPr>
            <w:tcW w:w="765" w:type="dxa"/>
            <w:noWrap w:val="0"/>
            <w:vAlign w:val="center"/>
          </w:tcPr>
          <w:p w14:paraId="193BB1EA">
            <w:pPr>
              <w:jc w:val="center"/>
              <w:rPr>
                <w:rFonts w:hint="eastAsia" w:ascii="宋体" w:hAnsi="宋体"/>
                <w:szCs w:val="21"/>
                <w:highlight w:val="none"/>
              </w:rPr>
            </w:pPr>
          </w:p>
        </w:tc>
      </w:tr>
      <w:tr w14:paraId="4533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53D2E1F2">
            <w:pPr>
              <w:jc w:val="center"/>
              <w:rPr>
                <w:rFonts w:hint="eastAsia" w:ascii="宋体" w:hAnsi="宋体"/>
                <w:szCs w:val="21"/>
                <w:highlight w:val="none"/>
              </w:rPr>
            </w:pPr>
          </w:p>
        </w:tc>
        <w:tc>
          <w:tcPr>
            <w:tcW w:w="1064" w:type="dxa"/>
            <w:noWrap w:val="0"/>
            <w:vAlign w:val="center"/>
          </w:tcPr>
          <w:p w14:paraId="18641D96">
            <w:pPr>
              <w:jc w:val="center"/>
              <w:rPr>
                <w:rFonts w:hint="eastAsia" w:ascii="宋体" w:hAnsi="宋体"/>
                <w:szCs w:val="21"/>
                <w:highlight w:val="none"/>
              </w:rPr>
            </w:pPr>
          </w:p>
        </w:tc>
        <w:tc>
          <w:tcPr>
            <w:tcW w:w="823" w:type="dxa"/>
            <w:noWrap w:val="0"/>
            <w:vAlign w:val="center"/>
          </w:tcPr>
          <w:p w14:paraId="6ABE3B27">
            <w:pPr>
              <w:jc w:val="center"/>
              <w:rPr>
                <w:rFonts w:hint="eastAsia" w:ascii="宋体" w:hAnsi="宋体"/>
                <w:szCs w:val="21"/>
                <w:highlight w:val="none"/>
              </w:rPr>
            </w:pPr>
          </w:p>
        </w:tc>
        <w:tc>
          <w:tcPr>
            <w:tcW w:w="871" w:type="dxa"/>
            <w:noWrap w:val="0"/>
            <w:vAlign w:val="center"/>
          </w:tcPr>
          <w:p w14:paraId="06761F02">
            <w:pPr>
              <w:jc w:val="center"/>
              <w:rPr>
                <w:rFonts w:hint="eastAsia" w:ascii="宋体" w:hAnsi="宋体"/>
                <w:szCs w:val="21"/>
                <w:highlight w:val="none"/>
              </w:rPr>
            </w:pPr>
          </w:p>
        </w:tc>
        <w:tc>
          <w:tcPr>
            <w:tcW w:w="709" w:type="dxa"/>
            <w:noWrap w:val="0"/>
            <w:vAlign w:val="center"/>
          </w:tcPr>
          <w:p w14:paraId="3668A790">
            <w:pPr>
              <w:jc w:val="center"/>
              <w:rPr>
                <w:rFonts w:hint="eastAsia" w:ascii="宋体" w:hAnsi="宋体"/>
                <w:szCs w:val="21"/>
                <w:highlight w:val="none"/>
              </w:rPr>
            </w:pPr>
          </w:p>
        </w:tc>
        <w:tc>
          <w:tcPr>
            <w:tcW w:w="709" w:type="dxa"/>
            <w:noWrap w:val="0"/>
            <w:vAlign w:val="center"/>
          </w:tcPr>
          <w:p w14:paraId="4F40108E">
            <w:pPr>
              <w:jc w:val="center"/>
              <w:rPr>
                <w:rFonts w:hint="eastAsia" w:ascii="宋体" w:hAnsi="宋体"/>
                <w:szCs w:val="21"/>
                <w:highlight w:val="none"/>
              </w:rPr>
            </w:pPr>
          </w:p>
        </w:tc>
        <w:tc>
          <w:tcPr>
            <w:tcW w:w="1176" w:type="dxa"/>
            <w:noWrap w:val="0"/>
            <w:vAlign w:val="center"/>
          </w:tcPr>
          <w:p w14:paraId="343C1FEE">
            <w:pPr>
              <w:jc w:val="center"/>
              <w:rPr>
                <w:rFonts w:hint="eastAsia" w:ascii="宋体" w:hAnsi="宋体"/>
                <w:szCs w:val="21"/>
                <w:highlight w:val="none"/>
              </w:rPr>
            </w:pPr>
          </w:p>
        </w:tc>
        <w:tc>
          <w:tcPr>
            <w:tcW w:w="872" w:type="dxa"/>
            <w:noWrap w:val="0"/>
            <w:vAlign w:val="center"/>
          </w:tcPr>
          <w:p w14:paraId="0C1845F3">
            <w:pPr>
              <w:jc w:val="center"/>
              <w:rPr>
                <w:rFonts w:hint="eastAsia" w:ascii="宋体" w:hAnsi="宋体"/>
                <w:szCs w:val="21"/>
                <w:highlight w:val="none"/>
              </w:rPr>
            </w:pPr>
          </w:p>
        </w:tc>
        <w:tc>
          <w:tcPr>
            <w:tcW w:w="872" w:type="dxa"/>
            <w:noWrap w:val="0"/>
            <w:vAlign w:val="center"/>
          </w:tcPr>
          <w:p w14:paraId="64BE180E">
            <w:pPr>
              <w:jc w:val="center"/>
              <w:rPr>
                <w:rFonts w:hint="eastAsia" w:ascii="宋体" w:hAnsi="宋体"/>
                <w:szCs w:val="21"/>
                <w:highlight w:val="none"/>
              </w:rPr>
            </w:pPr>
          </w:p>
        </w:tc>
        <w:tc>
          <w:tcPr>
            <w:tcW w:w="765" w:type="dxa"/>
            <w:noWrap w:val="0"/>
            <w:vAlign w:val="center"/>
          </w:tcPr>
          <w:p w14:paraId="596CF753">
            <w:pPr>
              <w:jc w:val="center"/>
              <w:rPr>
                <w:rFonts w:hint="eastAsia" w:ascii="宋体" w:hAnsi="宋体"/>
                <w:szCs w:val="21"/>
                <w:highlight w:val="none"/>
              </w:rPr>
            </w:pPr>
          </w:p>
        </w:tc>
      </w:tr>
      <w:tr w14:paraId="05F1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0360CD1C">
            <w:pPr>
              <w:jc w:val="center"/>
              <w:rPr>
                <w:rFonts w:hint="eastAsia" w:ascii="宋体" w:hAnsi="宋体"/>
                <w:szCs w:val="21"/>
                <w:highlight w:val="none"/>
              </w:rPr>
            </w:pPr>
          </w:p>
        </w:tc>
        <w:tc>
          <w:tcPr>
            <w:tcW w:w="1064" w:type="dxa"/>
            <w:noWrap w:val="0"/>
            <w:vAlign w:val="center"/>
          </w:tcPr>
          <w:p w14:paraId="7CFEEBF4">
            <w:pPr>
              <w:jc w:val="center"/>
              <w:rPr>
                <w:rFonts w:hint="eastAsia" w:ascii="宋体" w:hAnsi="宋体"/>
                <w:szCs w:val="21"/>
                <w:highlight w:val="none"/>
              </w:rPr>
            </w:pPr>
          </w:p>
        </w:tc>
        <w:tc>
          <w:tcPr>
            <w:tcW w:w="823" w:type="dxa"/>
            <w:noWrap w:val="0"/>
            <w:vAlign w:val="center"/>
          </w:tcPr>
          <w:p w14:paraId="3AC5C1D0">
            <w:pPr>
              <w:jc w:val="center"/>
              <w:rPr>
                <w:rFonts w:hint="eastAsia" w:ascii="宋体" w:hAnsi="宋体"/>
                <w:szCs w:val="21"/>
                <w:highlight w:val="none"/>
              </w:rPr>
            </w:pPr>
          </w:p>
        </w:tc>
        <w:tc>
          <w:tcPr>
            <w:tcW w:w="871" w:type="dxa"/>
            <w:noWrap w:val="0"/>
            <w:vAlign w:val="center"/>
          </w:tcPr>
          <w:p w14:paraId="3C97A6A0">
            <w:pPr>
              <w:jc w:val="center"/>
              <w:rPr>
                <w:rFonts w:hint="eastAsia" w:ascii="宋体" w:hAnsi="宋体"/>
                <w:szCs w:val="21"/>
                <w:highlight w:val="none"/>
              </w:rPr>
            </w:pPr>
          </w:p>
        </w:tc>
        <w:tc>
          <w:tcPr>
            <w:tcW w:w="709" w:type="dxa"/>
            <w:noWrap w:val="0"/>
            <w:vAlign w:val="center"/>
          </w:tcPr>
          <w:p w14:paraId="3EBAC1AC">
            <w:pPr>
              <w:jc w:val="center"/>
              <w:rPr>
                <w:rFonts w:hint="eastAsia" w:ascii="宋体" w:hAnsi="宋体"/>
                <w:szCs w:val="21"/>
                <w:highlight w:val="none"/>
              </w:rPr>
            </w:pPr>
          </w:p>
        </w:tc>
        <w:tc>
          <w:tcPr>
            <w:tcW w:w="709" w:type="dxa"/>
            <w:noWrap w:val="0"/>
            <w:vAlign w:val="center"/>
          </w:tcPr>
          <w:p w14:paraId="5D1D2435">
            <w:pPr>
              <w:jc w:val="center"/>
              <w:rPr>
                <w:rFonts w:hint="eastAsia" w:ascii="宋体" w:hAnsi="宋体"/>
                <w:szCs w:val="21"/>
                <w:highlight w:val="none"/>
              </w:rPr>
            </w:pPr>
          </w:p>
        </w:tc>
        <w:tc>
          <w:tcPr>
            <w:tcW w:w="1176" w:type="dxa"/>
            <w:noWrap w:val="0"/>
            <w:vAlign w:val="center"/>
          </w:tcPr>
          <w:p w14:paraId="78246F75">
            <w:pPr>
              <w:jc w:val="center"/>
              <w:rPr>
                <w:rFonts w:hint="eastAsia" w:ascii="宋体" w:hAnsi="宋体"/>
                <w:szCs w:val="21"/>
                <w:highlight w:val="none"/>
              </w:rPr>
            </w:pPr>
          </w:p>
        </w:tc>
        <w:tc>
          <w:tcPr>
            <w:tcW w:w="872" w:type="dxa"/>
            <w:noWrap w:val="0"/>
            <w:vAlign w:val="center"/>
          </w:tcPr>
          <w:p w14:paraId="2D7300A1">
            <w:pPr>
              <w:jc w:val="center"/>
              <w:rPr>
                <w:rFonts w:hint="eastAsia" w:ascii="宋体" w:hAnsi="宋体"/>
                <w:szCs w:val="21"/>
                <w:highlight w:val="none"/>
              </w:rPr>
            </w:pPr>
          </w:p>
        </w:tc>
        <w:tc>
          <w:tcPr>
            <w:tcW w:w="872" w:type="dxa"/>
            <w:noWrap w:val="0"/>
            <w:vAlign w:val="center"/>
          </w:tcPr>
          <w:p w14:paraId="3939FC17">
            <w:pPr>
              <w:jc w:val="center"/>
              <w:rPr>
                <w:rFonts w:hint="eastAsia" w:ascii="宋体" w:hAnsi="宋体"/>
                <w:szCs w:val="21"/>
                <w:highlight w:val="none"/>
              </w:rPr>
            </w:pPr>
          </w:p>
        </w:tc>
        <w:tc>
          <w:tcPr>
            <w:tcW w:w="765" w:type="dxa"/>
            <w:noWrap w:val="0"/>
            <w:vAlign w:val="center"/>
          </w:tcPr>
          <w:p w14:paraId="0EEF00C9">
            <w:pPr>
              <w:jc w:val="center"/>
              <w:rPr>
                <w:rFonts w:hint="eastAsia" w:ascii="宋体" w:hAnsi="宋体"/>
                <w:szCs w:val="21"/>
                <w:highlight w:val="none"/>
              </w:rPr>
            </w:pPr>
          </w:p>
        </w:tc>
      </w:tr>
      <w:tr w14:paraId="1031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6BAA813B">
            <w:pPr>
              <w:jc w:val="center"/>
              <w:rPr>
                <w:rFonts w:hint="eastAsia" w:ascii="宋体" w:hAnsi="宋体"/>
                <w:szCs w:val="21"/>
                <w:highlight w:val="none"/>
              </w:rPr>
            </w:pPr>
          </w:p>
        </w:tc>
        <w:tc>
          <w:tcPr>
            <w:tcW w:w="1064" w:type="dxa"/>
            <w:noWrap w:val="0"/>
            <w:vAlign w:val="center"/>
          </w:tcPr>
          <w:p w14:paraId="146870AA">
            <w:pPr>
              <w:jc w:val="center"/>
              <w:rPr>
                <w:rFonts w:hint="eastAsia" w:ascii="宋体" w:hAnsi="宋体"/>
                <w:szCs w:val="21"/>
                <w:highlight w:val="none"/>
              </w:rPr>
            </w:pPr>
          </w:p>
        </w:tc>
        <w:tc>
          <w:tcPr>
            <w:tcW w:w="823" w:type="dxa"/>
            <w:noWrap w:val="0"/>
            <w:vAlign w:val="center"/>
          </w:tcPr>
          <w:p w14:paraId="06CD9FA4">
            <w:pPr>
              <w:jc w:val="center"/>
              <w:rPr>
                <w:rFonts w:hint="eastAsia" w:ascii="宋体" w:hAnsi="宋体"/>
                <w:szCs w:val="21"/>
                <w:highlight w:val="none"/>
              </w:rPr>
            </w:pPr>
          </w:p>
        </w:tc>
        <w:tc>
          <w:tcPr>
            <w:tcW w:w="871" w:type="dxa"/>
            <w:noWrap w:val="0"/>
            <w:vAlign w:val="center"/>
          </w:tcPr>
          <w:p w14:paraId="4FC8335B">
            <w:pPr>
              <w:jc w:val="center"/>
              <w:rPr>
                <w:rFonts w:hint="eastAsia" w:ascii="宋体" w:hAnsi="宋体"/>
                <w:szCs w:val="21"/>
                <w:highlight w:val="none"/>
              </w:rPr>
            </w:pPr>
          </w:p>
        </w:tc>
        <w:tc>
          <w:tcPr>
            <w:tcW w:w="709" w:type="dxa"/>
            <w:noWrap w:val="0"/>
            <w:vAlign w:val="center"/>
          </w:tcPr>
          <w:p w14:paraId="47F6F8D6">
            <w:pPr>
              <w:jc w:val="center"/>
              <w:rPr>
                <w:rFonts w:hint="eastAsia" w:ascii="宋体" w:hAnsi="宋体"/>
                <w:szCs w:val="21"/>
                <w:highlight w:val="none"/>
              </w:rPr>
            </w:pPr>
          </w:p>
        </w:tc>
        <w:tc>
          <w:tcPr>
            <w:tcW w:w="709" w:type="dxa"/>
            <w:noWrap w:val="0"/>
            <w:vAlign w:val="center"/>
          </w:tcPr>
          <w:p w14:paraId="63599D68">
            <w:pPr>
              <w:jc w:val="center"/>
              <w:rPr>
                <w:rFonts w:hint="eastAsia" w:ascii="宋体" w:hAnsi="宋体"/>
                <w:szCs w:val="21"/>
                <w:highlight w:val="none"/>
              </w:rPr>
            </w:pPr>
          </w:p>
        </w:tc>
        <w:tc>
          <w:tcPr>
            <w:tcW w:w="1176" w:type="dxa"/>
            <w:noWrap w:val="0"/>
            <w:vAlign w:val="center"/>
          </w:tcPr>
          <w:p w14:paraId="3A1480E1">
            <w:pPr>
              <w:jc w:val="center"/>
              <w:rPr>
                <w:rFonts w:hint="eastAsia" w:ascii="宋体" w:hAnsi="宋体"/>
                <w:szCs w:val="21"/>
                <w:highlight w:val="none"/>
              </w:rPr>
            </w:pPr>
          </w:p>
        </w:tc>
        <w:tc>
          <w:tcPr>
            <w:tcW w:w="872" w:type="dxa"/>
            <w:noWrap w:val="0"/>
            <w:vAlign w:val="center"/>
          </w:tcPr>
          <w:p w14:paraId="1D83047C">
            <w:pPr>
              <w:jc w:val="center"/>
              <w:rPr>
                <w:rFonts w:hint="eastAsia" w:ascii="宋体" w:hAnsi="宋体"/>
                <w:szCs w:val="21"/>
                <w:highlight w:val="none"/>
              </w:rPr>
            </w:pPr>
          </w:p>
        </w:tc>
        <w:tc>
          <w:tcPr>
            <w:tcW w:w="872" w:type="dxa"/>
            <w:noWrap w:val="0"/>
            <w:vAlign w:val="center"/>
          </w:tcPr>
          <w:p w14:paraId="334834FF">
            <w:pPr>
              <w:jc w:val="center"/>
              <w:rPr>
                <w:rFonts w:hint="eastAsia" w:ascii="宋体" w:hAnsi="宋体"/>
                <w:szCs w:val="21"/>
                <w:highlight w:val="none"/>
              </w:rPr>
            </w:pPr>
          </w:p>
        </w:tc>
        <w:tc>
          <w:tcPr>
            <w:tcW w:w="765" w:type="dxa"/>
            <w:noWrap w:val="0"/>
            <w:vAlign w:val="center"/>
          </w:tcPr>
          <w:p w14:paraId="7E9FD16A">
            <w:pPr>
              <w:jc w:val="center"/>
              <w:rPr>
                <w:rFonts w:hint="eastAsia" w:ascii="宋体" w:hAnsi="宋体"/>
                <w:szCs w:val="21"/>
                <w:highlight w:val="none"/>
              </w:rPr>
            </w:pPr>
          </w:p>
        </w:tc>
      </w:tr>
      <w:tr w14:paraId="4B19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455A6136">
            <w:pPr>
              <w:jc w:val="center"/>
              <w:rPr>
                <w:rFonts w:hint="eastAsia" w:ascii="宋体" w:hAnsi="宋体"/>
                <w:szCs w:val="21"/>
                <w:highlight w:val="none"/>
              </w:rPr>
            </w:pPr>
          </w:p>
        </w:tc>
        <w:tc>
          <w:tcPr>
            <w:tcW w:w="1064" w:type="dxa"/>
            <w:noWrap w:val="0"/>
            <w:vAlign w:val="center"/>
          </w:tcPr>
          <w:p w14:paraId="56F81041">
            <w:pPr>
              <w:jc w:val="center"/>
              <w:rPr>
                <w:rFonts w:hint="eastAsia" w:ascii="宋体" w:hAnsi="宋体"/>
                <w:szCs w:val="21"/>
                <w:highlight w:val="none"/>
              </w:rPr>
            </w:pPr>
          </w:p>
        </w:tc>
        <w:tc>
          <w:tcPr>
            <w:tcW w:w="823" w:type="dxa"/>
            <w:noWrap w:val="0"/>
            <w:vAlign w:val="center"/>
          </w:tcPr>
          <w:p w14:paraId="06C9E0C1">
            <w:pPr>
              <w:jc w:val="center"/>
              <w:rPr>
                <w:rFonts w:hint="eastAsia" w:ascii="宋体" w:hAnsi="宋体"/>
                <w:szCs w:val="21"/>
                <w:highlight w:val="none"/>
              </w:rPr>
            </w:pPr>
          </w:p>
        </w:tc>
        <w:tc>
          <w:tcPr>
            <w:tcW w:w="871" w:type="dxa"/>
            <w:noWrap w:val="0"/>
            <w:vAlign w:val="center"/>
          </w:tcPr>
          <w:p w14:paraId="4EDBE3C1">
            <w:pPr>
              <w:jc w:val="center"/>
              <w:rPr>
                <w:rFonts w:hint="eastAsia" w:ascii="宋体" w:hAnsi="宋体"/>
                <w:szCs w:val="21"/>
                <w:highlight w:val="none"/>
              </w:rPr>
            </w:pPr>
          </w:p>
        </w:tc>
        <w:tc>
          <w:tcPr>
            <w:tcW w:w="709" w:type="dxa"/>
            <w:noWrap w:val="0"/>
            <w:vAlign w:val="center"/>
          </w:tcPr>
          <w:p w14:paraId="4A4C8C29">
            <w:pPr>
              <w:jc w:val="center"/>
              <w:rPr>
                <w:rFonts w:hint="eastAsia" w:ascii="宋体" w:hAnsi="宋体"/>
                <w:szCs w:val="21"/>
                <w:highlight w:val="none"/>
              </w:rPr>
            </w:pPr>
          </w:p>
        </w:tc>
        <w:tc>
          <w:tcPr>
            <w:tcW w:w="709" w:type="dxa"/>
            <w:noWrap w:val="0"/>
            <w:vAlign w:val="center"/>
          </w:tcPr>
          <w:p w14:paraId="5DC3981E">
            <w:pPr>
              <w:jc w:val="center"/>
              <w:rPr>
                <w:rFonts w:hint="eastAsia" w:ascii="宋体" w:hAnsi="宋体"/>
                <w:szCs w:val="21"/>
                <w:highlight w:val="none"/>
              </w:rPr>
            </w:pPr>
          </w:p>
        </w:tc>
        <w:tc>
          <w:tcPr>
            <w:tcW w:w="1176" w:type="dxa"/>
            <w:noWrap w:val="0"/>
            <w:vAlign w:val="center"/>
          </w:tcPr>
          <w:p w14:paraId="06302642">
            <w:pPr>
              <w:jc w:val="center"/>
              <w:rPr>
                <w:rFonts w:hint="eastAsia" w:ascii="宋体" w:hAnsi="宋体"/>
                <w:szCs w:val="21"/>
                <w:highlight w:val="none"/>
              </w:rPr>
            </w:pPr>
          </w:p>
        </w:tc>
        <w:tc>
          <w:tcPr>
            <w:tcW w:w="872" w:type="dxa"/>
            <w:noWrap w:val="0"/>
            <w:vAlign w:val="center"/>
          </w:tcPr>
          <w:p w14:paraId="0241BDD1">
            <w:pPr>
              <w:jc w:val="center"/>
              <w:rPr>
                <w:rFonts w:hint="eastAsia" w:ascii="宋体" w:hAnsi="宋体"/>
                <w:szCs w:val="21"/>
                <w:highlight w:val="none"/>
              </w:rPr>
            </w:pPr>
          </w:p>
        </w:tc>
        <w:tc>
          <w:tcPr>
            <w:tcW w:w="872" w:type="dxa"/>
            <w:noWrap w:val="0"/>
            <w:vAlign w:val="center"/>
          </w:tcPr>
          <w:p w14:paraId="48EA6429">
            <w:pPr>
              <w:jc w:val="center"/>
              <w:rPr>
                <w:rFonts w:hint="eastAsia" w:ascii="宋体" w:hAnsi="宋体"/>
                <w:szCs w:val="21"/>
                <w:highlight w:val="none"/>
              </w:rPr>
            </w:pPr>
          </w:p>
        </w:tc>
        <w:tc>
          <w:tcPr>
            <w:tcW w:w="765" w:type="dxa"/>
            <w:noWrap w:val="0"/>
            <w:vAlign w:val="center"/>
          </w:tcPr>
          <w:p w14:paraId="5A00DB4F">
            <w:pPr>
              <w:jc w:val="center"/>
              <w:rPr>
                <w:rFonts w:hint="eastAsia" w:ascii="宋体" w:hAnsi="宋体"/>
                <w:szCs w:val="21"/>
                <w:highlight w:val="none"/>
              </w:rPr>
            </w:pPr>
          </w:p>
        </w:tc>
      </w:tr>
      <w:tr w14:paraId="60EB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71F06A0C">
            <w:pPr>
              <w:jc w:val="center"/>
              <w:rPr>
                <w:rFonts w:hint="eastAsia" w:ascii="宋体" w:hAnsi="宋体"/>
                <w:szCs w:val="21"/>
                <w:highlight w:val="none"/>
              </w:rPr>
            </w:pPr>
          </w:p>
        </w:tc>
        <w:tc>
          <w:tcPr>
            <w:tcW w:w="1064" w:type="dxa"/>
            <w:noWrap w:val="0"/>
            <w:vAlign w:val="center"/>
          </w:tcPr>
          <w:p w14:paraId="024E9F58">
            <w:pPr>
              <w:jc w:val="center"/>
              <w:rPr>
                <w:rFonts w:hint="eastAsia" w:ascii="宋体" w:hAnsi="宋体"/>
                <w:szCs w:val="21"/>
                <w:highlight w:val="none"/>
              </w:rPr>
            </w:pPr>
          </w:p>
        </w:tc>
        <w:tc>
          <w:tcPr>
            <w:tcW w:w="823" w:type="dxa"/>
            <w:noWrap w:val="0"/>
            <w:vAlign w:val="center"/>
          </w:tcPr>
          <w:p w14:paraId="48B92A01">
            <w:pPr>
              <w:jc w:val="center"/>
              <w:rPr>
                <w:rFonts w:hint="eastAsia" w:ascii="宋体" w:hAnsi="宋体"/>
                <w:szCs w:val="21"/>
                <w:highlight w:val="none"/>
              </w:rPr>
            </w:pPr>
          </w:p>
        </w:tc>
        <w:tc>
          <w:tcPr>
            <w:tcW w:w="871" w:type="dxa"/>
            <w:noWrap w:val="0"/>
            <w:vAlign w:val="center"/>
          </w:tcPr>
          <w:p w14:paraId="71722499">
            <w:pPr>
              <w:jc w:val="center"/>
              <w:rPr>
                <w:rFonts w:hint="eastAsia" w:ascii="宋体" w:hAnsi="宋体"/>
                <w:szCs w:val="21"/>
                <w:highlight w:val="none"/>
              </w:rPr>
            </w:pPr>
          </w:p>
        </w:tc>
        <w:tc>
          <w:tcPr>
            <w:tcW w:w="709" w:type="dxa"/>
            <w:noWrap w:val="0"/>
            <w:vAlign w:val="center"/>
          </w:tcPr>
          <w:p w14:paraId="13BC38A3">
            <w:pPr>
              <w:jc w:val="center"/>
              <w:rPr>
                <w:rFonts w:hint="eastAsia" w:ascii="宋体" w:hAnsi="宋体"/>
                <w:szCs w:val="21"/>
                <w:highlight w:val="none"/>
              </w:rPr>
            </w:pPr>
          </w:p>
        </w:tc>
        <w:tc>
          <w:tcPr>
            <w:tcW w:w="709" w:type="dxa"/>
            <w:noWrap w:val="0"/>
            <w:vAlign w:val="center"/>
          </w:tcPr>
          <w:p w14:paraId="3BEE35FD">
            <w:pPr>
              <w:jc w:val="center"/>
              <w:rPr>
                <w:rFonts w:hint="eastAsia" w:ascii="宋体" w:hAnsi="宋体"/>
                <w:szCs w:val="21"/>
                <w:highlight w:val="none"/>
              </w:rPr>
            </w:pPr>
          </w:p>
        </w:tc>
        <w:tc>
          <w:tcPr>
            <w:tcW w:w="1176" w:type="dxa"/>
            <w:noWrap w:val="0"/>
            <w:vAlign w:val="center"/>
          </w:tcPr>
          <w:p w14:paraId="535409D0">
            <w:pPr>
              <w:jc w:val="center"/>
              <w:rPr>
                <w:rFonts w:hint="eastAsia" w:ascii="宋体" w:hAnsi="宋体"/>
                <w:szCs w:val="21"/>
                <w:highlight w:val="none"/>
              </w:rPr>
            </w:pPr>
          </w:p>
        </w:tc>
        <w:tc>
          <w:tcPr>
            <w:tcW w:w="872" w:type="dxa"/>
            <w:noWrap w:val="0"/>
            <w:vAlign w:val="center"/>
          </w:tcPr>
          <w:p w14:paraId="63F5FDEC">
            <w:pPr>
              <w:jc w:val="center"/>
              <w:rPr>
                <w:rFonts w:hint="eastAsia" w:ascii="宋体" w:hAnsi="宋体"/>
                <w:szCs w:val="21"/>
                <w:highlight w:val="none"/>
              </w:rPr>
            </w:pPr>
          </w:p>
        </w:tc>
        <w:tc>
          <w:tcPr>
            <w:tcW w:w="872" w:type="dxa"/>
            <w:noWrap w:val="0"/>
            <w:vAlign w:val="center"/>
          </w:tcPr>
          <w:p w14:paraId="28620A98">
            <w:pPr>
              <w:jc w:val="center"/>
              <w:rPr>
                <w:rFonts w:hint="eastAsia" w:ascii="宋体" w:hAnsi="宋体"/>
                <w:szCs w:val="21"/>
                <w:highlight w:val="none"/>
              </w:rPr>
            </w:pPr>
          </w:p>
        </w:tc>
        <w:tc>
          <w:tcPr>
            <w:tcW w:w="765" w:type="dxa"/>
            <w:noWrap w:val="0"/>
            <w:vAlign w:val="center"/>
          </w:tcPr>
          <w:p w14:paraId="2D2ECF67">
            <w:pPr>
              <w:jc w:val="center"/>
              <w:rPr>
                <w:rFonts w:hint="eastAsia" w:ascii="宋体" w:hAnsi="宋体"/>
                <w:szCs w:val="21"/>
                <w:highlight w:val="none"/>
              </w:rPr>
            </w:pPr>
          </w:p>
        </w:tc>
      </w:tr>
      <w:tr w14:paraId="6E85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1EB038D">
            <w:pPr>
              <w:jc w:val="center"/>
              <w:rPr>
                <w:rFonts w:hint="eastAsia" w:ascii="宋体" w:hAnsi="宋体"/>
                <w:szCs w:val="21"/>
                <w:highlight w:val="none"/>
              </w:rPr>
            </w:pPr>
          </w:p>
        </w:tc>
        <w:tc>
          <w:tcPr>
            <w:tcW w:w="1064" w:type="dxa"/>
            <w:noWrap w:val="0"/>
            <w:vAlign w:val="center"/>
          </w:tcPr>
          <w:p w14:paraId="4B58DD7B">
            <w:pPr>
              <w:jc w:val="center"/>
              <w:rPr>
                <w:rFonts w:hint="eastAsia" w:ascii="宋体" w:hAnsi="宋体"/>
                <w:szCs w:val="21"/>
                <w:highlight w:val="none"/>
              </w:rPr>
            </w:pPr>
          </w:p>
        </w:tc>
        <w:tc>
          <w:tcPr>
            <w:tcW w:w="823" w:type="dxa"/>
            <w:noWrap w:val="0"/>
            <w:vAlign w:val="center"/>
          </w:tcPr>
          <w:p w14:paraId="083A70AD">
            <w:pPr>
              <w:jc w:val="center"/>
              <w:rPr>
                <w:rFonts w:hint="eastAsia" w:ascii="宋体" w:hAnsi="宋体"/>
                <w:szCs w:val="21"/>
                <w:highlight w:val="none"/>
              </w:rPr>
            </w:pPr>
          </w:p>
        </w:tc>
        <w:tc>
          <w:tcPr>
            <w:tcW w:w="871" w:type="dxa"/>
            <w:noWrap w:val="0"/>
            <w:vAlign w:val="center"/>
          </w:tcPr>
          <w:p w14:paraId="4616BDA5">
            <w:pPr>
              <w:jc w:val="center"/>
              <w:rPr>
                <w:rFonts w:hint="eastAsia" w:ascii="宋体" w:hAnsi="宋体"/>
                <w:szCs w:val="21"/>
                <w:highlight w:val="none"/>
              </w:rPr>
            </w:pPr>
          </w:p>
        </w:tc>
        <w:tc>
          <w:tcPr>
            <w:tcW w:w="709" w:type="dxa"/>
            <w:noWrap w:val="0"/>
            <w:vAlign w:val="center"/>
          </w:tcPr>
          <w:p w14:paraId="41821258">
            <w:pPr>
              <w:jc w:val="center"/>
              <w:rPr>
                <w:rFonts w:hint="eastAsia" w:ascii="宋体" w:hAnsi="宋体"/>
                <w:szCs w:val="21"/>
                <w:highlight w:val="none"/>
              </w:rPr>
            </w:pPr>
          </w:p>
        </w:tc>
        <w:tc>
          <w:tcPr>
            <w:tcW w:w="709" w:type="dxa"/>
            <w:noWrap w:val="0"/>
            <w:vAlign w:val="center"/>
          </w:tcPr>
          <w:p w14:paraId="5B4E15E6">
            <w:pPr>
              <w:jc w:val="center"/>
              <w:rPr>
                <w:rFonts w:hint="eastAsia" w:ascii="宋体" w:hAnsi="宋体"/>
                <w:szCs w:val="21"/>
                <w:highlight w:val="none"/>
              </w:rPr>
            </w:pPr>
          </w:p>
        </w:tc>
        <w:tc>
          <w:tcPr>
            <w:tcW w:w="1176" w:type="dxa"/>
            <w:noWrap w:val="0"/>
            <w:vAlign w:val="center"/>
          </w:tcPr>
          <w:p w14:paraId="15FF0912">
            <w:pPr>
              <w:jc w:val="center"/>
              <w:rPr>
                <w:rFonts w:hint="eastAsia" w:ascii="宋体" w:hAnsi="宋体"/>
                <w:szCs w:val="21"/>
                <w:highlight w:val="none"/>
              </w:rPr>
            </w:pPr>
          </w:p>
        </w:tc>
        <w:tc>
          <w:tcPr>
            <w:tcW w:w="872" w:type="dxa"/>
            <w:noWrap w:val="0"/>
            <w:vAlign w:val="center"/>
          </w:tcPr>
          <w:p w14:paraId="1E4591B7">
            <w:pPr>
              <w:jc w:val="center"/>
              <w:rPr>
                <w:rFonts w:hint="eastAsia" w:ascii="宋体" w:hAnsi="宋体"/>
                <w:szCs w:val="21"/>
                <w:highlight w:val="none"/>
              </w:rPr>
            </w:pPr>
          </w:p>
        </w:tc>
        <w:tc>
          <w:tcPr>
            <w:tcW w:w="872" w:type="dxa"/>
            <w:noWrap w:val="0"/>
            <w:vAlign w:val="center"/>
          </w:tcPr>
          <w:p w14:paraId="361E9D5F">
            <w:pPr>
              <w:jc w:val="center"/>
              <w:rPr>
                <w:rFonts w:hint="eastAsia" w:ascii="宋体" w:hAnsi="宋体"/>
                <w:szCs w:val="21"/>
                <w:highlight w:val="none"/>
              </w:rPr>
            </w:pPr>
          </w:p>
        </w:tc>
        <w:tc>
          <w:tcPr>
            <w:tcW w:w="765" w:type="dxa"/>
            <w:noWrap w:val="0"/>
            <w:vAlign w:val="center"/>
          </w:tcPr>
          <w:p w14:paraId="2FD0E166">
            <w:pPr>
              <w:jc w:val="center"/>
              <w:rPr>
                <w:rFonts w:hint="eastAsia" w:ascii="宋体" w:hAnsi="宋体"/>
                <w:szCs w:val="21"/>
                <w:highlight w:val="none"/>
              </w:rPr>
            </w:pPr>
          </w:p>
        </w:tc>
      </w:tr>
      <w:tr w14:paraId="2DB9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4FA34CD8">
            <w:pPr>
              <w:jc w:val="center"/>
              <w:rPr>
                <w:rFonts w:hint="eastAsia" w:ascii="宋体" w:hAnsi="宋体"/>
                <w:szCs w:val="21"/>
                <w:highlight w:val="none"/>
              </w:rPr>
            </w:pPr>
          </w:p>
        </w:tc>
        <w:tc>
          <w:tcPr>
            <w:tcW w:w="1064" w:type="dxa"/>
            <w:noWrap w:val="0"/>
            <w:vAlign w:val="center"/>
          </w:tcPr>
          <w:p w14:paraId="75FDDAAA">
            <w:pPr>
              <w:jc w:val="center"/>
              <w:rPr>
                <w:rFonts w:hint="eastAsia" w:ascii="宋体" w:hAnsi="宋体"/>
                <w:szCs w:val="21"/>
                <w:highlight w:val="none"/>
              </w:rPr>
            </w:pPr>
          </w:p>
        </w:tc>
        <w:tc>
          <w:tcPr>
            <w:tcW w:w="823" w:type="dxa"/>
            <w:noWrap w:val="0"/>
            <w:vAlign w:val="center"/>
          </w:tcPr>
          <w:p w14:paraId="753971D6">
            <w:pPr>
              <w:jc w:val="center"/>
              <w:rPr>
                <w:rFonts w:hint="eastAsia" w:ascii="宋体" w:hAnsi="宋体"/>
                <w:szCs w:val="21"/>
                <w:highlight w:val="none"/>
              </w:rPr>
            </w:pPr>
          </w:p>
        </w:tc>
        <w:tc>
          <w:tcPr>
            <w:tcW w:w="871" w:type="dxa"/>
            <w:noWrap w:val="0"/>
            <w:vAlign w:val="center"/>
          </w:tcPr>
          <w:p w14:paraId="7D800F13">
            <w:pPr>
              <w:jc w:val="center"/>
              <w:rPr>
                <w:rFonts w:hint="eastAsia" w:ascii="宋体" w:hAnsi="宋体"/>
                <w:szCs w:val="21"/>
                <w:highlight w:val="none"/>
              </w:rPr>
            </w:pPr>
          </w:p>
        </w:tc>
        <w:tc>
          <w:tcPr>
            <w:tcW w:w="709" w:type="dxa"/>
            <w:noWrap w:val="0"/>
            <w:vAlign w:val="center"/>
          </w:tcPr>
          <w:p w14:paraId="6AD851DF">
            <w:pPr>
              <w:jc w:val="center"/>
              <w:rPr>
                <w:rFonts w:hint="eastAsia" w:ascii="宋体" w:hAnsi="宋体"/>
                <w:szCs w:val="21"/>
                <w:highlight w:val="none"/>
              </w:rPr>
            </w:pPr>
          </w:p>
        </w:tc>
        <w:tc>
          <w:tcPr>
            <w:tcW w:w="709" w:type="dxa"/>
            <w:noWrap w:val="0"/>
            <w:vAlign w:val="center"/>
          </w:tcPr>
          <w:p w14:paraId="4EDDCDE6">
            <w:pPr>
              <w:jc w:val="center"/>
              <w:rPr>
                <w:rFonts w:hint="eastAsia" w:ascii="宋体" w:hAnsi="宋体"/>
                <w:szCs w:val="21"/>
                <w:highlight w:val="none"/>
              </w:rPr>
            </w:pPr>
          </w:p>
        </w:tc>
        <w:tc>
          <w:tcPr>
            <w:tcW w:w="1176" w:type="dxa"/>
            <w:noWrap w:val="0"/>
            <w:vAlign w:val="center"/>
          </w:tcPr>
          <w:p w14:paraId="74544A1B">
            <w:pPr>
              <w:jc w:val="center"/>
              <w:rPr>
                <w:rFonts w:hint="eastAsia" w:ascii="宋体" w:hAnsi="宋体"/>
                <w:szCs w:val="21"/>
                <w:highlight w:val="none"/>
              </w:rPr>
            </w:pPr>
          </w:p>
        </w:tc>
        <w:tc>
          <w:tcPr>
            <w:tcW w:w="872" w:type="dxa"/>
            <w:noWrap w:val="0"/>
            <w:vAlign w:val="center"/>
          </w:tcPr>
          <w:p w14:paraId="7DE26001">
            <w:pPr>
              <w:jc w:val="center"/>
              <w:rPr>
                <w:rFonts w:hint="eastAsia" w:ascii="宋体" w:hAnsi="宋体"/>
                <w:szCs w:val="21"/>
                <w:highlight w:val="none"/>
              </w:rPr>
            </w:pPr>
          </w:p>
        </w:tc>
        <w:tc>
          <w:tcPr>
            <w:tcW w:w="872" w:type="dxa"/>
            <w:noWrap w:val="0"/>
            <w:vAlign w:val="center"/>
          </w:tcPr>
          <w:p w14:paraId="30298AFD">
            <w:pPr>
              <w:jc w:val="center"/>
              <w:rPr>
                <w:rFonts w:hint="eastAsia" w:ascii="宋体" w:hAnsi="宋体"/>
                <w:szCs w:val="21"/>
                <w:highlight w:val="none"/>
              </w:rPr>
            </w:pPr>
          </w:p>
        </w:tc>
        <w:tc>
          <w:tcPr>
            <w:tcW w:w="765" w:type="dxa"/>
            <w:noWrap w:val="0"/>
            <w:vAlign w:val="center"/>
          </w:tcPr>
          <w:p w14:paraId="74C4875D">
            <w:pPr>
              <w:jc w:val="center"/>
              <w:rPr>
                <w:rFonts w:hint="eastAsia" w:ascii="宋体" w:hAnsi="宋体"/>
                <w:szCs w:val="21"/>
                <w:highlight w:val="none"/>
              </w:rPr>
            </w:pPr>
          </w:p>
        </w:tc>
      </w:tr>
      <w:tr w14:paraId="15C4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0FE306FE">
            <w:pPr>
              <w:jc w:val="center"/>
              <w:rPr>
                <w:rFonts w:hint="eastAsia" w:ascii="宋体" w:hAnsi="宋体"/>
                <w:szCs w:val="21"/>
                <w:highlight w:val="none"/>
              </w:rPr>
            </w:pPr>
          </w:p>
        </w:tc>
        <w:tc>
          <w:tcPr>
            <w:tcW w:w="1064" w:type="dxa"/>
            <w:noWrap w:val="0"/>
            <w:vAlign w:val="center"/>
          </w:tcPr>
          <w:p w14:paraId="3E1658E7">
            <w:pPr>
              <w:jc w:val="center"/>
              <w:rPr>
                <w:rFonts w:hint="eastAsia" w:ascii="宋体" w:hAnsi="宋体"/>
                <w:szCs w:val="21"/>
                <w:highlight w:val="none"/>
              </w:rPr>
            </w:pPr>
          </w:p>
        </w:tc>
        <w:tc>
          <w:tcPr>
            <w:tcW w:w="823" w:type="dxa"/>
            <w:noWrap w:val="0"/>
            <w:vAlign w:val="center"/>
          </w:tcPr>
          <w:p w14:paraId="59A48C32">
            <w:pPr>
              <w:jc w:val="center"/>
              <w:rPr>
                <w:rFonts w:hint="eastAsia" w:ascii="宋体" w:hAnsi="宋体"/>
                <w:szCs w:val="21"/>
                <w:highlight w:val="none"/>
              </w:rPr>
            </w:pPr>
          </w:p>
        </w:tc>
        <w:tc>
          <w:tcPr>
            <w:tcW w:w="871" w:type="dxa"/>
            <w:noWrap w:val="0"/>
            <w:vAlign w:val="center"/>
          </w:tcPr>
          <w:p w14:paraId="175EA31B">
            <w:pPr>
              <w:jc w:val="center"/>
              <w:rPr>
                <w:rFonts w:hint="eastAsia" w:ascii="宋体" w:hAnsi="宋体"/>
                <w:szCs w:val="21"/>
                <w:highlight w:val="none"/>
              </w:rPr>
            </w:pPr>
          </w:p>
        </w:tc>
        <w:tc>
          <w:tcPr>
            <w:tcW w:w="709" w:type="dxa"/>
            <w:noWrap w:val="0"/>
            <w:vAlign w:val="center"/>
          </w:tcPr>
          <w:p w14:paraId="419637D2">
            <w:pPr>
              <w:jc w:val="center"/>
              <w:rPr>
                <w:rFonts w:hint="eastAsia" w:ascii="宋体" w:hAnsi="宋体"/>
                <w:szCs w:val="21"/>
                <w:highlight w:val="none"/>
              </w:rPr>
            </w:pPr>
          </w:p>
        </w:tc>
        <w:tc>
          <w:tcPr>
            <w:tcW w:w="709" w:type="dxa"/>
            <w:noWrap w:val="0"/>
            <w:vAlign w:val="center"/>
          </w:tcPr>
          <w:p w14:paraId="7FF00546">
            <w:pPr>
              <w:jc w:val="center"/>
              <w:rPr>
                <w:rFonts w:hint="eastAsia" w:ascii="宋体" w:hAnsi="宋体"/>
                <w:szCs w:val="21"/>
                <w:highlight w:val="none"/>
              </w:rPr>
            </w:pPr>
          </w:p>
        </w:tc>
        <w:tc>
          <w:tcPr>
            <w:tcW w:w="1176" w:type="dxa"/>
            <w:noWrap w:val="0"/>
            <w:vAlign w:val="center"/>
          </w:tcPr>
          <w:p w14:paraId="268D6D78">
            <w:pPr>
              <w:jc w:val="center"/>
              <w:rPr>
                <w:rFonts w:hint="eastAsia" w:ascii="宋体" w:hAnsi="宋体"/>
                <w:szCs w:val="21"/>
                <w:highlight w:val="none"/>
              </w:rPr>
            </w:pPr>
          </w:p>
        </w:tc>
        <w:tc>
          <w:tcPr>
            <w:tcW w:w="872" w:type="dxa"/>
            <w:noWrap w:val="0"/>
            <w:vAlign w:val="center"/>
          </w:tcPr>
          <w:p w14:paraId="0B1BAC27">
            <w:pPr>
              <w:jc w:val="center"/>
              <w:rPr>
                <w:rFonts w:hint="eastAsia" w:ascii="宋体" w:hAnsi="宋体"/>
                <w:szCs w:val="21"/>
                <w:highlight w:val="none"/>
              </w:rPr>
            </w:pPr>
          </w:p>
        </w:tc>
        <w:tc>
          <w:tcPr>
            <w:tcW w:w="872" w:type="dxa"/>
            <w:noWrap w:val="0"/>
            <w:vAlign w:val="center"/>
          </w:tcPr>
          <w:p w14:paraId="0A766542">
            <w:pPr>
              <w:jc w:val="center"/>
              <w:rPr>
                <w:rFonts w:hint="eastAsia" w:ascii="宋体" w:hAnsi="宋体"/>
                <w:szCs w:val="21"/>
                <w:highlight w:val="none"/>
              </w:rPr>
            </w:pPr>
          </w:p>
        </w:tc>
        <w:tc>
          <w:tcPr>
            <w:tcW w:w="765" w:type="dxa"/>
            <w:noWrap w:val="0"/>
            <w:vAlign w:val="center"/>
          </w:tcPr>
          <w:p w14:paraId="428A3D0A">
            <w:pPr>
              <w:jc w:val="center"/>
              <w:rPr>
                <w:rFonts w:hint="eastAsia" w:ascii="宋体" w:hAnsi="宋体"/>
                <w:szCs w:val="21"/>
                <w:highlight w:val="none"/>
              </w:rPr>
            </w:pPr>
          </w:p>
        </w:tc>
      </w:tr>
      <w:tr w14:paraId="7CA0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458F7BA7">
            <w:pPr>
              <w:jc w:val="center"/>
              <w:rPr>
                <w:rFonts w:hint="eastAsia" w:ascii="宋体" w:hAnsi="宋体"/>
                <w:szCs w:val="21"/>
                <w:highlight w:val="none"/>
              </w:rPr>
            </w:pPr>
          </w:p>
        </w:tc>
        <w:tc>
          <w:tcPr>
            <w:tcW w:w="1064" w:type="dxa"/>
            <w:noWrap w:val="0"/>
            <w:vAlign w:val="center"/>
          </w:tcPr>
          <w:p w14:paraId="28E8F0F9">
            <w:pPr>
              <w:jc w:val="center"/>
              <w:rPr>
                <w:rFonts w:hint="eastAsia" w:ascii="宋体" w:hAnsi="宋体"/>
                <w:szCs w:val="21"/>
                <w:highlight w:val="none"/>
              </w:rPr>
            </w:pPr>
          </w:p>
        </w:tc>
        <w:tc>
          <w:tcPr>
            <w:tcW w:w="823" w:type="dxa"/>
            <w:noWrap w:val="0"/>
            <w:vAlign w:val="center"/>
          </w:tcPr>
          <w:p w14:paraId="7E9468AB">
            <w:pPr>
              <w:jc w:val="center"/>
              <w:rPr>
                <w:rFonts w:hint="eastAsia" w:ascii="宋体" w:hAnsi="宋体"/>
                <w:szCs w:val="21"/>
                <w:highlight w:val="none"/>
              </w:rPr>
            </w:pPr>
          </w:p>
        </w:tc>
        <w:tc>
          <w:tcPr>
            <w:tcW w:w="871" w:type="dxa"/>
            <w:noWrap w:val="0"/>
            <w:vAlign w:val="center"/>
          </w:tcPr>
          <w:p w14:paraId="39C043D7">
            <w:pPr>
              <w:jc w:val="center"/>
              <w:rPr>
                <w:rFonts w:hint="eastAsia" w:ascii="宋体" w:hAnsi="宋体"/>
                <w:szCs w:val="21"/>
                <w:highlight w:val="none"/>
              </w:rPr>
            </w:pPr>
          </w:p>
        </w:tc>
        <w:tc>
          <w:tcPr>
            <w:tcW w:w="709" w:type="dxa"/>
            <w:noWrap w:val="0"/>
            <w:vAlign w:val="center"/>
          </w:tcPr>
          <w:p w14:paraId="52E27856">
            <w:pPr>
              <w:jc w:val="center"/>
              <w:rPr>
                <w:rFonts w:hint="eastAsia" w:ascii="宋体" w:hAnsi="宋体"/>
                <w:szCs w:val="21"/>
                <w:highlight w:val="none"/>
              </w:rPr>
            </w:pPr>
          </w:p>
        </w:tc>
        <w:tc>
          <w:tcPr>
            <w:tcW w:w="709" w:type="dxa"/>
            <w:noWrap w:val="0"/>
            <w:vAlign w:val="center"/>
          </w:tcPr>
          <w:p w14:paraId="7D742715">
            <w:pPr>
              <w:jc w:val="center"/>
              <w:rPr>
                <w:rFonts w:hint="eastAsia" w:ascii="宋体" w:hAnsi="宋体"/>
                <w:szCs w:val="21"/>
                <w:highlight w:val="none"/>
              </w:rPr>
            </w:pPr>
          </w:p>
        </w:tc>
        <w:tc>
          <w:tcPr>
            <w:tcW w:w="1176" w:type="dxa"/>
            <w:noWrap w:val="0"/>
            <w:vAlign w:val="center"/>
          </w:tcPr>
          <w:p w14:paraId="287A29A6">
            <w:pPr>
              <w:jc w:val="center"/>
              <w:rPr>
                <w:rFonts w:hint="eastAsia" w:ascii="宋体" w:hAnsi="宋体"/>
                <w:szCs w:val="21"/>
                <w:highlight w:val="none"/>
              </w:rPr>
            </w:pPr>
          </w:p>
        </w:tc>
        <w:tc>
          <w:tcPr>
            <w:tcW w:w="872" w:type="dxa"/>
            <w:noWrap w:val="0"/>
            <w:vAlign w:val="center"/>
          </w:tcPr>
          <w:p w14:paraId="1E062293">
            <w:pPr>
              <w:jc w:val="center"/>
              <w:rPr>
                <w:rFonts w:hint="eastAsia" w:ascii="宋体" w:hAnsi="宋体"/>
                <w:szCs w:val="21"/>
                <w:highlight w:val="none"/>
              </w:rPr>
            </w:pPr>
          </w:p>
        </w:tc>
        <w:tc>
          <w:tcPr>
            <w:tcW w:w="872" w:type="dxa"/>
            <w:noWrap w:val="0"/>
            <w:vAlign w:val="center"/>
          </w:tcPr>
          <w:p w14:paraId="22D70981">
            <w:pPr>
              <w:jc w:val="center"/>
              <w:rPr>
                <w:rFonts w:hint="eastAsia" w:ascii="宋体" w:hAnsi="宋体"/>
                <w:szCs w:val="21"/>
                <w:highlight w:val="none"/>
              </w:rPr>
            </w:pPr>
          </w:p>
        </w:tc>
        <w:tc>
          <w:tcPr>
            <w:tcW w:w="765" w:type="dxa"/>
            <w:noWrap w:val="0"/>
            <w:vAlign w:val="center"/>
          </w:tcPr>
          <w:p w14:paraId="7E3803F2">
            <w:pPr>
              <w:jc w:val="center"/>
              <w:rPr>
                <w:rFonts w:hint="eastAsia" w:ascii="宋体" w:hAnsi="宋体"/>
                <w:szCs w:val="21"/>
                <w:highlight w:val="none"/>
              </w:rPr>
            </w:pPr>
          </w:p>
        </w:tc>
      </w:tr>
      <w:tr w14:paraId="0D8B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4629C136">
            <w:pPr>
              <w:jc w:val="center"/>
              <w:rPr>
                <w:rFonts w:hint="eastAsia" w:ascii="宋体" w:hAnsi="宋体"/>
                <w:szCs w:val="21"/>
                <w:highlight w:val="none"/>
              </w:rPr>
            </w:pPr>
          </w:p>
        </w:tc>
        <w:tc>
          <w:tcPr>
            <w:tcW w:w="1064" w:type="dxa"/>
            <w:noWrap w:val="0"/>
            <w:vAlign w:val="center"/>
          </w:tcPr>
          <w:p w14:paraId="5E1FDF82">
            <w:pPr>
              <w:jc w:val="center"/>
              <w:rPr>
                <w:rFonts w:hint="eastAsia" w:ascii="宋体" w:hAnsi="宋体"/>
                <w:szCs w:val="21"/>
                <w:highlight w:val="none"/>
              </w:rPr>
            </w:pPr>
          </w:p>
        </w:tc>
        <w:tc>
          <w:tcPr>
            <w:tcW w:w="823" w:type="dxa"/>
            <w:noWrap w:val="0"/>
            <w:vAlign w:val="center"/>
          </w:tcPr>
          <w:p w14:paraId="4FA0EBDE">
            <w:pPr>
              <w:jc w:val="center"/>
              <w:rPr>
                <w:rFonts w:hint="eastAsia" w:ascii="宋体" w:hAnsi="宋体"/>
                <w:szCs w:val="21"/>
                <w:highlight w:val="none"/>
              </w:rPr>
            </w:pPr>
          </w:p>
        </w:tc>
        <w:tc>
          <w:tcPr>
            <w:tcW w:w="871" w:type="dxa"/>
            <w:noWrap w:val="0"/>
            <w:vAlign w:val="center"/>
          </w:tcPr>
          <w:p w14:paraId="11BA01D3">
            <w:pPr>
              <w:jc w:val="center"/>
              <w:rPr>
                <w:rFonts w:hint="eastAsia" w:ascii="宋体" w:hAnsi="宋体"/>
                <w:szCs w:val="21"/>
                <w:highlight w:val="none"/>
              </w:rPr>
            </w:pPr>
          </w:p>
        </w:tc>
        <w:tc>
          <w:tcPr>
            <w:tcW w:w="709" w:type="dxa"/>
            <w:noWrap w:val="0"/>
            <w:vAlign w:val="center"/>
          </w:tcPr>
          <w:p w14:paraId="00119C92">
            <w:pPr>
              <w:jc w:val="center"/>
              <w:rPr>
                <w:rFonts w:hint="eastAsia" w:ascii="宋体" w:hAnsi="宋体"/>
                <w:szCs w:val="21"/>
                <w:highlight w:val="none"/>
              </w:rPr>
            </w:pPr>
          </w:p>
        </w:tc>
        <w:tc>
          <w:tcPr>
            <w:tcW w:w="709" w:type="dxa"/>
            <w:noWrap w:val="0"/>
            <w:vAlign w:val="center"/>
          </w:tcPr>
          <w:p w14:paraId="0282D68C">
            <w:pPr>
              <w:jc w:val="center"/>
              <w:rPr>
                <w:rFonts w:hint="eastAsia" w:ascii="宋体" w:hAnsi="宋体"/>
                <w:szCs w:val="21"/>
                <w:highlight w:val="none"/>
              </w:rPr>
            </w:pPr>
          </w:p>
        </w:tc>
        <w:tc>
          <w:tcPr>
            <w:tcW w:w="1176" w:type="dxa"/>
            <w:noWrap w:val="0"/>
            <w:vAlign w:val="center"/>
          </w:tcPr>
          <w:p w14:paraId="27894E34">
            <w:pPr>
              <w:jc w:val="center"/>
              <w:rPr>
                <w:rFonts w:hint="eastAsia" w:ascii="宋体" w:hAnsi="宋体"/>
                <w:szCs w:val="21"/>
                <w:highlight w:val="none"/>
              </w:rPr>
            </w:pPr>
          </w:p>
        </w:tc>
        <w:tc>
          <w:tcPr>
            <w:tcW w:w="872" w:type="dxa"/>
            <w:noWrap w:val="0"/>
            <w:vAlign w:val="center"/>
          </w:tcPr>
          <w:p w14:paraId="24753A5C">
            <w:pPr>
              <w:jc w:val="center"/>
              <w:rPr>
                <w:rFonts w:hint="eastAsia" w:ascii="宋体" w:hAnsi="宋体"/>
                <w:szCs w:val="21"/>
                <w:highlight w:val="none"/>
              </w:rPr>
            </w:pPr>
          </w:p>
        </w:tc>
        <w:tc>
          <w:tcPr>
            <w:tcW w:w="872" w:type="dxa"/>
            <w:noWrap w:val="0"/>
            <w:vAlign w:val="center"/>
          </w:tcPr>
          <w:p w14:paraId="3F6C9773">
            <w:pPr>
              <w:jc w:val="center"/>
              <w:rPr>
                <w:rFonts w:hint="eastAsia" w:ascii="宋体" w:hAnsi="宋体"/>
                <w:szCs w:val="21"/>
                <w:highlight w:val="none"/>
              </w:rPr>
            </w:pPr>
          </w:p>
        </w:tc>
        <w:tc>
          <w:tcPr>
            <w:tcW w:w="765" w:type="dxa"/>
            <w:noWrap w:val="0"/>
            <w:vAlign w:val="center"/>
          </w:tcPr>
          <w:p w14:paraId="70DE1091">
            <w:pPr>
              <w:jc w:val="center"/>
              <w:rPr>
                <w:rFonts w:hint="eastAsia" w:ascii="宋体" w:hAnsi="宋体"/>
                <w:szCs w:val="21"/>
                <w:highlight w:val="none"/>
              </w:rPr>
            </w:pPr>
          </w:p>
        </w:tc>
      </w:tr>
      <w:tr w14:paraId="778E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1250641">
            <w:pPr>
              <w:jc w:val="center"/>
              <w:rPr>
                <w:rFonts w:hint="eastAsia" w:ascii="宋体" w:hAnsi="宋体"/>
                <w:szCs w:val="21"/>
                <w:highlight w:val="none"/>
              </w:rPr>
            </w:pPr>
          </w:p>
        </w:tc>
        <w:tc>
          <w:tcPr>
            <w:tcW w:w="1064" w:type="dxa"/>
            <w:noWrap w:val="0"/>
            <w:vAlign w:val="center"/>
          </w:tcPr>
          <w:p w14:paraId="33CFA078">
            <w:pPr>
              <w:jc w:val="center"/>
              <w:rPr>
                <w:rFonts w:hint="eastAsia" w:ascii="宋体" w:hAnsi="宋体"/>
                <w:szCs w:val="21"/>
                <w:highlight w:val="none"/>
              </w:rPr>
            </w:pPr>
          </w:p>
        </w:tc>
        <w:tc>
          <w:tcPr>
            <w:tcW w:w="823" w:type="dxa"/>
            <w:noWrap w:val="0"/>
            <w:vAlign w:val="center"/>
          </w:tcPr>
          <w:p w14:paraId="3F36529D">
            <w:pPr>
              <w:jc w:val="center"/>
              <w:rPr>
                <w:rFonts w:hint="eastAsia" w:ascii="宋体" w:hAnsi="宋体"/>
                <w:szCs w:val="21"/>
                <w:highlight w:val="none"/>
              </w:rPr>
            </w:pPr>
          </w:p>
        </w:tc>
        <w:tc>
          <w:tcPr>
            <w:tcW w:w="871" w:type="dxa"/>
            <w:noWrap w:val="0"/>
            <w:vAlign w:val="center"/>
          </w:tcPr>
          <w:p w14:paraId="78E6AA5E">
            <w:pPr>
              <w:jc w:val="center"/>
              <w:rPr>
                <w:rFonts w:hint="eastAsia" w:ascii="宋体" w:hAnsi="宋体"/>
                <w:szCs w:val="21"/>
                <w:highlight w:val="none"/>
              </w:rPr>
            </w:pPr>
          </w:p>
        </w:tc>
        <w:tc>
          <w:tcPr>
            <w:tcW w:w="709" w:type="dxa"/>
            <w:noWrap w:val="0"/>
            <w:vAlign w:val="center"/>
          </w:tcPr>
          <w:p w14:paraId="5F04BB86">
            <w:pPr>
              <w:jc w:val="center"/>
              <w:rPr>
                <w:rFonts w:hint="eastAsia" w:ascii="宋体" w:hAnsi="宋体"/>
                <w:szCs w:val="21"/>
                <w:highlight w:val="none"/>
              </w:rPr>
            </w:pPr>
          </w:p>
        </w:tc>
        <w:tc>
          <w:tcPr>
            <w:tcW w:w="709" w:type="dxa"/>
            <w:noWrap w:val="0"/>
            <w:vAlign w:val="center"/>
          </w:tcPr>
          <w:p w14:paraId="0C1F970E">
            <w:pPr>
              <w:jc w:val="center"/>
              <w:rPr>
                <w:rFonts w:hint="eastAsia" w:ascii="宋体" w:hAnsi="宋体"/>
                <w:szCs w:val="21"/>
                <w:highlight w:val="none"/>
              </w:rPr>
            </w:pPr>
          </w:p>
        </w:tc>
        <w:tc>
          <w:tcPr>
            <w:tcW w:w="1176" w:type="dxa"/>
            <w:noWrap w:val="0"/>
            <w:vAlign w:val="center"/>
          </w:tcPr>
          <w:p w14:paraId="2138B39F">
            <w:pPr>
              <w:jc w:val="center"/>
              <w:rPr>
                <w:rFonts w:hint="eastAsia" w:ascii="宋体" w:hAnsi="宋体"/>
                <w:szCs w:val="21"/>
                <w:highlight w:val="none"/>
              </w:rPr>
            </w:pPr>
          </w:p>
        </w:tc>
        <w:tc>
          <w:tcPr>
            <w:tcW w:w="872" w:type="dxa"/>
            <w:noWrap w:val="0"/>
            <w:vAlign w:val="center"/>
          </w:tcPr>
          <w:p w14:paraId="31CEDA5F">
            <w:pPr>
              <w:jc w:val="center"/>
              <w:rPr>
                <w:rFonts w:hint="eastAsia" w:ascii="宋体" w:hAnsi="宋体"/>
                <w:szCs w:val="21"/>
                <w:highlight w:val="none"/>
              </w:rPr>
            </w:pPr>
          </w:p>
        </w:tc>
        <w:tc>
          <w:tcPr>
            <w:tcW w:w="872" w:type="dxa"/>
            <w:noWrap w:val="0"/>
            <w:vAlign w:val="center"/>
          </w:tcPr>
          <w:p w14:paraId="59412BCF">
            <w:pPr>
              <w:jc w:val="center"/>
              <w:rPr>
                <w:rFonts w:hint="eastAsia" w:ascii="宋体" w:hAnsi="宋体"/>
                <w:szCs w:val="21"/>
                <w:highlight w:val="none"/>
              </w:rPr>
            </w:pPr>
          </w:p>
        </w:tc>
        <w:tc>
          <w:tcPr>
            <w:tcW w:w="765" w:type="dxa"/>
            <w:noWrap w:val="0"/>
            <w:vAlign w:val="center"/>
          </w:tcPr>
          <w:p w14:paraId="6A81CCBD">
            <w:pPr>
              <w:jc w:val="center"/>
              <w:rPr>
                <w:rFonts w:hint="eastAsia" w:ascii="宋体" w:hAnsi="宋体"/>
                <w:szCs w:val="21"/>
                <w:highlight w:val="none"/>
              </w:rPr>
            </w:pPr>
          </w:p>
        </w:tc>
      </w:tr>
      <w:tr w14:paraId="1303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15051447">
            <w:pPr>
              <w:jc w:val="center"/>
              <w:rPr>
                <w:rFonts w:hint="eastAsia" w:ascii="宋体" w:hAnsi="宋体"/>
                <w:szCs w:val="21"/>
                <w:highlight w:val="none"/>
              </w:rPr>
            </w:pPr>
          </w:p>
        </w:tc>
        <w:tc>
          <w:tcPr>
            <w:tcW w:w="1064" w:type="dxa"/>
            <w:noWrap w:val="0"/>
            <w:vAlign w:val="center"/>
          </w:tcPr>
          <w:p w14:paraId="0EFB53A4">
            <w:pPr>
              <w:jc w:val="center"/>
              <w:rPr>
                <w:rFonts w:hint="eastAsia" w:ascii="宋体" w:hAnsi="宋体"/>
                <w:szCs w:val="21"/>
                <w:highlight w:val="none"/>
              </w:rPr>
            </w:pPr>
          </w:p>
        </w:tc>
        <w:tc>
          <w:tcPr>
            <w:tcW w:w="823" w:type="dxa"/>
            <w:noWrap w:val="0"/>
            <w:vAlign w:val="center"/>
          </w:tcPr>
          <w:p w14:paraId="33FDE831">
            <w:pPr>
              <w:jc w:val="center"/>
              <w:rPr>
                <w:rFonts w:hint="eastAsia" w:ascii="宋体" w:hAnsi="宋体"/>
                <w:szCs w:val="21"/>
                <w:highlight w:val="none"/>
              </w:rPr>
            </w:pPr>
          </w:p>
        </w:tc>
        <w:tc>
          <w:tcPr>
            <w:tcW w:w="871" w:type="dxa"/>
            <w:noWrap w:val="0"/>
            <w:vAlign w:val="center"/>
          </w:tcPr>
          <w:p w14:paraId="4F377087">
            <w:pPr>
              <w:jc w:val="center"/>
              <w:rPr>
                <w:rFonts w:hint="eastAsia" w:ascii="宋体" w:hAnsi="宋体"/>
                <w:szCs w:val="21"/>
                <w:highlight w:val="none"/>
              </w:rPr>
            </w:pPr>
          </w:p>
        </w:tc>
        <w:tc>
          <w:tcPr>
            <w:tcW w:w="709" w:type="dxa"/>
            <w:noWrap w:val="0"/>
            <w:vAlign w:val="center"/>
          </w:tcPr>
          <w:p w14:paraId="68765521">
            <w:pPr>
              <w:jc w:val="center"/>
              <w:rPr>
                <w:rFonts w:hint="eastAsia" w:ascii="宋体" w:hAnsi="宋体"/>
                <w:szCs w:val="21"/>
                <w:highlight w:val="none"/>
              </w:rPr>
            </w:pPr>
          </w:p>
        </w:tc>
        <w:tc>
          <w:tcPr>
            <w:tcW w:w="709" w:type="dxa"/>
            <w:noWrap w:val="0"/>
            <w:vAlign w:val="center"/>
          </w:tcPr>
          <w:p w14:paraId="4D4B33E5">
            <w:pPr>
              <w:jc w:val="center"/>
              <w:rPr>
                <w:rFonts w:hint="eastAsia" w:ascii="宋体" w:hAnsi="宋体"/>
                <w:szCs w:val="21"/>
                <w:highlight w:val="none"/>
              </w:rPr>
            </w:pPr>
          </w:p>
        </w:tc>
        <w:tc>
          <w:tcPr>
            <w:tcW w:w="1176" w:type="dxa"/>
            <w:noWrap w:val="0"/>
            <w:vAlign w:val="center"/>
          </w:tcPr>
          <w:p w14:paraId="79AB3B71">
            <w:pPr>
              <w:jc w:val="center"/>
              <w:rPr>
                <w:rFonts w:hint="eastAsia" w:ascii="宋体" w:hAnsi="宋体"/>
                <w:szCs w:val="21"/>
                <w:highlight w:val="none"/>
              </w:rPr>
            </w:pPr>
          </w:p>
        </w:tc>
        <w:tc>
          <w:tcPr>
            <w:tcW w:w="872" w:type="dxa"/>
            <w:noWrap w:val="0"/>
            <w:vAlign w:val="center"/>
          </w:tcPr>
          <w:p w14:paraId="25151E92">
            <w:pPr>
              <w:jc w:val="center"/>
              <w:rPr>
                <w:rFonts w:hint="eastAsia" w:ascii="宋体" w:hAnsi="宋体"/>
                <w:szCs w:val="21"/>
                <w:highlight w:val="none"/>
              </w:rPr>
            </w:pPr>
          </w:p>
        </w:tc>
        <w:tc>
          <w:tcPr>
            <w:tcW w:w="872" w:type="dxa"/>
            <w:noWrap w:val="0"/>
            <w:vAlign w:val="center"/>
          </w:tcPr>
          <w:p w14:paraId="6F75FF5C">
            <w:pPr>
              <w:jc w:val="center"/>
              <w:rPr>
                <w:rFonts w:hint="eastAsia" w:ascii="宋体" w:hAnsi="宋体"/>
                <w:szCs w:val="21"/>
                <w:highlight w:val="none"/>
              </w:rPr>
            </w:pPr>
          </w:p>
        </w:tc>
        <w:tc>
          <w:tcPr>
            <w:tcW w:w="765" w:type="dxa"/>
            <w:noWrap w:val="0"/>
            <w:vAlign w:val="center"/>
          </w:tcPr>
          <w:p w14:paraId="503ADF11">
            <w:pPr>
              <w:jc w:val="center"/>
              <w:rPr>
                <w:rFonts w:hint="eastAsia" w:ascii="宋体" w:hAnsi="宋体"/>
                <w:szCs w:val="21"/>
                <w:highlight w:val="none"/>
              </w:rPr>
            </w:pPr>
          </w:p>
        </w:tc>
      </w:tr>
      <w:tr w14:paraId="476D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78CC9C79">
            <w:pPr>
              <w:jc w:val="center"/>
              <w:rPr>
                <w:rFonts w:hint="eastAsia" w:ascii="宋体" w:hAnsi="宋体"/>
                <w:szCs w:val="21"/>
                <w:highlight w:val="none"/>
              </w:rPr>
            </w:pPr>
          </w:p>
        </w:tc>
        <w:tc>
          <w:tcPr>
            <w:tcW w:w="1064" w:type="dxa"/>
            <w:noWrap w:val="0"/>
            <w:vAlign w:val="center"/>
          </w:tcPr>
          <w:p w14:paraId="026C30CD">
            <w:pPr>
              <w:jc w:val="center"/>
              <w:rPr>
                <w:rFonts w:hint="eastAsia" w:ascii="宋体" w:hAnsi="宋体"/>
                <w:szCs w:val="21"/>
                <w:highlight w:val="none"/>
              </w:rPr>
            </w:pPr>
          </w:p>
        </w:tc>
        <w:tc>
          <w:tcPr>
            <w:tcW w:w="823" w:type="dxa"/>
            <w:noWrap w:val="0"/>
            <w:vAlign w:val="center"/>
          </w:tcPr>
          <w:p w14:paraId="4951C4F6">
            <w:pPr>
              <w:jc w:val="center"/>
              <w:rPr>
                <w:rFonts w:hint="eastAsia" w:ascii="宋体" w:hAnsi="宋体"/>
                <w:szCs w:val="21"/>
                <w:highlight w:val="none"/>
              </w:rPr>
            </w:pPr>
          </w:p>
        </w:tc>
        <w:tc>
          <w:tcPr>
            <w:tcW w:w="871" w:type="dxa"/>
            <w:noWrap w:val="0"/>
            <w:vAlign w:val="center"/>
          </w:tcPr>
          <w:p w14:paraId="6E6DB791">
            <w:pPr>
              <w:jc w:val="center"/>
              <w:rPr>
                <w:rFonts w:hint="eastAsia" w:ascii="宋体" w:hAnsi="宋体"/>
                <w:szCs w:val="21"/>
                <w:highlight w:val="none"/>
              </w:rPr>
            </w:pPr>
          </w:p>
        </w:tc>
        <w:tc>
          <w:tcPr>
            <w:tcW w:w="709" w:type="dxa"/>
            <w:noWrap w:val="0"/>
            <w:vAlign w:val="center"/>
          </w:tcPr>
          <w:p w14:paraId="102CF348">
            <w:pPr>
              <w:jc w:val="center"/>
              <w:rPr>
                <w:rFonts w:hint="eastAsia" w:ascii="宋体" w:hAnsi="宋体"/>
                <w:szCs w:val="21"/>
                <w:highlight w:val="none"/>
              </w:rPr>
            </w:pPr>
          </w:p>
        </w:tc>
        <w:tc>
          <w:tcPr>
            <w:tcW w:w="709" w:type="dxa"/>
            <w:noWrap w:val="0"/>
            <w:vAlign w:val="center"/>
          </w:tcPr>
          <w:p w14:paraId="34385EDF">
            <w:pPr>
              <w:jc w:val="center"/>
              <w:rPr>
                <w:rFonts w:hint="eastAsia" w:ascii="宋体" w:hAnsi="宋体"/>
                <w:szCs w:val="21"/>
                <w:highlight w:val="none"/>
              </w:rPr>
            </w:pPr>
          </w:p>
        </w:tc>
        <w:tc>
          <w:tcPr>
            <w:tcW w:w="1176" w:type="dxa"/>
            <w:noWrap w:val="0"/>
            <w:vAlign w:val="center"/>
          </w:tcPr>
          <w:p w14:paraId="2DFA45B8">
            <w:pPr>
              <w:jc w:val="center"/>
              <w:rPr>
                <w:rFonts w:hint="eastAsia" w:ascii="宋体" w:hAnsi="宋体"/>
                <w:szCs w:val="21"/>
                <w:highlight w:val="none"/>
              </w:rPr>
            </w:pPr>
          </w:p>
        </w:tc>
        <w:tc>
          <w:tcPr>
            <w:tcW w:w="872" w:type="dxa"/>
            <w:noWrap w:val="0"/>
            <w:vAlign w:val="center"/>
          </w:tcPr>
          <w:p w14:paraId="1F1DE094">
            <w:pPr>
              <w:jc w:val="center"/>
              <w:rPr>
                <w:rFonts w:hint="eastAsia" w:ascii="宋体" w:hAnsi="宋体"/>
                <w:szCs w:val="21"/>
                <w:highlight w:val="none"/>
              </w:rPr>
            </w:pPr>
          </w:p>
        </w:tc>
        <w:tc>
          <w:tcPr>
            <w:tcW w:w="872" w:type="dxa"/>
            <w:noWrap w:val="0"/>
            <w:vAlign w:val="center"/>
          </w:tcPr>
          <w:p w14:paraId="2BA30188">
            <w:pPr>
              <w:jc w:val="center"/>
              <w:rPr>
                <w:rFonts w:hint="eastAsia" w:ascii="宋体" w:hAnsi="宋体"/>
                <w:szCs w:val="21"/>
                <w:highlight w:val="none"/>
              </w:rPr>
            </w:pPr>
          </w:p>
        </w:tc>
        <w:tc>
          <w:tcPr>
            <w:tcW w:w="765" w:type="dxa"/>
            <w:noWrap w:val="0"/>
            <w:vAlign w:val="center"/>
          </w:tcPr>
          <w:p w14:paraId="1F9E702C">
            <w:pPr>
              <w:jc w:val="center"/>
              <w:rPr>
                <w:rFonts w:hint="eastAsia" w:ascii="宋体" w:hAnsi="宋体"/>
                <w:szCs w:val="21"/>
                <w:highlight w:val="none"/>
              </w:rPr>
            </w:pPr>
          </w:p>
        </w:tc>
      </w:tr>
      <w:tr w14:paraId="1E3A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055851BC">
            <w:pPr>
              <w:jc w:val="center"/>
              <w:rPr>
                <w:rFonts w:hint="eastAsia" w:ascii="宋体" w:hAnsi="宋体"/>
                <w:szCs w:val="21"/>
                <w:highlight w:val="none"/>
              </w:rPr>
            </w:pPr>
          </w:p>
        </w:tc>
        <w:tc>
          <w:tcPr>
            <w:tcW w:w="1064" w:type="dxa"/>
            <w:noWrap w:val="0"/>
            <w:vAlign w:val="center"/>
          </w:tcPr>
          <w:p w14:paraId="5CD97715">
            <w:pPr>
              <w:jc w:val="center"/>
              <w:rPr>
                <w:rFonts w:hint="eastAsia" w:ascii="宋体" w:hAnsi="宋体"/>
                <w:szCs w:val="21"/>
                <w:highlight w:val="none"/>
              </w:rPr>
            </w:pPr>
          </w:p>
        </w:tc>
        <w:tc>
          <w:tcPr>
            <w:tcW w:w="823" w:type="dxa"/>
            <w:noWrap w:val="0"/>
            <w:vAlign w:val="center"/>
          </w:tcPr>
          <w:p w14:paraId="01C46C30">
            <w:pPr>
              <w:jc w:val="center"/>
              <w:rPr>
                <w:rFonts w:hint="eastAsia" w:ascii="宋体" w:hAnsi="宋体"/>
                <w:szCs w:val="21"/>
                <w:highlight w:val="none"/>
              </w:rPr>
            </w:pPr>
          </w:p>
        </w:tc>
        <w:tc>
          <w:tcPr>
            <w:tcW w:w="871" w:type="dxa"/>
            <w:noWrap w:val="0"/>
            <w:vAlign w:val="center"/>
          </w:tcPr>
          <w:p w14:paraId="589F5D78">
            <w:pPr>
              <w:jc w:val="center"/>
              <w:rPr>
                <w:rFonts w:hint="eastAsia" w:ascii="宋体" w:hAnsi="宋体"/>
                <w:szCs w:val="21"/>
                <w:highlight w:val="none"/>
              </w:rPr>
            </w:pPr>
          </w:p>
        </w:tc>
        <w:tc>
          <w:tcPr>
            <w:tcW w:w="709" w:type="dxa"/>
            <w:noWrap w:val="0"/>
            <w:vAlign w:val="center"/>
          </w:tcPr>
          <w:p w14:paraId="7BDAD92C">
            <w:pPr>
              <w:jc w:val="center"/>
              <w:rPr>
                <w:rFonts w:hint="eastAsia" w:ascii="宋体" w:hAnsi="宋体"/>
                <w:szCs w:val="21"/>
                <w:highlight w:val="none"/>
              </w:rPr>
            </w:pPr>
          </w:p>
        </w:tc>
        <w:tc>
          <w:tcPr>
            <w:tcW w:w="709" w:type="dxa"/>
            <w:noWrap w:val="0"/>
            <w:vAlign w:val="center"/>
          </w:tcPr>
          <w:p w14:paraId="41CEF01C">
            <w:pPr>
              <w:jc w:val="center"/>
              <w:rPr>
                <w:rFonts w:hint="eastAsia" w:ascii="宋体" w:hAnsi="宋体"/>
                <w:szCs w:val="21"/>
                <w:highlight w:val="none"/>
              </w:rPr>
            </w:pPr>
          </w:p>
        </w:tc>
        <w:tc>
          <w:tcPr>
            <w:tcW w:w="1176" w:type="dxa"/>
            <w:noWrap w:val="0"/>
            <w:vAlign w:val="center"/>
          </w:tcPr>
          <w:p w14:paraId="497D7D23">
            <w:pPr>
              <w:jc w:val="center"/>
              <w:rPr>
                <w:rFonts w:hint="eastAsia" w:ascii="宋体" w:hAnsi="宋体"/>
                <w:szCs w:val="21"/>
                <w:highlight w:val="none"/>
              </w:rPr>
            </w:pPr>
          </w:p>
        </w:tc>
        <w:tc>
          <w:tcPr>
            <w:tcW w:w="872" w:type="dxa"/>
            <w:noWrap w:val="0"/>
            <w:vAlign w:val="center"/>
          </w:tcPr>
          <w:p w14:paraId="6F50E3CE">
            <w:pPr>
              <w:jc w:val="center"/>
              <w:rPr>
                <w:rFonts w:hint="eastAsia" w:ascii="宋体" w:hAnsi="宋体"/>
                <w:szCs w:val="21"/>
                <w:highlight w:val="none"/>
              </w:rPr>
            </w:pPr>
          </w:p>
        </w:tc>
        <w:tc>
          <w:tcPr>
            <w:tcW w:w="872" w:type="dxa"/>
            <w:noWrap w:val="0"/>
            <w:vAlign w:val="center"/>
          </w:tcPr>
          <w:p w14:paraId="6B14C398">
            <w:pPr>
              <w:jc w:val="center"/>
              <w:rPr>
                <w:rFonts w:hint="eastAsia" w:ascii="宋体" w:hAnsi="宋体"/>
                <w:szCs w:val="21"/>
                <w:highlight w:val="none"/>
              </w:rPr>
            </w:pPr>
          </w:p>
        </w:tc>
        <w:tc>
          <w:tcPr>
            <w:tcW w:w="765" w:type="dxa"/>
            <w:noWrap w:val="0"/>
            <w:vAlign w:val="center"/>
          </w:tcPr>
          <w:p w14:paraId="53D0106E">
            <w:pPr>
              <w:jc w:val="center"/>
              <w:rPr>
                <w:rFonts w:hint="eastAsia" w:ascii="宋体" w:hAnsi="宋体"/>
                <w:szCs w:val="21"/>
                <w:highlight w:val="none"/>
              </w:rPr>
            </w:pPr>
          </w:p>
        </w:tc>
      </w:tr>
      <w:tr w14:paraId="0A41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73D49A6">
            <w:pPr>
              <w:jc w:val="center"/>
              <w:rPr>
                <w:rFonts w:hint="eastAsia" w:ascii="宋体" w:hAnsi="宋体"/>
                <w:szCs w:val="21"/>
                <w:highlight w:val="none"/>
              </w:rPr>
            </w:pPr>
          </w:p>
        </w:tc>
        <w:tc>
          <w:tcPr>
            <w:tcW w:w="1064" w:type="dxa"/>
            <w:noWrap w:val="0"/>
            <w:vAlign w:val="center"/>
          </w:tcPr>
          <w:p w14:paraId="20628145">
            <w:pPr>
              <w:jc w:val="center"/>
              <w:rPr>
                <w:rFonts w:hint="eastAsia" w:ascii="宋体" w:hAnsi="宋体"/>
                <w:szCs w:val="21"/>
                <w:highlight w:val="none"/>
              </w:rPr>
            </w:pPr>
          </w:p>
        </w:tc>
        <w:tc>
          <w:tcPr>
            <w:tcW w:w="823" w:type="dxa"/>
            <w:noWrap w:val="0"/>
            <w:vAlign w:val="center"/>
          </w:tcPr>
          <w:p w14:paraId="70709F86">
            <w:pPr>
              <w:jc w:val="center"/>
              <w:rPr>
                <w:rFonts w:hint="eastAsia" w:ascii="宋体" w:hAnsi="宋体"/>
                <w:szCs w:val="21"/>
                <w:highlight w:val="none"/>
              </w:rPr>
            </w:pPr>
          </w:p>
        </w:tc>
        <w:tc>
          <w:tcPr>
            <w:tcW w:w="871" w:type="dxa"/>
            <w:noWrap w:val="0"/>
            <w:vAlign w:val="center"/>
          </w:tcPr>
          <w:p w14:paraId="79FB2657">
            <w:pPr>
              <w:jc w:val="center"/>
              <w:rPr>
                <w:rFonts w:hint="eastAsia" w:ascii="宋体" w:hAnsi="宋体"/>
                <w:szCs w:val="21"/>
                <w:highlight w:val="none"/>
              </w:rPr>
            </w:pPr>
          </w:p>
        </w:tc>
        <w:tc>
          <w:tcPr>
            <w:tcW w:w="709" w:type="dxa"/>
            <w:noWrap w:val="0"/>
            <w:vAlign w:val="center"/>
          </w:tcPr>
          <w:p w14:paraId="1A5E6CE1">
            <w:pPr>
              <w:jc w:val="center"/>
              <w:rPr>
                <w:rFonts w:hint="eastAsia" w:ascii="宋体" w:hAnsi="宋体"/>
                <w:szCs w:val="21"/>
                <w:highlight w:val="none"/>
              </w:rPr>
            </w:pPr>
          </w:p>
        </w:tc>
        <w:tc>
          <w:tcPr>
            <w:tcW w:w="709" w:type="dxa"/>
            <w:noWrap w:val="0"/>
            <w:vAlign w:val="center"/>
          </w:tcPr>
          <w:p w14:paraId="273A3B7D">
            <w:pPr>
              <w:jc w:val="center"/>
              <w:rPr>
                <w:rFonts w:hint="eastAsia" w:ascii="宋体" w:hAnsi="宋体"/>
                <w:szCs w:val="21"/>
                <w:highlight w:val="none"/>
              </w:rPr>
            </w:pPr>
          </w:p>
        </w:tc>
        <w:tc>
          <w:tcPr>
            <w:tcW w:w="1176" w:type="dxa"/>
            <w:noWrap w:val="0"/>
            <w:vAlign w:val="center"/>
          </w:tcPr>
          <w:p w14:paraId="025BD2A6">
            <w:pPr>
              <w:jc w:val="center"/>
              <w:rPr>
                <w:rFonts w:hint="eastAsia" w:ascii="宋体" w:hAnsi="宋体"/>
                <w:szCs w:val="21"/>
                <w:highlight w:val="none"/>
              </w:rPr>
            </w:pPr>
          </w:p>
        </w:tc>
        <w:tc>
          <w:tcPr>
            <w:tcW w:w="872" w:type="dxa"/>
            <w:noWrap w:val="0"/>
            <w:vAlign w:val="center"/>
          </w:tcPr>
          <w:p w14:paraId="05366FA2">
            <w:pPr>
              <w:jc w:val="center"/>
              <w:rPr>
                <w:rFonts w:hint="eastAsia" w:ascii="宋体" w:hAnsi="宋体"/>
                <w:szCs w:val="21"/>
                <w:highlight w:val="none"/>
              </w:rPr>
            </w:pPr>
          </w:p>
        </w:tc>
        <w:tc>
          <w:tcPr>
            <w:tcW w:w="872" w:type="dxa"/>
            <w:noWrap w:val="0"/>
            <w:vAlign w:val="center"/>
          </w:tcPr>
          <w:p w14:paraId="6E7C034F">
            <w:pPr>
              <w:jc w:val="center"/>
              <w:rPr>
                <w:rFonts w:hint="eastAsia" w:ascii="宋体" w:hAnsi="宋体"/>
                <w:szCs w:val="21"/>
                <w:highlight w:val="none"/>
              </w:rPr>
            </w:pPr>
          </w:p>
        </w:tc>
        <w:tc>
          <w:tcPr>
            <w:tcW w:w="765" w:type="dxa"/>
            <w:noWrap w:val="0"/>
            <w:vAlign w:val="center"/>
          </w:tcPr>
          <w:p w14:paraId="7ECB7AA1">
            <w:pPr>
              <w:jc w:val="center"/>
              <w:rPr>
                <w:rFonts w:hint="eastAsia" w:ascii="宋体" w:hAnsi="宋体"/>
                <w:szCs w:val="21"/>
                <w:highlight w:val="none"/>
              </w:rPr>
            </w:pPr>
          </w:p>
        </w:tc>
      </w:tr>
      <w:tr w14:paraId="1951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351369D6">
            <w:pPr>
              <w:jc w:val="center"/>
              <w:rPr>
                <w:rFonts w:hint="eastAsia" w:ascii="宋体" w:hAnsi="宋体"/>
                <w:szCs w:val="21"/>
                <w:highlight w:val="none"/>
              </w:rPr>
            </w:pPr>
          </w:p>
        </w:tc>
        <w:tc>
          <w:tcPr>
            <w:tcW w:w="1064" w:type="dxa"/>
            <w:noWrap w:val="0"/>
            <w:vAlign w:val="center"/>
          </w:tcPr>
          <w:p w14:paraId="17E18F3C">
            <w:pPr>
              <w:jc w:val="center"/>
              <w:rPr>
                <w:rFonts w:hint="eastAsia" w:ascii="宋体" w:hAnsi="宋体"/>
                <w:szCs w:val="21"/>
                <w:highlight w:val="none"/>
              </w:rPr>
            </w:pPr>
          </w:p>
        </w:tc>
        <w:tc>
          <w:tcPr>
            <w:tcW w:w="823" w:type="dxa"/>
            <w:noWrap w:val="0"/>
            <w:vAlign w:val="center"/>
          </w:tcPr>
          <w:p w14:paraId="09E39F1C">
            <w:pPr>
              <w:jc w:val="center"/>
              <w:rPr>
                <w:rFonts w:hint="eastAsia" w:ascii="宋体" w:hAnsi="宋体"/>
                <w:szCs w:val="21"/>
                <w:highlight w:val="none"/>
              </w:rPr>
            </w:pPr>
          </w:p>
        </w:tc>
        <w:tc>
          <w:tcPr>
            <w:tcW w:w="871" w:type="dxa"/>
            <w:noWrap w:val="0"/>
            <w:vAlign w:val="center"/>
          </w:tcPr>
          <w:p w14:paraId="630A68B8">
            <w:pPr>
              <w:jc w:val="center"/>
              <w:rPr>
                <w:rFonts w:hint="eastAsia" w:ascii="宋体" w:hAnsi="宋体"/>
                <w:szCs w:val="21"/>
                <w:highlight w:val="none"/>
              </w:rPr>
            </w:pPr>
          </w:p>
        </w:tc>
        <w:tc>
          <w:tcPr>
            <w:tcW w:w="709" w:type="dxa"/>
            <w:noWrap w:val="0"/>
            <w:vAlign w:val="center"/>
          </w:tcPr>
          <w:p w14:paraId="5B552687">
            <w:pPr>
              <w:jc w:val="center"/>
              <w:rPr>
                <w:rFonts w:hint="eastAsia" w:ascii="宋体" w:hAnsi="宋体"/>
                <w:szCs w:val="21"/>
                <w:highlight w:val="none"/>
              </w:rPr>
            </w:pPr>
          </w:p>
        </w:tc>
        <w:tc>
          <w:tcPr>
            <w:tcW w:w="709" w:type="dxa"/>
            <w:noWrap w:val="0"/>
            <w:vAlign w:val="center"/>
          </w:tcPr>
          <w:p w14:paraId="3048537F">
            <w:pPr>
              <w:jc w:val="center"/>
              <w:rPr>
                <w:rFonts w:hint="eastAsia" w:ascii="宋体" w:hAnsi="宋体"/>
                <w:szCs w:val="21"/>
                <w:highlight w:val="none"/>
              </w:rPr>
            </w:pPr>
          </w:p>
        </w:tc>
        <w:tc>
          <w:tcPr>
            <w:tcW w:w="1176" w:type="dxa"/>
            <w:noWrap w:val="0"/>
            <w:vAlign w:val="center"/>
          </w:tcPr>
          <w:p w14:paraId="13329A9B">
            <w:pPr>
              <w:jc w:val="center"/>
              <w:rPr>
                <w:rFonts w:hint="eastAsia" w:ascii="宋体" w:hAnsi="宋体"/>
                <w:szCs w:val="21"/>
                <w:highlight w:val="none"/>
              </w:rPr>
            </w:pPr>
          </w:p>
        </w:tc>
        <w:tc>
          <w:tcPr>
            <w:tcW w:w="872" w:type="dxa"/>
            <w:noWrap w:val="0"/>
            <w:vAlign w:val="center"/>
          </w:tcPr>
          <w:p w14:paraId="7C365076">
            <w:pPr>
              <w:jc w:val="center"/>
              <w:rPr>
                <w:rFonts w:hint="eastAsia" w:ascii="宋体" w:hAnsi="宋体"/>
                <w:szCs w:val="21"/>
                <w:highlight w:val="none"/>
              </w:rPr>
            </w:pPr>
          </w:p>
        </w:tc>
        <w:tc>
          <w:tcPr>
            <w:tcW w:w="872" w:type="dxa"/>
            <w:noWrap w:val="0"/>
            <w:vAlign w:val="center"/>
          </w:tcPr>
          <w:p w14:paraId="24833123">
            <w:pPr>
              <w:jc w:val="center"/>
              <w:rPr>
                <w:rFonts w:hint="eastAsia" w:ascii="宋体" w:hAnsi="宋体"/>
                <w:szCs w:val="21"/>
                <w:highlight w:val="none"/>
              </w:rPr>
            </w:pPr>
          </w:p>
        </w:tc>
        <w:tc>
          <w:tcPr>
            <w:tcW w:w="765" w:type="dxa"/>
            <w:noWrap w:val="0"/>
            <w:vAlign w:val="center"/>
          </w:tcPr>
          <w:p w14:paraId="3D556ABA">
            <w:pPr>
              <w:jc w:val="center"/>
              <w:rPr>
                <w:rFonts w:hint="eastAsia" w:ascii="宋体" w:hAnsi="宋体"/>
                <w:szCs w:val="21"/>
                <w:highlight w:val="none"/>
              </w:rPr>
            </w:pPr>
          </w:p>
        </w:tc>
      </w:tr>
      <w:tr w14:paraId="44AF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61E73AF">
            <w:pPr>
              <w:jc w:val="center"/>
              <w:rPr>
                <w:rFonts w:hint="eastAsia" w:ascii="宋体" w:hAnsi="宋体"/>
                <w:szCs w:val="21"/>
                <w:highlight w:val="none"/>
              </w:rPr>
            </w:pPr>
          </w:p>
        </w:tc>
        <w:tc>
          <w:tcPr>
            <w:tcW w:w="1064" w:type="dxa"/>
            <w:noWrap w:val="0"/>
            <w:vAlign w:val="center"/>
          </w:tcPr>
          <w:p w14:paraId="2E5C63F5">
            <w:pPr>
              <w:jc w:val="center"/>
              <w:rPr>
                <w:rFonts w:hint="eastAsia" w:ascii="宋体" w:hAnsi="宋体"/>
                <w:szCs w:val="21"/>
                <w:highlight w:val="none"/>
              </w:rPr>
            </w:pPr>
          </w:p>
        </w:tc>
        <w:tc>
          <w:tcPr>
            <w:tcW w:w="823" w:type="dxa"/>
            <w:noWrap w:val="0"/>
            <w:vAlign w:val="center"/>
          </w:tcPr>
          <w:p w14:paraId="2E92FFC7">
            <w:pPr>
              <w:jc w:val="center"/>
              <w:rPr>
                <w:rFonts w:hint="eastAsia" w:ascii="宋体" w:hAnsi="宋体"/>
                <w:szCs w:val="21"/>
                <w:highlight w:val="none"/>
              </w:rPr>
            </w:pPr>
          </w:p>
        </w:tc>
        <w:tc>
          <w:tcPr>
            <w:tcW w:w="871" w:type="dxa"/>
            <w:noWrap w:val="0"/>
            <w:vAlign w:val="center"/>
          </w:tcPr>
          <w:p w14:paraId="39ACE9D7">
            <w:pPr>
              <w:jc w:val="center"/>
              <w:rPr>
                <w:rFonts w:hint="eastAsia" w:ascii="宋体" w:hAnsi="宋体"/>
                <w:szCs w:val="21"/>
                <w:highlight w:val="none"/>
              </w:rPr>
            </w:pPr>
          </w:p>
        </w:tc>
        <w:tc>
          <w:tcPr>
            <w:tcW w:w="709" w:type="dxa"/>
            <w:noWrap w:val="0"/>
            <w:vAlign w:val="center"/>
          </w:tcPr>
          <w:p w14:paraId="4BB7C532">
            <w:pPr>
              <w:jc w:val="center"/>
              <w:rPr>
                <w:rFonts w:hint="eastAsia" w:ascii="宋体" w:hAnsi="宋体"/>
                <w:szCs w:val="21"/>
                <w:highlight w:val="none"/>
              </w:rPr>
            </w:pPr>
          </w:p>
        </w:tc>
        <w:tc>
          <w:tcPr>
            <w:tcW w:w="709" w:type="dxa"/>
            <w:noWrap w:val="0"/>
            <w:vAlign w:val="center"/>
          </w:tcPr>
          <w:p w14:paraId="698A44CC">
            <w:pPr>
              <w:jc w:val="center"/>
              <w:rPr>
                <w:rFonts w:hint="eastAsia" w:ascii="宋体" w:hAnsi="宋体"/>
                <w:szCs w:val="21"/>
                <w:highlight w:val="none"/>
              </w:rPr>
            </w:pPr>
          </w:p>
        </w:tc>
        <w:tc>
          <w:tcPr>
            <w:tcW w:w="1176" w:type="dxa"/>
            <w:noWrap w:val="0"/>
            <w:vAlign w:val="center"/>
          </w:tcPr>
          <w:p w14:paraId="283A6A2A">
            <w:pPr>
              <w:jc w:val="center"/>
              <w:rPr>
                <w:rFonts w:hint="eastAsia" w:ascii="宋体" w:hAnsi="宋体"/>
                <w:szCs w:val="21"/>
                <w:highlight w:val="none"/>
              </w:rPr>
            </w:pPr>
          </w:p>
        </w:tc>
        <w:tc>
          <w:tcPr>
            <w:tcW w:w="872" w:type="dxa"/>
            <w:noWrap w:val="0"/>
            <w:vAlign w:val="center"/>
          </w:tcPr>
          <w:p w14:paraId="238F934C">
            <w:pPr>
              <w:jc w:val="center"/>
              <w:rPr>
                <w:rFonts w:hint="eastAsia" w:ascii="宋体" w:hAnsi="宋体"/>
                <w:szCs w:val="21"/>
                <w:highlight w:val="none"/>
              </w:rPr>
            </w:pPr>
          </w:p>
        </w:tc>
        <w:tc>
          <w:tcPr>
            <w:tcW w:w="872" w:type="dxa"/>
            <w:noWrap w:val="0"/>
            <w:vAlign w:val="center"/>
          </w:tcPr>
          <w:p w14:paraId="5B804A4F">
            <w:pPr>
              <w:jc w:val="center"/>
              <w:rPr>
                <w:rFonts w:hint="eastAsia" w:ascii="宋体" w:hAnsi="宋体"/>
                <w:szCs w:val="21"/>
                <w:highlight w:val="none"/>
              </w:rPr>
            </w:pPr>
          </w:p>
        </w:tc>
        <w:tc>
          <w:tcPr>
            <w:tcW w:w="765" w:type="dxa"/>
            <w:noWrap w:val="0"/>
            <w:vAlign w:val="center"/>
          </w:tcPr>
          <w:p w14:paraId="236C29D9">
            <w:pPr>
              <w:jc w:val="center"/>
              <w:rPr>
                <w:rFonts w:hint="eastAsia" w:ascii="宋体" w:hAnsi="宋体"/>
                <w:szCs w:val="21"/>
                <w:highlight w:val="none"/>
              </w:rPr>
            </w:pPr>
          </w:p>
        </w:tc>
      </w:tr>
      <w:tr w14:paraId="3E38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296930E">
            <w:pPr>
              <w:jc w:val="center"/>
              <w:rPr>
                <w:rFonts w:hint="eastAsia" w:ascii="宋体" w:hAnsi="宋体"/>
                <w:szCs w:val="21"/>
                <w:highlight w:val="none"/>
              </w:rPr>
            </w:pPr>
          </w:p>
        </w:tc>
        <w:tc>
          <w:tcPr>
            <w:tcW w:w="1064" w:type="dxa"/>
            <w:noWrap w:val="0"/>
            <w:vAlign w:val="center"/>
          </w:tcPr>
          <w:p w14:paraId="1CA4C0BE">
            <w:pPr>
              <w:jc w:val="center"/>
              <w:rPr>
                <w:rFonts w:hint="eastAsia" w:ascii="宋体" w:hAnsi="宋体"/>
                <w:szCs w:val="21"/>
                <w:highlight w:val="none"/>
              </w:rPr>
            </w:pPr>
          </w:p>
        </w:tc>
        <w:tc>
          <w:tcPr>
            <w:tcW w:w="823" w:type="dxa"/>
            <w:noWrap w:val="0"/>
            <w:vAlign w:val="center"/>
          </w:tcPr>
          <w:p w14:paraId="5685E40D">
            <w:pPr>
              <w:jc w:val="center"/>
              <w:rPr>
                <w:rFonts w:hint="eastAsia" w:ascii="宋体" w:hAnsi="宋体"/>
                <w:szCs w:val="21"/>
                <w:highlight w:val="none"/>
              </w:rPr>
            </w:pPr>
          </w:p>
        </w:tc>
        <w:tc>
          <w:tcPr>
            <w:tcW w:w="871" w:type="dxa"/>
            <w:noWrap w:val="0"/>
            <w:vAlign w:val="center"/>
          </w:tcPr>
          <w:p w14:paraId="7D6668BA">
            <w:pPr>
              <w:jc w:val="center"/>
              <w:rPr>
                <w:rFonts w:hint="eastAsia" w:ascii="宋体" w:hAnsi="宋体"/>
                <w:szCs w:val="21"/>
                <w:highlight w:val="none"/>
              </w:rPr>
            </w:pPr>
          </w:p>
        </w:tc>
        <w:tc>
          <w:tcPr>
            <w:tcW w:w="709" w:type="dxa"/>
            <w:noWrap w:val="0"/>
            <w:vAlign w:val="center"/>
          </w:tcPr>
          <w:p w14:paraId="5202614C">
            <w:pPr>
              <w:jc w:val="center"/>
              <w:rPr>
                <w:rFonts w:hint="eastAsia" w:ascii="宋体" w:hAnsi="宋体"/>
                <w:szCs w:val="21"/>
                <w:highlight w:val="none"/>
              </w:rPr>
            </w:pPr>
          </w:p>
        </w:tc>
        <w:tc>
          <w:tcPr>
            <w:tcW w:w="709" w:type="dxa"/>
            <w:noWrap w:val="0"/>
            <w:vAlign w:val="center"/>
          </w:tcPr>
          <w:p w14:paraId="265A2D0C">
            <w:pPr>
              <w:jc w:val="center"/>
              <w:rPr>
                <w:rFonts w:hint="eastAsia" w:ascii="宋体" w:hAnsi="宋体"/>
                <w:szCs w:val="21"/>
                <w:highlight w:val="none"/>
              </w:rPr>
            </w:pPr>
          </w:p>
        </w:tc>
        <w:tc>
          <w:tcPr>
            <w:tcW w:w="1176" w:type="dxa"/>
            <w:noWrap w:val="0"/>
            <w:vAlign w:val="center"/>
          </w:tcPr>
          <w:p w14:paraId="3B607271">
            <w:pPr>
              <w:jc w:val="center"/>
              <w:rPr>
                <w:rFonts w:hint="eastAsia" w:ascii="宋体" w:hAnsi="宋体"/>
                <w:szCs w:val="21"/>
                <w:highlight w:val="none"/>
              </w:rPr>
            </w:pPr>
          </w:p>
        </w:tc>
        <w:tc>
          <w:tcPr>
            <w:tcW w:w="872" w:type="dxa"/>
            <w:noWrap w:val="0"/>
            <w:vAlign w:val="center"/>
          </w:tcPr>
          <w:p w14:paraId="385C48CD">
            <w:pPr>
              <w:jc w:val="center"/>
              <w:rPr>
                <w:rFonts w:hint="eastAsia" w:ascii="宋体" w:hAnsi="宋体"/>
                <w:szCs w:val="21"/>
                <w:highlight w:val="none"/>
              </w:rPr>
            </w:pPr>
          </w:p>
        </w:tc>
        <w:tc>
          <w:tcPr>
            <w:tcW w:w="872" w:type="dxa"/>
            <w:noWrap w:val="0"/>
            <w:vAlign w:val="center"/>
          </w:tcPr>
          <w:p w14:paraId="1F5D9C54">
            <w:pPr>
              <w:jc w:val="center"/>
              <w:rPr>
                <w:rFonts w:hint="eastAsia" w:ascii="宋体" w:hAnsi="宋体"/>
                <w:szCs w:val="21"/>
                <w:highlight w:val="none"/>
              </w:rPr>
            </w:pPr>
          </w:p>
        </w:tc>
        <w:tc>
          <w:tcPr>
            <w:tcW w:w="765" w:type="dxa"/>
            <w:noWrap w:val="0"/>
            <w:vAlign w:val="center"/>
          </w:tcPr>
          <w:p w14:paraId="5F58AC1F">
            <w:pPr>
              <w:jc w:val="center"/>
              <w:rPr>
                <w:rFonts w:hint="eastAsia" w:ascii="宋体" w:hAnsi="宋体"/>
                <w:szCs w:val="21"/>
                <w:highlight w:val="none"/>
              </w:rPr>
            </w:pPr>
          </w:p>
        </w:tc>
      </w:tr>
      <w:tr w14:paraId="6C6D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181E3FB3">
            <w:pPr>
              <w:jc w:val="center"/>
              <w:rPr>
                <w:rFonts w:hint="eastAsia" w:ascii="宋体" w:hAnsi="宋体"/>
                <w:szCs w:val="21"/>
                <w:highlight w:val="none"/>
              </w:rPr>
            </w:pPr>
          </w:p>
        </w:tc>
        <w:tc>
          <w:tcPr>
            <w:tcW w:w="1064" w:type="dxa"/>
            <w:noWrap w:val="0"/>
            <w:vAlign w:val="center"/>
          </w:tcPr>
          <w:p w14:paraId="19C0CCCE">
            <w:pPr>
              <w:jc w:val="center"/>
              <w:rPr>
                <w:rFonts w:hint="eastAsia" w:ascii="宋体" w:hAnsi="宋体"/>
                <w:szCs w:val="21"/>
                <w:highlight w:val="none"/>
              </w:rPr>
            </w:pPr>
          </w:p>
        </w:tc>
        <w:tc>
          <w:tcPr>
            <w:tcW w:w="823" w:type="dxa"/>
            <w:noWrap w:val="0"/>
            <w:vAlign w:val="center"/>
          </w:tcPr>
          <w:p w14:paraId="4872E0D1">
            <w:pPr>
              <w:jc w:val="center"/>
              <w:rPr>
                <w:rFonts w:hint="eastAsia" w:ascii="宋体" w:hAnsi="宋体"/>
                <w:szCs w:val="21"/>
                <w:highlight w:val="none"/>
              </w:rPr>
            </w:pPr>
          </w:p>
        </w:tc>
        <w:tc>
          <w:tcPr>
            <w:tcW w:w="871" w:type="dxa"/>
            <w:noWrap w:val="0"/>
            <w:vAlign w:val="center"/>
          </w:tcPr>
          <w:p w14:paraId="3AC207E2">
            <w:pPr>
              <w:jc w:val="center"/>
              <w:rPr>
                <w:rFonts w:hint="eastAsia" w:ascii="宋体" w:hAnsi="宋体"/>
                <w:szCs w:val="21"/>
                <w:highlight w:val="none"/>
              </w:rPr>
            </w:pPr>
          </w:p>
        </w:tc>
        <w:tc>
          <w:tcPr>
            <w:tcW w:w="709" w:type="dxa"/>
            <w:noWrap w:val="0"/>
            <w:vAlign w:val="center"/>
          </w:tcPr>
          <w:p w14:paraId="0001280C">
            <w:pPr>
              <w:jc w:val="center"/>
              <w:rPr>
                <w:rFonts w:hint="eastAsia" w:ascii="宋体" w:hAnsi="宋体"/>
                <w:szCs w:val="21"/>
                <w:highlight w:val="none"/>
              </w:rPr>
            </w:pPr>
          </w:p>
        </w:tc>
        <w:tc>
          <w:tcPr>
            <w:tcW w:w="709" w:type="dxa"/>
            <w:noWrap w:val="0"/>
            <w:vAlign w:val="center"/>
          </w:tcPr>
          <w:p w14:paraId="369F71DB">
            <w:pPr>
              <w:jc w:val="center"/>
              <w:rPr>
                <w:rFonts w:hint="eastAsia" w:ascii="宋体" w:hAnsi="宋体"/>
                <w:szCs w:val="21"/>
                <w:highlight w:val="none"/>
              </w:rPr>
            </w:pPr>
          </w:p>
        </w:tc>
        <w:tc>
          <w:tcPr>
            <w:tcW w:w="1176" w:type="dxa"/>
            <w:noWrap w:val="0"/>
            <w:vAlign w:val="center"/>
          </w:tcPr>
          <w:p w14:paraId="292CB211">
            <w:pPr>
              <w:jc w:val="center"/>
              <w:rPr>
                <w:rFonts w:hint="eastAsia" w:ascii="宋体" w:hAnsi="宋体"/>
                <w:szCs w:val="21"/>
                <w:highlight w:val="none"/>
              </w:rPr>
            </w:pPr>
          </w:p>
        </w:tc>
        <w:tc>
          <w:tcPr>
            <w:tcW w:w="872" w:type="dxa"/>
            <w:noWrap w:val="0"/>
            <w:vAlign w:val="center"/>
          </w:tcPr>
          <w:p w14:paraId="6A42E573">
            <w:pPr>
              <w:jc w:val="center"/>
              <w:rPr>
                <w:rFonts w:hint="eastAsia" w:ascii="宋体" w:hAnsi="宋体"/>
                <w:szCs w:val="21"/>
                <w:highlight w:val="none"/>
              </w:rPr>
            </w:pPr>
          </w:p>
        </w:tc>
        <w:tc>
          <w:tcPr>
            <w:tcW w:w="872" w:type="dxa"/>
            <w:noWrap w:val="0"/>
            <w:vAlign w:val="center"/>
          </w:tcPr>
          <w:p w14:paraId="3BD6E566">
            <w:pPr>
              <w:jc w:val="center"/>
              <w:rPr>
                <w:rFonts w:hint="eastAsia" w:ascii="宋体" w:hAnsi="宋体"/>
                <w:szCs w:val="21"/>
                <w:highlight w:val="none"/>
              </w:rPr>
            </w:pPr>
          </w:p>
        </w:tc>
        <w:tc>
          <w:tcPr>
            <w:tcW w:w="765" w:type="dxa"/>
            <w:noWrap w:val="0"/>
            <w:vAlign w:val="center"/>
          </w:tcPr>
          <w:p w14:paraId="03CCD368">
            <w:pPr>
              <w:jc w:val="center"/>
              <w:rPr>
                <w:rFonts w:hint="eastAsia" w:ascii="宋体" w:hAnsi="宋体"/>
                <w:szCs w:val="21"/>
                <w:highlight w:val="none"/>
              </w:rPr>
            </w:pPr>
          </w:p>
        </w:tc>
      </w:tr>
    </w:tbl>
    <w:p w14:paraId="6E2B9EF0">
      <w:pPr>
        <w:spacing w:line="420" w:lineRule="exact"/>
        <w:rPr>
          <w:rFonts w:ascii="宋体" w:hAnsi="宋体"/>
          <w:szCs w:val="21"/>
          <w:highlight w:val="none"/>
        </w:rPr>
      </w:pPr>
    </w:p>
    <w:p w14:paraId="5D601B8E">
      <w:pPr>
        <w:spacing w:before="156" w:beforeLines="50" w:after="312" w:afterLines="100" w:line="420" w:lineRule="exact"/>
        <w:rPr>
          <w:rFonts w:hint="eastAsia" w:ascii="宋体" w:hAnsi="宋体"/>
          <w:sz w:val="24"/>
          <w:highlight w:val="none"/>
        </w:rPr>
      </w:pPr>
      <w:r>
        <w:rPr>
          <w:rFonts w:ascii="宋体" w:hAnsi="宋体"/>
          <w:szCs w:val="21"/>
          <w:highlight w:val="none"/>
        </w:rPr>
        <w:br w:type="page"/>
      </w:r>
      <w:r>
        <w:rPr>
          <w:rFonts w:hint="eastAsia" w:ascii="宋体" w:hAnsi="宋体"/>
          <w:b/>
          <w:bCs/>
          <w:sz w:val="24"/>
          <w:szCs w:val="24"/>
          <w:highlight w:val="none"/>
        </w:rPr>
        <w:t>附表二：拟配备本工程的试验和检测仪器设备表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933"/>
        <w:gridCol w:w="761"/>
        <w:gridCol w:w="709"/>
        <w:gridCol w:w="709"/>
        <w:gridCol w:w="1176"/>
        <w:gridCol w:w="1659"/>
        <w:gridCol w:w="850"/>
      </w:tblGrid>
      <w:tr w14:paraId="4B10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noWrap w:val="0"/>
            <w:vAlign w:val="center"/>
          </w:tcPr>
          <w:p w14:paraId="089DC53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14:paraId="651A1EF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仪器设备名称</w:t>
            </w:r>
          </w:p>
        </w:tc>
        <w:tc>
          <w:tcPr>
            <w:tcW w:w="933" w:type="dxa"/>
            <w:noWrap w:val="0"/>
            <w:vAlign w:val="center"/>
          </w:tcPr>
          <w:p w14:paraId="7C4B898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型号</w:t>
            </w:r>
          </w:p>
          <w:p w14:paraId="27C4869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规格</w:t>
            </w:r>
          </w:p>
        </w:tc>
        <w:tc>
          <w:tcPr>
            <w:tcW w:w="761" w:type="dxa"/>
            <w:noWrap w:val="0"/>
            <w:vAlign w:val="center"/>
          </w:tcPr>
          <w:p w14:paraId="06E361B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数量</w:t>
            </w:r>
          </w:p>
        </w:tc>
        <w:tc>
          <w:tcPr>
            <w:tcW w:w="709" w:type="dxa"/>
            <w:noWrap w:val="0"/>
            <w:vAlign w:val="center"/>
          </w:tcPr>
          <w:p w14:paraId="0F224B0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国别</w:t>
            </w:r>
          </w:p>
          <w:p w14:paraId="569FF52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14:paraId="0B67935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制造</w:t>
            </w:r>
          </w:p>
          <w:p w14:paraId="2EE3409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14:paraId="626AE4A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已使用台</w:t>
            </w:r>
          </w:p>
          <w:p w14:paraId="4DCDC7E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时    数</w:t>
            </w:r>
          </w:p>
        </w:tc>
        <w:tc>
          <w:tcPr>
            <w:tcW w:w="1659" w:type="dxa"/>
            <w:noWrap w:val="0"/>
            <w:vAlign w:val="center"/>
          </w:tcPr>
          <w:p w14:paraId="059E036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用 途</w:t>
            </w:r>
          </w:p>
        </w:tc>
        <w:tc>
          <w:tcPr>
            <w:tcW w:w="850" w:type="dxa"/>
            <w:noWrap w:val="0"/>
            <w:vAlign w:val="center"/>
          </w:tcPr>
          <w:p w14:paraId="1CFEB84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r>
              <w:rPr>
                <w:rFonts w:hint="eastAsia" w:ascii="宋体" w:hAnsi="宋体"/>
                <w:szCs w:val="21"/>
                <w:highlight w:val="none"/>
              </w:rPr>
              <w:t>备注</w:t>
            </w:r>
          </w:p>
        </w:tc>
      </w:tr>
      <w:tr w14:paraId="1105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14E069D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7E2F210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4C506F0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2B5C027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D3B52D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C05781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7BAFB01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644F84C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6D371AE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57A5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28BB2C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09416B4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5645129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209138E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122A5C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64DC9A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36B772F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065BCA3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14E00B8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726D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0CF59E9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51E19CD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1C92901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0F9B525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28B24D5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781F33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18AE861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05FCEEC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1F2925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054F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409D931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34A179F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3C1532F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02ED710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58E05D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121321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214DC89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5472923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50DECEA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0E64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7D4379E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5B1D123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0F187A5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7F28EC3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594D1A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40B3E2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6DC4F30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3C7D55B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5ACDDE7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5140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997473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4793E79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48E1E5F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5229A6C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8C2471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7E0501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24F343A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209EA42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78A4962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2C4F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1B7D013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6307C6E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1EE9BC9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4657283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93F832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154EA4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20FDE39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3114675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7FA178C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009B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0008E5C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42AC29C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24021B1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60954B9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02A0D8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FE3ED2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74B8337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3FEE01F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5ADFF5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07A3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6692757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02FAD38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7DE482B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43CE1F3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B16E6F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FBE48F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35C651E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2ED8ECF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E1EDDA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6E92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671072A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48DA0D1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26FB030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6DFA4BA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7FD0EA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177A6C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36026B8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77AF492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76474C3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3DEC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6A7D57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6271E92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502AB0F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6987079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300394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7EE75D2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27D2D17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157AF92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7408237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486A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1CA003C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686EA04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1597B72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0A6C948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1567A2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99ACAB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7CC31D5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10DC462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7E8B42C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2EAE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3813220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326338A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35C1125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2F46F4D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7E71E14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19A899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672D6D5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3ED7904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7F6BF5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50F7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08D1CD3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4B6062F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297ADAD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3DF5D2F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68B579B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A7325F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4019D4E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5E65531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06E1C5E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3C8E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51F8872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71414A3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5C987B85">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72663E4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1E135A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6D68C3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26B00A2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1A3ACB6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140835E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7212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BEB8F8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1AD4A92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6C79681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4D8CC29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908811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617BF52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432FBF3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6DA9B1C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2205EDE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2BBC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E87B1A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77E878C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567F02C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743C4E4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DA00DA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2EA02EF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4C9B59D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201CDF5A">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673EDF7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21D5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2D88F53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722DB38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71BBBF2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413D4EA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130880C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5A6A721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2DF4B47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601717E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2BDC9C4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3B2D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6C0905C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246B541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6FF7316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1F6D4F1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AC19F2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21B5180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0CE3F09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2B0B272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63447FA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08C7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69134DA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2688332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417EBEF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51A56F6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69B4AE5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0D69B1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0A111F7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075208DB">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7EBD0C0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511E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7A61BDEC">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4312F12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557F4EE0">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384DF7B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3F78894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07094BA4">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7BD5EA3D">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60C8AB9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2DFCC0CE">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5970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01283E5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62A5208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441EC38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2E2695E2">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2D4ECF3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786AF6D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1A7A3E08">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6870855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1EFD5777">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r w14:paraId="5624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noWrap w:val="0"/>
            <w:vAlign w:val="center"/>
          </w:tcPr>
          <w:p w14:paraId="1E176B8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064" w:type="dxa"/>
            <w:noWrap w:val="0"/>
            <w:vAlign w:val="center"/>
          </w:tcPr>
          <w:p w14:paraId="764EA1F3">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933" w:type="dxa"/>
            <w:noWrap w:val="0"/>
            <w:vAlign w:val="center"/>
          </w:tcPr>
          <w:p w14:paraId="4A6EB51F">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61" w:type="dxa"/>
            <w:noWrap w:val="0"/>
            <w:vAlign w:val="center"/>
          </w:tcPr>
          <w:p w14:paraId="4582AA9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4BD63E2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709" w:type="dxa"/>
            <w:noWrap w:val="0"/>
            <w:vAlign w:val="center"/>
          </w:tcPr>
          <w:p w14:paraId="614D9291">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176" w:type="dxa"/>
            <w:noWrap w:val="0"/>
            <w:vAlign w:val="center"/>
          </w:tcPr>
          <w:p w14:paraId="0B2E1C29">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1659" w:type="dxa"/>
            <w:noWrap w:val="0"/>
            <w:vAlign w:val="center"/>
          </w:tcPr>
          <w:p w14:paraId="602F9FE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c>
          <w:tcPr>
            <w:tcW w:w="850" w:type="dxa"/>
            <w:noWrap w:val="0"/>
            <w:vAlign w:val="center"/>
          </w:tcPr>
          <w:p w14:paraId="64AC7A46">
            <w:pPr>
              <w:keepNext w:val="0"/>
              <w:keepLines w:val="0"/>
              <w:pageBreakBefore w:val="0"/>
              <w:widowControl w:val="0"/>
              <w:kinsoku/>
              <w:wordWrap w:val="0"/>
              <w:overflowPunct/>
              <w:topLinePunct/>
              <w:autoSpaceDE/>
              <w:autoSpaceDN/>
              <w:bidi w:val="0"/>
              <w:adjustRightInd w:val="0"/>
              <w:snapToGrid/>
              <w:jc w:val="center"/>
              <w:textAlignment w:val="auto"/>
              <w:rPr>
                <w:rFonts w:hint="eastAsia" w:ascii="宋体" w:hAnsi="宋体"/>
                <w:szCs w:val="21"/>
                <w:highlight w:val="none"/>
              </w:rPr>
            </w:pPr>
          </w:p>
        </w:tc>
      </w:tr>
    </w:tbl>
    <w:p w14:paraId="22043723">
      <w:pPr>
        <w:spacing w:line="420" w:lineRule="exact"/>
        <w:rPr>
          <w:rFonts w:ascii="宋体" w:hAnsi="宋体"/>
          <w:szCs w:val="21"/>
          <w:highlight w:val="none"/>
        </w:rPr>
      </w:pPr>
    </w:p>
    <w:p w14:paraId="58EC1881">
      <w:pPr>
        <w:spacing w:before="156" w:beforeLines="50" w:after="156" w:afterLines="50" w:line="420" w:lineRule="exact"/>
        <w:rPr>
          <w:rFonts w:hint="eastAsia" w:ascii="宋体" w:hAnsi="宋体"/>
          <w:sz w:val="24"/>
          <w:highlight w:val="none"/>
        </w:rPr>
      </w:pPr>
      <w:r>
        <w:rPr>
          <w:rFonts w:ascii="宋体" w:hAnsi="宋体"/>
          <w:szCs w:val="21"/>
          <w:highlight w:val="none"/>
        </w:rPr>
        <w:br w:type="page"/>
      </w:r>
      <w:r>
        <w:rPr>
          <w:rFonts w:hint="eastAsia" w:ascii="宋体" w:hAnsi="宋体"/>
          <w:b/>
          <w:bCs/>
          <w:sz w:val="24"/>
          <w:szCs w:val="24"/>
          <w:highlight w:val="none"/>
        </w:rPr>
        <w:t>附表三：劳动力计划表</w:t>
      </w:r>
    </w:p>
    <w:p w14:paraId="6E78403B">
      <w:pPr>
        <w:wordWrap w:val="0"/>
        <w:spacing w:line="420" w:lineRule="exact"/>
        <w:jc w:val="right"/>
        <w:rPr>
          <w:rFonts w:hint="eastAsia" w:ascii="宋体" w:hAnsi="宋体"/>
          <w:szCs w:val="21"/>
          <w:highlight w:val="none"/>
        </w:rPr>
      </w:pPr>
      <w:r>
        <w:rPr>
          <w:rFonts w:hint="eastAsia" w:ascii="宋体" w:hAnsi="宋体"/>
          <w:szCs w:val="21"/>
          <w:highlight w:val="none"/>
        </w:rPr>
        <w:t xml:space="preserve">单位：人   </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606E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9" w:type="dxa"/>
            <w:noWrap w:val="0"/>
            <w:vAlign w:val="center"/>
          </w:tcPr>
          <w:p w14:paraId="69B64E01">
            <w:pPr>
              <w:jc w:val="center"/>
              <w:rPr>
                <w:rFonts w:hint="eastAsia" w:ascii="宋体" w:hAnsi="宋体"/>
                <w:szCs w:val="21"/>
                <w:highlight w:val="none"/>
              </w:rPr>
            </w:pPr>
            <w:r>
              <w:rPr>
                <w:rFonts w:hint="eastAsia" w:ascii="宋体" w:hAnsi="宋体"/>
                <w:szCs w:val="21"/>
                <w:highlight w:val="none"/>
              </w:rPr>
              <w:t>工种</w:t>
            </w:r>
          </w:p>
        </w:tc>
        <w:tc>
          <w:tcPr>
            <w:tcW w:w="7796" w:type="dxa"/>
            <w:gridSpan w:val="7"/>
            <w:noWrap w:val="0"/>
            <w:vAlign w:val="center"/>
          </w:tcPr>
          <w:p w14:paraId="5B84CE63">
            <w:pPr>
              <w:jc w:val="center"/>
              <w:rPr>
                <w:rFonts w:hint="eastAsia" w:ascii="宋体" w:hAnsi="宋体"/>
                <w:szCs w:val="21"/>
                <w:highlight w:val="none"/>
              </w:rPr>
            </w:pPr>
            <w:r>
              <w:rPr>
                <w:rFonts w:hint="eastAsia" w:ascii="宋体" w:hAnsi="宋体"/>
                <w:szCs w:val="21"/>
                <w:highlight w:val="none"/>
              </w:rPr>
              <w:t>按工程施工阶段投入劳动力情况</w:t>
            </w:r>
          </w:p>
        </w:tc>
      </w:tr>
      <w:tr w14:paraId="6A12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36256D5C">
            <w:pPr>
              <w:jc w:val="center"/>
              <w:rPr>
                <w:rFonts w:hint="eastAsia" w:ascii="宋体" w:hAnsi="宋体"/>
                <w:szCs w:val="21"/>
                <w:highlight w:val="none"/>
              </w:rPr>
            </w:pPr>
          </w:p>
        </w:tc>
        <w:tc>
          <w:tcPr>
            <w:tcW w:w="1418" w:type="dxa"/>
            <w:noWrap w:val="0"/>
            <w:vAlign w:val="center"/>
          </w:tcPr>
          <w:p w14:paraId="4511ED69">
            <w:pPr>
              <w:jc w:val="center"/>
              <w:rPr>
                <w:rFonts w:hint="eastAsia" w:ascii="宋体" w:hAnsi="宋体"/>
                <w:szCs w:val="21"/>
                <w:highlight w:val="none"/>
              </w:rPr>
            </w:pPr>
          </w:p>
        </w:tc>
        <w:tc>
          <w:tcPr>
            <w:tcW w:w="1063" w:type="dxa"/>
            <w:noWrap w:val="0"/>
            <w:vAlign w:val="center"/>
          </w:tcPr>
          <w:p w14:paraId="71114595">
            <w:pPr>
              <w:jc w:val="center"/>
              <w:rPr>
                <w:rFonts w:hint="eastAsia" w:ascii="宋体" w:hAnsi="宋体"/>
                <w:szCs w:val="21"/>
                <w:highlight w:val="none"/>
              </w:rPr>
            </w:pPr>
          </w:p>
        </w:tc>
        <w:tc>
          <w:tcPr>
            <w:tcW w:w="1063" w:type="dxa"/>
            <w:noWrap w:val="0"/>
            <w:vAlign w:val="center"/>
          </w:tcPr>
          <w:p w14:paraId="4873970A">
            <w:pPr>
              <w:jc w:val="center"/>
              <w:rPr>
                <w:rFonts w:hint="eastAsia" w:ascii="宋体" w:hAnsi="宋体"/>
                <w:szCs w:val="21"/>
                <w:highlight w:val="none"/>
              </w:rPr>
            </w:pPr>
          </w:p>
        </w:tc>
        <w:tc>
          <w:tcPr>
            <w:tcW w:w="1063" w:type="dxa"/>
            <w:noWrap w:val="0"/>
            <w:vAlign w:val="center"/>
          </w:tcPr>
          <w:p w14:paraId="03E3862A">
            <w:pPr>
              <w:jc w:val="center"/>
              <w:rPr>
                <w:rFonts w:hint="eastAsia" w:ascii="宋体" w:hAnsi="宋体"/>
                <w:szCs w:val="21"/>
                <w:highlight w:val="none"/>
              </w:rPr>
            </w:pPr>
          </w:p>
        </w:tc>
        <w:tc>
          <w:tcPr>
            <w:tcW w:w="1063" w:type="dxa"/>
            <w:noWrap w:val="0"/>
            <w:vAlign w:val="center"/>
          </w:tcPr>
          <w:p w14:paraId="6E64207B">
            <w:pPr>
              <w:jc w:val="center"/>
              <w:rPr>
                <w:rFonts w:hint="eastAsia" w:ascii="宋体" w:hAnsi="宋体"/>
                <w:szCs w:val="21"/>
                <w:highlight w:val="none"/>
              </w:rPr>
            </w:pPr>
          </w:p>
        </w:tc>
        <w:tc>
          <w:tcPr>
            <w:tcW w:w="1063" w:type="dxa"/>
            <w:noWrap w:val="0"/>
            <w:vAlign w:val="center"/>
          </w:tcPr>
          <w:p w14:paraId="3546175D">
            <w:pPr>
              <w:jc w:val="center"/>
              <w:rPr>
                <w:rFonts w:hint="eastAsia" w:ascii="宋体" w:hAnsi="宋体"/>
                <w:szCs w:val="21"/>
                <w:highlight w:val="none"/>
              </w:rPr>
            </w:pPr>
          </w:p>
        </w:tc>
        <w:tc>
          <w:tcPr>
            <w:tcW w:w="1063" w:type="dxa"/>
            <w:noWrap w:val="0"/>
            <w:vAlign w:val="center"/>
          </w:tcPr>
          <w:p w14:paraId="59AD85A8">
            <w:pPr>
              <w:jc w:val="center"/>
              <w:rPr>
                <w:rFonts w:hint="eastAsia" w:ascii="宋体" w:hAnsi="宋体"/>
                <w:szCs w:val="21"/>
                <w:highlight w:val="none"/>
              </w:rPr>
            </w:pPr>
          </w:p>
        </w:tc>
      </w:tr>
      <w:tr w14:paraId="3CD9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1590F2B3">
            <w:pPr>
              <w:jc w:val="center"/>
              <w:rPr>
                <w:rFonts w:hint="eastAsia" w:ascii="宋体" w:hAnsi="宋体"/>
                <w:szCs w:val="21"/>
                <w:highlight w:val="none"/>
              </w:rPr>
            </w:pPr>
          </w:p>
        </w:tc>
        <w:tc>
          <w:tcPr>
            <w:tcW w:w="1418" w:type="dxa"/>
            <w:noWrap w:val="0"/>
            <w:vAlign w:val="center"/>
          </w:tcPr>
          <w:p w14:paraId="5D4168F3">
            <w:pPr>
              <w:jc w:val="center"/>
              <w:rPr>
                <w:rFonts w:hint="eastAsia" w:ascii="宋体" w:hAnsi="宋体"/>
                <w:szCs w:val="21"/>
                <w:highlight w:val="none"/>
              </w:rPr>
            </w:pPr>
          </w:p>
        </w:tc>
        <w:tc>
          <w:tcPr>
            <w:tcW w:w="1063" w:type="dxa"/>
            <w:noWrap w:val="0"/>
            <w:vAlign w:val="center"/>
          </w:tcPr>
          <w:p w14:paraId="79023654">
            <w:pPr>
              <w:jc w:val="center"/>
              <w:rPr>
                <w:rFonts w:hint="eastAsia" w:ascii="宋体" w:hAnsi="宋体"/>
                <w:szCs w:val="21"/>
                <w:highlight w:val="none"/>
              </w:rPr>
            </w:pPr>
          </w:p>
        </w:tc>
        <w:tc>
          <w:tcPr>
            <w:tcW w:w="1063" w:type="dxa"/>
            <w:noWrap w:val="0"/>
            <w:vAlign w:val="center"/>
          </w:tcPr>
          <w:p w14:paraId="3E46F878">
            <w:pPr>
              <w:jc w:val="center"/>
              <w:rPr>
                <w:rFonts w:hint="eastAsia" w:ascii="宋体" w:hAnsi="宋体"/>
                <w:szCs w:val="21"/>
                <w:highlight w:val="none"/>
              </w:rPr>
            </w:pPr>
          </w:p>
        </w:tc>
        <w:tc>
          <w:tcPr>
            <w:tcW w:w="1063" w:type="dxa"/>
            <w:noWrap w:val="0"/>
            <w:vAlign w:val="center"/>
          </w:tcPr>
          <w:p w14:paraId="09243FD4">
            <w:pPr>
              <w:jc w:val="center"/>
              <w:rPr>
                <w:rFonts w:hint="eastAsia" w:ascii="宋体" w:hAnsi="宋体"/>
                <w:szCs w:val="21"/>
                <w:highlight w:val="none"/>
              </w:rPr>
            </w:pPr>
          </w:p>
        </w:tc>
        <w:tc>
          <w:tcPr>
            <w:tcW w:w="1063" w:type="dxa"/>
            <w:noWrap w:val="0"/>
            <w:vAlign w:val="center"/>
          </w:tcPr>
          <w:p w14:paraId="1153B8B7">
            <w:pPr>
              <w:jc w:val="center"/>
              <w:rPr>
                <w:rFonts w:hint="eastAsia" w:ascii="宋体" w:hAnsi="宋体"/>
                <w:szCs w:val="21"/>
                <w:highlight w:val="none"/>
              </w:rPr>
            </w:pPr>
          </w:p>
        </w:tc>
        <w:tc>
          <w:tcPr>
            <w:tcW w:w="1063" w:type="dxa"/>
            <w:noWrap w:val="0"/>
            <w:vAlign w:val="center"/>
          </w:tcPr>
          <w:p w14:paraId="66E4B1FA">
            <w:pPr>
              <w:jc w:val="center"/>
              <w:rPr>
                <w:rFonts w:hint="eastAsia" w:ascii="宋体" w:hAnsi="宋体"/>
                <w:szCs w:val="21"/>
                <w:highlight w:val="none"/>
              </w:rPr>
            </w:pPr>
          </w:p>
        </w:tc>
        <w:tc>
          <w:tcPr>
            <w:tcW w:w="1063" w:type="dxa"/>
            <w:noWrap w:val="0"/>
            <w:vAlign w:val="center"/>
          </w:tcPr>
          <w:p w14:paraId="61FD602C">
            <w:pPr>
              <w:jc w:val="center"/>
              <w:rPr>
                <w:rFonts w:hint="eastAsia" w:ascii="宋体" w:hAnsi="宋体"/>
                <w:szCs w:val="21"/>
                <w:highlight w:val="none"/>
              </w:rPr>
            </w:pPr>
          </w:p>
        </w:tc>
      </w:tr>
      <w:tr w14:paraId="6656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0053FEEA">
            <w:pPr>
              <w:jc w:val="center"/>
              <w:rPr>
                <w:rFonts w:hint="eastAsia" w:ascii="宋体" w:hAnsi="宋体"/>
                <w:szCs w:val="21"/>
                <w:highlight w:val="none"/>
              </w:rPr>
            </w:pPr>
          </w:p>
        </w:tc>
        <w:tc>
          <w:tcPr>
            <w:tcW w:w="1418" w:type="dxa"/>
            <w:noWrap w:val="0"/>
            <w:vAlign w:val="center"/>
          </w:tcPr>
          <w:p w14:paraId="0EDFA40A">
            <w:pPr>
              <w:jc w:val="center"/>
              <w:rPr>
                <w:rFonts w:hint="eastAsia" w:ascii="宋体" w:hAnsi="宋体"/>
                <w:szCs w:val="21"/>
                <w:highlight w:val="none"/>
              </w:rPr>
            </w:pPr>
          </w:p>
        </w:tc>
        <w:tc>
          <w:tcPr>
            <w:tcW w:w="1063" w:type="dxa"/>
            <w:noWrap w:val="0"/>
            <w:vAlign w:val="center"/>
          </w:tcPr>
          <w:p w14:paraId="54D73C9F">
            <w:pPr>
              <w:jc w:val="center"/>
              <w:rPr>
                <w:rFonts w:hint="eastAsia" w:ascii="宋体" w:hAnsi="宋体"/>
                <w:szCs w:val="21"/>
                <w:highlight w:val="none"/>
              </w:rPr>
            </w:pPr>
          </w:p>
        </w:tc>
        <w:tc>
          <w:tcPr>
            <w:tcW w:w="1063" w:type="dxa"/>
            <w:noWrap w:val="0"/>
            <w:vAlign w:val="center"/>
          </w:tcPr>
          <w:p w14:paraId="0B4C7E97">
            <w:pPr>
              <w:jc w:val="center"/>
              <w:rPr>
                <w:rFonts w:hint="eastAsia" w:ascii="宋体" w:hAnsi="宋体"/>
                <w:szCs w:val="21"/>
                <w:highlight w:val="none"/>
              </w:rPr>
            </w:pPr>
          </w:p>
        </w:tc>
        <w:tc>
          <w:tcPr>
            <w:tcW w:w="1063" w:type="dxa"/>
            <w:noWrap w:val="0"/>
            <w:vAlign w:val="center"/>
          </w:tcPr>
          <w:p w14:paraId="1C20EDF6">
            <w:pPr>
              <w:jc w:val="center"/>
              <w:rPr>
                <w:rFonts w:hint="eastAsia" w:ascii="宋体" w:hAnsi="宋体"/>
                <w:szCs w:val="21"/>
                <w:highlight w:val="none"/>
              </w:rPr>
            </w:pPr>
          </w:p>
        </w:tc>
        <w:tc>
          <w:tcPr>
            <w:tcW w:w="1063" w:type="dxa"/>
            <w:noWrap w:val="0"/>
            <w:vAlign w:val="center"/>
          </w:tcPr>
          <w:p w14:paraId="0BCE82DF">
            <w:pPr>
              <w:jc w:val="center"/>
              <w:rPr>
                <w:rFonts w:hint="eastAsia" w:ascii="宋体" w:hAnsi="宋体"/>
                <w:szCs w:val="21"/>
                <w:highlight w:val="none"/>
              </w:rPr>
            </w:pPr>
          </w:p>
        </w:tc>
        <w:tc>
          <w:tcPr>
            <w:tcW w:w="1063" w:type="dxa"/>
            <w:noWrap w:val="0"/>
            <w:vAlign w:val="center"/>
          </w:tcPr>
          <w:p w14:paraId="2371A03A">
            <w:pPr>
              <w:jc w:val="center"/>
              <w:rPr>
                <w:rFonts w:hint="eastAsia" w:ascii="宋体" w:hAnsi="宋体"/>
                <w:szCs w:val="21"/>
                <w:highlight w:val="none"/>
              </w:rPr>
            </w:pPr>
          </w:p>
        </w:tc>
        <w:tc>
          <w:tcPr>
            <w:tcW w:w="1063" w:type="dxa"/>
            <w:noWrap w:val="0"/>
            <w:vAlign w:val="center"/>
          </w:tcPr>
          <w:p w14:paraId="3D07BBFE">
            <w:pPr>
              <w:jc w:val="center"/>
              <w:rPr>
                <w:rFonts w:hint="eastAsia" w:ascii="宋体" w:hAnsi="宋体"/>
                <w:szCs w:val="21"/>
                <w:highlight w:val="none"/>
              </w:rPr>
            </w:pPr>
          </w:p>
        </w:tc>
      </w:tr>
      <w:tr w14:paraId="76EE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373B1A0A">
            <w:pPr>
              <w:jc w:val="center"/>
              <w:rPr>
                <w:rFonts w:hint="eastAsia" w:ascii="宋体" w:hAnsi="宋体"/>
                <w:szCs w:val="21"/>
                <w:highlight w:val="none"/>
              </w:rPr>
            </w:pPr>
          </w:p>
        </w:tc>
        <w:tc>
          <w:tcPr>
            <w:tcW w:w="1418" w:type="dxa"/>
            <w:noWrap w:val="0"/>
            <w:vAlign w:val="center"/>
          </w:tcPr>
          <w:p w14:paraId="36AE633B">
            <w:pPr>
              <w:jc w:val="center"/>
              <w:rPr>
                <w:rFonts w:hint="eastAsia" w:ascii="宋体" w:hAnsi="宋体"/>
                <w:szCs w:val="21"/>
                <w:highlight w:val="none"/>
              </w:rPr>
            </w:pPr>
          </w:p>
        </w:tc>
        <w:tc>
          <w:tcPr>
            <w:tcW w:w="1063" w:type="dxa"/>
            <w:noWrap w:val="0"/>
            <w:vAlign w:val="center"/>
          </w:tcPr>
          <w:p w14:paraId="7C01643D">
            <w:pPr>
              <w:jc w:val="center"/>
              <w:rPr>
                <w:rFonts w:hint="eastAsia" w:ascii="宋体" w:hAnsi="宋体"/>
                <w:szCs w:val="21"/>
                <w:highlight w:val="none"/>
              </w:rPr>
            </w:pPr>
          </w:p>
        </w:tc>
        <w:tc>
          <w:tcPr>
            <w:tcW w:w="1063" w:type="dxa"/>
            <w:noWrap w:val="0"/>
            <w:vAlign w:val="center"/>
          </w:tcPr>
          <w:p w14:paraId="4E2AA1FF">
            <w:pPr>
              <w:jc w:val="center"/>
              <w:rPr>
                <w:rFonts w:hint="eastAsia" w:ascii="宋体" w:hAnsi="宋体"/>
                <w:szCs w:val="21"/>
                <w:highlight w:val="none"/>
              </w:rPr>
            </w:pPr>
          </w:p>
        </w:tc>
        <w:tc>
          <w:tcPr>
            <w:tcW w:w="1063" w:type="dxa"/>
            <w:noWrap w:val="0"/>
            <w:vAlign w:val="center"/>
          </w:tcPr>
          <w:p w14:paraId="0F9765D8">
            <w:pPr>
              <w:jc w:val="center"/>
              <w:rPr>
                <w:rFonts w:hint="eastAsia" w:ascii="宋体" w:hAnsi="宋体"/>
                <w:szCs w:val="21"/>
                <w:highlight w:val="none"/>
              </w:rPr>
            </w:pPr>
          </w:p>
        </w:tc>
        <w:tc>
          <w:tcPr>
            <w:tcW w:w="1063" w:type="dxa"/>
            <w:noWrap w:val="0"/>
            <w:vAlign w:val="center"/>
          </w:tcPr>
          <w:p w14:paraId="7A10C451">
            <w:pPr>
              <w:jc w:val="center"/>
              <w:rPr>
                <w:rFonts w:hint="eastAsia" w:ascii="宋体" w:hAnsi="宋体"/>
                <w:szCs w:val="21"/>
                <w:highlight w:val="none"/>
              </w:rPr>
            </w:pPr>
          </w:p>
        </w:tc>
        <w:tc>
          <w:tcPr>
            <w:tcW w:w="1063" w:type="dxa"/>
            <w:noWrap w:val="0"/>
            <w:vAlign w:val="center"/>
          </w:tcPr>
          <w:p w14:paraId="6BBABEE3">
            <w:pPr>
              <w:jc w:val="center"/>
              <w:rPr>
                <w:rFonts w:hint="eastAsia" w:ascii="宋体" w:hAnsi="宋体"/>
                <w:szCs w:val="21"/>
                <w:highlight w:val="none"/>
              </w:rPr>
            </w:pPr>
          </w:p>
        </w:tc>
        <w:tc>
          <w:tcPr>
            <w:tcW w:w="1063" w:type="dxa"/>
            <w:noWrap w:val="0"/>
            <w:vAlign w:val="center"/>
          </w:tcPr>
          <w:p w14:paraId="2F09D6DA">
            <w:pPr>
              <w:jc w:val="center"/>
              <w:rPr>
                <w:rFonts w:hint="eastAsia" w:ascii="宋体" w:hAnsi="宋体"/>
                <w:szCs w:val="21"/>
                <w:highlight w:val="none"/>
              </w:rPr>
            </w:pPr>
          </w:p>
        </w:tc>
      </w:tr>
      <w:tr w14:paraId="2152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106016B4">
            <w:pPr>
              <w:jc w:val="center"/>
              <w:rPr>
                <w:rFonts w:hint="eastAsia" w:ascii="宋体" w:hAnsi="宋体"/>
                <w:szCs w:val="21"/>
                <w:highlight w:val="none"/>
              </w:rPr>
            </w:pPr>
          </w:p>
        </w:tc>
        <w:tc>
          <w:tcPr>
            <w:tcW w:w="1418" w:type="dxa"/>
            <w:noWrap w:val="0"/>
            <w:vAlign w:val="center"/>
          </w:tcPr>
          <w:p w14:paraId="39F20FA9">
            <w:pPr>
              <w:jc w:val="center"/>
              <w:rPr>
                <w:rFonts w:hint="eastAsia" w:ascii="宋体" w:hAnsi="宋体"/>
                <w:szCs w:val="21"/>
                <w:highlight w:val="none"/>
              </w:rPr>
            </w:pPr>
          </w:p>
        </w:tc>
        <w:tc>
          <w:tcPr>
            <w:tcW w:w="1063" w:type="dxa"/>
            <w:noWrap w:val="0"/>
            <w:vAlign w:val="center"/>
          </w:tcPr>
          <w:p w14:paraId="4C48ED4A">
            <w:pPr>
              <w:jc w:val="center"/>
              <w:rPr>
                <w:rFonts w:hint="eastAsia" w:ascii="宋体" w:hAnsi="宋体"/>
                <w:szCs w:val="21"/>
                <w:highlight w:val="none"/>
              </w:rPr>
            </w:pPr>
          </w:p>
        </w:tc>
        <w:tc>
          <w:tcPr>
            <w:tcW w:w="1063" w:type="dxa"/>
            <w:noWrap w:val="0"/>
            <w:vAlign w:val="center"/>
          </w:tcPr>
          <w:p w14:paraId="5572681E">
            <w:pPr>
              <w:jc w:val="center"/>
              <w:rPr>
                <w:rFonts w:hint="eastAsia" w:ascii="宋体" w:hAnsi="宋体"/>
                <w:szCs w:val="21"/>
                <w:highlight w:val="none"/>
              </w:rPr>
            </w:pPr>
          </w:p>
        </w:tc>
        <w:tc>
          <w:tcPr>
            <w:tcW w:w="1063" w:type="dxa"/>
            <w:noWrap w:val="0"/>
            <w:vAlign w:val="center"/>
          </w:tcPr>
          <w:p w14:paraId="163E9C4E">
            <w:pPr>
              <w:jc w:val="center"/>
              <w:rPr>
                <w:rFonts w:hint="eastAsia" w:ascii="宋体" w:hAnsi="宋体"/>
                <w:szCs w:val="21"/>
                <w:highlight w:val="none"/>
              </w:rPr>
            </w:pPr>
          </w:p>
        </w:tc>
        <w:tc>
          <w:tcPr>
            <w:tcW w:w="1063" w:type="dxa"/>
            <w:noWrap w:val="0"/>
            <w:vAlign w:val="center"/>
          </w:tcPr>
          <w:p w14:paraId="53C0FA5F">
            <w:pPr>
              <w:jc w:val="center"/>
              <w:rPr>
                <w:rFonts w:hint="eastAsia" w:ascii="宋体" w:hAnsi="宋体"/>
                <w:szCs w:val="21"/>
                <w:highlight w:val="none"/>
              </w:rPr>
            </w:pPr>
          </w:p>
        </w:tc>
        <w:tc>
          <w:tcPr>
            <w:tcW w:w="1063" w:type="dxa"/>
            <w:noWrap w:val="0"/>
            <w:vAlign w:val="center"/>
          </w:tcPr>
          <w:p w14:paraId="521BD344">
            <w:pPr>
              <w:jc w:val="center"/>
              <w:rPr>
                <w:rFonts w:hint="eastAsia" w:ascii="宋体" w:hAnsi="宋体"/>
                <w:szCs w:val="21"/>
                <w:highlight w:val="none"/>
              </w:rPr>
            </w:pPr>
          </w:p>
        </w:tc>
        <w:tc>
          <w:tcPr>
            <w:tcW w:w="1063" w:type="dxa"/>
            <w:noWrap w:val="0"/>
            <w:vAlign w:val="center"/>
          </w:tcPr>
          <w:p w14:paraId="3E511016">
            <w:pPr>
              <w:jc w:val="center"/>
              <w:rPr>
                <w:rFonts w:hint="eastAsia" w:ascii="宋体" w:hAnsi="宋体"/>
                <w:szCs w:val="21"/>
                <w:highlight w:val="none"/>
              </w:rPr>
            </w:pPr>
          </w:p>
        </w:tc>
      </w:tr>
      <w:tr w14:paraId="59DB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20025CA5">
            <w:pPr>
              <w:jc w:val="center"/>
              <w:rPr>
                <w:rFonts w:hint="eastAsia" w:ascii="宋体" w:hAnsi="宋体"/>
                <w:szCs w:val="21"/>
                <w:highlight w:val="none"/>
              </w:rPr>
            </w:pPr>
          </w:p>
        </w:tc>
        <w:tc>
          <w:tcPr>
            <w:tcW w:w="1418" w:type="dxa"/>
            <w:noWrap w:val="0"/>
            <w:vAlign w:val="center"/>
          </w:tcPr>
          <w:p w14:paraId="7FB8B167">
            <w:pPr>
              <w:jc w:val="center"/>
              <w:rPr>
                <w:rFonts w:hint="eastAsia" w:ascii="宋体" w:hAnsi="宋体"/>
                <w:szCs w:val="21"/>
                <w:highlight w:val="none"/>
              </w:rPr>
            </w:pPr>
          </w:p>
        </w:tc>
        <w:tc>
          <w:tcPr>
            <w:tcW w:w="1063" w:type="dxa"/>
            <w:noWrap w:val="0"/>
            <w:vAlign w:val="center"/>
          </w:tcPr>
          <w:p w14:paraId="295845D4">
            <w:pPr>
              <w:jc w:val="center"/>
              <w:rPr>
                <w:rFonts w:hint="eastAsia" w:ascii="宋体" w:hAnsi="宋体"/>
                <w:szCs w:val="21"/>
                <w:highlight w:val="none"/>
              </w:rPr>
            </w:pPr>
          </w:p>
        </w:tc>
        <w:tc>
          <w:tcPr>
            <w:tcW w:w="1063" w:type="dxa"/>
            <w:noWrap w:val="0"/>
            <w:vAlign w:val="center"/>
          </w:tcPr>
          <w:p w14:paraId="1035F4CF">
            <w:pPr>
              <w:jc w:val="center"/>
              <w:rPr>
                <w:rFonts w:hint="eastAsia" w:ascii="宋体" w:hAnsi="宋体"/>
                <w:szCs w:val="21"/>
                <w:highlight w:val="none"/>
              </w:rPr>
            </w:pPr>
          </w:p>
        </w:tc>
        <w:tc>
          <w:tcPr>
            <w:tcW w:w="1063" w:type="dxa"/>
            <w:noWrap w:val="0"/>
            <w:vAlign w:val="center"/>
          </w:tcPr>
          <w:p w14:paraId="4ECB357C">
            <w:pPr>
              <w:jc w:val="center"/>
              <w:rPr>
                <w:rFonts w:hint="eastAsia" w:ascii="宋体" w:hAnsi="宋体"/>
                <w:szCs w:val="21"/>
                <w:highlight w:val="none"/>
              </w:rPr>
            </w:pPr>
          </w:p>
        </w:tc>
        <w:tc>
          <w:tcPr>
            <w:tcW w:w="1063" w:type="dxa"/>
            <w:noWrap w:val="0"/>
            <w:vAlign w:val="center"/>
          </w:tcPr>
          <w:p w14:paraId="19056FE2">
            <w:pPr>
              <w:jc w:val="center"/>
              <w:rPr>
                <w:rFonts w:hint="eastAsia" w:ascii="宋体" w:hAnsi="宋体"/>
                <w:szCs w:val="21"/>
                <w:highlight w:val="none"/>
              </w:rPr>
            </w:pPr>
          </w:p>
        </w:tc>
        <w:tc>
          <w:tcPr>
            <w:tcW w:w="1063" w:type="dxa"/>
            <w:noWrap w:val="0"/>
            <w:vAlign w:val="center"/>
          </w:tcPr>
          <w:p w14:paraId="11793FAF">
            <w:pPr>
              <w:jc w:val="center"/>
              <w:rPr>
                <w:rFonts w:hint="eastAsia" w:ascii="宋体" w:hAnsi="宋体"/>
                <w:szCs w:val="21"/>
                <w:highlight w:val="none"/>
              </w:rPr>
            </w:pPr>
          </w:p>
        </w:tc>
        <w:tc>
          <w:tcPr>
            <w:tcW w:w="1063" w:type="dxa"/>
            <w:noWrap w:val="0"/>
            <w:vAlign w:val="center"/>
          </w:tcPr>
          <w:p w14:paraId="0FE7F85A">
            <w:pPr>
              <w:jc w:val="center"/>
              <w:rPr>
                <w:rFonts w:hint="eastAsia" w:ascii="宋体" w:hAnsi="宋体"/>
                <w:szCs w:val="21"/>
                <w:highlight w:val="none"/>
              </w:rPr>
            </w:pPr>
          </w:p>
        </w:tc>
      </w:tr>
      <w:tr w14:paraId="6EEE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60694EAF">
            <w:pPr>
              <w:jc w:val="center"/>
              <w:rPr>
                <w:rFonts w:hint="eastAsia" w:ascii="宋体" w:hAnsi="宋体"/>
                <w:szCs w:val="21"/>
                <w:highlight w:val="none"/>
              </w:rPr>
            </w:pPr>
          </w:p>
        </w:tc>
        <w:tc>
          <w:tcPr>
            <w:tcW w:w="1418" w:type="dxa"/>
            <w:noWrap w:val="0"/>
            <w:vAlign w:val="center"/>
          </w:tcPr>
          <w:p w14:paraId="1913E05C">
            <w:pPr>
              <w:jc w:val="center"/>
              <w:rPr>
                <w:rFonts w:hint="eastAsia" w:ascii="宋体" w:hAnsi="宋体"/>
                <w:szCs w:val="21"/>
                <w:highlight w:val="none"/>
              </w:rPr>
            </w:pPr>
          </w:p>
        </w:tc>
        <w:tc>
          <w:tcPr>
            <w:tcW w:w="1063" w:type="dxa"/>
            <w:noWrap w:val="0"/>
            <w:vAlign w:val="center"/>
          </w:tcPr>
          <w:p w14:paraId="12D66A23">
            <w:pPr>
              <w:jc w:val="center"/>
              <w:rPr>
                <w:rFonts w:hint="eastAsia" w:ascii="宋体" w:hAnsi="宋体"/>
                <w:szCs w:val="21"/>
                <w:highlight w:val="none"/>
              </w:rPr>
            </w:pPr>
          </w:p>
        </w:tc>
        <w:tc>
          <w:tcPr>
            <w:tcW w:w="1063" w:type="dxa"/>
            <w:noWrap w:val="0"/>
            <w:vAlign w:val="center"/>
          </w:tcPr>
          <w:p w14:paraId="000EDFEC">
            <w:pPr>
              <w:jc w:val="center"/>
              <w:rPr>
                <w:rFonts w:hint="eastAsia" w:ascii="宋体" w:hAnsi="宋体"/>
                <w:szCs w:val="21"/>
                <w:highlight w:val="none"/>
              </w:rPr>
            </w:pPr>
          </w:p>
        </w:tc>
        <w:tc>
          <w:tcPr>
            <w:tcW w:w="1063" w:type="dxa"/>
            <w:noWrap w:val="0"/>
            <w:vAlign w:val="center"/>
          </w:tcPr>
          <w:p w14:paraId="654E59E4">
            <w:pPr>
              <w:jc w:val="center"/>
              <w:rPr>
                <w:rFonts w:hint="eastAsia" w:ascii="宋体" w:hAnsi="宋体"/>
                <w:szCs w:val="21"/>
                <w:highlight w:val="none"/>
              </w:rPr>
            </w:pPr>
          </w:p>
        </w:tc>
        <w:tc>
          <w:tcPr>
            <w:tcW w:w="1063" w:type="dxa"/>
            <w:noWrap w:val="0"/>
            <w:vAlign w:val="center"/>
          </w:tcPr>
          <w:p w14:paraId="23CBF14D">
            <w:pPr>
              <w:jc w:val="center"/>
              <w:rPr>
                <w:rFonts w:hint="eastAsia" w:ascii="宋体" w:hAnsi="宋体"/>
                <w:szCs w:val="21"/>
                <w:highlight w:val="none"/>
              </w:rPr>
            </w:pPr>
          </w:p>
        </w:tc>
        <w:tc>
          <w:tcPr>
            <w:tcW w:w="1063" w:type="dxa"/>
            <w:noWrap w:val="0"/>
            <w:vAlign w:val="center"/>
          </w:tcPr>
          <w:p w14:paraId="0A77AE16">
            <w:pPr>
              <w:jc w:val="center"/>
              <w:rPr>
                <w:rFonts w:hint="eastAsia" w:ascii="宋体" w:hAnsi="宋体"/>
                <w:szCs w:val="21"/>
                <w:highlight w:val="none"/>
              </w:rPr>
            </w:pPr>
          </w:p>
        </w:tc>
        <w:tc>
          <w:tcPr>
            <w:tcW w:w="1063" w:type="dxa"/>
            <w:noWrap w:val="0"/>
            <w:vAlign w:val="center"/>
          </w:tcPr>
          <w:p w14:paraId="21200279">
            <w:pPr>
              <w:jc w:val="center"/>
              <w:rPr>
                <w:rFonts w:hint="eastAsia" w:ascii="宋体" w:hAnsi="宋体"/>
                <w:szCs w:val="21"/>
                <w:highlight w:val="none"/>
              </w:rPr>
            </w:pPr>
          </w:p>
        </w:tc>
      </w:tr>
      <w:tr w14:paraId="0C6C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2FB6F664">
            <w:pPr>
              <w:jc w:val="center"/>
              <w:rPr>
                <w:rFonts w:hint="eastAsia" w:ascii="宋体" w:hAnsi="宋体"/>
                <w:szCs w:val="21"/>
                <w:highlight w:val="none"/>
              </w:rPr>
            </w:pPr>
          </w:p>
        </w:tc>
        <w:tc>
          <w:tcPr>
            <w:tcW w:w="1418" w:type="dxa"/>
            <w:noWrap w:val="0"/>
            <w:vAlign w:val="center"/>
          </w:tcPr>
          <w:p w14:paraId="2F56F264">
            <w:pPr>
              <w:jc w:val="center"/>
              <w:rPr>
                <w:rFonts w:hint="eastAsia" w:ascii="宋体" w:hAnsi="宋体"/>
                <w:szCs w:val="21"/>
                <w:highlight w:val="none"/>
              </w:rPr>
            </w:pPr>
          </w:p>
        </w:tc>
        <w:tc>
          <w:tcPr>
            <w:tcW w:w="1063" w:type="dxa"/>
            <w:noWrap w:val="0"/>
            <w:vAlign w:val="center"/>
          </w:tcPr>
          <w:p w14:paraId="100F9DA5">
            <w:pPr>
              <w:jc w:val="center"/>
              <w:rPr>
                <w:rFonts w:hint="eastAsia" w:ascii="宋体" w:hAnsi="宋体"/>
                <w:szCs w:val="21"/>
                <w:highlight w:val="none"/>
              </w:rPr>
            </w:pPr>
          </w:p>
        </w:tc>
        <w:tc>
          <w:tcPr>
            <w:tcW w:w="1063" w:type="dxa"/>
            <w:noWrap w:val="0"/>
            <w:vAlign w:val="center"/>
          </w:tcPr>
          <w:p w14:paraId="53831FE1">
            <w:pPr>
              <w:jc w:val="center"/>
              <w:rPr>
                <w:rFonts w:hint="eastAsia" w:ascii="宋体" w:hAnsi="宋体"/>
                <w:szCs w:val="21"/>
                <w:highlight w:val="none"/>
              </w:rPr>
            </w:pPr>
          </w:p>
        </w:tc>
        <w:tc>
          <w:tcPr>
            <w:tcW w:w="1063" w:type="dxa"/>
            <w:noWrap w:val="0"/>
            <w:vAlign w:val="center"/>
          </w:tcPr>
          <w:p w14:paraId="001C2EDA">
            <w:pPr>
              <w:jc w:val="center"/>
              <w:rPr>
                <w:rFonts w:hint="eastAsia" w:ascii="宋体" w:hAnsi="宋体"/>
                <w:szCs w:val="21"/>
                <w:highlight w:val="none"/>
              </w:rPr>
            </w:pPr>
          </w:p>
        </w:tc>
        <w:tc>
          <w:tcPr>
            <w:tcW w:w="1063" w:type="dxa"/>
            <w:noWrap w:val="0"/>
            <w:vAlign w:val="center"/>
          </w:tcPr>
          <w:p w14:paraId="5EE90BFC">
            <w:pPr>
              <w:jc w:val="center"/>
              <w:rPr>
                <w:rFonts w:hint="eastAsia" w:ascii="宋体" w:hAnsi="宋体"/>
                <w:szCs w:val="21"/>
                <w:highlight w:val="none"/>
              </w:rPr>
            </w:pPr>
          </w:p>
        </w:tc>
        <w:tc>
          <w:tcPr>
            <w:tcW w:w="1063" w:type="dxa"/>
            <w:noWrap w:val="0"/>
            <w:vAlign w:val="center"/>
          </w:tcPr>
          <w:p w14:paraId="23EDBAD1">
            <w:pPr>
              <w:jc w:val="center"/>
              <w:rPr>
                <w:rFonts w:hint="eastAsia" w:ascii="宋体" w:hAnsi="宋体"/>
                <w:szCs w:val="21"/>
                <w:highlight w:val="none"/>
              </w:rPr>
            </w:pPr>
          </w:p>
        </w:tc>
        <w:tc>
          <w:tcPr>
            <w:tcW w:w="1063" w:type="dxa"/>
            <w:noWrap w:val="0"/>
            <w:vAlign w:val="center"/>
          </w:tcPr>
          <w:p w14:paraId="7C93D794">
            <w:pPr>
              <w:jc w:val="center"/>
              <w:rPr>
                <w:rFonts w:hint="eastAsia" w:ascii="宋体" w:hAnsi="宋体"/>
                <w:szCs w:val="21"/>
                <w:highlight w:val="none"/>
              </w:rPr>
            </w:pPr>
          </w:p>
        </w:tc>
      </w:tr>
      <w:tr w14:paraId="6A71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44B99ED9">
            <w:pPr>
              <w:jc w:val="center"/>
              <w:rPr>
                <w:rFonts w:hint="eastAsia" w:ascii="宋体" w:hAnsi="宋体"/>
                <w:szCs w:val="21"/>
                <w:highlight w:val="none"/>
              </w:rPr>
            </w:pPr>
          </w:p>
        </w:tc>
        <w:tc>
          <w:tcPr>
            <w:tcW w:w="1418" w:type="dxa"/>
            <w:noWrap w:val="0"/>
            <w:vAlign w:val="center"/>
          </w:tcPr>
          <w:p w14:paraId="69EDD98B">
            <w:pPr>
              <w:jc w:val="center"/>
              <w:rPr>
                <w:rFonts w:hint="eastAsia" w:ascii="宋体" w:hAnsi="宋体"/>
                <w:szCs w:val="21"/>
                <w:highlight w:val="none"/>
              </w:rPr>
            </w:pPr>
          </w:p>
        </w:tc>
        <w:tc>
          <w:tcPr>
            <w:tcW w:w="1063" w:type="dxa"/>
            <w:noWrap w:val="0"/>
            <w:vAlign w:val="center"/>
          </w:tcPr>
          <w:p w14:paraId="686CCFB5">
            <w:pPr>
              <w:jc w:val="center"/>
              <w:rPr>
                <w:rFonts w:hint="eastAsia" w:ascii="宋体" w:hAnsi="宋体"/>
                <w:szCs w:val="21"/>
                <w:highlight w:val="none"/>
              </w:rPr>
            </w:pPr>
          </w:p>
        </w:tc>
        <w:tc>
          <w:tcPr>
            <w:tcW w:w="1063" w:type="dxa"/>
            <w:noWrap w:val="0"/>
            <w:vAlign w:val="center"/>
          </w:tcPr>
          <w:p w14:paraId="084C69AD">
            <w:pPr>
              <w:jc w:val="center"/>
              <w:rPr>
                <w:rFonts w:hint="eastAsia" w:ascii="宋体" w:hAnsi="宋体"/>
                <w:szCs w:val="21"/>
                <w:highlight w:val="none"/>
              </w:rPr>
            </w:pPr>
          </w:p>
        </w:tc>
        <w:tc>
          <w:tcPr>
            <w:tcW w:w="1063" w:type="dxa"/>
            <w:noWrap w:val="0"/>
            <w:vAlign w:val="center"/>
          </w:tcPr>
          <w:p w14:paraId="6E5D272C">
            <w:pPr>
              <w:jc w:val="center"/>
              <w:rPr>
                <w:rFonts w:hint="eastAsia" w:ascii="宋体" w:hAnsi="宋体"/>
                <w:szCs w:val="21"/>
                <w:highlight w:val="none"/>
              </w:rPr>
            </w:pPr>
          </w:p>
        </w:tc>
        <w:tc>
          <w:tcPr>
            <w:tcW w:w="1063" w:type="dxa"/>
            <w:noWrap w:val="0"/>
            <w:vAlign w:val="center"/>
          </w:tcPr>
          <w:p w14:paraId="1D4B83C5">
            <w:pPr>
              <w:jc w:val="center"/>
              <w:rPr>
                <w:rFonts w:hint="eastAsia" w:ascii="宋体" w:hAnsi="宋体"/>
                <w:szCs w:val="21"/>
                <w:highlight w:val="none"/>
              </w:rPr>
            </w:pPr>
          </w:p>
        </w:tc>
        <w:tc>
          <w:tcPr>
            <w:tcW w:w="1063" w:type="dxa"/>
            <w:noWrap w:val="0"/>
            <w:vAlign w:val="center"/>
          </w:tcPr>
          <w:p w14:paraId="5E61923C">
            <w:pPr>
              <w:jc w:val="center"/>
              <w:rPr>
                <w:rFonts w:hint="eastAsia" w:ascii="宋体" w:hAnsi="宋体"/>
                <w:szCs w:val="21"/>
                <w:highlight w:val="none"/>
              </w:rPr>
            </w:pPr>
          </w:p>
        </w:tc>
        <w:tc>
          <w:tcPr>
            <w:tcW w:w="1063" w:type="dxa"/>
            <w:noWrap w:val="0"/>
            <w:vAlign w:val="center"/>
          </w:tcPr>
          <w:p w14:paraId="59063500">
            <w:pPr>
              <w:jc w:val="center"/>
              <w:rPr>
                <w:rFonts w:hint="eastAsia" w:ascii="宋体" w:hAnsi="宋体"/>
                <w:szCs w:val="21"/>
                <w:highlight w:val="none"/>
              </w:rPr>
            </w:pPr>
          </w:p>
        </w:tc>
      </w:tr>
      <w:tr w14:paraId="006D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78042383">
            <w:pPr>
              <w:jc w:val="center"/>
              <w:rPr>
                <w:rFonts w:hint="eastAsia" w:ascii="宋体" w:hAnsi="宋体"/>
                <w:szCs w:val="21"/>
                <w:highlight w:val="none"/>
              </w:rPr>
            </w:pPr>
          </w:p>
        </w:tc>
        <w:tc>
          <w:tcPr>
            <w:tcW w:w="1418" w:type="dxa"/>
            <w:noWrap w:val="0"/>
            <w:vAlign w:val="center"/>
          </w:tcPr>
          <w:p w14:paraId="7E68EE57">
            <w:pPr>
              <w:jc w:val="center"/>
              <w:rPr>
                <w:rFonts w:hint="eastAsia" w:ascii="宋体" w:hAnsi="宋体"/>
                <w:szCs w:val="21"/>
                <w:highlight w:val="none"/>
              </w:rPr>
            </w:pPr>
          </w:p>
        </w:tc>
        <w:tc>
          <w:tcPr>
            <w:tcW w:w="1063" w:type="dxa"/>
            <w:noWrap w:val="0"/>
            <w:vAlign w:val="center"/>
          </w:tcPr>
          <w:p w14:paraId="4F085B3B">
            <w:pPr>
              <w:jc w:val="center"/>
              <w:rPr>
                <w:rFonts w:hint="eastAsia" w:ascii="宋体" w:hAnsi="宋体"/>
                <w:szCs w:val="21"/>
                <w:highlight w:val="none"/>
              </w:rPr>
            </w:pPr>
          </w:p>
        </w:tc>
        <w:tc>
          <w:tcPr>
            <w:tcW w:w="1063" w:type="dxa"/>
            <w:noWrap w:val="0"/>
            <w:vAlign w:val="center"/>
          </w:tcPr>
          <w:p w14:paraId="3A998B27">
            <w:pPr>
              <w:jc w:val="center"/>
              <w:rPr>
                <w:rFonts w:hint="eastAsia" w:ascii="宋体" w:hAnsi="宋体"/>
                <w:szCs w:val="21"/>
                <w:highlight w:val="none"/>
              </w:rPr>
            </w:pPr>
          </w:p>
        </w:tc>
        <w:tc>
          <w:tcPr>
            <w:tcW w:w="1063" w:type="dxa"/>
            <w:noWrap w:val="0"/>
            <w:vAlign w:val="center"/>
          </w:tcPr>
          <w:p w14:paraId="06DFAE0C">
            <w:pPr>
              <w:jc w:val="center"/>
              <w:rPr>
                <w:rFonts w:hint="eastAsia" w:ascii="宋体" w:hAnsi="宋体"/>
                <w:szCs w:val="21"/>
                <w:highlight w:val="none"/>
              </w:rPr>
            </w:pPr>
          </w:p>
        </w:tc>
        <w:tc>
          <w:tcPr>
            <w:tcW w:w="1063" w:type="dxa"/>
            <w:noWrap w:val="0"/>
            <w:vAlign w:val="center"/>
          </w:tcPr>
          <w:p w14:paraId="28ABCB26">
            <w:pPr>
              <w:jc w:val="center"/>
              <w:rPr>
                <w:rFonts w:hint="eastAsia" w:ascii="宋体" w:hAnsi="宋体"/>
                <w:szCs w:val="21"/>
                <w:highlight w:val="none"/>
              </w:rPr>
            </w:pPr>
          </w:p>
        </w:tc>
        <w:tc>
          <w:tcPr>
            <w:tcW w:w="1063" w:type="dxa"/>
            <w:noWrap w:val="0"/>
            <w:vAlign w:val="center"/>
          </w:tcPr>
          <w:p w14:paraId="3A314B0A">
            <w:pPr>
              <w:jc w:val="center"/>
              <w:rPr>
                <w:rFonts w:hint="eastAsia" w:ascii="宋体" w:hAnsi="宋体"/>
                <w:szCs w:val="21"/>
                <w:highlight w:val="none"/>
              </w:rPr>
            </w:pPr>
          </w:p>
        </w:tc>
        <w:tc>
          <w:tcPr>
            <w:tcW w:w="1063" w:type="dxa"/>
            <w:noWrap w:val="0"/>
            <w:vAlign w:val="center"/>
          </w:tcPr>
          <w:p w14:paraId="210FB5DF">
            <w:pPr>
              <w:jc w:val="center"/>
              <w:rPr>
                <w:rFonts w:hint="eastAsia" w:ascii="宋体" w:hAnsi="宋体"/>
                <w:szCs w:val="21"/>
                <w:highlight w:val="none"/>
              </w:rPr>
            </w:pPr>
          </w:p>
        </w:tc>
      </w:tr>
      <w:tr w14:paraId="444C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4F7D27D5">
            <w:pPr>
              <w:jc w:val="center"/>
              <w:rPr>
                <w:rFonts w:hint="eastAsia" w:ascii="宋体" w:hAnsi="宋体"/>
                <w:szCs w:val="21"/>
                <w:highlight w:val="none"/>
              </w:rPr>
            </w:pPr>
          </w:p>
        </w:tc>
        <w:tc>
          <w:tcPr>
            <w:tcW w:w="1418" w:type="dxa"/>
            <w:noWrap w:val="0"/>
            <w:vAlign w:val="center"/>
          </w:tcPr>
          <w:p w14:paraId="5A05E723">
            <w:pPr>
              <w:jc w:val="center"/>
              <w:rPr>
                <w:rFonts w:hint="eastAsia" w:ascii="宋体" w:hAnsi="宋体"/>
                <w:szCs w:val="21"/>
                <w:highlight w:val="none"/>
              </w:rPr>
            </w:pPr>
          </w:p>
        </w:tc>
        <w:tc>
          <w:tcPr>
            <w:tcW w:w="1063" w:type="dxa"/>
            <w:noWrap w:val="0"/>
            <w:vAlign w:val="center"/>
          </w:tcPr>
          <w:p w14:paraId="4D0CA96F">
            <w:pPr>
              <w:jc w:val="center"/>
              <w:rPr>
                <w:rFonts w:hint="eastAsia" w:ascii="宋体" w:hAnsi="宋体"/>
                <w:szCs w:val="21"/>
                <w:highlight w:val="none"/>
              </w:rPr>
            </w:pPr>
          </w:p>
        </w:tc>
        <w:tc>
          <w:tcPr>
            <w:tcW w:w="1063" w:type="dxa"/>
            <w:noWrap w:val="0"/>
            <w:vAlign w:val="center"/>
          </w:tcPr>
          <w:p w14:paraId="3CBA89A9">
            <w:pPr>
              <w:jc w:val="center"/>
              <w:rPr>
                <w:rFonts w:hint="eastAsia" w:ascii="宋体" w:hAnsi="宋体"/>
                <w:szCs w:val="21"/>
                <w:highlight w:val="none"/>
              </w:rPr>
            </w:pPr>
          </w:p>
        </w:tc>
        <w:tc>
          <w:tcPr>
            <w:tcW w:w="1063" w:type="dxa"/>
            <w:noWrap w:val="0"/>
            <w:vAlign w:val="center"/>
          </w:tcPr>
          <w:p w14:paraId="59C8825D">
            <w:pPr>
              <w:jc w:val="center"/>
              <w:rPr>
                <w:rFonts w:hint="eastAsia" w:ascii="宋体" w:hAnsi="宋体"/>
                <w:szCs w:val="21"/>
                <w:highlight w:val="none"/>
              </w:rPr>
            </w:pPr>
          </w:p>
        </w:tc>
        <w:tc>
          <w:tcPr>
            <w:tcW w:w="1063" w:type="dxa"/>
            <w:noWrap w:val="0"/>
            <w:vAlign w:val="center"/>
          </w:tcPr>
          <w:p w14:paraId="0BE59F07">
            <w:pPr>
              <w:jc w:val="center"/>
              <w:rPr>
                <w:rFonts w:hint="eastAsia" w:ascii="宋体" w:hAnsi="宋体"/>
                <w:szCs w:val="21"/>
                <w:highlight w:val="none"/>
              </w:rPr>
            </w:pPr>
          </w:p>
        </w:tc>
        <w:tc>
          <w:tcPr>
            <w:tcW w:w="1063" w:type="dxa"/>
            <w:noWrap w:val="0"/>
            <w:vAlign w:val="center"/>
          </w:tcPr>
          <w:p w14:paraId="40CE18BF">
            <w:pPr>
              <w:jc w:val="center"/>
              <w:rPr>
                <w:rFonts w:hint="eastAsia" w:ascii="宋体" w:hAnsi="宋体"/>
                <w:szCs w:val="21"/>
                <w:highlight w:val="none"/>
              </w:rPr>
            </w:pPr>
          </w:p>
        </w:tc>
        <w:tc>
          <w:tcPr>
            <w:tcW w:w="1063" w:type="dxa"/>
            <w:noWrap w:val="0"/>
            <w:vAlign w:val="center"/>
          </w:tcPr>
          <w:p w14:paraId="0E7A209E">
            <w:pPr>
              <w:jc w:val="center"/>
              <w:rPr>
                <w:rFonts w:hint="eastAsia" w:ascii="宋体" w:hAnsi="宋体"/>
                <w:szCs w:val="21"/>
                <w:highlight w:val="none"/>
              </w:rPr>
            </w:pPr>
          </w:p>
        </w:tc>
      </w:tr>
      <w:tr w14:paraId="6F42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387E1A22">
            <w:pPr>
              <w:jc w:val="center"/>
              <w:rPr>
                <w:rFonts w:hint="eastAsia" w:ascii="宋体" w:hAnsi="宋体"/>
                <w:szCs w:val="21"/>
                <w:highlight w:val="none"/>
              </w:rPr>
            </w:pPr>
          </w:p>
        </w:tc>
        <w:tc>
          <w:tcPr>
            <w:tcW w:w="1418" w:type="dxa"/>
            <w:noWrap w:val="0"/>
            <w:vAlign w:val="center"/>
          </w:tcPr>
          <w:p w14:paraId="6455C5E0">
            <w:pPr>
              <w:jc w:val="center"/>
              <w:rPr>
                <w:rFonts w:hint="eastAsia" w:ascii="宋体" w:hAnsi="宋体"/>
                <w:szCs w:val="21"/>
                <w:highlight w:val="none"/>
              </w:rPr>
            </w:pPr>
          </w:p>
        </w:tc>
        <w:tc>
          <w:tcPr>
            <w:tcW w:w="1063" w:type="dxa"/>
            <w:noWrap w:val="0"/>
            <w:vAlign w:val="center"/>
          </w:tcPr>
          <w:p w14:paraId="225E8C0D">
            <w:pPr>
              <w:jc w:val="center"/>
              <w:rPr>
                <w:rFonts w:hint="eastAsia" w:ascii="宋体" w:hAnsi="宋体"/>
                <w:szCs w:val="21"/>
                <w:highlight w:val="none"/>
              </w:rPr>
            </w:pPr>
          </w:p>
        </w:tc>
        <w:tc>
          <w:tcPr>
            <w:tcW w:w="1063" w:type="dxa"/>
            <w:noWrap w:val="0"/>
            <w:vAlign w:val="center"/>
          </w:tcPr>
          <w:p w14:paraId="5CBF619A">
            <w:pPr>
              <w:jc w:val="center"/>
              <w:rPr>
                <w:rFonts w:hint="eastAsia" w:ascii="宋体" w:hAnsi="宋体"/>
                <w:szCs w:val="21"/>
                <w:highlight w:val="none"/>
              </w:rPr>
            </w:pPr>
          </w:p>
        </w:tc>
        <w:tc>
          <w:tcPr>
            <w:tcW w:w="1063" w:type="dxa"/>
            <w:noWrap w:val="0"/>
            <w:vAlign w:val="center"/>
          </w:tcPr>
          <w:p w14:paraId="25A1B0C1">
            <w:pPr>
              <w:jc w:val="center"/>
              <w:rPr>
                <w:rFonts w:hint="eastAsia" w:ascii="宋体" w:hAnsi="宋体"/>
                <w:szCs w:val="21"/>
                <w:highlight w:val="none"/>
              </w:rPr>
            </w:pPr>
          </w:p>
        </w:tc>
        <w:tc>
          <w:tcPr>
            <w:tcW w:w="1063" w:type="dxa"/>
            <w:noWrap w:val="0"/>
            <w:vAlign w:val="center"/>
          </w:tcPr>
          <w:p w14:paraId="5EA4BCE4">
            <w:pPr>
              <w:jc w:val="center"/>
              <w:rPr>
                <w:rFonts w:hint="eastAsia" w:ascii="宋体" w:hAnsi="宋体"/>
                <w:szCs w:val="21"/>
                <w:highlight w:val="none"/>
              </w:rPr>
            </w:pPr>
          </w:p>
        </w:tc>
        <w:tc>
          <w:tcPr>
            <w:tcW w:w="1063" w:type="dxa"/>
            <w:noWrap w:val="0"/>
            <w:vAlign w:val="center"/>
          </w:tcPr>
          <w:p w14:paraId="15CA1588">
            <w:pPr>
              <w:jc w:val="center"/>
              <w:rPr>
                <w:rFonts w:hint="eastAsia" w:ascii="宋体" w:hAnsi="宋体"/>
                <w:szCs w:val="21"/>
                <w:highlight w:val="none"/>
              </w:rPr>
            </w:pPr>
          </w:p>
        </w:tc>
        <w:tc>
          <w:tcPr>
            <w:tcW w:w="1063" w:type="dxa"/>
            <w:noWrap w:val="0"/>
            <w:vAlign w:val="center"/>
          </w:tcPr>
          <w:p w14:paraId="62365E77">
            <w:pPr>
              <w:jc w:val="center"/>
              <w:rPr>
                <w:rFonts w:hint="eastAsia" w:ascii="宋体" w:hAnsi="宋体"/>
                <w:szCs w:val="21"/>
                <w:highlight w:val="none"/>
              </w:rPr>
            </w:pPr>
          </w:p>
        </w:tc>
      </w:tr>
      <w:tr w14:paraId="5DCF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72C30021">
            <w:pPr>
              <w:jc w:val="center"/>
              <w:rPr>
                <w:rFonts w:hint="eastAsia" w:ascii="宋体" w:hAnsi="宋体"/>
                <w:szCs w:val="21"/>
                <w:highlight w:val="none"/>
              </w:rPr>
            </w:pPr>
          </w:p>
        </w:tc>
        <w:tc>
          <w:tcPr>
            <w:tcW w:w="1418" w:type="dxa"/>
            <w:noWrap w:val="0"/>
            <w:vAlign w:val="center"/>
          </w:tcPr>
          <w:p w14:paraId="552E6691">
            <w:pPr>
              <w:jc w:val="center"/>
              <w:rPr>
                <w:rFonts w:hint="eastAsia" w:ascii="宋体" w:hAnsi="宋体"/>
                <w:szCs w:val="21"/>
                <w:highlight w:val="none"/>
              </w:rPr>
            </w:pPr>
          </w:p>
        </w:tc>
        <w:tc>
          <w:tcPr>
            <w:tcW w:w="1063" w:type="dxa"/>
            <w:noWrap w:val="0"/>
            <w:vAlign w:val="center"/>
          </w:tcPr>
          <w:p w14:paraId="34FB975A">
            <w:pPr>
              <w:jc w:val="center"/>
              <w:rPr>
                <w:rFonts w:hint="eastAsia" w:ascii="宋体" w:hAnsi="宋体"/>
                <w:szCs w:val="21"/>
                <w:highlight w:val="none"/>
              </w:rPr>
            </w:pPr>
          </w:p>
        </w:tc>
        <w:tc>
          <w:tcPr>
            <w:tcW w:w="1063" w:type="dxa"/>
            <w:noWrap w:val="0"/>
            <w:vAlign w:val="center"/>
          </w:tcPr>
          <w:p w14:paraId="7B3A7A40">
            <w:pPr>
              <w:jc w:val="center"/>
              <w:rPr>
                <w:rFonts w:hint="eastAsia" w:ascii="宋体" w:hAnsi="宋体"/>
                <w:szCs w:val="21"/>
                <w:highlight w:val="none"/>
              </w:rPr>
            </w:pPr>
          </w:p>
        </w:tc>
        <w:tc>
          <w:tcPr>
            <w:tcW w:w="1063" w:type="dxa"/>
            <w:noWrap w:val="0"/>
            <w:vAlign w:val="center"/>
          </w:tcPr>
          <w:p w14:paraId="49DD6057">
            <w:pPr>
              <w:jc w:val="center"/>
              <w:rPr>
                <w:rFonts w:hint="eastAsia" w:ascii="宋体" w:hAnsi="宋体"/>
                <w:szCs w:val="21"/>
                <w:highlight w:val="none"/>
              </w:rPr>
            </w:pPr>
          </w:p>
        </w:tc>
        <w:tc>
          <w:tcPr>
            <w:tcW w:w="1063" w:type="dxa"/>
            <w:noWrap w:val="0"/>
            <w:vAlign w:val="center"/>
          </w:tcPr>
          <w:p w14:paraId="60E5CCA4">
            <w:pPr>
              <w:jc w:val="center"/>
              <w:rPr>
                <w:rFonts w:hint="eastAsia" w:ascii="宋体" w:hAnsi="宋体"/>
                <w:szCs w:val="21"/>
                <w:highlight w:val="none"/>
              </w:rPr>
            </w:pPr>
          </w:p>
        </w:tc>
        <w:tc>
          <w:tcPr>
            <w:tcW w:w="1063" w:type="dxa"/>
            <w:noWrap w:val="0"/>
            <w:vAlign w:val="center"/>
          </w:tcPr>
          <w:p w14:paraId="153A7B33">
            <w:pPr>
              <w:jc w:val="center"/>
              <w:rPr>
                <w:rFonts w:hint="eastAsia" w:ascii="宋体" w:hAnsi="宋体"/>
                <w:szCs w:val="21"/>
                <w:highlight w:val="none"/>
              </w:rPr>
            </w:pPr>
          </w:p>
        </w:tc>
        <w:tc>
          <w:tcPr>
            <w:tcW w:w="1063" w:type="dxa"/>
            <w:noWrap w:val="0"/>
            <w:vAlign w:val="center"/>
          </w:tcPr>
          <w:p w14:paraId="72B7E8DA">
            <w:pPr>
              <w:jc w:val="center"/>
              <w:rPr>
                <w:rFonts w:hint="eastAsia" w:ascii="宋体" w:hAnsi="宋体"/>
                <w:szCs w:val="21"/>
                <w:highlight w:val="none"/>
              </w:rPr>
            </w:pPr>
          </w:p>
        </w:tc>
      </w:tr>
      <w:tr w14:paraId="23D7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41D86ACA">
            <w:pPr>
              <w:jc w:val="center"/>
              <w:rPr>
                <w:rFonts w:hint="eastAsia" w:ascii="宋体" w:hAnsi="宋体"/>
                <w:szCs w:val="21"/>
                <w:highlight w:val="none"/>
              </w:rPr>
            </w:pPr>
          </w:p>
        </w:tc>
        <w:tc>
          <w:tcPr>
            <w:tcW w:w="1418" w:type="dxa"/>
            <w:noWrap w:val="0"/>
            <w:vAlign w:val="center"/>
          </w:tcPr>
          <w:p w14:paraId="054086E2">
            <w:pPr>
              <w:jc w:val="center"/>
              <w:rPr>
                <w:rFonts w:hint="eastAsia" w:ascii="宋体" w:hAnsi="宋体"/>
                <w:szCs w:val="21"/>
                <w:highlight w:val="none"/>
              </w:rPr>
            </w:pPr>
          </w:p>
        </w:tc>
        <w:tc>
          <w:tcPr>
            <w:tcW w:w="1063" w:type="dxa"/>
            <w:noWrap w:val="0"/>
            <w:vAlign w:val="center"/>
          </w:tcPr>
          <w:p w14:paraId="3FC9F643">
            <w:pPr>
              <w:jc w:val="center"/>
              <w:rPr>
                <w:rFonts w:hint="eastAsia" w:ascii="宋体" w:hAnsi="宋体"/>
                <w:szCs w:val="21"/>
                <w:highlight w:val="none"/>
              </w:rPr>
            </w:pPr>
          </w:p>
        </w:tc>
        <w:tc>
          <w:tcPr>
            <w:tcW w:w="1063" w:type="dxa"/>
            <w:noWrap w:val="0"/>
            <w:vAlign w:val="center"/>
          </w:tcPr>
          <w:p w14:paraId="413A8C71">
            <w:pPr>
              <w:jc w:val="center"/>
              <w:rPr>
                <w:rFonts w:hint="eastAsia" w:ascii="宋体" w:hAnsi="宋体"/>
                <w:szCs w:val="21"/>
                <w:highlight w:val="none"/>
              </w:rPr>
            </w:pPr>
          </w:p>
        </w:tc>
        <w:tc>
          <w:tcPr>
            <w:tcW w:w="1063" w:type="dxa"/>
            <w:noWrap w:val="0"/>
            <w:vAlign w:val="center"/>
          </w:tcPr>
          <w:p w14:paraId="19E2F4B0">
            <w:pPr>
              <w:jc w:val="center"/>
              <w:rPr>
                <w:rFonts w:hint="eastAsia" w:ascii="宋体" w:hAnsi="宋体"/>
                <w:szCs w:val="21"/>
                <w:highlight w:val="none"/>
              </w:rPr>
            </w:pPr>
          </w:p>
        </w:tc>
        <w:tc>
          <w:tcPr>
            <w:tcW w:w="1063" w:type="dxa"/>
            <w:noWrap w:val="0"/>
            <w:vAlign w:val="center"/>
          </w:tcPr>
          <w:p w14:paraId="4949A6B2">
            <w:pPr>
              <w:jc w:val="center"/>
              <w:rPr>
                <w:rFonts w:hint="eastAsia" w:ascii="宋体" w:hAnsi="宋体"/>
                <w:szCs w:val="21"/>
                <w:highlight w:val="none"/>
              </w:rPr>
            </w:pPr>
          </w:p>
        </w:tc>
        <w:tc>
          <w:tcPr>
            <w:tcW w:w="1063" w:type="dxa"/>
            <w:noWrap w:val="0"/>
            <w:vAlign w:val="center"/>
          </w:tcPr>
          <w:p w14:paraId="7C617A34">
            <w:pPr>
              <w:jc w:val="center"/>
              <w:rPr>
                <w:rFonts w:hint="eastAsia" w:ascii="宋体" w:hAnsi="宋体"/>
                <w:szCs w:val="21"/>
                <w:highlight w:val="none"/>
              </w:rPr>
            </w:pPr>
          </w:p>
        </w:tc>
        <w:tc>
          <w:tcPr>
            <w:tcW w:w="1063" w:type="dxa"/>
            <w:noWrap w:val="0"/>
            <w:vAlign w:val="center"/>
          </w:tcPr>
          <w:p w14:paraId="74966E21">
            <w:pPr>
              <w:jc w:val="center"/>
              <w:rPr>
                <w:rFonts w:hint="eastAsia" w:ascii="宋体" w:hAnsi="宋体"/>
                <w:szCs w:val="21"/>
                <w:highlight w:val="none"/>
              </w:rPr>
            </w:pPr>
          </w:p>
        </w:tc>
      </w:tr>
      <w:tr w14:paraId="257C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1DC862F5">
            <w:pPr>
              <w:jc w:val="center"/>
              <w:rPr>
                <w:rFonts w:hint="eastAsia" w:ascii="宋体" w:hAnsi="宋体"/>
                <w:szCs w:val="21"/>
                <w:highlight w:val="none"/>
              </w:rPr>
            </w:pPr>
          </w:p>
        </w:tc>
        <w:tc>
          <w:tcPr>
            <w:tcW w:w="1418" w:type="dxa"/>
            <w:noWrap w:val="0"/>
            <w:vAlign w:val="center"/>
          </w:tcPr>
          <w:p w14:paraId="7C95B175">
            <w:pPr>
              <w:jc w:val="center"/>
              <w:rPr>
                <w:rFonts w:hint="eastAsia" w:ascii="宋体" w:hAnsi="宋体"/>
                <w:szCs w:val="21"/>
                <w:highlight w:val="none"/>
              </w:rPr>
            </w:pPr>
          </w:p>
        </w:tc>
        <w:tc>
          <w:tcPr>
            <w:tcW w:w="1063" w:type="dxa"/>
            <w:noWrap w:val="0"/>
            <w:vAlign w:val="center"/>
          </w:tcPr>
          <w:p w14:paraId="5144B6F3">
            <w:pPr>
              <w:jc w:val="center"/>
              <w:rPr>
                <w:rFonts w:hint="eastAsia" w:ascii="宋体" w:hAnsi="宋体"/>
                <w:szCs w:val="21"/>
                <w:highlight w:val="none"/>
              </w:rPr>
            </w:pPr>
          </w:p>
        </w:tc>
        <w:tc>
          <w:tcPr>
            <w:tcW w:w="1063" w:type="dxa"/>
            <w:noWrap w:val="0"/>
            <w:vAlign w:val="center"/>
          </w:tcPr>
          <w:p w14:paraId="17C2463B">
            <w:pPr>
              <w:jc w:val="center"/>
              <w:rPr>
                <w:rFonts w:hint="eastAsia" w:ascii="宋体" w:hAnsi="宋体"/>
                <w:szCs w:val="21"/>
                <w:highlight w:val="none"/>
              </w:rPr>
            </w:pPr>
          </w:p>
        </w:tc>
        <w:tc>
          <w:tcPr>
            <w:tcW w:w="1063" w:type="dxa"/>
            <w:noWrap w:val="0"/>
            <w:vAlign w:val="center"/>
          </w:tcPr>
          <w:p w14:paraId="327B1F70">
            <w:pPr>
              <w:jc w:val="center"/>
              <w:rPr>
                <w:rFonts w:hint="eastAsia" w:ascii="宋体" w:hAnsi="宋体"/>
                <w:szCs w:val="21"/>
                <w:highlight w:val="none"/>
              </w:rPr>
            </w:pPr>
          </w:p>
        </w:tc>
        <w:tc>
          <w:tcPr>
            <w:tcW w:w="1063" w:type="dxa"/>
            <w:noWrap w:val="0"/>
            <w:vAlign w:val="center"/>
          </w:tcPr>
          <w:p w14:paraId="1613309C">
            <w:pPr>
              <w:jc w:val="center"/>
              <w:rPr>
                <w:rFonts w:hint="eastAsia" w:ascii="宋体" w:hAnsi="宋体"/>
                <w:szCs w:val="21"/>
                <w:highlight w:val="none"/>
              </w:rPr>
            </w:pPr>
          </w:p>
        </w:tc>
        <w:tc>
          <w:tcPr>
            <w:tcW w:w="1063" w:type="dxa"/>
            <w:noWrap w:val="0"/>
            <w:vAlign w:val="center"/>
          </w:tcPr>
          <w:p w14:paraId="7AF16E74">
            <w:pPr>
              <w:jc w:val="center"/>
              <w:rPr>
                <w:rFonts w:hint="eastAsia" w:ascii="宋体" w:hAnsi="宋体"/>
                <w:szCs w:val="21"/>
                <w:highlight w:val="none"/>
              </w:rPr>
            </w:pPr>
          </w:p>
        </w:tc>
        <w:tc>
          <w:tcPr>
            <w:tcW w:w="1063" w:type="dxa"/>
            <w:noWrap w:val="0"/>
            <w:vAlign w:val="center"/>
          </w:tcPr>
          <w:p w14:paraId="60A1DD6D">
            <w:pPr>
              <w:jc w:val="center"/>
              <w:rPr>
                <w:rFonts w:hint="eastAsia" w:ascii="宋体" w:hAnsi="宋体"/>
                <w:szCs w:val="21"/>
                <w:highlight w:val="none"/>
              </w:rPr>
            </w:pPr>
          </w:p>
        </w:tc>
      </w:tr>
      <w:tr w14:paraId="2372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106A6979">
            <w:pPr>
              <w:jc w:val="center"/>
              <w:rPr>
                <w:rFonts w:hint="eastAsia" w:ascii="宋体" w:hAnsi="宋体"/>
                <w:szCs w:val="21"/>
                <w:highlight w:val="none"/>
              </w:rPr>
            </w:pPr>
          </w:p>
        </w:tc>
        <w:tc>
          <w:tcPr>
            <w:tcW w:w="1418" w:type="dxa"/>
            <w:noWrap w:val="0"/>
            <w:vAlign w:val="center"/>
          </w:tcPr>
          <w:p w14:paraId="470DD477">
            <w:pPr>
              <w:jc w:val="center"/>
              <w:rPr>
                <w:rFonts w:hint="eastAsia" w:ascii="宋体" w:hAnsi="宋体"/>
                <w:szCs w:val="21"/>
                <w:highlight w:val="none"/>
              </w:rPr>
            </w:pPr>
          </w:p>
        </w:tc>
        <w:tc>
          <w:tcPr>
            <w:tcW w:w="1063" w:type="dxa"/>
            <w:noWrap w:val="0"/>
            <w:vAlign w:val="center"/>
          </w:tcPr>
          <w:p w14:paraId="20D13F64">
            <w:pPr>
              <w:jc w:val="center"/>
              <w:rPr>
                <w:rFonts w:hint="eastAsia" w:ascii="宋体" w:hAnsi="宋体"/>
                <w:szCs w:val="21"/>
                <w:highlight w:val="none"/>
              </w:rPr>
            </w:pPr>
          </w:p>
        </w:tc>
        <w:tc>
          <w:tcPr>
            <w:tcW w:w="1063" w:type="dxa"/>
            <w:noWrap w:val="0"/>
            <w:vAlign w:val="center"/>
          </w:tcPr>
          <w:p w14:paraId="190101D9">
            <w:pPr>
              <w:jc w:val="center"/>
              <w:rPr>
                <w:rFonts w:hint="eastAsia" w:ascii="宋体" w:hAnsi="宋体"/>
                <w:szCs w:val="21"/>
                <w:highlight w:val="none"/>
              </w:rPr>
            </w:pPr>
          </w:p>
        </w:tc>
        <w:tc>
          <w:tcPr>
            <w:tcW w:w="1063" w:type="dxa"/>
            <w:noWrap w:val="0"/>
            <w:vAlign w:val="center"/>
          </w:tcPr>
          <w:p w14:paraId="78F8E285">
            <w:pPr>
              <w:jc w:val="center"/>
              <w:rPr>
                <w:rFonts w:hint="eastAsia" w:ascii="宋体" w:hAnsi="宋体"/>
                <w:szCs w:val="21"/>
                <w:highlight w:val="none"/>
              </w:rPr>
            </w:pPr>
          </w:p>
        </w:tc>
        <w:tc>
          <w:tcPr>
            <w:tcW w:w="1063" w:type="dxa"/>
            <w:noWrap w:val="0"/>
            <w:vAlign w:val="center"/>
          </w:tcPr>
          <w:p w14:paraId="6A371689">
            <w:pPr>
              <w:jc w:val="center"/>
              <w:rPr>
                <w:rFonts w:hint="eastAsia" w:ascii="宋体" w:hAnsi="宋体"/>
                <w:szCs w:val="21"/>
                <w:highlight w:val="none"/>
              </w:rPr>
            </w:pPr>
          </w:p>
        </w:tc>
        <w:tc>
          <w:tcPr>
            <w:tcW w:w="1063" w:type="dxa"/>
            <w:noWrap w:val="0"/>
            <w:vAlign w:val="center"/>
          </w:tcPr>
          <w:p w14:paraId="000F1C52">
            <w:pPr>
              <w:jc w:val="center"/>
              <w:rPr>
                <w:rFonts w:hint="eastAsia" w:ascii="宋体" w:hAnsi="宋体"/>
                <w:szCs w:val="21"/>
                <w:highlight w:val="none"/>
              </w:rPr>
            </w:pPr>
          </w:p>
        </w:tc>
        <w:tc>
          <w:tcPr>
            <w:tcW w:w="1063" w:type="dxa"/>
            <w:noWrap w:val="0"/>
            <w:vAlign w:val="center"/>
          </w:tcPr>
          <w:p w14:paraId="2C5CDB77">
            <w:pPr>
              <w:jc w:val="center"/>
              <w:rPr>
                <w:rFonts w:hint="eastAsia" w:ascii="宋体" w:hAnsi="宋体"/>
                <w:szCs w:val="21"/>
                <w:highlight w:val="none"/>
              </w:rPr>
            </w:pPr>
          </w:p>
        </w:tc>
      </w:tr>
      <w:tr w14:paraId="57D9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71B5D8AF">
            <w:pPr>
              <w:jc w:val="center"/>
              <w:rPr>
                <w:rFonts w:hint="eastAsia" w:ascii="宋体" w:hAnsi="宋体"/>
                <w:szCs w:val="21"/>
                <w:highlight w:val="none"/>
              </w:rPr>
            </w:pPr>
          </w:p>
        </w:tc>
        <w:tc>
          <w:tcPr>
            <w:tcW w:w="1418" w:type="dxa"/>
            <w:noWrap w:val="0"/>
            <w:vAlign w:val="center"/>
          </w:tcPr>
          <w:p w14:paraId="309D7BE2">
            <w:pPr>
              <w:jc w:val="center"/>
              <w:rPr>
                <w:rFonts w:hint="eastAsia" w:ascii="宋体" w:hAnsi="宋体"/>
                <w:szCs w:val="21"/>
                <w:highlight w:val="none"/>
              </w:rPr>
            </w:pPr>
          </w:p>
        </w:tc>
        <w:tc>
          <w:tcPr>
            <w:tcW w:w="1063" w:type="dxa"/>
            <w:noWrap w:val="0"/>
            <w:vAlign w:val="center"/>
          </w:tcPr>
          <w:p w14:paraId="2487686A">
            <w:pPr>
              <w:jc w:val="center"/>
              <w:rPr>
                <w:rFonts w:hint="eastAsia" w:ascii="宋体" w:hAnsi="宋体"/>
                <w:szCs w:val="21"/>
                <w:highlight w:val="none"/>
              </w:rPr>
            </w:pPr>
          </w:p>
        </w:tc>
        <w:tc>
          <w:tcPr>
            <w:tcW w:w="1063" w:type="dxa"/>
            <w:noWrap w:val="0"/>
            <w:vAlign w:val="center"/>
          </w:tcPr>
          <w:p w14:paraId="408F0E4D">
            <w:pPr>
              <w:jc w:val="center"/>
              <w:rPr>
                <w:rFonts w:hint="eastAsia" w:ascii="宋体" w:hAnsi="宋体"/>
                <w:szCs w:val="21"/>
                <w:highlight w:val="none"/>
              </w:rPr>
            </w:pPr>
          </w:p>
        </w:tc>
        <w:tc>
          <w:tcPr>
            <w:tcW w:w="1063" w:type="dxa"/>
            <w:noWrap w:val="0"/>
            <w:vAlign w:val="center"/>
          </w:tcPr>
          <w:p w14:paraId="5CE82868">
            <w:pPr>
              <w:jc w:val="center"/>
              <w:rPr>
                <w:rFonts w:hint="eastAsia" w:ascii="宋体" w:hAnsi="宋体"/>
                <w:szCs w:val="21"/>
                <w:highlight w:val="none"/>
              </w:rPr>
            </w:pPr>
          </w:p>
        </w:tc>
        <w:tc>
          <w:tcPr>
            <w:tcW w:w="1063" w:type="dxa"/>
            <w:noWrap w:val="0"/>
            <w:vAlign w:val="center"/>
          </w:tcPr>
          <w:p w14:paraId="4FB1CD21">
            <w:pPr>
              <w:jc w:val="center"/>
              <w:rPr>
                <w:rFonts w:hint="eastAsia" w:ascii="宋体" w:hAnsi="宋体"/>
                <w:szCs w:val="21"/>
                <w:highlight w:val="none"/>
              </w:rPr>
            </w:pPr>
          </w:p>
        </w:tc>
        <w:tc>
          <w:tcPr>
            <w:tcW w:w="1063" w:type="dxa"/>
            <w:noWrap w:val="0"/>
            <w:vAlign w:val="center"/>
          </w:tcPr>
          <w:p w14:paraId="3D348D62">
            <w:pPr>
              <w:jc w:val="center"/>
              <w:rPr>
                <w:rFonts w:hint="eastAsia" w:ascii="宋体" w:hAnsi="宋体"/>
                <w:szCs w:val="21"/>
                <w:highlight w:val="none"/>
              </w:rPr>
            </w:pPr>
          </w:p>
        </w:tc>
        <w:tc>
          <w:tcPr>
            <w:tcW w:w="1063" w:type="dxa"/>
            <w:noWrap w:val="0"/>
            <w:vAlign w:val="center"/>
          </w:tcPr>
          <w:p w14:paraId="135CE3E1">
            <w:pPr>
              <w:jc w:val="center"/>
              <w:rPr>
                <w:rFonts w:hint="eastAsia" w:ascii="宋体" w:hAnsi="宋体"/>
                <w:szCs w:val="21"/>
                <w:highlight w:val="none"/>
              </w:rPr>
            </w:pPr>
          </w:p>
        </w:tc>
      </w:tr>
      <w:tr w14:paraId="011F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7E08C3BF">
            <w:pPr>
              <w:jc w:val="center"/>
              <w:rPr>
                <w:rFonts w:hint="eastAsia" w:ascii="宋体" w:hAnsi="宋体"/>
                <w:szCs w:val="21"/>
                <w:highlight w:val="none"/>
              </w:rPr>
            </w:pPr>
          </w:p>
        </w:tc>
        <w:tc>
          <w:tcPr>
            <w:tcW w:w="1418" w:type="dxa"/>
            <w:noWrap w:val="0"/>
            <w:vAlign w:val="center"/>
          </w:tcPr>
          <w:p w14:paraId="6D94705E">
            <w:pPr>
              <w:jc w:val="center"/>
              <w:rPr>
                <w:rFonts w:hint="eastAsia" w:ascii="宋体" w:hAnsi="宋体"/>
                <w:szCs w:val="21"/>
                <w:highlight w:val="none"/>
              </w:rPr>
            </w:pPr>
          </w:p>
        </w:tc>
        <w:tc>
          <w:tcPr>
            <w:tcW w:w="1063" w:type="dxa"/>
            <w:noWrap w:val="0"/>
            <w:vAlign w:val="center"/>
          </w:tcPr>
          <w:p w14:paraId="2F161632">
            <w:pPr>
              <w:jc w:val="center"/>
              <w:rPr>
                <w:rFonts w:hint="eastAsia" w:ascii="宋体" w:hAnsi="宋体"/>
                <w:szCs w:val="21"/>
                <w:highlight w:val="none"/>
              </w:rPr>
            </w:pPr>
          </w:p>
        </w:tc>
        <w:tc>
          <w:tcPr>
            <w:tcW w:w="1063" w:type="dxa"/>
            <w:noWrap w:val="0"/>
            <w:vAlign w:val="center"/>
          </w:tcPr>
          <w:p w14:paraId="6F0A37AE">
            <w:pPr>
              <w:jc w:val="center"/>
              <w:rPr>
                <w:rFonts w:hint="eastAsia" w:ascii="宋体" w:hAnsi="宋体"/>
                <w:szCs w:val="21"/>
                <w:highlight w:val="none"/>
              </w:rPr>
            </w:pPr>
          </w:p>
        </w:tc>
        <w:tc>
          <w:tcPr>
            <w:tcW w:w="1063" w:type="dxa"/>
            <w:noWrap w:val="0"/>
            <w:vAlign w:val="center"/>
          </w:tcPr>
          <w:p w14:paraId="298F4D58">
            <w:pPr>
              <w:jc w:val="center"/>
              <w:rPr>
                <w:rFonts w:hint="eastAsia" w:ascii="宋体" w:hAnsi="宋体"/>
                <w:szCs w:val="21"/>
                <w:highlight w:val="none"/>
              </w:rPr>
            </w:pPr>
          </w:p>
        </w:tc>
        <w:tc>
          <w:tcPr>
            <w:tcW w:w="1063" w:type="dxa"/>
            <w:noWrap w:val="0"/>
            <w:vAlign w:val="center"/>
          </w:tcPr>
          <w:p w14:paraId="2275AA45">
            <w:pPr>
              <w:jc w:val="center"/>
              <w:rPr>
                <w:rFonts w:hint="eastAsia" w:ascii="宋体" w:hAnsi="宋体"/>
                <w:szCs w:val="21"/>
                <w:highlight w:val="none"/>
              </w:rPr>
            </w:pPr>
          </w:p>
        </w:tc>
        <w:tc>
          <w:tcPr>
            <w:tcW w:w="1063" w:type="dxa"/>
            <w:noWrap w:val="0"/>
            <w:vAlign w:val="center"/>
          </w:tcPr>
          <w:p w14:paraId="2320ADA0">
            <w:pPr>
              <w:jc w:val="center"/>
              <w:rPr>
                <w:rFonts w:hint="eastAsia" w:ascii="宋体" w:hAnsi="宋体"/>
                <w:szCs w:val="21"/>
                <w:highlight w:val="none"/>
              </w:rPr>
            </w:pPr>
          </w:p>
        </w:tc>
        <w:tc>
          <w:tcPr>
            <w:tcW w:w="1063" w:type="dxa"/>
            <w:noWrap w:val="0"/>
            <w:vAlign w:val="center"/>
          </w:tcPr>
          <w:p w14:paraId="1F160ECE">
            <w:pPr>
              <w:jc w:val="center"/>
              <w:rPr>
                <w:rFonts w:hint="eastAsia" w:ascii="宋体" w:hAnsi="宋体"/>
                <w:szCs w:val="21"/>
                <w:highlight w:val="none"/>
              </w:rPr>
            </w:pPr>
          </w:p>
        </w:tc>
      </w:tr>
      <w:tr w14:paraId="1DC8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06BE4F5E">
            <w:pPr>
              <w:jc w:val="center"/>
              <w:rPr>
                <w:rFonts w:hint="eastAsia" w:ascii="宋体" w:hAnsi="宋体"/>
                <w:szCs w:val="21"/>
                <w:highlight w:val="none"/>
              </w:rPr>
            </w:pPr>
          </w:p>
        </w:tc>
        <w:tc>
          <w:tcPr>
            <w:tcW w:w="1418" w:type="dxa"/>
            <w:noWrap w:val="0"/>
            <w:vAlign w:val="center"/>
          </w:tcPr>
          <w:p w14:paraId="719D8023">
            <w:pPr>
              <w:jc w:val="center"/>
              <w:rPr>
                <w:rFonts w:hint="eastAsia" w:ascii="宋体" w:hAnsi="宋体"/>
                <w:szCs w:val="21"/>
                <w:highlight w:val="none"/>
              </w:rPr>
            </w:pPr>
          </w:p>
        </w:tc>
        <w:tc>
          <w:tcPr>
            <w:tcW w:w="1063" w:type="dxa"/>
            <w:noWrap w:val="0"/>
            <w:vAlign w:val="center"/>
          </w:tcPr>
          <w:p w14:paraId="723022C2">
            <w:pPr>
              <w:jc w:val="center"/>
              <w:rPr>
                <w:rFonts w:hint="eastAsia" w:ascii="宋体" w:hAnsi="宋体"/>
                <w:szCs w:val="21"/>
                <w:highlight w:val="none"/>
              </w:rPr>
            </w:pPr>
          </w:p>
        </w:tc>
        <w:tc>
          <w:tcPr>
            <w:tcW w:w="1063" w:type="dxa"/>
            <w:noWrap w:val="0"/>
            <w:vAlign w:val="center"/>
          </w:tcPr>
          <w:p w14:paraId="2B7D52FF">
            <w:pPr>
              <w:jc w:val="center"/>
              <w:rPr>
                <w:rFonts w:hint="eastAsia" w:ascii="宋体" w:hAnsi="宋体"/>
                <w:szCs w:val="21"/>
                <w:highlight w:val="none"/>
              </w:rPr>
            </w:pPr>
          </w:p>
        </w:tc>
        <w:tc>
          <w:tcPr>
            <w:tcW w:w="1063" w:type="dxa"/>
            <w:noWrap w:val="0"/>
            <w:vAlign w:val="center"/>
          </w:tcPr>
          <w:p w14:paraId="1B9A5F69">
            <w:pPr>
              <w:jc w:val="center"/>
              <w:rPr>
                <w:rFonts w:hint="eastAsia" w:ascii="宋体" w:hAnsi="宋体"/>
                <w:szCs w:val="21"/>
                <w:highlight w:val="none"/>
              </w:rPr>
            </w:pPr>
          </w:p>
        </w:tc>
        <w:tc>
          <w:tcPr>
            <w:tcW w:w="1063" w:type="dxa"/>
            <w:noWrap w:val="0"/>
            <w:vAlign w:val="center"/>
          </w:tcPr>
          <w:p w14:paraId="39BEB737">
            <w:pPr>
              <w:jc w:val="center"/>
              <w:rPr>
                <w:rFonts w:hint="eastAsia" w:ascii="宋体" w:hAnsi="宋体"/>
                <w:szCs w:val="21"/>
                <w:highlight w:val="none"/>
              </w:rPr>
            </w:pPr>
          </w:p>
        </w:tc>
        <w:tc>
          <w:tcPr>
            <w:tcW w:w="1063" w:type="dxa"/>
            <w:noWrap w:val="0"/>
            <w:vAlign w:val="center"/>
          </w:tcPr>
          <w:p w14:paraId="5820E3A7">
            <w:pPr>
              <w:jc w:val="center"/>
              <w:rPr>
                <w:rFonts w:hint="eastAsia" w:ascii="宋体" w:hAnsi="宋体"/>
                <w:szCs w:val="21"/>
                <w:highlight w:val="none"/>
              </w:rPr>
            </w:pPr>
          </w:p>
        </w:tc>
        <w:tc>
          <w:tcPr>
            <w:tcW w:w="1063" w:type="dxa"/>
            <w:noWrap w:val="0"/>
            <w:vAlign w:val="center"/>
          </w:tcPr>
          <w:p w14:paraId="0C3E0CBE">
            <w:pPr>
              <w:jc w:val="center"/>
              <w:rPr>
                <w:rFonts w:hint="eastAsia" w:ascii="宋体" w:hAnsi="宋体"/>
                <w:szCs w:val="21"/>
                <w:highlight w:val="none"/>
              </w:rPr>
            </w:pPr>
          </w:p>
        </w:tc>
      </w:tr>
      <w:tr w14:paraId="1154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4FE9C61B">
            <w:pPr>
              <w:jc w:val="center"/>
              <w:rPr>
                <w:rFonts w:hint="eastAsia" w:ascii="宋体" w:hAnsi="宋体"/>
                <w:szCs w:val="21"/>
                <w:highlight w:val="none"/>
              </w:rPr>
            </w:pPr>
          </w:p>
        </w:tc>
        <w:tc>
          <w:tcPr>
            <w:tcW w:w="1418" w:type="dxa"/>
            <w:noWrap w:val="0"/>
            <w:vAlign w:val="center"/>
          </w:tcPr>
          <w:p w14:paraId="75A5EA07">
            <w:pPr>
              <w:jc w:val="center"/>
              <w:rPr>
                <w:rFonts w:hint="eastAsia" w:ascii="宋体" w:hAnsi="宋体"/>
                <w:szCs w:val="21"/>
                <w:highlight w:val="none"/>
              </w:rPr>
            </w:pPr>
          </w:p>
        </w:tc>
        <w:tc>
          <w:tcPr>
            <w:tcW w:w="1063" w:type="dxa"/>
            <w:noWrap w:val="0"/>
            <w:vAlign w:val="center"/>
          </w:tcPr>
          <w:p w14:paraId="411AEB0B">
            <w:pPr>
              <w:jc w:val="center"/>
              <w:rPr>
                <w:rFonts w:hint="eastAsia" w:ascii="宋体" w:hAnsi="宋体"/>
                <w:szCs w:val="21"/>
                <w:highlight w:val="none"/>
              </w:rPr>
            </w:pPr>
          </w:p>
        </w:tc>
        <w:tc>
          <w:tcPr>
            <w:tcW w:w="1063" w:type="dxa"/>
            <w:noWrap w:val="0"/>
            <w:vAlign w:val="center"/>
          </w:tcPr>
          <w:p w14:paraId="51DC570A">
            <w:pPr>
              <w:jc w:val="center"/>
              <w:rPr>
                <w:rFonts w:hint="eastAsia" w:ascii="宋体" w:hAnsi="宋体"/>
                <w:szCs w:val="21"/>
                <w:highlight w:val="none"/>
              </w:rPr>
            </w:pPr>
          </w:p>
        </w:tc>
        <w:tc>
          <w:tcPr>
            <w:tcW w:w="1063" w:type="dxa"/>
            <w:noWrap w:val="0"/>
            <w:vAlign w:val="center"/>
          </w:tcPr>
          <w:p w14:paraId="5B237EF1">
            <w:pPr>
              <w:jc w:val="center"/>
              <w:rPr>
                <w:rFonts w:hint="eastAsia" w:ascii="宋体" w:hAnsi="宋体"/>
                <w:szCs w:val="21"/>
                <w:highlight w:val="none"/>
              </w:rPr>
            </w:pPr>
          </w:p>
        </w:tc>
        <w:tc>
          <w:tcPr>
            <w:tcW w:w="1063" w:type="dxa"/>
            <w:noWrap w:val="0"/>
            <w:vAlign w:val="center"/>
          </w:tcPr>
          <w:p w14:paraId="7F7CA3B0">
            <w:pPr>
              <w:jc w:val="center"/>
              <w:rPr>
                <w:rFonts w:hint="eastAsia" w:ascii="宋体" w:hAnsi="宋体"/>
                <w:szCs w:val="21"/>
                <w:highlight w:val="none"/>
              </w:rPr>
            </w:pPr>
          </w:p>
        </w:tc>
        <w:tc>
          <w:tcPr>
            <w:tcW w:w="1063" w:type="dxa"/>
            <w:noWrap w:val="0"/>
            <w:vAlign w:val="center"/>
          </w:tcPr>
          <w:p w14:paraId="689F6727">
            <w:pPr>
              <w:jc w:val="center"/>
              <w:rPr>
                <w:rFonts w:hint="eastAsia" w:ascii="宋体" w:hAnsi="宋体"/>
                <w:szCs w:val="21"/>
                <w:highlight w:val="none"/>
              </w:rPr>
            </w:pPr>
          </w:p>
        </w:tc>
        <w:tc>
          <w:tcPr>
            <w:tcW w:w="1063" w:type="dxa"/>
            <w:noWrap w:val="0"/>
            <w:vAlign w:val="center"/>
          </w:tcPr>
          <w:p w14:paraId="128B6842">
            <w:pPr>
              <w:jc w:val="center"/>
              <w:rPr>
                <w:rFonts w:hint="eastAsia" w:ascii="宋体" w:hAnsi="宋体"/>
                <w:szCs w:val="21"/>
                <w:highlight w:val="none"/>
              </w:rPr>
            </w:pPr>
          </w:p>
        </w:tc>
      </w:tr>
      <w:tr w14:paraId="0386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5D403561">
            <w:pPr>
              <w:jc w:val="center"/>
              <w:rPr>
                <w:rFonts w:hint="eastAsia" w:ascii="宋体" w:hAnsi="宋体"/>
                <w:szCs w:val="21"/>
                <w:highlight w:val="none"/>
              </w:rPr>
            </w:pPr>
          </w:p>
        </w:tc>
        <w:tc>
          <w:tcPr>
            <w:tcW w:w="1418" w:type="dxa"/>
            <w:noWrap w:val="0"/>
            <w:vAlign w:val="center"/>
          </w:tcPr>
          <w:p w14:paraId="743D7960">
            <w:pPr>
              <w:jc w:val="center"/>
              <w:rPr>
                <w:rFonts w:hint="eastAsia" w:ascii="宋体" w:hAnsi="宋体"/>
                <w:szCs w:val="21"/>
                <w:highlight w:val="none"/>
              </w:rPr>
            </w:pPr>
          </w:p>
        </w:tc>
        <w:tc>
          <w:tcPr>
            <w:tcW w:w="1063" w:type="dxa"/>
            <w:noWrap w:val="0"/>
            <w:vAlign w:val="center"/>
          </w:tcPr>
          <w:p w14:paraId="182A06AB">
            <w:pPr>
              <w:jc w:val="center"/>
              <w:rPr>
                <w:rFonts w:hint="eastAsia" w:ascii="宋体" w:hAnsi="宋体"/>
                <w:szCs w:val="21"/>
                <w:highlight w:val="none"/>
              </w:rPr>
            </w:pPr>
          </w:p>
        </w:tc>
        <w:tc>
          <w:tcPr>
            <w:tcW w:w="1063" w:type="dxa"/>
            <w:noWrap w:val="0"/>
            <w:vAlign w:val="center"/>
          </w:tcPr>
          <w:p w14:paraId="2D60BB93">
            <w:pPr>
              <w:jc w:val="center"/>
              <w:rPr>
                <w:rFonts w:hint="eastAsia" w:ascii="宋体" w:hAnsi="宋体"/>
                <w:szCs w:val="21"/>
                <w:highlight w:val="none"/>
              </w:rPr>
            </w:pPr>
          </w:p>
        </w:tc>
        <w:tc>
          <w:tcPr>
            <w:tcW w:w="1063" w:type="dxa"/>
            <w:noWrap w:val="0"/>
            <w:vAlign w:val="center"/>
          </w:tcPr>
          <w:p w14:paraId="20FBA45D">
            <w:pPr>
              <w:jc w:val="center"/>
              <w:rPr>
                <w:rFonts w:hint="eastAsia" w:ascii="宋体" w:hAnsi="宋体"/>
                <w:szCs w:val="21"/>
                <w:highlight w:val="none"/>
              </w:rPr>
            </w:pPr>
          </w:p>
        </w:tc>
        <w:tc>
          <w:tcPr>
            <w:tcW w:w="1063" w:type="dxa"/>
            <w:noWrap w:val="0"/>
            <w:vAlign w:val="center"/>
          </w:tcPr>
          <w:p w14:paraId="4D5E41E3">
            <w:pPr>
              <w:jc w:val="center"/>
              <w:rPr>
                <w:rFonts w:hint="eastAsia" w:ascii="宋体" w:hAnsi="宋体"/>
                <w:szCs w:val="21"/>
                <w:highlight w:val="none"/>
              </w:rPr>
            </w:pPr>
          </w:p>
        </w:tc>
        <w:tc>
          <w:tcPr>
            <w:tcW w:w="1063" w:type="dxa"/>
            <w:noWrap w:val="0"/>
            <w:vAlign w:val="center"/>
          </w:tcPr>
          <w:p w14:paraId="01ECB36C">
            <w:pPr>
              <w:jc w:val="center"/>
              <w:rPr>
                <w:rFonts w:hint="eastAsia" w:ascii="宋体" w:hAnsi="宋体"/>
                <w:szCs w:val="21"/>
                <w:highlight w:val="none"/>
              </w:rPr>
            </w:pPr>
          </w:p>
        </w:tc>
        <w:tc>
          <w:tcPr>
            <w:tcW w:w="1063" w:type="dxa"/>
            <w:noWrap w:val="0"/>
            <w:vAlign w:val="center"/>
          </w:tcPr>
          <w:p w14:paraId="54EFB9E9">
            <w:pPr>
              <w:jc w:val="center"/>
              <w:rPr>
                <w:rFonts w:hint="eastAsia" w:ascii="宋体" w:hAnsi="宋体"/>
                <w:szCs w:val="21"/>
                <w:highlight w:val="none"/>
              </w:rPr>
            </w:pPr>
          </w:p>
        </w:tc>
      </w:tr>
      <w:tr w14:paraId="6E3A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58966E9D">
            <w:pPr>
              <w:jc w:val="center"/>
              <w:rPr>
                <w:rFonts w:hint="eastAsia" w:ascii="宋体" w:hAnsi="宋体"/>
                <w:szCs w:val="21"/>
                <w:highlight w:val="none"/>
              </w:rPr>
            </w:pPr>
          </w:p>
        </w:tc>
        <w:tc>
          <w:tcPr>
            <w:tcW w:w="1418" w:type="dxa"/>
            <w:noWrap w:val="0"/>
            <w:vAlign w:val="center"/>
          </w:tcPr>
          <w:p w14:paraId="76A3F0D9">
            <w:pPr>
              <w:jc w:val="center"/>
              <w:rPr>
                <w:rFonts w:hint="eastAsia" w:ascii="宋体" w:hAnsi="宋体"/>
                <w:szCs w:val="21"/>
                <w:highlight w:val="none"/>
              </w:rPr>
            </w:pPr>
          </w:p>
        </w:tc>
        <w:tc>
          <w:tcPr>
            <w:tcW w:w="1063" w:type="dxa"/>
            <w:noWrap w:val="0"/>
            <w:vAlign w:val="center"/>
          </w:tcPr>
          <w:p w14:paraId="27422412">
            <w:pPr>
              <w:jc w:val="center"/>
              <w:rPr>
                <w:rFonts w:hint="eastAsia" w:ascii="宋体" w:hAnsi="宋体"/>
                <w:szCs w:val="21"/>
                <w:highlight w:val="none"/>
              </w:rPr>
            </w:pPr>
          </w:p>
        </w:tc>
        <w:tc>
          <w:tcPr>
            <w:tcW w:w="1063" w:type="dxa"/>
            <w:noWrap w:val="0"/>
            <w:vAlign w:val="center"/>
          </w:tcPr>
          <w:p w14:paraId="58CE1212">
            <w:pPr>
              <w:jc w:val="center"/>
              <w:rPr>
                <w:rFonts w:hint="eastAsia" w:ascii="宋体" w:hAnsi="宋体"/>
                <w:szCs w:val="21"/>
                <w:highlight w:val="none"/>
              </w:rPr>
            </w:pPr>
          </w:p>
        </w:tc>
        <w:tc>
          <w:tcPr>
            <w:tcW w:w="1063" w:type="dxa"/>
            <w:noWrap w:val="0"/>
            <w:vAlign w:val="center"/>
          </w:tcPr>
          <w:p w14:paraId="2CB45031">
            <w:pPr>
              <w:jc w:val="center"/>
              <w:rPr>
                <w:rFonts w:hint="eastAsia" w:ascii="宋体" w:hAnsi="宋体"/>
                <w:szCs w:val="21"/>
                <w:highlight w:val="none"/>
              </w:rPr>
            </w:pPr>
          </w:p>
        </w:tc>
        <w:tc>
          <w:tcPr>
            <w:tcW w:w="1063" w:type="dxa"/>
            <w:noWrap w:val="0"/>
            <w:vAlign w:val="center"/>
          </w:tcPr>
          <w:p w14:paraId="5F200F99">
            <w:pPr>
              <w:jc w:val="center"/>
              <w:rPr>
                <w:rFonts w:hint="eastAsia" w:ascii="宋体" w:hAnsi="宋体"/>
                <w:szCs w:val="21"/>
                <w:highlight w:val="none"/>
              </w:rPr>
            </w:pPr>
          </w:p>
        </w:tc>
        <w:tc>
          <w:tcPr>
            <w:tcW w:w="1063" w:type="dxa"/>
            <w:noWrap w:val="0"/>
            <w:vAlign w:val="center"/>
          </w:tcPr>
          <w:p w14:paraId="4D70BAEF">
            <w:pPr>
              <w:jc w:val="center"/>
              <w:rPr>
                <w:rFonts w:hint="eastAsia" w:ascii="宋体" w:hAnsi="宋体"/>
                <w:szCs w:val="21"/>
                <w:highlight w:val="none"/>
              </w:rPr>
            </w:pPr>
          </w:p>
        </w:tc>
        <w:tc>
          <w:tcPr>
            <w:tcW w:w="1063" w:type="dxa"/>
            <w:noWrap w:val="0"/>
            <w:vAlign w:val="center"/>
          </w:tcPr>
          <w:p w14:paraId="638B40A1">
            <w:pPr>
              <w:jc w:val="center"/>
              <w:rPr>
                <w:rFonts w:hint="eastAsia" w:ascii="宋体" w:hAnsi="宋体"/>
                <w:szCs w:val="21"/>
                <w:highlight w:val="none"/>
              </w:rPr>
            </w:pPr>
          </w:p>
        </w:tc>
      </w:tr>
      <w:tr w14:paraId="6B69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06C605BF">
            <w:pPr>
              <w:jc w:val="center"/>
              <w:rPr>
                <w:rFonts w:hint="eastAsia" w:ascii="宋体" w:hAnsi="宋体"/>
                <w:szCs w:val="21"/>
                <w:highlight w:val="none"/>
              </w:rPr>
            </w:pPr>
          </w:p>
        </w:tc>
        <w:tc>
          <w:tcPr>
            <w:tcW w:w="1418" w:type="dxa"/>
            <w:noWrap w:val="0"/>
            <w:vAlign w:val="center"/>
          </w:tcPr>
          <w:p w14:paraId="38A9B541">
            <w:pPr>
              <w:jc w:val="center"/>
              <w:rPr>
                <w:rFonts w:hint="eastAsia" w:ascii="宋体" w:hAnsi="宋体"/>
                <w:szCs w:val="21"/>
                <w:highlight w:val="none"/>
              </w:rPr>
            </w:pPr>
          </w:p>
        </w:tc>
        <w:tc>
          <w:tcPr>
            <w:tcW w:w="1063" w:type="dxa"/>
            <w:noWrap w:val="0"/>
            <w:vAlign w:val="center"/>
          </w:tcPr>
          <w:p w14:paraId="44B967FA">
            <w:pPr>
              <w:jc w:val="center"/>
              <w:rPr>
                <w:rFonts w:hint="eastAsia" w:ascii="宋体" w:hAnsi="宋体"/>
                <w:szCs w:val="21"/>
                <w:highlight w:val="none"/>
              </w:rPr>
            </w:pPr>
          </w:p>
        </w:tc>
        <w:tc>
          <w:tcPr>
            <w:tcW w:w="1063" w:type="dxa"/>
            <w:noWrap w:val="0"/>
            <w:vAlign w:val="center"/>
          </w:tcPr>
          <w:p w14:paraId="73F81AA6">
            <w:pPr>
              <w:jc w:val="center"/>
              <w:rPr>
                <w:rFonts w:hint="eastAsia" w:ascii="宋体" w:hAnsi="宋体"/>
                <w:szCs w:val="21"/>
                <w:highlight w:val="none"/>
              </w:rPr>
            </w:pPr>
          </w:p>
        </w:tc>
        <w:tc>
          <w:tcPr>
            <w:tcW w:w="1063" w:type="dxa"/>
            <w:noWrap w:val="0"/>
            <w:vAlign w:val="center"/>
          </w:tcPr>
          <w:p w14:paraId="4CA0B097">
            <w:pPr>
              <w:jc w:val="center"/>
              <w:rPr>
                <w:rFonts w:hint="eastAsia" w:ascii="宋体" w:hAnsi="宋体"/>
                <w:szCs w:val="21"/>
                <w:highlight w:val="none"/>
              </w:rPr>
            </w:pPr>
          </w:p>
        </w:tc>
        <w:tc>
          <w:tcPr>
            <w:tcW w:w="1063" w:type="dxa"/>
            <w:noWrap w:val="0"/>
            <w:vAlign w:val="center"/>
          </w:tcPr>
          <w:p w14:paraId="1EA49FE3">
            <w:pPr>
              <w:jc w:val="center"/>
              <w:rPr>
                <w:rFonts w:hint="eastAsia" w:ascii="宋体" w:hAnsi="宋体"/>
                <w:szCs w:val="21"/>
                <w:highlight w:val="none"/>
              </w:rPr>
            </w:pPr>
          </w:p>
        </w:tc>
        <w:tc>
          <w:tcPr>
            <w:tcW w:w="1063" w:type="dxa"/>
            <w:noWrap w:val="0"/>
            <w:vAlign w:val="center"/>
          </w:tcPr>
          <w:p w14:paraId="0896AC77">
            <w:pPr>
              <w:jc w:val="center"/>
              <w:rPr>
                <w:rFonts w:hint="eastAsia" w:ascii="宋体" w:hAnsi="宋体"/>
                <w:szCs w:val="21"/>
                <w:highlight w:val="none"/>
              </w:rPr>
            </w:pPr>
          </w:p>
        </w:tc>
        <w:tc>
          <w:tcPr>
            <w:tcW w:w="1063" w:type="dxa"/>
            <w:noWrap w:val="0"/>
            <w:vAlign w:val="center"/>
          </w:tcPr>
          <w:p w14:paraId="6AF99B02">
            <w:pPr>
              <w:jc w:val="center"/>
              <w:rPr>
                <w:rFonts w:hint="eastAsia" w:ascii="宋体" w:hAnsi="宋体"/>
                <w:szCs w:val="21"/>
                <w:highlight w:val="none"/>
              </w:rPr>
            </w:pPr>
          </w:p>
        </w:tc>
      </w:tr>
      <w:tr w14:paraId="322E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27A340CB">
            <w:pPr>
              <w:jc w:val="center"/>
              <w:rPr>
                <w:rFonts w:hint="eastAsia" w:ascii="宋体" w:hAnsi="宋体"/>
                <w:szCs w:val="21"/>
                <w:highlight w:val="none"/>
              </w:rPr>
            </w:pPr>
          </w:p>
        </w:tc>
        <w:tc>
          <w:tcPr>
            <w:tcW w:w="1418" w:type="dxa"/>
            <w:noWrap w:val="0"/>
            <w:vAlign w:val="center"/>
          </w:tcPr>
          <w:p w14:paraId="5C69BE88">
            <w:pPr>
              <w:jc w:val="center"/>
              <w:rPr>
                <w:rFonts w:hint="eastAsia" w:ascii="宋体" w:hAnsi="宋体"/>
                <w:szCs w:val="21"/>
                <w:highlight w:val="none"/>
              </w:rPr>
            </w:pPr>
          </w:p>
        </w:tc>
        <w:tc>
          <w:tcPr>
            <w:tcW w:w="1063" w:type="dxa"/>
            <w:noWrap w:val="0"/>
            <w:vAlign w:val="center"/>
          </w:tcPr>
          <w:p w14:paraId="5762CE9F">
            <w:pPr>
              <w:jc w:val="center"/>
              <w:rPr>
                <w:rFonts w:hint="eastAsia" w:ascii="宋体" w:hAnsi="宋体"/>
                <w:szCs w:val="21"/>
                <w:highlight w:val="none"/>
              </w:rPr>
            </w:pPr>
          </w:p>
        </w:tc>
        <w:tc>
          <w:tcPr>
            <w:tcW w:w="1063" w:type="dxa"/>
            <w:noWrap w:val="0"/>
            <w:vAlign w:val="center"/>
          </w:tcPr>
          <w:p w14:paraId="6B1AC196">
            <w:pPr>
              <w:jc w:val="center"/>
              <w:rPr>
                <w:rFonts w:hint="eastAsia" w:ascii="宋体" w:hAnsi="宋体"/>
                <w:szCs w:val="21"/>
                <w:highlight w:val="none"/>
              </w:rPr>
            </w:pPr>
          </w:p>
        </w:tc>
        <w:tc>
          <w:tcPr>
            <w:tcW w:w="1063" w:type="dxa"/>
            <w:noWrap w:val="0"/>
            <w:vAlign w:val="center"/>
          </w:tcPr>
          <w:p w14:paraId="6D27DA16">
            <w:pPr>
              <w:jc w:val="center"/>
              <w:rPr>
                <w:rFonts w:hint="eastAsia" w:ascii="宋体" w:hAnsi="宋体"/>
                <w:szCs w:val="21"/>
                <w:highlight w:val="none"/>
              </w:rPr>
            </w:pPr>
          </w:p>
        </w:tc>
        <w:tc>
          <w:tcPr>
            <w:tcW w:w="1063" w:type="dxa"/>
            <w:noWrap w:val="0"/>
            <w:vAlign w:val="center"/>
          </w:tcPr>
          <w:p w14:paraId="090C6C50">
            <w:pPr>
              <w:jc w:val="center"/>
              <w:rPr>
                <w:rFonts w:hint="eastAsia" w:ascii="宋体" w:hAnsi="宋体"/>
                <w:szCs w:val="21"/>
                <w:highlight w:val="none"/>
              </w:rPr>
            </w:pPr>
          </w:p>
        </w:tc>
        <w:tc>
          <w:tcPr>
            <w:tcW w:w="1063" w:type="dxa"/>
            <w:noWrap w:val="0"/>
            <w:vAlign w:val="center"/>
          </w:tcPr>
          <w:p w14:paraId="264285CA">
            <w:pPr>
              <w:jc w:val="center"/>
              <w:rPr>
                <w:rFonts w:hint="eastAsia" w:ascii="宋体" w:hAnsi="宋体"/>
                <w:szCs w:val="21"/>
                <w:highlight w:val="none"/>
              </w:rPr>
            </w:pPr>
          </w:p>
        </w:tc>
        <w:tc>
          <w:tcPr>
            <w:tcW w:w="1063" w:type="dxa"/>
            <w:noWrap w:val="0"/>
            <w:vAlign w:val="center"/>
          </w:tcPr>
          <w:p w14:paraId="18990A29">
            <w:pPr>
              <w:jc w:val="center"/>
              <w:rPr>
                <w:rFonts w:hint="eastAsia" w:ascii="宋体" w:hAnsi="宋体"/>
                <w:szCs w:val="21"/>
                <w:highlight w:val="none"/>
              </w:rPr>
            </w:pPr>
          </w:p>
        </w:tc>
      </w:tr>
      <w:tr w14:paraId="7C8B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noWrap w:val="0"/>
            <w:vAlign w:val="center"/>
          </w:tcPr>
          <w:p w14:paraId="1FD46336">
            <w:pPr>
              <w:jc w:val="center"/>
              <w:rPr>
                <w:rFonts w:hint="eastAsia" w:ascii="宋体" w:hAnsi="宋体"/>
                <w:szCs w:val="21"/>
                <w:highlight w:val="none"/>
              </w:rPr>
            </w:pPr>
          </w:p>
        </w:tc>
        <w:tc>
          <w:tcPr>
            <w:tcW w:w="1418" w:type="dxa"/>
            <w:noWrap w:val="0"/>
            <w:vAlign w:val="center"/>
          </w:tcPr>
          <w:p w14:paraId="6C5A3E2E">
            <w:pPr>
              <w:jc w:val="center"/>
              <w:rPr>
                <w:rFonts w:hint="eastAsia" w:ascii="宋体" w:hAnsi="宋体"/>
                <w:szCs w:val="21"/>
                <w:highlight w:val="none"/>
              </w:rPr>
            </w:pPr>
          </w:p>
        </w:tc>
        <w:tc>
          <w:tcPr>
            <w:tcW w:w="1063" w:type="dxa"/>
            <w:noWrap w:val="0"/>
            <w:vAlign w:val="center"/>
          </w:tcPr>
          <w:p w14:paraId="114580C5">
            <w:pPr>
              <w:jc w:val="center"/>
              <w:rPr>
                <w:rFonts w:hint="eastAsia" w:ascii="宋体" w:hAnsi="宋体"/>
                <w:szCs w:val="21"/>
                <w:highlight w:val="none"/>
              </w:rPr>
            </w:pPr>
          </w:p>
        </w:tc>
        <w:tc>
          <w:tcPr>
            <w:tcW w:w="1063" w:type="dxa"/>
            <w:noWrap w:val="0"/>
            <w:vAlign w:val="center"/>
          </w:tcPr>
          <w:p w14:paraId="0337EA30">
            <w:pPr>
              <w:jc w:val="center"/>
              <w:rPr>
                <w:rFonts w:hint="eastAsia" w:ascii="宋体" w:hAnsi="宋体"/>
                <w:szCs w:val="21"/>
                <w:highlight w:val="none"/>
              </w:rPr>
            </w:pPr>
          </w:p>
        </w:tc>
        <w:tc>
          <w:tcPr>
            <w:tcW w:w="1063" w:type="dxa"/>
            <w:noWrap w:val="0"/>
            <w:vAlign w:val="center"/>
          </w:tcPr>
          <w:p w14:paraId="7343517B">
            <w:pPr>
              <w:jc w:val="center"/>
              <w:rPr>
                <w:rFonts w:hint="eastAsia" w:ascii="宋体" w:hAnsi="宋体"/>
                <w:szCs w:val="21"/>
                <w:highlight w:val="none"/>
              </w:rPr>
            </w:pPr>
          </w:p>
        </w:tc>
        <w:tc>
          <w:tcPr>
            <w:tcW w:w="1063" w:type="dxa"/>
            <w:noWrap w:val="0"/>
            <w:vAlign w:val="center"/>
          </w:tcPr>
          <w:p w14:paraId="7DFCD498">
            <w:pPr>
              <w:jc w:val="center"/>
              <w:rPr>
                <w:rFonts w:hint="eastAsia" w:ascii="宋体" w:hAnsi="宋体"/>
                <w:szCs w:val="21"/>
                <w:highlight w:val="none"/>
              </w:rPr>
            </w:pPr>
          </w:p>
        </w:tc>
        <w:tc>
          <w:tcPr>
            <w:tcW w:w="1063" w:type="dxa"/>
            <w:noWrap w:val="0"/>
            <w:vAlign w:val="center"/>
          </w:tcPr>
          <w:p w14:paraId="3C1313B3">
            <w:pPr>
              <w:jc w:val="center"/>
              <w:rPr>
                <w:rFonts w:hint="eastAsia" w:ascii="宋体" w:hAnsi="宋体"/>
                <w:szCs w:val="21"/>
                <w:highlight w:val="none"/>
              </w:rPr>
            </w:pPr>
          </w:p>
        </w:tc>
        <w:tc>
          <w:tcPr>
            <w:tcW w:w="1063" w:type="dxa"/>
            <w:noWrap w:val="0"/>
            <w:vAlign w:val="center"/>
          </w:tcPr>
          <w:p w14:paraId="7E6BB1F5">
            <w:pPr>
              <w:jc w:val="center"/>
              <w:rPr>
                <w:rFonts w:hint="eastAsia" w:ascii="宋体" w:hAnsi="宋体"/>
                <w:szCs w:val="21"/>
                <w:highlight w:val="none"/>
              </w:rPr>
            </w:pPr>
          </w:p>
        </w:tc>
      </w:tr>
    </w:tbl>
    <w:p w14:paraId="5CB8FFAD">
      <w:pPr>
        <w:spacing w:line="420" w:lineRule="exact"/>
        <w:rPr>
          <w:rFonts w:ascii="宋体" w:hAnsi="宋体"/>
          <w:szCs w:val="21"/>
          <w:highlight w:val="none"/>
        </w:rPr>
      </w:pPr>
    </w:p>
    <w:p w14:paraId="0C7A2B8D">
      <w:pPr>
        <w:spacing w:before="156" w:beforeLines="50" w:after="312" w:afterLines="100" w:line="420" w:lineRule="exact"/>
        <w:rPr>
          <w:rFonts w:hint="eastAsia" w:ascii="宋体" w:hAnsi="宋体" w:eastAsia="宋体"/>
          <w:sz w:val="24"/>
          <w:highlight w:val="none"/>
          <w:lang w:eastAsia="zh-CN"/>
        </w:rPr>
      </w:pPr>
      <w:r>
        <w:rPr>
          <w:rFonts w:ascii="宋体" w:hAnsi="宋体"/>
          <w:szCs w:val="21"/>
          <w:highlight w:val="none"/>
        </w:rPr>
        <w:br w:type="page"/>
      </w:r>
      <w:r>
        <w:rPr>
          <w:rFonts w:hint="eastAsia" w:ascii="宋体" w:hAnsi="宋体"/>
          <w:b/>
          <w:bCs/>
          <w:sz w:val="24"/>
          <w:szCs w:val="24"/>
          <w:highlight w:val="none"/>
        </w:rPr>
        <w:t>附表四：计划开、竣工日期和施工进度网络图</w:t>
      </w:r>
      <w:r>
        <w:rPr>
          <w:rFonts w:hint="eastAsia" w:ascii="宋体" w:hAnsi="宋体"/>
          <w:b/>
          <w:bCs/>
          <w:sz w:val="24"/>
          <w:szCs w:val="24"/>
          <w:highlight w:val="none"/>
          <w:lang w:eastAsia="zh-CN"/>
        </w:rPr>
        <w:t>和</w:t>
      </w:r>
      <w:r>
        <w:rPr>
          <w:rFonts w:hint="eastAsia" w:ascii="宋体" w:hAnsi="宋体"/>
          <w:b/>
          <w:bCs/>
          <w:sz w:val="24"/>
          <w:szCs w:val="24"/>
          <w:highlight w:val="none"/>
        </w:rPr>
        <w:t>（或）横道图</w:t>
      </w:r>
    </w:p>
    <w:p w14:paraId="05BA66E6">
      <w:pPr>
        <w:spacing w:line="420" w:lineRule="exact"/>
        <w:ind w:firstLine="480" w:firstLineChars="200"/>
        <w:rPr>
          <w:rFonts w:hint="eastAsia" w:ascii="宋体" w:hAnsi="宋体"/>
          <w:sz w:val="24"/>
          <w:szCs w:val="24"/>
          <w:highlight w:val="none"/>
        </w:rPr>
      </w:pPr>
      <w:r>
        <w:rPr>
          <w:rFonts w:hint="eastAsia" w:ascii="宋体" w:hAnsi="宋体"/>
          <w:sz w:val="24"/>
          <w:szCs w:val="24"/>
          <w:highlight w:val="none"/>
        </w:rPr>
        <w:t>1．</w:t>
      </w:r>
      <w:r>
        <w:rPr>
          <w:rFonts w:hint="eastAsia"/>
          <w:sz w:val="24"/>
          <w:szCs w:val="24"/>
          <w:highlight w:val="none"/>
          <w:lang w:eastAsia="zh-CN"/>
        </w:rPr>
        <w:t>供应商</w:t>
      </w:r>
      <w:r>
        <w:rPr>
          <w:rFonts w:hint="eastAsia" w:ascii="宋体" w:hAnsi="宋体"/>
          <w:sz w:val="24"/>
          <w:szCs w:val="24"/>
          <w:highlight w:val="none"/>
        </w:rPr>
        <w:t>应递交施工进度网络图或施工进度表，说明按</w:t>
      </w:r>
      <w:r>
        <w:rPr>
          <w:rFonts w:hint="eastAsia"/>
          <w:sz w:val="24"/>
          <w:szCs w:val="24"/>
          <w:highlight w:val="none"/>
          <w:lang w:eastAsia="zh-CN"/>
        </w:rPr>
        <w:t>竞争性磋商文件</w:t>
      </w:r>
      <w:r>
        <w:rPr>
          <w:rFonts w:hint="eastAsia" w:ascii="宋体" w:hAnsi="宋体"/>
          <w:sz w:val="24"/>
          <w:szCs w:val="24"/>
          <w:highlight w:val="none"/>
        </w:rPr>
        <w:t>要求的计划工期进行施工的各个关键日期。</w:t>
      </w:r>
    </w:p>
    <w:p w14:paraId="146E7A33">
      <w:pPr>
        <w:spacing w:line="420" w:lineRule="exact"/>
        <w:ind w:firstLine="480" w:firstLineChars="200"/>
        <w:rPr>
          <w:rFonts w:hint="eastAsia" w:ascii="宋体" w:hAnsi="宋体"/>
          <w:sz w:val="24"/>
          <w:szCs w:val="24"/>
          <w:highlight w:val="none"/>
        </w:rPr>
      </w:pPr>
      <w:r>
        <w:rPr>
          <w:rFonts w:hint="eastAsia" w:ascii="宋体" w:hAnsi="宋体"/>
          <w:sz w:val="24"/>
          <w:szCs w:val="24"/>
          <w:highlight w:val="none"/>
        </w:rPr>
        <w:t>2．施工进度表可采用网络图和（或）横道图表示。</w:t>
      </w:r>
    </w:p>
    <w:p w14:paraId="2AE257E2">
      <w:pPr>
        <w:spacing w:before="156" w:beforeLines="50" w:after="312" w:afterLines="100" w:line="420" w:lineRule="exact"/>
        <w:rPr>
          <w:rFonts w:hint="eastAsia" w:ascii="宋体" w:hAnsi="宋体"/>
          <w:sz w:val="24"/>
          <w:szCs w:val="24"/>
          <w:highlight w:val="none"/>
        </w:rPr>
      </w:pPr>
      <w:r>
        <w:rPr>
          <w:rFonts w:ascii="宋体" w:hAnsi="宋体"/>
          <w:szCs w:val="21"/>
          <w:highlight w:val="none"/>
        </w:rPr>
        <w:br w:type="page"/>
      </w:r>
      <w:r>
        <w:rPr>
          <w:rFonts w:hint="eastAsia" w:ascii="宋体" w:hAnsi="宋体"/>
          <w:b/>
          <w:bCs/>
          <w:sz w:val="24"/>
          <w:szCs w:val="24"/>
          <w:highlight w:val="none"/>
        </w:rPr>
        <w:t>附表五：施工总平面图</w:t>
      </w:r>
    </w:p>
    <w:p w14:paraId="04FE3F9C">
      <w:pPr>
        <w:spacing w:line="420" w:lineRule="exact"/>
        <w:ind w:firstLine="480" w:firstLineChars="200"/>
        <w:rPr>
          <w:rFonts w:hint="eastAsia" w:ascii="宋体" w:hAnsi="宋体"/>
          <w:sz w:val="24"/>
          <w:szCs w:val="24"/>
          <w:highlight w:val="none"/>
        </w:rPr>
      </w:pPr>
      <w:r>
        <w:rPr>
          <w:rFonts w:hint="eastAsia"/>
          <w:sz w:val="24"/>
          <w:szCs w:val="24"/>
          <w:highlight w:val="none"/>
          <w:lang w:eastAsia="zh-CN"/>
        </w:rPr>
        <w:t>供应商</w:t>
      </w:r>
      <w:r>
        <w:rPr>
          <w:rFonts w:hint="eastAsia" w:ascii="宋体" w:hAnsi="宋体"/>
          <w:sz w:val="24"/>
          <w:szCs w:val="24"/>
          <w:highlight w:val="none"/>
        </w:rPr>
        <w:t>应递交一份施工总平面图，绘出现场临时设施布置图表并附文字说明，说明临时设施、加工车间、现场办公、设备及仓储、供电、供水、卫生、生活、道路、消防等设施的情况和布置。</w:t>
      </w:r>
    </w:p>
    <w:p w14:paraId="11D3BCBA">
      <w:pPr>
        <w:pStyle w:val="3"/>
        <w:numPr>
          <w:ilvl w:val="0"/>
          <w:numId w:val="18"/>
        </w:numPr>
        <w:bidi w:val="0"/>
        <w:rPr>
          <w:rFonts w:hint="eastAsia" w:ascii="宋体" w:hAnsi="宋体" w:eastAsia="宋体" w:cs="Times New Roman"/>
          <w:bCs w:val="0"/>
          <w:color w:val="auto"/>
          <w:szCs w:val="24"/>
          <w:highlight w:val="none"/>
          <w:lang w:val="zh-CN" w:eastAsia="zh-CN"/>
        </w:rPr>
      </w:pPr>
      <w:r>
        <w:rPr>
          <w:rFonts w:ascii="宋体" w:hAnsi="宋体"/>
          <w:szCs w:val="21"/>
          <w:highlight w:val="none"/>
        </w:rPr>
        <w:br w:type="page"/>
      </w:r>
      <w:bookmarkStart w:id="1730" w:name="_Toc8126"/>
      <w:bookmarkStart w:id="1731" w:name="_Toc19669"/>
      <w:r>
        <w:rPr>
          <w:rFonts w:hint="eastAsia" w:ascii="宋体" w:hAnsi="宋体" w:eastAsia="宋体" w:cs="宋体"/>
          <w:bCs/>
          <w:lang w:val="zh-CN" w:eastAsia="zh-CN"/>
        </w:rPr>
        <w:t>项目管理机构</w:t>
      </w:r>
      <w:bookmarkEnd w:id="1730"/>
      <w:bookmarkEnd w:id="1731"/>
    </w:p>
    <w:p w14:paraId="79BD6486">
      <w:pPr>
        <w:pStyle w:val="4"/>
        <w:bidi w:val="0"/>
        <w:jc w:val="center"/>
        <w:rPr>
          <w:rFonts w:hint="eastAsia"/>
          <w:lang w:val="en-US" w:eastAsia="zh-CN"/>
        </w:rPr>
      </w:pPr>
      <w:r>
        <w:rPr>
          <w:rFonts w:hint="eastAsia"/>
        </w:rPr>
        <w:t>（一）项目管理机构组成表</w:t>
      </w:r>
    </w:p>
    <w:p w14:paraId="24437F68">
      <w:pPr>
        <w:spacing w:line="420" w:lineRule="exact"/>
        <w:rPr>
          <w:rFonts w:ascii="宋体" w:hAnsi="宋体"/>
          <w:szCs w:val="21"/>
          <w:highlight w:val="none"/>
        </w:rPr>
      </w:pPr>
    </w:p>
    <w:tbl>
      <w:tblPr>
        <w:tblStyle w:val="48"/>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08"/>
        <w:gridCol w:w="708"/>
        <w:gridCol w:w="853"/>
        <w:gridCol w:w="764"/>
        <w:gridCol w:w="890"/>
        <w:gridCol w:w="790"/>
        <w:gridCol w:w="1780"/>
        <w:gridCol w:w="1070"/>
      </w:tblGrid>
      <w:tr w14:paraId="24BE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Merge w:val="restart"/>
            <w:tcBorders>
              <w:top w:val="single" w:color="auto" w:sz="4" w:space="0"/>
              <w:left w:val="single" w:color="auto" w:sz="4" w:space="0"/>
              <w:bottom w:val="single" w:color="auto" w:sz="4" w:space="0"/>
              <w:right w:val="single" w:color="auto" w:sz="4" w:space="0"/>
            </w:tcBorders>
            <w:noWrap w:val="0"/>
            <w:vAlign w:val="center"/>
          </w:tcPr>
          <w:p w14:paraId="49ABAA00">
            <w:pPr>
              <w:spacing w:line="480" w:lineRule="exact"/>
              <w:jc w:val="center"/>
              <w:textAlignment w:val="center"/>
              <w:rPr>
                <w:rFonts w:ascii="宋体" w:hAnsi="宋体"/>
                <w:sz w:val="24"/>
                <w:szCs w:val="24"/>
              </w:rPr>
            </w:pPr>
            <w:r>
              <w:rPr>
                <w:rFonts w:hint="eastAsia" w:ascii="宋体" w:hAnsi="宋体"/>
                <w:sz w:val="24"/>
                <w:szCs w:val="24"/>
              </w:rPr>
              <w:t>职务</w:t>
            </w:r>
          </w:p>
        </w:tc>
        <w:tc>
          <w:tcPr>
            <w:tcW w:w="708" w:type="dxa"/>
            <w:vMerge w:val="restart"/>
            <w:tcBorders>
              <w:top w:val="single" w:color="auto" w:sz="4" w:space="0"/>
              <w:left w:val="nil"/>
              <w:bottom w:val="single" w:color="auto" w:sz="4" w:space="0"/>
              <w:right w:val="single" w:color="auto" w:sz="4" w:space="0"/>
            </w:tcBorders>
            <w:noWrap w:val="0"/>
            <w:vAlign w:val="center"/>
          </w:tcPr>
          <w:p w14:paraId="55480C53">
            <w:pPr>
              <w:spacing w:line="480" w:lineRule="exact"/>
              <w:jc w:val="center"/>
              <w:textAlignment w:val="center"/>
              <w:rPr>
                <w:rFonts w:ascii="宋体" w:hAnsi="宋体"/>
                <w:sz w:val="24"/>
                <w:szCs w:val="24"/>
              </w:rPr>
            </w:pPr>
            <w:r>
              <w:rPr>
                <w:rFonts w:hint="eastAsia" w:ascii="宋体" w:hAnsi="宋体"/>
                <w:sz w:val="24"/>
                <w:szCs w:val="24"/>
              </w:rPr>
              <w:t>姓名</w:t>
            </w:r>
          </w:p>
        </w:tc>
        <w:tc>
          <w:tcPr>
            <w:tcW w:w="708" w:type="dxa"/>
            <w:vMerge w:val="restart"/>
            <w:tcBorders>
              <w:top w:val="single" w:color="auto" w:sz="4" w:space="0"/>
              <w:left w:val="nil"/>
              <w:bottom w:val="single" w:color="auto" w:sz="4" w:space="0"/>
              <w:right w:val="single" w:color="auto" w:sz="4" w:space="0"/>
            </w:tcBorders>
            <w:noWrap w:val="0"/>
            <w:vAlign w:val="center"/>
          </w:tcPr>
          <w:p w14:paraId="6F05A8E1">
            <w:pPr>
              <w:spacing w:line="480" w:lineRule="exact"/>
              <w:jc w:val="center"/>
              <w:textAlignment w:val="center"/>
              <w:rPr>
                <w:rFonts w:ascii="宋体" w:hAnsi="宋体"/>
                <w:sz w:val="24"/>
                <w:szCs w:val="24"/>
              </w:rPr>
            </w:pPr>
            <w:r>
              <w:rPr>
                <w:rFonts w:hint="eastAsia" w:ascii="宋体" w:hAnsi="宋体"/>
                <w:sz w:val="24"/>
                <w:szCs w:val="24"/>
              </w:rPr>
              <w:t>职称</w:t>
            </w:r>
          </w:p>
        </w:tc>
        <w:tc>
          <w:tcPr>
            <w:tcW w:w="5077" w:type="dxa"/>
            <w:gridSpan w:val="5"/>
            <w:tcBorders>
              <w:top w:val="single" w:color="auto" w:sz="4" w:space="0"/>
              <w:left w:val="nil"/>
              <w:bottom w:val="single" w:color="auto" w:sz="4" w:space="0"/>
              <w:right w:val="single" w:color="auto" w:sz="4" w:space="0"/>
            </w:tcBorders>
            <w:noWrap w:val="0"/>
            <w:vAlign w:val="center"/>
          </w:tcPr>
          <w:p w14:paraId="296A2384">
            <w:pPr>
              <w:spacing w:line="480" w:lineRule="exact"/>
              <w:jc w:val="center"/>
              <w:textAlignment w:val="center"/>
              <w:rPr>
                <w:rFonts w:ascii="宋体" w:hAnsi="宋体"/>
                <w:sz w:val="24"/>
                <w:szCs w:val="24"/>
              </w:rPr>
            </w:pPr>
            <w:r>
              <w:rPr>
                <w:rFonts w:hint="eastAsia" w:ascii="宋体" w:hAnsi="宋体"/>
                <w:sz w:val="24"/>
                <w:szCs w:val="24"/>
              </w:rPr>
              <w:t>执业或职业资格证明</w:t>
            </w:r>
          </w:p>
        </w:tc>
        <w:tc>
          <w:tcPr>
            <w:tcW w:w="1070" w:type="dxa"/>
            <w:vMerge w:val="restart"/>
            <w:tcBorders>
              <w:top w:val="single" w:color="auto" w:sz="4" w:space="0"/>
              <w:left w:val="nil"/>
              <w:bottom w:val="single" w:color="auto" w:sz="4" w:space="0"/>
              <w:right w:val="single" w:color="auto" w:sz="4" w:space="0"/>
            </w:tcBorders>
            <w:noWrap w:val="0"/>
            <w:vAlign w:val="center"/>
          </w:tcPr>
          <w:p w14:paraId="6B7D17FC">
            <w:pPr>
              <w:spacing w:line="480" w:lineRule="exact"/>
              <w:jc w:val="center"/>
              <w:textAlignment w:val="center"/>
              <w:rPr>
                <w:rFonts w:ascii="宋体" w:hAnsi="宋体"/>
                <w:sz w:val="24"/>
                <w:szCs w:val="24"/>
              </w:rPr>
            </w:pPr>
            <w:r>
              <w:rPr>
                <w:rFonts w:hint="eastAsia" w:ascii="宋体" w:hAnsi="宋体"/>
                <w:sz w:val="24"/>
                <w:szCs w:val="24"/>
              </w:rPr>
              <w:t>备注</w:t>
            </w:r>
          </w:p>
        </w:tc>
      </w:tr>
      <w:tr w14:paraId="182E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Merge w:val="continue"/>
            <w:tcBorders>
              <w:top w:val="single" w:color="auto" w:sz="4" w:space="0"/>
              <w:left w:val="single" w:color="auto" w:sz="4" w:space="0"/>
              <w:bottom w:val="single" w:color="auto" w:sz="4" w:space="0"/>
              <w:right w:val="single" w:color="auto" w:sz="4" w:space="0"/>
            </w:tcBorders>
            <w:noWrap w:val="0"/>
            <w:vAlign w:val="center"/>
          </w:tcPr>
          <w:p w14:paraId="4612C082">
            <w:pPr>
              <w:widowControl/>
              <w:jc w:val="left"/>
              <w:rPr>
                <w:rFonts w:ascii="宋体" w:hAnsi="宋体"/>
                <w:sz w:val="24"/>
                <w:szCs w:val="24"/>
              </w:rPr>
            </w:pPr>
          </w:p>
        </w:tc>
        <w:tc>
          <w:tcPr>
            <w:tcW w:w="708" w:type="dxa"/>
            <w:vMerge w:val="continue"/>
            <w:tcBorders>
              <w:top w:val="single" w:color="auto" w:sz="4" w:space="0"/>
              <w:left w:val="nil"/>
              <w:bottom w:val="single" w:color="auto" w:sz="4" w:space="0"/>
              <w:right w:val="single" w:color="auto" w:sz="4" w:space="0"/>
            </w:tcBorders>
            <w:noWrap w:val="0"/>
            <w:vAlign w:val="center"/>
          </w:tcPr>
          <w:p w14:paraId="07C20604">
            <w:pPr>
              <w:widowControl/>
              <w:jc w:val="left"/>
              <w:rPr>
                <w:rFonts w:ascii="宋体" w:hAnsi="宋体"/>
                <w:sz w:val="24"/>
                <w:szCs w:val="24"/>
              </w:rPr>
            </w:pPr>
          </w:p>
        </w:tc>
        <w:tc>
          <w:tcPr>
            <w:tcW w:w="708" w:type="dxa"/>
            <w:vMerge w:val="continue"/>
            <w:tcBorders>
              <w:top w:val="single" w:color="auto" w:sz="4" w:space="0"/>
              <w:left w:val="nil"/>
              <w:bottom w:val="single" w:color="auto" w:sz="4" w:space="0"/>
              <w:right w:val="single" w:color="auto" w:sz="4" w:space="0"/>
            </w:tcBorders>
            <w:noWrap w:val="0"/>
            <w:vAlign w:val="center"/>
          </w:tcPr>
          <w:p w14:paraId="49396F91">
            <w:pPr>
              <w:widowControl/>
              <w:jc w:val="left"/>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1F4E3979">
            <w:pPr>
              <w:spacing w:line="480" w:lineRule="exact"/>
              <w:jc w:val="center"/>
              <w:textAlignment w:val="center"/>
              <w:rPr>
                <w:rFonts w:ascii="宋体" w:hAnsi="宋体"/>
                <w:sz w:val="24"/>
                <w:szCs w:val="24"/>
              </w:rPr>
            </w:pPr>
            <w:r>
              <w:rPr>
                <w:rFonts w:hint="eastAsia" w:ascii="宋体" w:hAnsi="宋体"/>
                <w:sz w:val="24"/>
                <w:szCs w:val="24"/>
              </w:rPr>
              <w:t>证书名称</w:t>
            </w:r>
          </w:p>
        </w:tc>
        <w:tc>
          <w:tcPr>
            <w:tcW w:w="764" w:type="dxa"/>
            <w:tcBorders>
              <w:top w:val="single" w:color="auto" w:sz="4" w:space="0"/>
              <w:left w:val="nil"/>
              <w:bottom w:val="single" w:color="auto" w:sz="4" w:space="0"/>
              <w:right w:val="single" w:color="auto" w:sz="4" w:space="0"/>
            </w:tcBorders>
            <w:noWrap w:val="0"/>
            <w:vAlign w:val="center"/>
          </w:tcPr>
          <w:p w14:paraId="4F3B3B0B">
            <w:pPr>
              <w:spacing w:line="480" w:lineRule="exact"/>
              <w:jc w:val="center"/>
              <w:textAlignment w:val="center"/>
              <w:rPr>
                <w:rFonts w:ascii="宋体" w:hAnsi="宋体"/>
                <w:sz w:val="24"/>
                <w:szCs w:val="24"/>
              </w:rPr>
            </w:pPr>
            <w:r>
              <w:rPr>
                <w:rFonts w:hint="eastAsia" w:ascii="宋体" w:hAnsi="宋体"/>
                <w:sz w:val="24"/>
                <w:szCs w:val="24"/>
              </w:rPr>
              <w:t>级别</w:t>
            </w:r>
          </w:p>
        </w:tc>
        <w:tc>
          <w:tcPr>
            <w:tcW w:w="890" w:type="dxa"/>
            <w:tcBorders>
              <w:top w:val="single" w:color="auto" w:sz="4" w:space="0"/>
              <w:left w:val="nil"/>
              <w:bottom w:val="single" w:color="auto" w:sz="4" w:space="0"/>
              <w:right w:val="single" w:color="auto" w:sz="4" w:space="0"/>
            </w:tcBorders>
            <w:noWrap w:val="0"/>
            <w:vAlign w:val="center"/>
          </w:tcPr>
          <w:p w14:paraId="428EE876">
            <w:pPr>
              <w:spacing w:line="480" w:lineRule="exact"/>
              <w:jc w:val="center"/>
              <w:textAlignment w:val="center"/>
              <w:rPr>
                <w:rFonts w:ascii="宋体" w:hAnsi="宋体"/>
                <w:sz w:val="24"/>
                <w:szCs w:val="24"/>
              </w:rPr>
            </w:pPr>
            <w:r>
              <w:rPr>
                <w:rFonts w:hint="eastAsia" w:ascii="宋体" w:hAnsi="宋体"/>
                <w:sz w:val="24"/>
                <w:szCs w:val="24"/>
              </w:rPr>
              <w:t>证号</w:t>
            </w:r>
          </w:p>
        </w:tc>
        <w:tc>
          <w:tcPr>
            <w:tcW w:w="790" w:type="dxa"/>
            <w:tcBorders>
              <w:top w:val="single" w:color="auto" w:sz="4" w:space="0"/>
              <w:left w:val="nil"/>
              <w:bottom w:val="single" w:color="auto" w:sz="4" w:space="0"/>
              <w:right w:val="single" w:color="auto" w:sz="4" w:space="0"/>
            </w:tcBorders>
            <w:noWrap w:val="0"/>
            <w:vAlign w:val="center"/>
          </w:tcPr>
          <w:p w14:paraId="6000F8D9">
            <w:pPr>
              <w:spacing w:line="480" w:lineRule="exact"/>
              <w:jc w:val="center"/>
              <w:textAlignment w:val="center"/>
              <w:rPr>
                <w:rFonts w:ascii="宋体" w:hAnsi="宋体"/>
                <w:sz w:val="24"/>
                <w:szCs w:val="24"/>
              </w:rPr>
            </w:pPr>
            <w:r>
              <w:rPr>
                <w:rFonts w:hint="eastAsia" w:ascii="宋体" w:hAnsi="宋体"/>
                <w:sz w:val="24"/>
                <w:szCs w:val="24"/>
              </w:rPr>
              <w:t>专业</w:t>
            </w:r>
          </w:p>
        </w:tc>
        <w:tc>
          <w:tcPr>
            <w:tcW w:w="1780" w:type="dxa"/>
            <w:tcBorders>
              <w:top w:val="single" w:color="auto" w:sz="4" w:space="0"/>
              <w:left w:val="nil"/>
              <w:bottom w:val="single" w:color="auto" w:sz="4" w:space="0"/>
              <w:right w:val="single" w:color="auto" w:sz="4" w:space="0"/>
            </w:tcBorders>
            <w:noWrap w:val="0"/>
            <w:vAlign w:val="center"/>
          </w:tcPr>
          <w:p w14:paraId="606230E8">
            <w:pPr>
              <w:spacing w:line="480" w:lineRule="exact"/>
              <w:jc w:val="center"/>
              <w:textAlignment w:val="center"/>
              <w:rPr>
                <w:rFonts w:ascii="宋体" w:hAnsi="宋体"/>
                <w:sz w:val="24"/>
                <w:szCs w:val="24"/>
              </w:rPr>
            </w:pPr>
            <w:r>
              <w:rPr>
                <w:rFonts w:hint="eastAsia" w:ascii="宋体" w:hAnsi="宋体"/>
                <w:sz w:val="24"/>
                <w:szCs w:val="24"/>
              </w:rPr>
              <w:t>养老保险</w:t>
            </w:r>
          </w:p>
          <w:p w14:paraId="20022F52">
            <w:pPr>
              <w:spacing w:line="480" w:lineRule="exact"/>
              <w:jc w:val="center"/>
              <w:textAlignment w:val="center"/>
              <w:rPr>
                <w:rFonts w:ascii="宋体" w:hAnsi="宋体"/>
                <w:sz w:val="24"/>
                <w:szCs w:val="24"/>
              </w:rPr>
            </w:pPr>
            <w:r>
              <w:rPr>
                <w:rFonts w:hint="eastAsia" w:ascii="宋体" w:hAnsi="宋体"/>
                <w:sz w:val="24"/>
                <w:szCs w:val="24"/>
              </w:rPr>
              <w:t>（是否交纳）</w:t>
            </w:r>
          </w:p>
        </w:tc>
        <w:tc>
          <w:tcPr>
            <w:tcW w:w="1070" w:type="dxa"/>
            <w:vMerge w:val="continue"/>
            <w:tcBorders>
              <w:top w:val="single" w:color="auto" w:sz="4" w:space="0"/>
              <w:left w:val="nil"/>
              <w:bottom w:val="single" w:color="auto" w:sz="4" w:space="0"/>
              <w:right w:val="single" w:color="auto" w:sz="4" w:space="0"/>
            </w:tcBorders>
            <w:noWrap w:val="0"/>
            <w:vAlign w:val="center"/>
          </w:tcPr>
          <w:p w14:paraId="48170ACD">
            <w:pPr>
              <w:widowControl/>
              <w:jc w:val="left"/>
              <w:rPr>
                <w:rFonts w:ascii="宋体" w:hAnsi="宋体"/>
                <w:sz w:val="24"/>
                <w:szCs w:val="24"/>
              </w:rPr>
            </w:pPr>
          </w:p>
        </w:tc>
      </w:tr>
      <w:tr w14:paraId="7788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603777A1">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D4FC56A">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F6B6600">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2230EC3C">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187E3834">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15958192">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3F18D968">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46FA893C">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3A050449">
            <w:pPr>
              <w:spacing w:line="480" w:lineRule="exact"/>
              <w:jc w:val="center"/>
              <w:textAlignment w:val="center"/>
              <w:rPr>
                <w:rFonts w:ascii="宋体" w:hAnsi="宋体"/>
                <w:sz w:val="24"/>
                <w:szCs w:val="24"/>
              </w:rPr>
            </w:pPr>
          </w:p>
        </w:tc>
      </w:tr>
      <w:tr w14:paraId="271B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475B4BC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54E127FC">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3C7F9E36">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4DED507A">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23546D43">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5C755ED4">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3943446D">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3B386A74">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25FC879">
            <w:pPr>
              <w:spacing w:line="480" w:lineRule="exact"/>
              <w:jc w:val="center"/>
              <w:textAlignment w:val="center"/>
              <w:rPr>
                <w:rFonts w:ascii="宋体" w:hAnsi="宋体"/>
                <w:sz w:val="24"/>
                <w:szCs w:val="24"/>
              </w:rPr>
            </w:pPr>
          </w:p>
        </w:tc>
      </w:tr>
      <w:tr w14:paraId="30D9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645B4A20">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3F0D94D">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33F6093D">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78030E9A">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3A9060D1">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7F85F30A">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4F5D7E16">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31FEAC31">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4AC91E75">
            <w:pPr>
              <w:spacing w:line="480" w:lineRule="exact"/>
              <w:jc w:val="center"/>
              <w:textAlignment w:val="center"/>
              <w:rPr>
                <w:rFonts w:ascii="宋体" w:hAnsi="宋体"/>
                <w:sz w:val="24"/>
                <w:szCs w:val="24"/>
              </w:rPr>
            </w:pPr>
          </w:p>
        </w:tc>
      </w:tr>
      <w:tr w14:paraId="120C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5D159EFD">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C4AF691">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9894593">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2CBD2003">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6DE16413">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2BF43B79">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07B95BF4">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6377AB00">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0501B2F6">
            <w:pPr>
              <w:spacing w:line="480" w:lineRule="exact"/>
              <w:jc w:val="center"/>
              <w:textAlignment w:val="center"/>
              <w:rPr>
                <w:rFonts w:ascii="宋体" w:hAnsi="宋体"/>
                <w:sz w:val="24"/>
                <w:szCs w:val="24"/>
              </w:rPr>
            </w:pPr>
          </w:p>
        </w:tc>
      </w:tr>
      <w:tr w14:paraId="2F19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366FEE75">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5843E325">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6EEB1E9">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0292D8D1">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31B56E6D">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42911984">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07B53686">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28E50AE3">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00F4BDB2">
            <w:pPr>
              <w:spacing w:line="480" w:lineRule="exact"/>
              <w:jc w:val="center"/>
              <w:textAlignment w:val="center"/>
              <w:rPr>
                <w:rFonts w:ascii="宋体" w:hAnsi="宋体"/>
                <w:sz w:val="24"/>
                <w:szCs w:val="24"/>
              </w:rPr>
            </w:pPr>
          </w:p>
        </w:tc>
      </w:tr>
      <w:tr w14:paraId="3ED0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622BD5A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5EA4D7D0">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64FA20B6">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32118E6A">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0DA9BE7B">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3584424E">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7DE60AC9">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18D42A96">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51F7BB19">
            <w:pPr>
              <w:spacing w:line="480" w:lineRule="exact"/>
              <w:jc w:val="center"/>
              <w:textAlignment w:val="center"/>
              <w:rPr>
                <w:rFonts w:ascii="宋体" w:hAnsi="宋体"/>
                <w:sz w:val="24"/>
                <w:szCs w:val="24"/>
              </w:rPr>
            </w:pPr>
          </w:p>
        </w:tc>
      </w:tr>
      <w:tr w14:paraId="677C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37402E85">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C1F5CFF">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5B868B6B">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32BE3F28">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BFA4DDA">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78C34E7B">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67DCB306">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331733A8">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35B87EBA">
            <w:pPr>
              <w:spacing w:line="480" w:lineRule="exact"/>
              <w:jc w:val="center"/>
              <w:textAlignment w:val="center"/>
              <w:rPr>
                <w:rFonts w:ascii="宋体" w:hAnsi="宋体"/>
                <w:sz w:val="24"/>
                <w:szCs w:val="24"/>
              </w:rPr>
            </w:pPr>
          </w:p>
        </w:tc>
      </w:tr>
      <w:tr w14:paraId="303C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1EEBF7B3">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483BA353">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3C3C8F35">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2F8F9B0F">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2457F67A">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39453A4F">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4BEADC6A">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509125DB">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2C48BF8">
            <w:pPr>
              <w:spacing w:line="480" w:lineRule="exact"/>
              <w:jc w:val="center"/>
              <w:textAlignment w:val="center"/>
              <w:rPr>
                <w:rFonts w:ascii="宋体" w:hAnsi="宋体"/>
                <w:sz w:val="24"/>
                <w:szCs w:val="24"/>
              </w:rPr>
            </w:pPr>
          </w:p>
        </w:tc>
      </w:tr>
      <w:tr w14:paraId="2AC6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77A45D80">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42B4952A">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A06ADD3">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083D6064">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8B06DA7">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3381F480">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5A1BE8BC">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594469D8">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C03ABEC">
            <w:pPr>
              <w:spacing w:line="480" w:lineRule="exact"/>
              <w:jc w:val="center"/>
              <w:textAlignment w:val="center"/>
              <w:rPr>
                <w:rFonts w:ascii="宋体" w:hAnsi="宋体"/>
                <w:sz w:val="24"/>
                <w:szCs w:val="24"/>
              </w:rPr>
            </w:pPr>
          </w:p>
        </w:tc>
      </w:tr>
      <w:tr w14:paraId="14BF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33156780">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DCA3018">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D354766">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4BF105F5">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56C67ABB">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6F74EEFC">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1E887183">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4526BCE5">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59A9FB3C">
            <w:pPr>
              <w:spacing w:line="480" w:lineRule="exact"/>
              <w:jc w:val="center"/>
              <w:textAlignment w:val="center"/>
              <w:rPr>
                <w:rFonts w:ascii="宋体" w:hAnsi="宋体"/>
                <w:sz w:val="24"/>
                <w:szCs w:val="24"/>
              </w:rPr>
            </w:pPr>
          </w:p>
        </w:tc>
      </w:tr>
      <w:tr w14:paraId="1E6F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675D825C">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5BB76DBB">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4FECE9B5">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55CDC203">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AF9E8D3">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04291F72">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06D64AD8">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6085A280">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712B4007">
            <w:pPr>
              <w:spacing w:line="480" w:lineRule="exact"/>
              <w:jc w:val="center"/>
              <w:textAlignment w:val="center"/>
              <w:rPr>
                <w:rFonts w:ascii="宋体" w:hAnsi="宋体"/>
                <w:sz w:val="24"/>
                <w:szCs w:val="24"/>
              </w:rPr>
            </w:pPr>
          </w:p>
        </w:tc>
      </w:tr>
      <w:tr w14:paraId="0F58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6E2961E0">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4D9B6A79">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A39BFF7">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0547E441">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0EB8A398">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7C9162AE">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113E72CC">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136E333B">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1006AB6E">
            <w:pPr>
              <w:spacing w:line="480" w:lineRule="exact"/>
              <w:jc w:val="center"/>
              <w:textAlignment w:val="center"/>
              <w:rPr>
                <w:rFonts w:ascii="宋体" w:hAnsi="宋体"/>
                <w:sz w:val="24"/>
                <w:szCs w:val="24"/>
              </w:rPr>
            </w:pPr>
          </w:p>
        </w:tc>
      </w:tr>
      <w:tr w14:paraId="1FE4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6D3089C9">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5467A3FE">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6FBF405">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279E615A">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713E500E">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5D6308E7">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7B9CA864">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62640450">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312F7547">
            <w:pPr>
              <w:spacing w:line="480" w:lineRule="exact"/>
              <w:jc w:val="center"/>
              <w:textAlignment w:val="center"/>
              <w:rPr>
                <w:rFonts w:ascii="宋体" w:hAnsi="宋体"/>
                <w:sz w:val="24"/>
                <w:szCs w:val="24"/>
              </w:rPr>
            </w:pPr>
          </w:p>
        </w:tc>
      </w:tr>
      <w:tr w14:paraId="18CD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74507A9C">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878F396">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13240810">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06BB8272">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357B3247">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3C4DBA07">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5104F1B2">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6DB51037">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042C61D8">
            <w:pPr>
              <w:spacing w:line="480" w:lineRule="exact"/>
              <w:jc w:val="center"/>
              <w:textAlignment w:val="center"/>
              <w:rPr>
                <w:rFonts w:ascii="宋体" w:hAnsi="宋体"/>
                <w:sz w:val="24"/>
                <w:szCs w:val="24"/>
              </w:rPr>
            </w:pPr>
          </w:p>
        </w:tc>
      </w:tr>
      <w:tr w14:paraId="4682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407E0F25">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3A0BDD3F">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0A0B0109">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2AB724CB">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5550BD95">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5276550C">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23B59330">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31D6DDEF">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7426FF8A">
            <w:pPr>
              <w:spacing w:line="480" w:lineRule="exact"/>
              <w:jc w:val="center"/>
              <w:textAlignment w:val="center"/>
              <w:rPr>
                <w:rFonts w:ascii="宋体" w:hAnsi="宋体"/>
                <w:sz w:val="24"/>
                <w:szCs w:val="24"/>
              </w:rPr>
            </w:pPr>
          </w:p>
        </w:tc>
      </w:tr>
      <w:tr w14:paraId="2149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6A07CCF4">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2CF7C0C1">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6F3D52AD">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007C7F66">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8282A37">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4AFD8733">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3952AA75">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02253270">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41BEBB48">
            <w:pPr>
              <w:spacing w:line="480" w:lineRule="exact"/>
              <w:jc w:val="center"/>
              <w:textAlignment w:val="center"/>
              <w:rPr>
                <w:rFonts w:ascii="宋体" w:hAnsi="宋体"/>
                <w:sz w:val="24"/>
                <w:szCs w:val="24"/>
              </w:rPr>
            </w:pPr>
          </w:p>
        </w:tc>
      </w:tr>
      <w:tr w14:paraId="7351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5638B220">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26BA22D4">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BEC976A">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4943918A">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53874E33">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1105B405">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10D06810">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324B0989">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3A7F36AD">
            <w:pPr>
              <w:spacing w:line="480" w:lineRule="exact"/>
              <w:jc w:val="center"/>
              <w:textAlignment w:val="center"/>
              <w:rPr>
                <w:rFonts w:ascii="宋体" w:hAnsi="宋体"/>
                <w:sz w:val="24"/>
                <w:szCs w:val="24"/>
              </w:rPr>
            </w:pPr>
          </w:p>
        </w:tc>
      </w:tr>
      <w:tr w14:paraId="4901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7F800CB7">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23A6BF79">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4F78A6BC">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13CDEFEB">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CF6AF3A">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54CC286A">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54445A08">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2DED520E">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01E429FD">
            <w:pPr>
              <w:spacing w:line="480" w:lineRule="exact"/>
              <w:jc w:val="center"/>
              <w:textAlignment w:val="center"/>
              <w:rPr>
                <w:rFonts w:ascii="宋体" w:hAnsi="宋体"/>
                <w:sz w:val="24"/>
                <w:szCs w:val="24"/>
              </w:rPr>
            </w:pPr>
          </w:p>
        </w:tc>
      </w:tr>
      <w:tr w14:paraId="417E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1C9C31AD">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B99B127">
            <w:pPr>
              <w:spacing w:line="480" w:lineRule="exact"/>
              <w:jc w:val="center"/>
              <w:textAlignment w:val="center"/>
              <w:rPr>
                <w:rFonts w:ascii="宋体" w:hAnsi="宋体"/>
                <w:sz w:val="24"/>
                <w:szCs w:val="24"/>
              </w:rPr>
            </w:pPr>
          </w:p>
        </w:tc>
        <w:tc>
          <w:tcPr>
            <w:tcW w:w="708" w:type="dxa"/>
            <w:tcBorders>
              <w:top w:val="single" w:color="auto" w:sz="4" w:space="0"/>
              <w:left w:val="nil"/>
              <w:bottom w:val="single" w:color="auto" w:sz="4" w:space="0"/>
              <w:right w:val="single" w:color="auto" w:sz="4" w:space="0"/>
            </w:tcBorders>
            <w:noWrap w:val="0"/>
            <w:vAlign w:val="center"/>
          </w:tcPr>
          <w:p w14:paraId="7A9C3E29">
            <w:pPr>
              <w:spacing w:line="480" w:lineRule="exact"/>
              <w:jc w:val="center"/>
              <w:textAlignment w:val="center"/>
              <w:rPr>
                <w:rFonts w:ascii="宋体" w:hAnsi="宋体"/>
                <w:sz w:val="24"/>
                <w:szCs w:val="24"/>
              </w:rPr>
            </w:pPr>
          </w:p>
        </w:tc>
        <w:tc>
          <w:tcPr>
            <w:tcW w:w="853" w:type="dxa"/>
            <w:tcBorders>
              <w:top w:val="single" w:color="auto" w:sz="4" w:space="0"/>
              <w:left w:val="nil"/>
              <w:bottom w:val="single" w:color="auto" w:sz="4" w:space="0"/>
              <w:right w:val="single" w:color="auto" w:sz="4" w:space="0"/>
            </w:tcBorders>
            <w:noWrap w:val="0"/>
            <w:vAlign w:val="center"/>
          </w:tcPr>
          <w:p w14:paraId="40816F23">
            <w:pPr>
              <w:spacing w:line="480" w:lineRule="exact"/>
              <w:jc w:val="center"/>
              <w:textAlignment w:val="center"/>
              <w:rPr>
                <w:rFonts w:ascii="宋体" w:hAnsi="宋体"/>
                <w:sz w:val="24"/>
                <w:szCs w:val="24"/>
              </w:rPr>
            </w:pPr>
          </w:p>
        </w:tc>
        <w:tc>
          <w:tcPr>
            <w:tcW w:w="764" w:type="dxa"/>
            <w:tcBorders>
              <w:top w:val="single" w:color="auto" w:sz="4" w:space="0"/>
              <w:left w:val="nil"/>
              <w:bottom w:val="single" w:color="auto" w:sz="4" w:space="0"/>
              <w:right w:val="single" w:color="auto" w:sz="4" w:space="0"/>
            </w:tcBorders>
            <w:noWrap w:val="0"/>
            <w:vAlign w:val="center"/>
          </w:tcPr>
          <w:p w14:paraId="407BDCC0">
            <w:pPr>
              <w:spacing w:line="480" w:lineRule="exact"/>
              <w:jc w:val="center"/>
              <w:textAlignment w:val="center"/>
              <w:rPr>
                <w:rFonts w:ascii="宋体" w:hAnsi="宋体"/>
                <w:sz w:val="24"/>
                <w:szCs w:val="24"/>
              </w:rPr>
            </w:pPr>
          </w:p>
        </w:tc>
        <w:tc>
          <w:tcPr>
            <w:tcW w:w="890" w:type="dxa"/>
            <w:tcBorders>
              <w:top w:val="single" w:color="auto" w:sz="4" w:space="0"/>
              <w:left w:val="nil"/>
              <w:bottom w:val="single" w:color="auto" w:sz="4" w:space="0"/>
              <w:right w:val="single" w:color="auto" w:sz="4" w:space="0"/>
            </w:tcBorders>
            <w:noWrap w:val="0"/>
            <w:vAlign w:val="center"/>
          </w:tcPr>
          <w:p w14:paraId="6BB36D13">
            <w:pPr>
              <w:spacing w:line="480" w:lineRule="exact"/>
              <w:jc w:val="center"/>
              <w:textAlignment w:val="center"/>
              <w:rPr>
                <w:rFonts w:ascii="宋体" w:hAnsi="宋体"/>
                <w:sz w:val="24"/>
                <w:szCs w:val="24"/>
              </w:rPr>
            </w:pPr>
          </w:p>
        </w:tc>
        <w:tc>
          <w:tcPr>
            <w:tcW w:w="790" w:type="dxa"/>
            <w:tcBorders>
              <w:top w:val="single" w:color="auto" w:sz="4" w:space="0"/>
              <w:left w:val="nil"/>
              <w:bottom w:val="single" w:color="auto" w:sz="4" w:space="0"/>
              <w:right w:val="single" w:color="auto" w:sz="4" w:space="0"/>
            </w:tcBorders>
            <w:noWrap w:val="0"/>
            <w:vAlign w:val="center"/>
          </w:tcPr>
          <w:p w14:paraId="1D548BC1">
            <w:pPr>
              <w:spacing w:line="480" w:lineRule="exact"/>
              <w:jc w:val="center"/>
              <w:textAlignment w:val="center"/>
              <w:rPr>
                <w:rFonts w:ascii="宋体" w:hAnsi="宋体"/>
                <w:sz w:val="24"/>
                <w:szCs w:val="24"/>
              </w:rPr>
            </w:pPr>
          </w:p>
        </w:tc>
        <w:tc>
          <w:tcPr>
            <w:tcW w:w="1780" w:type="dxa"/>
            <w:tcBorders>
              <w:top w:val="single" w:color="auto" w:sz="4" w:space="0"/>
              <w:left w:val="nil"/>
              <w:bottom w:val="single" w:color="auto" w:sz="4" w:space="0"/>
              <w:right w:val="single" w:color="auto" w:sz="4" w:space="0"/>
            </w:tcBorders>
            <w:noWrap w:val="0"/>
            <w:vAlign w:val="center"/>
          </w:tcPr>
          <w:p w14:paraId="6002E7BF">
            <w:pPr>
              <w:spacing w:line="480" w:lineRule="exact"/>
              <w:jc w:val="center"/>
              <w:textAlignment w:val="center"/>
              <w:rPr>
                <w:rFonts w:ascii="宋体" w:hAnsi="宋体"/>
                <w:sz w:val="24"/>
                <w:szCs w:val="24"/>
              </w:rPr>
            </w:pPr>
          </w:p>
        </w:tc>
        <w:tc>
          <w:tcPr>
            <w:tcW w:w="1070" w:type="dxa"/>
            <w:tcBorders>
              <w:top w:val="single" w:color="auto" w:sz="4" w:space="0"/>
              <w:left w:val="nil"/>
              <w:bottom w:val="single" w:color="auto" w:sz="4" w:space="0"/>
              <w:right w:val="single" w:color="auto" w:sz="4" w:space="0"/>
            </w:tcBorders>
            <w:noWrap w:val="0"/>
            <w:vAlign w:val="center"/>
          </w:tcPr>
          <w:p w14:paraId="2CE06A58">
            <w:pPr>
              <w:spacing w:line="480" w:lineRule="exact"/>
              <w:jc w:val="center"/>
              <w:textAlignment w:val="center"/>
              <w:rPr>
                <w:rFonts w:ascii="宋体" w:hAnsi="宋体"/>
                <w:sz w:val="24"/>
                <w:szCs w:val="24"/>
              </w:rPr>
            </w:pPr>
          </w:p>
        </w:tc>
      </w:tr>
    </w:tbl>
    <w:p w14:paraId="1C53AE90">
      <w:pPr>
        <w:pStyle w:val="4"/>
        <w:bidi w:val="0"/>
        <w:jc w:val="center"/>
        <w:rPr>
          <w:rFonts w:hint="eastAsia" w:ascii="宋体" w:hAnsi="宋体"/>
          <w:highlight w:val="none"/>
        </w:rPr>
      </w:pPr>
      <w:r>
        <w:rPr>
          <w:rFonts w:ascii="宋体" w:hAnsi="宋体"/>
          <w:szCs w:val="21"/>
          <w:highlight w:val="none"/>
        </w:rPr>
        <w:br w:type="page"/>
      </w:r>
      <w:r>
        <w:rPr>
          <w:rFonts w:hint="eastAsia"/>
        </w:rPr>
        <w:t>（二）主要人员简历表</w:t>
      </w:r>
    </w:p>
    <w:p w14:paraId="6F9A921A">
      <w:pPr>
        <w:spacing w:line="420" w:lineRule="exact"/>
        <w:ind w:firstLine="480" w:firstLineChars="200"/>
        <w:rPr>
          <w:rFonts w:hint="eastAsia" w:ascii="宋体" w:hAnsi="宋体"/>
          <w:szCs w:val="21"/>
          <w:highlight w:val="none"/>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7D7A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28653FC4">
            <w:pPr>
              <w:jc w:val="center"/>
              <w:rPr>
                <w:rFonts w:hint="eastAsia" w:ascii="宋体" w:hAnsi="宋体"/>
                <w:szCs w:val="21"/>
                <w:highlight w:val="none"/>
              </w:rPr>
            </w:pPr>
            <w:r>
              <w:rPr>
                <w:rFonts w:hint="eastAsia" w:ascii="宋体" w:hAnsi="宋体"/>
                <w:szCs w:val="21"/>
                <w:highlight w:val="none"/>
              </w:rPr>
              <w:t>姓  名</w:t>
            </w:r>
          </w:p>
        </w:tc>
        <w:tc>
          <w:tcPr>
            <w:tcW w:w="1035" w:type="dxa"/>
            <w:noWrap w:val="0"/>
            <w:vAlign w:val="center"/>
          </w:tcPr>
          <w:p w14:paraId="6E9FF980">
            <w:pPr>
              <w:jc w:val="center"/>
              <w:rPr>
                <w:rFonts w:hint="eastAsia" w:ascii="宋体" w:hAnsi="宋体"/>
                <w:szCs w:val="21"/>
                <w:highlight w:val="none"/>
              </w:rPr>
            </w:pPr>
          </w:p>
        </w:tc>
        <w:tc>
          <w:tcPr>
            <w:tcW w:w="1134" w:type="dxa"/>
            <w:noWrap w:val="0"/>
            <w:vAlign w:val="center"/>
          </w:tcPr>
          <w:p w14:paraId="3650BE5F">
            <w:pPr>
              <w:jc w:val="center"/>
              <w:rPr>
                <w:rFonts w:hint="eastAsia" w:ascii="宋体" w:hAnsi="宋体"/>
                <w:szCs w:val="21"/>
                <w:highlight w:val="none"/>
              </w:rPr>
            </w:pPr>
            <w:r>
              <w:rPr>
                <w:rFonts w:hint="eastAsia" w:ascii="宋体" w:hAnsi="宋体"/>
                <w:szCs w:val="21"/>
                <w:highlight w:val="none"/>
              </w:rPr>
              <w:t>年  龄</w:t>
            </w:r>
          </w:p>
        </w:tc>
        <w:tc>
          <w:tcPr>
            <w:tcW w:w="1275" w:type="dxa"/>
            <w:noWrap w:val="0"/>
            <w:vAlign w:val="center"/>
          </w:tcPr>
          <w:p w14:paraId="7CA6830F">
            <w:pPr>
              <w:jc w:val="center"/>
              <w:rPr>
                <w:rFonts w:hint="eastAsia" w:ascii="宋体" w:hAnsi="宋体"/>
                <w:szCs w:val="21"/>
                <w:highlight w:val="none"/>
              </w:rPr>
            </w:pPr>
          </w:p>
        </w:tc>
        <w:tc>
          <w:tcPr>
            <w:tcW w:w="1843" w:type="dxa"/>
            <w:noWrap w:val="0"/>
            <w:vAlign w:val="center"/>
          </w:tcPr>
          <w:p w14:paraId="57F1E9FA">
            <w:pPr>
              <w:jc w:val="center"/>
              <w:rPr>
                <w:rFonts w:hint="eastAsia" w:ascii="宋体" w:hAnsi="宋体"/>
                <w:szCs w:val="21"/>
                <w:highlight w:val="none"/>
              </w:rPr>
            </w:pPr>
            <w:r>
              <w:rPr>
                <w:rFonts w:hint="eastAsia" w:ascii="宋体" w:hAnsi="宋体"/>
                <w:szCs w:val="21"/>
                <w:highlight w:val="none"/>
              </w:rPr>
              <w:t>学历</w:t>
            </w:r>
          </w:p>
        </w:tc>
        <w:tc>
          <w:tcPr>
            <w:tcW w:w="2126" w:type="dxa"/>
            <w:noWrap w:val="0"/>
            <w:vAlign w:val="center"/>
          </w:tcPr>
          <w:p w14:paraId="175DCD99">
            <w:pPr>
              <w:jc w:val="center"/>
              <w:rPr>
                <w:rFonts w:hint="eastAsia" w:ascii="宋体" w:hAnsi="宋体"/>
                <w:szCs w:val="21"/>
                <w:highlight w:val="none"/>
              </w:rPr>
            </w:pPr>
          </w:p>
        </w:tc>
      </w:tr>
      <w:tr w14:paraId="66F7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284B7F80">
            <w:pPr>
              <w:jc w:val="center"/>
              <w:rPr>
                <w:rFonts w:hint="eastAsia" w:ascii="宋体" w:hAnsi="宋体"/>
                <w:szCs w:val="21"/>
                <w:highlight w:val="none"/>
              </w:rPr>
            </w:pPr>
            <w:r>
              <w:rPr>
                <w:rFonts w:hint="eastAsia" w:ascii="宋体" w:hAnsi="宋体"/>
                <w:szCs w:val="21"/>
                <w:highlight w:val="none"/>
              </w:rPr>
              <w:t>职  称</w:t>
            </w:r>
          </w:p>
        </w:tc>
        <w:tc>
          <w:tcPr>
            <w:tcW w:w="1035" w:type="dxa"/>
            <w:noWrap w:val="0"/>
            <w:vAlign w:val="center"/>
          </w:tcPr>
          <w:p w14:paraId="72FF37CC">
            <w:pPr>
              <w:jc w:val="center"/>
              <w:rPr>
                <w:rFonts w:hint="eastAsia" w:ascii="宋体" w:hAnsi="宋体"/>
                <w:szCs w:val="21"/>
                <w:highlight w:val="none"/>
              </w:rPr>
            </w:pPr>
          </w:p>
        </w:tc>
        <w:tc>
          <w:tcPr>
            <w:tcW w:w="1134" w:type="dxa"/>
            <w:noWrap w:val="0"/>
            <w:vAlign w:val="center"/>
          </w:tcPr>
          <w:p w14:paraId="3F6FCBA7">
            <w:pPr>
              <w:jc w:val="center"/>
              <w:rPr>
                <w:rFonts w:hint="eastAsia" w:ascii="宋体" w:hAnsi="宋体"/>
                <w:szCs w:val="21"/>
                <w:highlight w:val="none"/>
              </w:rPr>
            </w:pPr>
            <w:r>
              <w:rPr>
                <w:rFonts w:hint="eastAsia" w:ascii="宋体" w:hAnsi="宋体"/>
                <w:szCs w:val="21"/>
                <w:highlight w:val="none"/>
              </w:rPr>
              <w:t>职  务</w:t>
            </w:r>
          </w:p>
        </w:tc>
        <w:tc>
          <w:tcPr>
            <w:tcW w:w="1275" w:type="dxa"/>
            <w:noWrap w:val="0"/>
            <w:vAlign w:val="center"/>
          </w:tcPr>
          <w:p w14:paraId="642B44C0">
            <w:pPr>
              <w:jc w:val="center"/>
              <w:rPr>
                <w:rFonts w:hint="eastAsia" w:ascii="宋体" w:hAnsi="宋体"/>
                <w:szCs w:val="21"/>
                <w:highlight w:val="none"/>
              </w:rPr>
            </w:pPr>
          </w:p>
        </w:tc>
        <w:tc>
          <w:tcPr>
            <w:tcW w:w="1843" w:type="dxa"/>
            <w:noWrap w:val="0"/>
            <w:vAlign w:val="center"/>
          </w:tcPr>
          <w:p w14:paraId="329D00D5">
            <w:pPr>
              <w:jc w:val="center"/>
              <w:rPr>
                <w:rFonts w:hint="eastAsia" w:ascii="宋体" w:hAnsi="宋体"/>
                <w:szCs w:val="21"/>
                <w:highlight w:val="none"/>
              </w:rPr>
            </w:pPr>
            <w:r>
              <w:rPr>
                <w:rFonts w:hint="eastAsia" w:ascii="宋体" w:hAnsi="宋体"/>
                <w:szCs w:val="21"/>
                <w:highlight w:val="none"/>
              </w:rPr>
              <w:t>拟在本工程任职</w:t>
            </w:r>
          </w:p>
        </w:tc>
        <w:tc>
          <w:tcPr>
            <w:tcW w:w="2126" w:type="dxa"/>
            <w:noWrap w:val="0"/>
            <w:vAlign w:val="center"/>
          </w:tcPr>
          <w:p w14:paraId="138D17BB">
            <w:pPr>
              <w:jc w:val="center"/>
              <w:rPr>
                <w:rFonts w:hint="eastAsia" w:ascii="宋体" w:hAnsi="宋体"/>
                <w:szCs w:val="21"/>
                <w:highlight w:val="none"/>
              </w:rPr>
            </w:pPr>
          </w:p>
        </w:tc>
      </w:tr>
      <w:tr w14:paraId="2C58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noWrap w:val="0"/>
            <w:vAlign w:val="center"/>
          </w:tcPr>
          <w:p w14:paraId="4B92355A">
            <w:pPr>
              <w:jc w:val="center"/>
              <w:rPr>
                <w:rFonts w:hint="eastAsia" w:ascii="宋体" w:hAnsi="宋体"/>
                <w:szCs w:val="21"/>
                <w:highlight w:val="none"/>
              </w:rPr>
            </w:pPr>
            <w:r>
              <w:rPr>
                <w:rFonts w:hint="eastAsia" w:cs="宋体"/>
                <w:szCs w:val="21"/>
                <w:highlight w:val="none"/>
                <w:lang w:eastAsia="zh-CN"/>
              </w:rPr>
              <w:t>证书</w:t>
            </w:r>
            <w:r>
              <w:rPr>
                <w:rFonts w:hint="eastAsia" w:ascii="宋体" w:hAnsi="宋体" w:eastAsia="宋体" w:cs="宋体"/>
                <w:szCs w:val="21"/>
                <w:highlight w:val="none"/>
              </w:rPr>
              <w:t>等级</w:t>
            </w:r>
          </w:p>
        </w:tc>
        <w:tc>
          <w:tcPr>
            <w:tcW w:w="5244" w:type="dxa"/>
            <w:gridSpan w:val="3"/>
            <w:noWrap w:val="0"/>
            <w:vAlign w:val="center"/>
          </w:tcPr>
          <w:p w14:paraId="0B08B313">
            <w:pPr>
              <w:jc w:val="center"/>
              <w:rPr>
                <w:rFonts w:hint="eastAsia" w:ascii="宋体" w:hAnsi="宋体"/>
                <w:szCs w:val="21"/>
                <w:highlight w:val="none"/>
              </w:rPr>
            </w:pPr>
            <w:r>
              <w:rPr>
                <w:rFonts w:hint="eastAsia" w:ascii="宋体" w:hAnsi="宋体"/>
                <w:szCs w:val="21"/>
                <w:highlight w:val="none"/>
              </w:rPr>
              <w:t xml:space="preserve">      </w:t>
            </w:r>
          </w:p>
        </w:tc>
      </w:tr>
      <w:tr w14:paraId="1DDA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7EDFAC61">
            <w:pPr>
              <w:jc w:val="center"/>
              <w:rPr>
                <w:rFonts w:hint="eastAsia" w:ascii="宋体" w:hAnsi="宋体"/>
                <w:szCs w:val="21"/>
                <w:highlight w:val="none"/>
              </w:rPr>
            </w:pPr>
            <w:r>
              <w:rPr>
                <w:rFonts w:hint="eastAsia" w:ascii="宋体" w:hAnsi="宋体"/>
                <w:szCs w:val="21"/>
                <w:highlight w:val="none"/>
              </w:rPr>
              <w:t>毕业</w:t>
            </w:r>
          </w:p>
          <w:p w14:paraId="11359904">
            <w:pPr>
              <w:jc w:val="center"/>
              <w:rPr>
                <w:rFonts w:hint="eastAsia" w:ascii="宋体" w:hAnsi="宋体"/>
                <w:szCs w:val="21"/>
                <w:highlight w:val="none"/>
              </w:rPr>
            </w:pPr>
            <w:r>
              <w:rPr>
                <w:rFonts w:hint="eastAsia" w:ascii="宋体" w:hAnsi="宋体"/>
                <w:szCs w:val="21"/>
                <w:highlight w:val="none"/>
              </w:rPr>
              <w:t>学校</w:t>
            </w:r>
          </w:p>
        </w:tc>
        <w:tc>
          <w:tcPr>
            <w:tcW w:w="7413" w:type="dxa"/>
            <w:gridSpan w:val="5"/>
            <w:noWrap w:val="0"/>
            <w:vAlign w:val="center"/>
          </w:tcPr>
          <w:p w14:paraId="183EC461">
            <w:pPr>
              <w:ind w:firstLine="960" w:firstLineChars="400"/>
              <w:rPr>
                <w:rFonts w:hint="eastAsia" w:ascii="宋体" w:hAnsi="宋体"/>
                <w:szCs w:val="21"/>
                <w:highlight w:val="none"/>
              </w:rPr>
            </w:pPr>
            <w:r>
              <w:rPr>
                <w:rFonts w:hint="eastAsia" w:ascii="宋体" w:hAnsi="宋体"/>
                <w:szCs w:val="21"/>
                <w:highlight w:val="none"/>
              </w:rPr>
              <w:t>年毕业于                  学校            专业</w:t>
            </w:r>
          </w:p>
        </w:tc>
      </w:tr>
      <w:tr w14:paraId="6540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gridSpan w:val="6"/>
            <w:noWrap w:val="0"/>
            <w:vAlign w:val="center"/>
          </w:tcPr>
          <w:p w14:paraId="108B7B53">
            <w:pPr>
              <w:jc w:val="center"/>
              <w:rPr>
                <w:rFonts w:hint="eastAsia" w:ascii="宋体" w:hAnsi="宋体"/>
                <w:szCs w:val="21"/>
                <w:highlight w:val="none"/>
              </w:rPr>
            </w:pPr>
            <w:r>
              <w:rPr>
                <w:rFonts w:hint="eastAsia" w:ascii="宋体" w:hAnsi="宋体"/>
                <w:szCs w:val="21"/>
                <w:highlight w:val="none"/>
              </w:rPr>
              <w:t>主要工作经历</w:t>
            </w:r>
          </w:p>
        </w:tc>
      </w:tr>
      <w:tr w14:paraId="2857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678DFF72">
            <w:pPr>
              <w:jc w:val="center"/>
              <w:rPr>
                <w:rFonts w:hint="eastAsia" w:ascii="宋体" w:hAnsi="宋体"/>
                <w:szCs w:val="21"/>
                <w:highlight w:val="none"/>
              </w:rPr>
            </w:pPr>
            <w:r>
              <w:rPr>
                <w:rFonts w:hint="eastAsia" w:ascii="宋体" w:hAnsi="宋体"/>
                <w:szCs w:val="21"/>
                <w:highlight w:val="none"/>
              </w:rPr>
              <w:t>时  间</w:t>
            </w:r>
          </w:p>
        </w:tc>
        <w:tc>
          <w:tcPr>
            <w:tcW w:w="3444" w:type="dxa"/>
            <w:gridSpan w:val="3"/>
            <w:noWrap w:val="0"/>
            <w:vAlign w:val="center"/>
          </w:tcPr>
          <w:p w14:paraId="7D8175D1">
            <w:pPr>
              <w:jc w:val="center"/>
              <w:rPr>
                <w:rFonts w:hint="eastAsia" w:ascii="宋体" w:hAnsi="宋体"/>
                <w:szCs w:val="21"/>
                <w:highlight w:val="none"/>
              </w:rPr>
            </w:pPr>
            <w:r>
              <w:rPr>
                <w:rFonts w:hint="eastAsia" w:ascii="宋体" w:hAnsi="宋体"/>
                <w:szCs w:val="21"/>
                <w:highlight w:val="none"/>
              </w:rPr>
              <w:t>参加过的类似项目名称</w:t>
            </w:r>
          </w:p>
        </w:tc>
        <w:tc>
          <w:tcPr>
            <w:tcW w:w="1843" w:type="dxa"/>
            <w:noWrap w:val="0"/>
            <w:vAlign w:val="center"/>
          </w:tcPr>
          <w:p w14:paraId="5C84A3F9">
            <w:pPr>
              <w:jc w:val="center"/>
              <w:rPr>
                <w:rFonts w:hint="eastAsia" w:ascii="宋体" w:hAnsi="宋体"/>
                <w:szCs w:val="21"/>
                <w:highlight w:val="none"/>
              </w:rPr>
            </w:pPr>
            <w:r>
              <w:rPr>
                <w:rFonts w:hint="eastAsia" w:ascii="宋体" w:hAnsi="宋体"/>
                <w:szCs w:val="21"/>
                <w:highlight w:val="none"/>
              </w:rPr>
              <w:t>工程概况说明</w:t>
            </w:r>
          </w:p>
        </w:tc>
        <w:tc>
          <w:tcPr>
            <w:tcW w:w="2126" w:type="dxa"/>
            <w:noWrap w:val="0"/>
            <w:vAlign w:val="center"/>
          </w:tcPr>
          <w:p w14:paraId="58B99084">
            <w:pPr>
              <w:jc w:val="center"/>
              <w:rPr>
                <w:rFonts w:hint="eastAsia" w:ascii="宋体" w:hAnsi="宋体"/>
                <w:szCs w:val="21"/>
                <w:highlight w:val="none"/>
              </w:rPr>
            </w:pPr>
            <w:r>
              <w:rPr>
                <w:rFonts w:hint="eastAsia" w:ascii="宋体" w:hAnsi="宋体"/>
                <w:szCs w:val="21"/>
                <w:highlight w:val="none"/>
              </w:rPr>
              <w:t>发包人及联系电话</w:t>
            </w:r>
          </w:p>
        </w:tc>
      </w:tr>
      <w:tr w14:paraId="5AF9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F480B28">
            <w:pPr>
              <w:jc w:val="center"/>
              <w:rPr>
                <w:rFonts w:hint="eastAsia" w:ascii="宋体" w:hAnsi="宋体"/>
                <w:szCs w:val="21"/>
                <w:highlight w:val="none"/>
              </w:rPr>
            </w:pPr>
          </w:p>
        </w:tc>
        <w:tc>
          <w:tcPr>
            <w:tcW w:w="1035" w:type="dxa"/>
            <w:noWrap w:val="0"/>
            <w:vAlign w:val="center"/>
          </w:tcPr>
          <w:p w14:paraId="148C91EA">
            <w:pPr>
              <w:jc w:val="center"/>
              <w:rPr>
                <w:rFonts w:hint="eastAsia" w:ascii="宋体" w:hAnsi="宋体"/>
                <w:szCs w:val="21"/>
                <w:highlight w:val="none"/>
              </w:rPr>
            </w:pPr>
          </w:p>
        </w:tc>
        <w:tc>
          <w:tcPr>
            <w:tcW w:w="1134" w:type="dxa"/>
            <w:noWrap w:val="0"/>
            <w:vAlign w:val="center"/>
          </w:tcPr>
          <w:p w14:paraId="4DE60CF6">
            <w:pPr>
              <w:jc w:val="center"/>
              <w:rPr>
                <w:rFonts w:hint="eastAsia" w:ascii="宋体" w:hAnsi="宋体"/>
                <w:szCs w:val="21"/>
                <w:highlight w:val="none"/>
              </w:rPr>
            </w:pPr>
          </w:p>
        </w:tc>
        <w:tc>
          <w:tcPr>
            <w:tcW w:w="1275" w:type="dxa"/>
            <w:noWrap w:val="0"/>
            <w:vAlign w:val="center"/>
          </w:tcPr>
          <w:p w14:paraId="534D537B">
            <w:pPr>
              <w:jc w:val="center"/>
              <w:rPr>
                <w:rFonts w:hint="eastAsia" w:ascii="宋体" w:hAnsi="宋体"/>
                <w:szCs w:val="21"/>
                <w:highlight w:val="none"/>
              </w:rPr>
            </w:pPr>
          </w:p>
        </w:tc>
        <w:tc>
          <w:tcPr>
            <w:tcW w:w="1843" w:type="dxa"/>
            <w:noWrap w:val="0"/>
            <w:vAlign w:val="center"/>
          </w:tcPr>
          <w:p w14:paraId="0A00B559">
            <w:pPr>
              <w:jc w:val="center"/>
              <w:rPr>
                <w:rFonts w:hint="eastAsia" w:ascii="宋体" w:hAnsi="宋体"/>
                <w:szCs w:val="21"/>
                <w:highlight w:val="none"/>
              </w:rPr>
            </w:pPr>
          </w:p>
        </w:tc>
        <w:tc>
          <w:tcPr>
            <w:tcW w:w="2126" w:type="dxa"/>
            <w:noWrap w:val="0"/>
            <w:vAlign w:val="center"/>
          </w:tcPr>
          <w:p w14:paraId="1FA497C5">
            <w:pPr>
              <w:jc w:val="center"/>
              <w:rPr>
                <w:rFonts w:hint="eastAsia" w:ascii="宋体" w:hAnsi="宋体"/>
                <w:szCs w:val="21"/>
                <w:highlight w:val="none"/>
              </w:rPr>
            </w:pPr>
          </w:p>
        </w:tc>
      </w:tr>
      <w:tr w14:paraId="3826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2B2C1A8">
            <w:pPr>
              <w:jc w:val="center"/>
              <w:rPr>
                <w:rFonts w:hint="eastAsia" w:ascii="宋体" w:hAnsi="宋体"/>
                <w:szCs w:val="21"/>
                <w:highlight w:val="none"/>
              </w:rPr>
            </w:pPr>
          </w:p>
        </w:tc>
        <w:tc>
          <w:tcPr>
            <w:tcW w:w="1035" w:type="dxa"/>
            <w:noWrap w:val="0"/>
            <w:vAlign w:val="center"/>
          </w:tcPr>
          <w:p w14:paraId="188B2981">
            <w:pPr>
              <w:jc w:val="center"/>
              <w:rPr>
                <w:rFonts w:hint="eastAsia" w:ascii="宋体" w:hAnsi="宋体"/>
                <w:szCs w:val="21"/>
                <w:highlight w:val="none"/>
              </w:rPr>
            </w:pPr>
          </w:p>
        </w:tc>
        <w:tc>
          <w:tcPr>
            <w:tcW w:w="1134" w:type="dxa"/>
            <w:noWrap w:val="0"/>
            <w:vAlign w:val="center"/>
          </w:tcPr>
          <w:p w14:paraId="1DBD8907">
            <w:pPr>
              <w:jc w:val="center"/>
              <w:rPr>
                <w:rFonts w:hint="eastAsia" w:ascii="宋体" w:hAnsi="宋体"/>
                <w:szCs w:val="21"/>
                <w:highlight w:val="none"/>
              </w:rPr>
            </w:pPr>
          </w:p>
        </w:tc>
        <w:tc>
          <w:tcPr>
            <w:tcW w:w="1275" w:type="dxa"/>
            <w:noWrap w:val="0"/>
            <w:vAlign w:val="center"/>
          </w:tcPr>
          <w:p w14:paraId="3DD68350">
            <w:pPr>
              <w:jc w:val="center"/>
              <w:rPr>
                <w:rFonts w:hint="eastAsia" w:ascii="宋体" w:hAnsi="宋体"/>
                <w:szCs w:val="21"/>
                <w:highlight w:val="none"/>
              </w:rPr>
            </w:pPr>
          </w:p>
        </w:tc>
        <w:tc>
          <w:tcPr>
            <w:tcW w:w="1843" w:type="dxa"/>
            <w:noWrap w:val="0"/>
            <w:vAlign w:val="center"/>
          </w:tcPr>
          <w:p w14:paraId="28925A8B">
            <w:pPr>
              <w:jc w:val="center"/>
              <w:rPr>
                <w:rFonts w:hint="eastAsia" w:ascii="宋体" w:hAnsi="宋体"/>
                <w:szCs w:val="21"/>
                <w:highlight w:val="none"/>
              </w:rPr>
            </w:pPr>
          </w:p>
        </w:tc>
        <w:tc>
          <w:tcPr>
            <w:tcW w:w="2126" w:type="dxa"/>
            <w:noWrap w:val="0"/>
            <w:vAlign w:val="center"/>
          </w:tcPr>
          <w:p w14:paraId="4FD2B516">
            <w:pPr>
              <w:jc w:val="center"/>
              <w:rPr>
                <w:rFonts w:hint="eastAsia" w:ascii="宋体" w:hAnsi="宋体"/>
                <w:szCs w:val="21"/>
                <w:highlight w:val="none"/>
              </w:rPr>
            </w:pPr>
          </w:p>
        </w:tc>
      </w:tr>
      <w:tr w14:paraId="1CA1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1211173">
            <w:pPr>
              <w:jc w:val="center"/>
              <w:rPr>
                <w:rFonts w:hint="eastAsia" w:ascii="宋体" w:hAnsi="宋体"/>
                <w:szCs w:val="21"/>
                <w:highlight w:val="none"/>
              </w:rPr>
            </w:pPr>
          </w:p>
        </w:tc>
        <w:tc>
          <w:tcPr>
            <w:tcW w:w="1035" w:type="dxa"/>
            <w:noWrap w:val="0"/>
            <w:vAlign w:val="center"/>
          </w:tcPr>
          <w:p w14:paraId="7EA15377">
            <w:pPr>
              <w:jc w:val="center"/>
              <w:rPr>
                <w:rFonts w:hint="eastAsia" w:ascii="宋体" w:hAnsi="宋体"/>
                <w:szCs w:val="21"/>
                <w:highlight w:val="none"/>
              </w:rPr>
            </w:pPr>
          </w:p>
        </w:tc>
        <w:tc>
          <w:tcPr>
            <w:tcW w:w="1134" w:type="dxa"/>
            <w:noWrap w:val="0"/>
            <w:vAlign w:val="center"/>
          </w:tcPr>
          <w:p w14:paraId="2B2E0C41">
            <w:pPr>
              <w:jc w:val="center"/>
              <w:rPr>
                <w:rFonts w:hint="eastAsia" w:ascii="宋体" w:hAnsi="宋体"/>
                <w:szCs w:val="21"/>
                <w:highlight w:val="none"/>
              </w:rPr>
            </w:pPr>
          </w:p>
        </w:tc>
        <w:tc>
          <w:tcPr>
            <w:tcW w:w="1275" w:type="dxa"/>
            <w:noWrap w:val="0"/>
            <w:vAlign w:val="center"/>
          </w:tcPr>
          <w:p w14:paraId="64C084E2">
            <w:pPr>
              <w:jc w:val="center"/>
              <w:rPr>
                <w:rFonts w:hint="eastAsia" w:ascii="宋体" w:hAnsi="宋体"/>
                <w:szCs w:val="21"/>
                <w:highlight w:val="none"/>
              </w:rPr>
            </w:pPr>
          </w:p>
        </w:tc>
        <w:tc>
          <w:tcPr>
            <w:tcW w:w="1843" w:type="dxa"/>
            <w:noWrap w:val="0"/>
            <w:vAlign w:val="center"/>
          </w:tcPr>
          <w:p w14:paraId="2BA0AE26">
            <w:pPr>
              <w:jc w:val="center"/>
              <w:rPr>
                <w:rFonts w:hint="eastAsia" w:ascii="宋体" w:hAnsi="宋体"/>
                <w:szCs w:val="21"/>
                <w:highlight w:val="none"/>
              </w:rPr>
            </w:pPr>
          </w:p>
        </w:tc>
        <w:tc>
          <w:tcPr>
            <w:tcW w:w="2126" w:type="dxa"/>
            <w:noWrap w:val="0"/>
            <w:vAlign w:val="center"/>
          </w:tcPr>
          <w:p w14:paraId="27A42E62">
            <w:pPr>
              <w:jc w:val="center"/>
              <w:rPr>
                <w:rFonts w:hint="eastAsia" w:ascii="宋体" w:hAnsi="宋体"/>
                <w:szCs w:val="21"/>
                <w:highlight w:val="none"/>
              </w:rPr>
            </w:pPr>
          </w:p>
        </w:tc>
      </w:tr>
      <w:tr w14:paraId="3268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E7BD537">
            <w:pPr>
              <w:jc w:val="center"/>
              <w:rPr>
                <w:rFonts w:hint="eastAsia" w:ascii="宋体" w:hAnsi="宋体"/>
                <w:szCs w:val="21"/>
                <w:highlight w:val="none"/>
              </w:rPr>
            </w:pPr>
          </w:p>
        </w:tc>
        <w:tc>
          <w:tcPr>
            <w:tcW w:w="1035" w:type="dxa"/>
            <w:noWrap w:val="0"/>
            <w:vAlign w:val="center"/>
          </w:tcPr>
          <w:p w14:paraId="0D52839D">
            <w:pPr>
              <w:jc w:val="center"/>
              <w:rPr>
                <w:rFonts w:hint="eastAsia" w:ascii="宋体" w:hAnsi="宋体"/>
                <w:szCs w:val="21"/>
                <w:highlight w:val="none"/>
              </w:rPr>
            </w:pPr>
          </w:p>
        </w:tc>
        <w:tc>
          <w:tcPr>
            <w:tcW w:w="1134" w:type="dxa"/>
            <w:noWrap w:val="0"/>
            <w:vAlign w:val="center"/>
          </w:tcPr>
          <w:p w14:paraId="318438CE">
            <w:pPr>
              <w:jc w:val="center"/>
              <w:rPr>
                <w:rFonts w:hint="eastAsia" w:ascii="宋体" w:hAnsi="宋体"/>
                <w:szCs w:val="21"/>
                <w:highlight w:val="none"/>
              </w:rPr>
            </w:pPr>
          </w:p>
        </w:tc>
        <w:tc>
          <w:tcPr>
            <w:tcW w:w="1275" w:type="dxa"/>
            <w:noWrap w:val="0"/>
            <w:vAlign w:val="center"/>
          </w:tcPr>
          <w:p w14:paraId="0E6D9EE0">
            <w:pPr>
              <w:jc w:val="center"/>
              <w:rPr>
                <w:rFonts w:hint="eastAsia" w:ascii="宋体" w:hAnsi="宋体"/>
                <w:szCs w:val="21"/>
                <w:highlight w:val="none"/>
              </w:rPr>
            </w:pPr>
          </w:p>
        </w:tc>
        <w:tc>
          <w:tcPr>
            <w:tcW w:w="1843" w:type="dxa"/>
            <w:noWrap w:val="0"/>
            <w:vAlign w:val="center"/>
          </w:tcPr>
          <w:p w14:paraId="54616AA3">
            <w:pPr>
              <w:jc w:val="center"/>
              <w:rPr>
                <w:rFonts w:hint="eastAsia" w:ascii="宋体" w:hAnsi="宋体"/>
                <w:szCs w:val="21"/>
                <w:highlight w:val="none"/>
              </w:rPr>
            </w:pPr>
          </w:p>
        </w:tc>
        <w:tc>
          <w:tcPr>
            <w:tcW w:w="2126" w:type="dxa"/>
            <w:noWrap w:val="0"/>
            <w:vAlign w:val="center"/>
          </w:tcPr>
          <w:p w14:paraId="20CA037B">
            <w:pPr>
              <w:jc w:val="center"/>
              <w:rPr>
                <w:rFonts w:hint="eastAsia" w:ascii="宋体" w:hAnsi="宋体"/>
                <w:szCs w:val="21"/>
                <w:highlight w:val="none"/>
              </w:rPr>
            </w:pPr>
          </w:p>
        </w:tc>
      </w:tr>
      <w:tr w14:paraId="3E1A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AC2AA73">
            <w:pPr>
              <w:jc w:val="center"/>
              <w:rPr>
                <w:rFonts w:hint="eastAsia" w:ascii="宋体" w:hAnsi="宋体"/>
                <w:szCs w:val="21"/>
                <w:highlight w:val="none"/>
              </w:rPr>
            </w:pPr>
          </w:p>
        </w:tc>
        <w:tc>
          <w:tcPr>
            <w:tcW w:w="1035" w:type="dxa"/>
            <w:noWrap w:val="0"/>
            <w:vAlign w:val="center"/>
          </w:tcPr>
          <w:p w14:paraId="4D92C10F">
            <w:pPr>
              <w:jc w:val="center"/>
              <w:rPr>
                <w:rFonts w:hint="eastAsia" w:ascii="宋体" w:hAnsi="宋体"/>
                <w:szCs w:val="21"/>
                <w:highlight w:val="none"/>
              </w:rPr>
            </w:pPr>
          </w:p>
        </w:tc>
        <w:tc>
          <w:tcPr>
            <w:tcW w:w="1134" w:type="dxa"/>
            <w:noWrap w:val="0"/>
            <w:vAlign w:val="center"/>
          </w:tcPr>
          <w:p w14:paraId="6243101C">
            <w:pPr>
              <w:jc w:val="center"/>
              <w:rPr>
                <w:rFonts w:hint="eastAsia" w:ascii="宋体" w:hAnsi="宋体"/>
                <w:szCs w:val="21"/>
                <w:highlight w:val="none"/>
              </w:rPr>
            </w:pPr>
          </w:p>
        </w:tc>
        <w:tc>
          <w:tcPr>
            <w:tcW w:w="1275" w:type="dxa"/>
            <w:noWrap w:val="0"/>
            <w:vAlign w:val="center"/>
          </w:tcPr>
          <w:p w14:paraId="457488AB">
            <w:pPr>
              <w:jc w:val="center"/>
              <w:rPr>
                <w:rFonts w:hint="eastAsia" w:ascii="宋体" w:hAnsi="宋体"/>
                <w:szCs w:val="21"/>
                <w:highlight w:val="none"/>
              </w:rPr>
            </w:pPr>
          </w:p>
        </w:tc>
        <w:tc>
          <w:tcPr>
            <w:tcW w:w="1843" w:type="dxa"/>
            <w:noWrap w:val="0"/>
            <w:vAlign w:val="center"/>
          </w:tcPr>
          <w:p w14:paraId="43D8B825">
            <w:pPr>
              <w:jc w:val="center"/>
              <w:rPr>
                <w:rFonts w:hint="eastAsia" w:ascii="宋体" w:hAnsi="宋体"/>
                <w:szCs w:val="21"/>
                <w:highlight w:val="none"/>
              </w:rPr>
            </w:pPr>
          </w:p>
        </w:tc>
        <w:tc>
          <w:tcPr>
            <w:tcW w:w="2126" w:type="dxa"/>
            <w:noWrap w:val="0"/>
            <w:vAlign w:val="center"/>
          </w:tcPr>
          <w:p w14:paraId="1955640B">
            <w:pPr>
              <w:jc w:val="center"/>
              <w:rPr>
                <w:rFonts w:hint="eastAsia" w:ascii="宋体" w:hAnsi="宋体"/>
                <w:szCs w:val="21"/>
                <w:highlight w:val="none"/>
              </w:rPr>
            </w:pPr>
          </w:p>
        </w:tc>
      </w:tr>
      <w:tr w14:paraId="1A42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0EFE3179">
            <w:pPr>
              <w:jc w:val="center"/>
              <w:rPr>
                <w:rFonts w:hint="eastAsia" w:ascii="宋体" w:hAnsi="宋体"/>
                <w:szCs w:val="21"/>
                <w:highlight w:val="none"/>
              </w:rPr>
            </w:pPr>
          </w:p>
        </w:tc>
        <w:tc>
          <w:tcPr>
            <w:tcW w:w="1035" w:type="dxa"/>
            <w:noWrap w:val="0"/>
            <w:vAlign w:val="center"/>
          </w:tcPr>
          <w:p w14:paraId="25C76A9C">
            <w:pPr>
              <w:jc w:val="center"/>
              <w:rPr>
                <w:rFonts w:hint="eastAsia" w:ascii="宋体" w:hAnsi="宋体"/>
                <w:szCs w:val="21"/>
                <w:highlight w:val="none"/>
              </w:rPr>
            </w:pPr>
          </w:p>
        </w:tc>
        <w:tc>
          <w:tcPr>
            <w:tcW w:w="1134" w:type="dxa"/>
            <w:noWrap w:val="0"/>
            <w:vAlign w:val="center"/>
          </w:tcPr>
          <w:p w14:paraId="7A11C0F0">
            <w:pPr>
              <w:jc w:val="center"/>
              <w:rPr>
                <w:rFonts w:hint="eastAsia" w:ascii="宋体" w:hAnsi="宋体"/>
                <w:szCs w:val="21"/>
                <w:highlight w:val="none"/>
              </w:rPr>
            </w:pPr>
          </w:p>
        </w:tc>
        <w:tc>
          <w:tcPr>
            <w:tcW w:w="1275" w:type="dxa"/>
            <w:noWrap w:val="0"/>
            <w:vAlign w:val="center"/>
          </w:tcPr>
          <w:p w14:paraId="3E5CE868">
            <w:pPr>
              <w:jc w:val="center"/>
              <w:rPr>
                <w:rFonts w:hint="eastAsia" w:ascii="宋体" w:hAnsi="宋体"/>
                <w:szCs w:val="21"/>
                <w:highlight w:val="none"/>
              </w:rPr>
            </w:pPr>
          </w:p>
        </w:tc>
        <w:tc>
          <w:tcPr>
            <w:tcW w:w="1843" w:type="dxa"/>
            <w:noWrap w:val="0"/>
            <w:vAlign w:val="center"/>
          </w:tcPr>
          <w:p w14:paraId="7D91A444">
            <w:pPr>
              <w:jc w:val="center"/>
              <w:rPr>
                <w:rFonts w:hint="eastAsia" w:ascii="宋体" w:hAnsi="宋体"/>
                <w:szCs w:val="21"/>
                <w:highlight w:val="none"/>
              </w:rPr>
            </w:pPr>
          </w:p>
        </w:tc>
        <w:tc>
          <w:tcPr>
            <w:tcW w:w="2126" w:type="dxa"/>
            <w:noWrap w:val="0"/>
            <w:vAlign w:val="center"/>
          </w:tcPr>
          <w:p w14:paraId="724A8BC9">
            <w:pPr>
              <w:jc w:val="center"/>
              <w:rPr>
                <w:rFonts w:hint="eastAsia" w:ascii="宋体" w:hAnsi="宋体"/>
                <w:szCs w:val="21"/>
                <w:highlight w:val="none"/>
              </w:rPr>
            </w:pPr>
          </w:p>
        </w:tc>
      </w:tr>
      <w:tr w14:paraId="1AFA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78371472">
            <w:pPr>
              <w:jc w:val="center"/>
              <w:rPr>
                <w:rFonts w:hint="eastAsia" w:ascii="宋体" w:hAnsi="宋体"/>
                <w:szCs w:val="21"/>
                <w:highlight w:val="none"/>
              </w:rPr>
            </w:pPr>
          </w:p>
        </w:tc>
        <w:tc>
          <w:tcPr>
            <w:tcW w:w="1035" w:type="dxa"/>
            <w:noWrap w:val="0"/>
            <w:vAlign w:val="center"/>
          </w:tcPr>
          <w:p w14:paraId="3F2F63C3">
            <w:pPr>
              <w:jc w:val="center"/>
              <w:rPr>
                <w:rFonts w:hint="eastAsia" w:ascii="宋体" w:hAnsi="宋体"/>
                <w:szCs w:val="21"/>
                <w:highlight w:val="none"/>
              </w:rPr>
            </w:pPr>
          </w:p>
        </w:tc>
        <w:tc>
          <w:tcPr>
            <w:tcW w:w="1134" w:type="dxa"/>
            <w:noWrap w:val="0"/>
            <w:vAlign w:val="center"/>
          </w:tcPr>
          <w:p w14:paraId="4FD9E21C">
            <w:pPr>
              <w:jc w:val="center"/>
              <w:rPr>
                <w:rFonts w:hint="eastAsia" w:ascii="宋体" w:hAnsi="宋体"/>
                <w:szCs w:val="21"/>
                <w:highlight w:val="none"/>
              </w:rPr>
            </w:pPr>
          </w:p>
        </w:tc>
        <w:tc>
          <w:tcPr>
            <w:tcW w:w="1275" w:type="dxa"/>
            <w:noWrap w:val="0"/>
            <w:vAlign w:val="center"/>
          </w:tcPr>
          <w:p w14:paraId="437AA775">
            <w:pPr>
              <w:jc w:val="center"/>
              <w:rPr>
                <w:rFonts w:hint="eastAsia" w:ascii="宋体" w:hAnsi="宋体"/>
                <w:szCs w:val="21"/>
                <w:highlight w:val="none"/>
              </w:rPr>
            </w:pPr>
          </w:p>
        </w:tc>
        <w:tc>
          <w:tcPr>
            <w:tcW w:w="1843" w:type="dxa"/>
            <w:noWrap w:val="0"/>
            <w:vAlign w:val="center"/>
          </w:tcPr>
          <w:p w14:paraId="5B7995A9">
            <w:pPr>
              <w:jc w:val="center"/>
              <w:rPr>
                <w:rFonts w:hint="eastAsia" w:ascii="宋体" w:hAnsi="宋体"/>
                <w:szCs w:val="21"/>
                <w:highlight w:val="none"/>
              </w:rPr>
            </w:pPr>
          </w:p>
        </w:tc>
        <w:tc>
          <w:tcPr>
            <w:tcW w:w="2126" w:type="dxa"/>
            <w:noWrap w:val="0"/>
            <w:vAlign w:val="center"/>
          </w:tcPr>
          <w:p w14:paraId="324150ED">
            <w:pPr>
              <w:jc w:val="center"/>
              <w:rPr>
                <w:rFonts w:hint="eastAsia" w:ascii="宋体" w:hAnsi="宋体"/>
                <w:szCs w:val="21"/>
                <w:highlight w:val="none"/>
              </w:rPr>
            </w:pPr>
          </w:p>
        </w:tc>
      </w:tr>
      <w:tr w14:paraId="50D1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35681FFE">
            <w:pPr>
              <w:jc w:val="center"/>
              <w:rPr>
                <w:rFonts w:hint="eastAsia" w:ascii="宋体" w:hAnsi="宋体"/>
                <w:szCs w:val="21"/>
                <w:highlight w:val="none"/>
              </w:rPr>
            </w:pPr>
          </w:p>
        </w:tc>
        <w:tc>
          <w:tcPr>
            <w:tcW w:w="1035" w:type="dxa"/>
            <w:noWrap w:val="0"/>
            <w:vAlign w:val="center"/>
          </w:tcPr>
          <w:p w14:paraId="62F2C163">
            <w:pPr>
              <w:jc w:val="center"/>
              <w:rPr>
                <w:rFonts w:hint="eastAsia" w:ascii="宋体" w:hAnsi="宋体"/>
                <w:szCs w:val="21"/>
                <w:highlight w:val="none"/>
              </w:rPr>
            </w:pPr>
          </w:p>
        </w:tc>
        <w:tc>
          <w:tcPr>
            <w:tcW w:w="1134" w:type="dxa"/>
            <w:noWrap w:val="0"/>
            <w:vAlign w:val="center"/>
          </w:tcPr>
          <w:p w14:paraId="2D1DF445">
            <w:pPr>
              <w:jc w:val="center"/>
              <w:rPr>
                <w:rFonts w:hint="eastAsia" w:ascii="宋体" w:hAnsi="宋体"/>
                <w:szCs w:val="21"/>
                <w:highlight w:val="none"/>
              </w:rPr>
            </w:pPr>
          </w:p>
        </w:tc>
        <w:tc>
          <w:tcPr>
            <w:tcW w:w="1275" w:type="dxa"/>
            <w:noWrap w:val="0"/>
            <w:vAlign w:val="center"/>
          </w:tcPr>
          <w:p w14:paraId="45876406">
            <w:pPr>
              <w:jc w:val="center"/>
              <w:rPr>
                <w:rFonts w:hint="eastAsia" w:ascii="宋体" w:hAnsi="宋体"/>
                <w:szCs w:val="21"/>
                <w:highlight w:val="none"/>
              </w:rPr>
            </w:pPr>
          </w:p>
        </w:tc>
        <w:tc>
          <w:tcPr>
            <w:tcW w:w="1843" w:type="dxa"/>
            <w:noWrap w:val="0"/>
            <w:vAlign w:val="center"/>
          </w:tcPr>
          <w:p w14:paraId="33486475">
            <w:pPr>
              <w:jc w:val="center"/>
              <w:rPr>
                <w:rFonts w:hint="eastAsia" w:ascii="宋体" w:hAnsi="宋体"/>
                <w:szCs w:val="21"/>
                <w:highlight w:val="none"/>
              </w:rPr>
            </w:pPr>
          </w:p>
        </w:tc>
        <w:tc>
          <w:tcPr>
            <w:tcW w:w="2126" w:type="dxa"/>
            <w:noWrap w:val="0"/>
            <w:vAlign w:val="center"/>
          </w:tcPr>
          <w:p w14:paraId="22A28B46">
            <w:pPr>
              <w:jc w:val="center"/>
              <w:rPr>
                <w:rFonts w:hint="eastAsia" w:ascii="宋体" w:hAnsi="宋体"/>
                <w:szCs w:val="21"/>
                <w:highlight w:val="none"/>
              </w:rPr>
            </w:pPr>
          </w:p>
        </w:tc>
      </w:tr>
      <w:tr w14:paraId="2441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5CD6BD03">
            <w:pPr>
              <w:jc w:val="center"/>
              <w:rPr>
                <w:rFonts w:hint="eastAsia" w:ascii="宋体" w:hAnsi="宋体"/>
                <w:szCs w:val="21"/>
                <w:highlight w:val="none"/>
              </w:rPr>
            </w:pPr>
          </w:p>
        </w:tc>
        <w:tc>
          <w:tcPr>
            <w:tcW w:w="1035" w:type="dxa"/>
            <w:noWrap w:val="0"/>
            <w:vAlign w:val="center"/>
          </w:tcPr>
          <w:p w14:paraId="2669E031">
            <w:pPr>
              <w:jc w:val="center"/>
              <w:rPr>
                <w:rFonts w:hint="eastAsia" w:ascii="宋体" w:hAnsi="宋体"/>
                <w:szCs w:val="21"/>
                <w:highlight w:val="none"/>
              </w:rPr>
            </w:pPr>
          </w:p>
        </w:tc>
        <w:tc>
          <w:tcPr>
            <w:tcW w:w="1134" w:type="dxa"/>
            <w:noWrap w:val="0"/>
            <w:vAlign w:val="center"/>
          </w:tcPr>
          <w:p w14:paraId="1975E7BC">
            <w:pPr>
              <w:jc w:val="center"/>
              <w:rPr>
                <w:rFonts w:hint="eastAsia" w:ascii="宋体" w:hAnsi="宋体"/>
                <w:szCs w:val="21"/>
                <w:highlight w:val="none"/>
              </w:rPr>
            </w:pPr>
          </w:p>
        </w:tc>
        <w:tc>
          <w:tcPr>
            <w:tcW w:w="1275" w:type="dxa"/>
            <w:noWrap w:val="0"/>
            <w:vAlign w:val="center"/>
          </w:tcPr>
          <w:p w14:paraId="68DAB594">
            <w:pPr>
              <w:jc w:val="center"/>
              <w:rPr>
                <w:rFonts w:hint="eastAsia" w:ascii="宋体" w:hAnsi="宋体"/>
                <w:szCs w:val="21"/>
                <w:highlight w:val="none"/>
              </w:rPr>
            </w:pPr>
          </w:p>
        </w:tc>
        <w:tc>
          <w:tcPr>
            <w:tcW w:w="1843" w:type="dxa"/>
            <w:noWrap w:val="0"/>
            <w:vAlign w:val="center"/>
          </w:tcPr>
          <w:p w14:paraId="75883D03">
            <w:pPr>
              <w:jc w:val="center"/>
              <w:rPr>
                <w:rFonts w:hint="eastAsia" w:ascii="宋体" w:hAnsi="宋体"/>
                <w:szCs w:val="21"/>
                <w:highlight w:val="none"/>
              </w:rPr>
            </w:pPr>
          </w:p>
        </w:tc>
        <w:tc>
          <w:tcPr>
            <w:tcW w:w="2126" w:type="dxa"/>
            <w:noWrap w:val="0"/>
            <w:vAlign w:val="center"/>
          </w:tcPr>
          <w:p w14:paraId="7F161F0B">
            <w:pPr>
              <w:jc w:val="center"/>
              <w:rPr>
                <w:rFonts w:hint="eastAsia" w:ascii="宋体" w:hAnsi="宋体"/>
                <w:szCs w:val="21"/>
                <w:highlight w:val="none"/>
              </w:rPr>
            </w:pPr>
          </w:p>
        </w:tc>
      </w:tr>
      <w:tr w14:paraId="1224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1C1FF7AA">
            <w:pPr>
              <w:jc w:val="center"/>
              <w:rPr>
                <w:rFonts w:hint="eastAsia" w:ascii="宋体" w:hAnsi="宋体"/>
                <w:szCs w:val="21"/>
                <w:highlight w:val="none"/>
              </w:rPr>
            </w:pPr>
          </w:p>
        </w:tc>
        <w:tc>
          <w:tcPr>
            <w:tcW w:w="1035" w:type="dxa"/>
            <w:noWrap w:val="0"/>
            <w:vAlign w:val="center"/>
          </w:tcPr>
          <w:p w14:paraId="39EEAFEF">
            <w:pPr>
              <w:jc w:val="center"/>
              <w:rPr>
                <w:rFonts w:hint="eastAsia" w:ascii="宋体" w:hAnsi="宋体"/>
                <w:szCs w:val="21"/>
                <w:highlight w:val="none"/>
              </w:rPr>
            </w:pPr>
          </w:p>
        </w:tc>
        <w:tc>
          <w:tcPr>
            <w:tcW w:w="1134" w:type="dxa"/>
            <w:noWrap w:val="0"/>
            <w:vAlign w:val="center"/>
          </w:tcPr>
          <w:p w14:paraId="18E6FEBF">
            <w:pPr>
              <w:jc w:val="center"/>
              <w:rPr>
                <w:rFonts w:hint="eastAsia" w:ascii="宋体" w:hAnsi="宋体"/>
                <w:szCs w:val="21"/>
                <w:highlight w:val="none"/>
              </w:rPr>
            </w:pPr>
          </w:p>
        </w:tc>
        <w:tc>
          <w:tcPr>
            <w:tcW w:w="1275" w:type="dxa"/>
            <w:noWrap w:val="0"/>
            <w:vAlign w:val="center"/>
          </w:tcPr>
          <w:p w14:paraId="1C965855">
            <w:pPr>
              <w:jc w:val="center"/>
              <w:rPr>
                <w:rFonts w:hint="eastAsia" w:ascii="宋体" w:hAnsi="宋体"/>
                <w:szCs w:val="21"/>
                <w:highlight w:val="none"/>
              </w:rPr>
            </w:pPr>
          </w:p>
        </w:tc>
        <w:tc>
          <w:tcPr>
            <w:tcW w:w="1843" w:type="dxa"/>
            <w:noWrap w:val="0"/>
            <w:vAlign w:val="center"/>
          </w:tcPr>
          <w:p w14:paraId="45D0557A">
            <w:pPr>
              <w:jc w:val="center"/>
              <w:rPr>
                <w:rFonts w:hint="eastAsia" w:ascii="宋体" w:hAnsi="宋体"/>
                <w:szCs w:val="21"/>
                <w:highlight w:val="none"/>
              </w:rPr>
            </w:pPr>
          </w:p>
        </w:tc>
        <w:tc>
          <w:tcPr>
            <w:tcW w:w="2126" w:type="dxa"/>
            <w:noWrap w:val="0"/>
            <w:vAlign w:val="center"/>
          </w:tcPr>
          <w:p w14:paraId="41DCFC0A">
            <w:pPr>
              <w:jc w:val="center"/>
              <w:rPr>
                <w:rFonts w:hint="eastAsia" w:ascii="宋体" w:hAnsi="宋体"/>
                <w:szCs w:val="21"/>
                <w:highlight w:val="none"/>
              </w:rPr>
            </w:pPr>
          </w:p>
        </w:tc>
      </w:tr>
    </w:tbl>
    <w:p w14:paraId="385437E0">
      <w:pPr>
        <w:spacing w:line="420" w:lineRule="exact"/>
        <w:rPr>
          <w:rFonts w:ascii="宋体" w:hAnsi="宋体"/>
          <w:szCs w:val="21"/>
          <w:highlight w:val="none"/>
        </w:rPr>
      </w:pPr>
    </w:p>
    <w:p w14:paraId="13007E35">
      <w:pPr>
        <w:rPr>
          <w:rFonts w:hint="eastAsia" w:ascii="宋体" w:hAnsi="宋体"/>
          <w:sz w:val="24"/>
          <w:szCs w:val="24"/>
          <w:highlight w:val="none"/>
        </w:rPr>
      </w:pPr>
      <w:r>
        <w:rPr>
          <w:rFonts w:ascii="宋体" w:hAnsi="宋体"/>
          <w:szCs w:val="21"/>
          <w:highlight w:val="none"/>
        </w:rPr>
        <w:br w:type="page"/>
      </w:r>
      <w:r>
        <w:rPr>
          <w:rFonts w:hint="eastAsia" w:ascii="宋体" w:hAnsi="宋体"/>
          <w:b/>
          <w:bCs/>
          <w:sz w:val="24"/>
          <w:szCs w:val="24"/>
          <w:highlight w:val="none"/>
        </w:rPr>
        <w:t>附</w:t>
      </w:r>
      <w:r>
        <w:rPr>
          <w:rFonts w:hint="eastAsia" w:ascii="宋体" w:hAnsi="宋体"/>
          <w:b/>
          <w:bCs/>
          <w:sz w:val="24"/>
          <w:szCs w:val="24"/>
          <w:highlight w:val="none"/>
          <w:lang w:val="en-US" w:eastAsia="zh-CN"/>
        </w:rPr>
        <w:t>1-1</w:t>
      </w:r>
      <w:r>
        <w:rPr>
          <w:rFonts w:hint="eastAsia" w:ascii="宋体" w:hAnsi="宋体"/>
          <w:b/>
          <w:bCs/>
          <w:sz w:val="24"/>
          <w:szCs w:val="24"/>
          <w:highlight w:val="none"/>
        </w:rPr>
        <w:t>：承诺书</w:t>
      </w:r>
    </w:p>
    <w:p w14:paraId="52B68D51">
      <w:pPr>
        <w:spacing w:before="312" w:beforeLines="100" w:after="312" w:afterLines="100"/>
        <w:jc w:val="center"/>
        <w:rPr>
          <w:rFonts w:hint="eastAsia" w:ascii="宋体" w:hAnsi="宋体"/>
          <w:b/>
          <w:bCs/>
          <w:sz w:val="32"/>
          <w:szCs w:val="32"/>
          <w:highlight w:val="none"/>
        </w:rPr>
      </w:pPr>
      <w:r>
        <w:rPr>
          <w:rFonts w:hint="eastAsia" w:ascii="宋体" w:hAnsi="宋体"/>
          <w:b/>
          <w:bCs/>
          <w:sz w:val="32"/>
          <w:szCs w:val="32"/>
          <w:highlight w:val="none"/>
        </w:rPr>
        <w:t>承诺书</w:t>
      </w:r>
    </w:p>
    <w:p w14:paraId="0C035DA6">
      <w:pPr>
        <w:spacing w:after="312" w:afterLines="100" w:line="440" w:lineRule="exact"/>
        <w:ind w:firstLine="240" w:firstLineChars="100"/>
        <w:rPr>
          <w:rFonts w:hint="eastAsia" w:ascii="宋体" w:hAnsi="宋体" w:eastAsia="宋体"/>
          <w:sz w:val="24"/>
          <w:szCs w:val="24"/>
          <w:highlight w:val="none"/>
          <w:u w:val="none"/>
          <w:lang w:val="en-US" w:eastAsia="zh-CN"/>
        </w:rPr>
      </w:pPr>
      <w:r>
        <w:rPr>
          <w:rFonts w:hint="eastAsia" w:ascii="宋体" w:hAnsi="宋体"/>
          <w:sz w:val="24"/>
          <w:szCs w:val="24"/>
          <w:highlight w:val="none"/>
          <w:u w:val="single"/>
        </w:rPr>
        <w:t>（</w:t>
      </w:r>
      <w:r>
        <w:rPr>
          <w:rFonts w:hint="eastAsia"/>
          <w:sz w:val="24"/>
          <w:szCs w:val="24"/>
          <w:highlight w:val="none"/>
          <w:u w:val="single"/>
          <w:lang w:eastAsia="zh-CN"/>
        </w:rPr>
        <w:t>采购人</w:t>
      </w:r>
      <w:r>
        <w:rPr>
          <w:rFonts w:hint="eastAsia" w:ascii="宋体" w:hAnsi="宋体"/>
          <w:sz w:val="24"/>
          <w:szCs w:val="24"/>
          <w:highlight w:val="none"/>
          <w:u w:val="single"/>
        </w:rPr>
        <w:t>名称）</w:t>
      </w:r>
      <w:r>
        <w:rPr>
          <w:rFonts w:hint="eastAsia"/>
          <w:sz w:val="24"/>
          <w:szCs w:val="24"/>
          <w:highlight w:val="none"/>
          <w:u w:val="none"/>
          <w:lang w:val="en-US" w:eastAsia="zh-CN"/>
        </w:rPr>
        <w:t>:</w:t>
      </w:r>
    </w:p>
    <w:p w14:paraId="2502CAA7">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我方在此声明，我方拟派往</w:t>
      </w:r>
      <w:r>
        <w:rPr>
          <w:rFonts w:hint="eastAsia" w:ascii="宋体" w:hAnsi="宋体"/>
          <w:sz w:val="24"/>
          <w:szCs w:val="24"/>
          <w:highlight w:val="none"/>
          <w:u w:val="single"/>
        </w:rPr>
        <w:t xml:space="preserve">        </w:t>
      </w:r>
      <w:r>
        <w:rPr>
          <w:rFonts w:hint="eastAsia" w:ascii="宋体" w:hAnsi="宋体"/>
          <w:sz w:val="24"/>
          <w:szCs w:val="24"/>
          <w:highlight w:val="none"/>
        </w:rPr>
        <w:t>（项目名称）（以下简称“本工程”）的</w:t>
      </w:r>
      <w:r>
        <w:rPr>
          <w:rFonts w:hint="eastAsia"/>
          <w:sz w:val="24"/>
          <w:szCs w:val="24"/>
          <w:highlight w:val="none"/>
          <w:lang w:eastAsia="zh-CN"/>
        </w:rPr>
        <w:t>项目</w:t>
      </w:r>
      <w:r>
        <w:rPr>
          <w:rFonts w:hint="eastAsia"/>
          <w:sz w:val="24"/>
          <w:szCs w:val="24"/>
          <w:highlight w:val="none"/>
          <w:lang w:val="en-US" w:eastAsia="zh-CN"/>
        </w:rPr>
        <w:t>经理</w:t>
      </w:r>
      <w:r>
        <w:rPr>
          <w:rFonts w:hint="eastAsia" w:ascii="宋体" w:hAnsi="宋体"/>
          <w:sz w:val="24"/>
          <w:szCs w:val="24"/>
          <w:highlight w:val="none"/>
          <w:u w:val="single"/>
        </w:rPr>
        <w:t xml:space="preserve">           </w:t>
      </w:r>
      <w:r>
        <w:rPr>
          <w:rFonts w:hint="eastAsia" w:ascii="宋体" w:hAnsi="宋体"/>
          <w:sz w:val="24"/>
          <w:szCs w:val="24"/>
          <w:highlight w:val="none"/>
        </w:rPr>
        <w:t>（</w:t>
      </w:r>
      <w:r>
        <w:rPr>
          <w:rFonts w:hint="eastAsia"/>
          <w:sz w:val="24"/>
          <w:szCs w:val="24"/>
          <w:highlight w:val="none"/>
          <w:lang w:eastAsia="zh-CN"/>
        </w:rPr>
        <w:t>项目</w:t>
      </w:r>
      <w:r>
        <w:rPr>
          <w:rFonts w:hint="eastAsia"/>
          <w:sz w:val="24"/>
          <w:szCs w:val="24"/>
          <w:highlight w:val="none"/>
          <w:lang w:val="en-US" w:eastAsia="zh-CN"/>
        </w:rPr>
        <w:t>经理</w:t>
      </w:r>
      <w:r>
        <w:rPr>
          <w:rFonts w:hint="eastAsia" w:ascii="宋体" w:hAnsi="宋体"/>
          <w:sz w:val="24"/>
          <w:szCs w:val="24"/>
          <w:highlight w:val="none"/>
        </w:rPr>
        <w:t>姓名）现阶段没有担任任何在施建设工程项目的项目</w:t>
      </w:r>
      <w:r>
        <w:rPr>
          <w:rFonts w:hint="eastAsia"/>
          <w:sz w:val="24"/>
          <w:szCs w:val="24"/>
          <w:highlight w:val="none"/>
          <w:lang w:val="en-US" w:eastAsia="zh-CN"/>
        </w:rPr>
        <w:t>经理</w:t>
      </w:r>
      <w:r>
        <w:rPr>
          <w:rFonts w:hint="eastAsia" w:ascii="宋体" w:hAnsi="宋体"/>
          <w:sz w:val="24"/>
          <w:szCs w:val="24"/>
          <w:highlight w:val="none"/>
        </w:rPr>
        <w:t>。</w:t>
      </w:r>
    </w:p>
    <w:p w14:paraId="31EA0469">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我方保证上述信息的真实和准确，并愿意承担因我方就此弄虚作假所引起的一切法律后果。</w:t>
      </w:r>
    </w:p>
    <w:p w14:paraId="7ABA2069">
      <w:pPr>
        <w:spacing w:line="440" w:lineRule="exact"/>
        <w:ind w:firstLine="480" w:firstLineChars="200"/>
        <w:rPr>
          <w:rFonts w:hint="eastAsia" w:ascii="宋体" w:hAnsi="宋体"/>
          <w:sz w:val="24"/>
          <w:szCs w:val="24"/>
          <w:highlight w:val="none"/>
        </w:rPr>
      </w:pPr>
    </w:p>
    <w:p w14:paraId="055069E1">
      <w:pPr>
        <w:spacing w:line="440" w:lineRule="exact"/>
        <w:ind w:firstLine="480" w:firstLineChars="200"/>
        <w:rPr>
          <w:rFonts w:hint="eastAsia" w:ascii="宋体" w:hAnsi="宋体"/>
          <w:sz w:val="24"/>
          <w:szCs w:val="24"/>
          <w:highlight w:val="none"/>
        </w:rPr>
      </w:pPr>
    </w:p>
    <w:p w14:paraId="168037A3">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特此承诺</w:t>
      </w:r>
    </w:p>
    <w:p w14:paraId="5331D4B6">
      <w:pPr>
        <w:spacing w:line="440" w:lineRule="exact"/>
        <w:ind w:firstLine="480" w:firstLineChars="200"/>
        <w:rPr>
          <w:rFonts w:hint="eastAsia" w:ascii="宋体" w:hAnsi="宋体"/>
          <w:sz w:val="24"/>
          <w:szCs w:val="24"/>
          <w:highlight w:val="none"/>
        </w:rPr>
      </w:pPr>
    </w:p>
    <w:p w14:paraId="44909639">
      <w:pPr>
        <w:spacing w:line="440" w:lineRule="exact"/>
        <w:ind w:firstLine="480" w:firstLineChars="200"/>
        <w:rPr>
          <w:rFonts w:hint="eastAsia" w:ascii="宋体" w:hAnsi="宋体"/>
          <w:sz w:val="24"/>
          <w:szCs w:val="24"/>
          <w:highlight w:val="none"/>
        </w:rPr>
      </w:pPr>
    </w:p>
    <w:p w14:paraId="2A26CEA0">
      <w:pPr>
        <w:spacing w:line="440" w:lineRule="exact"/>
        <w:ind w:firstLine="480" w:firstLineChars="200"/>
        <w:rPr>
          <w:rFonts w:hint="eastAsia" w:ascii="宋体" w:hAnsi="宋体"/>
          <w:sz w:val="24"/>
          <w:szCs w:val="24"/>
          <w:highlight w:val="none"/>
        </w:rPr>
      </w:pPr>
    </w:p>
    <w:p w14:paraId="68BA91A4">
      <w:pPr>
        <w:spacing w:line="440" w:lineRule="exact"/>
        <w:ind w:firstLine="480" w:firstLineChars="200"/>
        <w:rPr>
          <w:rFonts w:hint="eastAsia" w:ascii="宋体" w:hAnsi="宋体"/>
          <w:sz w:val="24"/>
          <w:szCs w:val="24"/>
          <w:highlight w:val="none"/>
        </w:rPr>
      </w:pPr>
    </w:p>
    <w:p w14:paraId="277763D3">
      <w:pPr>
        <w:spacing w:line="440" w:lineRule="exact"/>
        <w:ind w:firstLine="480" w:firstLineChars="200"/>
        <w:rPr>
          <w:rFonts w:hint="eastAsia" w:ascii="宋体" w:hAnsi="宋体"/>
          <w:sz w:val="24"/>
          <w:szCs w:val="24"/>
          <w:highlight w:val="none"/>
        </w:rPr>
      </w:pPr>
    </w:p>
    <w:p w14:paraId="630C03EB">
      <w:pPr>
        <w:spacing w:line="440" w:lineRule="exact"/>
        <w:ind w:firstLine="480" w:firstLineChars="200"/>
        <w:rPr>
          <w:rFonts w:hint="eastAsia" w:ascii="宋体" w:hAnsi="宋体"/>
          <w:sz w:val="24"/>
          <w:szCs w:val="24"/>
          <w:highlight w:val="none"/>
        </w:rPr>
      </w:pPr>
    </w:p>
    <w:p w14:paraId="2FDF6360">
      <w:pPr>
        <w:ind w:firstLine="4320" w:firstLineChars="1800"/>
        <w:rPr>
          <w:rFonts w:hint="eastAsia"/>
          <w:color w:val="auto"/>
          <w:sz w:val="24"/>
          <w:szCs w:val="24"/>
          <w:highlight w:val="none"/>
        </w:rPr>
      </w:pPr>
      <w:r>
        <w:rPr>
          <w:rFonts w:hint="eastAsia"/>
          <w:color w:val="auto"/>
          <w:sz w:val="24"/>
          <w:szCs w:val="24"/>
          <w:highlight w:val="none"/>
        </w:rPr>
        <w:t>供应商：</w:t>
      </w:r>
      <w:r>
        <w:rPr>
          <w:rFonts w:hint="eastAsia"/>
          <w:color w:val="auto"/>
          <w:sz w:val="24"/>
          <w:szCs w:val="24"/>
          <w:highlight w:val="none"/>
          <w:u w:val="single"/>
        </w:rPr>
        <w:t xml:space="preserve">                      </w:t>
      </w:r>
      <w:r>
        <w:rPr>
          <w:rFonts w:hint="eastAsia"/>
          <w:color w:val="auto"/>
          <w:sz w:val="24"/>
          <w:szCs w:val="24"/>
          <w:highlight w:val="none"/>
        </w:rPr>
        <w:t>（盖章）</w:t>
      </w:r>
    </w:p>
    <w:p w14:paraId="33B01542">
      <w:pPr>
        <w:rPr>
          <w:rFonts w:hint="eastAsia"/>
          <w:color w:val="auto"/>
          <w:sz w:val="24"/>
          <w:szCs w:val="24"/>
          <w:highlight w:val="none"/>
        </w:rPr>
      </w:pPr>
      <w:r>
        <w:rPr>
          <w:rFonts w:hint="eastAsia"/>
          <w:color w:val="auto"/>
          <w:sz w:val="24"/>
          <w:szCs w:val="24"/>
          <w:highlight w:val="none"/>
        </w:rPr>
        <w:t xml:space="preserve">     </w:t>
      </w:r>
    </w:p>
    <w:p w14:paraId="6D880C2B">
      <w:pPr>
        <w:ind w:firstLine="4320" w:firstLineChars="1800"/>
        <w:rPr>
          <w:rFonts w:hint="eastAsia"/>
          <w:color w:val="auto"/>
          <w:sz w:val="24"/>
          <w:szCs w:val="24"/>
          <w:highlight w:val="none"/>
        </w:rPr>
      </w:pPr>
      <w:r>
        <w:rPr>
          <w:rFonts w:hint="eastAsia"/>
          <w:color w:val="auto"/>
          <w:sz w:val="24"/>
          <w:szCs w:val="24"/>
          <w:highlight w:val="none"/>
        </w:rPr>
        <w:t>法定代表人：</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rFonts w:hint="eastAsia"/>
          <w:color w:val="auto"/>
          <w:sz w:val="24"/>
          <w:szCs w:val="24"/>
          <w:highlight w:val="none"/>
        </w:rPr>
        <w:t>（</w:t>
      </w:r>
      <w:r>
        <w:rPr>
          <w:rFonts w:hint="eastAsia"/>
          <w:color w:val="auto"/>
          <w:sz w:val="24"/>
          <w:szCs w:val="24"/>
          <w:highlight w:val="none"/>
          <w:lang w:val="en-US" w:eastAsia="zh-CN"/>
        </w:rPr>
        <w:t>电子签章</w:t>
      </w:r>
      <w:r>
        <w:rPr>
          <w:rFonts w:hint="eastAsia"/>
          <w:color w:val="auto"/>
          <w:sz w:val="24"/>
          <w:szCs w:val="24"/>
          <w:highlight w:val="none"/>
        </w:rPr>
        <w:t>）</w:t>
      </w:r>
    </w:p>
    <w:p w14:paraId="595CCF01">
      <w:pPr>
        <w:rPr>
          <w:rFonts w:hint="eastAsia"/>
          <w:color w:val="auto"/>
          <w:sz w:val="24"/>
          <w:szCs w:val="24"/>
          <w:highlight w:val="none"/>
        </w:rPr>
      </w:pPr>
    </w:p>
    <w:p w14:paraId="0C739F48">
      <w:pPr>
        <w:tabs>
          <w:tab w:val="left" w:pos="5380"/>
          <w:tab w:val="left" w:pos="6520"/>
          <w:tab w:val="left" w:pos="7680"/>
        </w:tabs>
        <w:autoSpaceDE w:val="0"/>
        <w:autoSpaceDN w:val="0"/>
        <w:adjustRightInd w:val="0"/>
        <w:ind w:right="-20" w:firstLine="5520" w:firstLineChars="2300"/>
        <w:jc w:val="left"/>
        <w:rPr>
          <w:rFonts w:hint="eastAsia"/>
          <w:color w:val="auto"/>
          <w:kern w:val="0"/>
          <w:sz w:val="24"/>
          <w:szCs w:val="24"/>
          <w:highlight w:val="none"/>
        </w:rPr>
      </w:pPr>
      <w:r>
        <w:rPr>
          <w:rFonts w:hint="eastAsia"/>
          <w:color w:val="auto"/>
          <w:kern w:val="0"/>
          <w:sz w:val="24"/>
          <w:szCs w:val="24"/>
          <w:highlight w:val="none"/>
          <w:u w:val="single"/>
        </w:rPr>
        <w:t xml:space="preserve">     </w:t>
      </w:r>
      <w:r>
        <w:rPr>
          <w:rFonts w:hint="eastAsia"/>
          <w:color w:val="auto"/>
          <w:spacing w:val="43"/>
          <w:kern w:val="0"/>
          <w:sz w:val="24"/>
          <w:szCs w:val="24"/>
          <w:highlight w:val="none"/>
          <w:u w:val="single"/>
        </w:rPr>
        <w:t xml:space="preserve"> </w:t>
      </w:r>
      <w:r>
        <w:rPr>
          <w:rFonts w:hint="eastAsia"/>
          <w:color w:val="auto"/>
          <w:kern w:val="0"/>
          <w:sz w:val="24"/>
          <w:szCs w:val="24"/>
          <w:highlight w:val="none"/>
        </w:rPr>
        <w:t>年</w:t>
      </w:r>
      <w:r>
        <w:rPr>
          <w:rFonts w:hint="eastAsia"/>
          <w:color w:val="auto"/>
          <w:kern w:val="0"/>
          <w:sz w:val="24"/>
          <w:szCs w:val="24"/>
          <w:highlight w:val="none"/>
          <w:u w:val="single"/>
        </w:rPr>
        <w:t xml:space="preserve">       </w:t>
      </w:r>
      <w:r>
        <w:rPr>
          <w:rFonts w:hint="eastAsia"/>
          <w:color w:val="auto"/>
          <w:kern w:val="0"/>
          <w:sz w:val="24"/>
          <w:szCs w:val="24"/>
          <w:highlight w:val="none"/>
        </w:rPr>
        <w:t>月</w:t>
      </w:r>
      <w:r>
        <w:rPr>
          <w:rFonts w:hint="eastAsia"/>
          <w:color w:val="auto"/>
          <w:kern w:val="0"/>
          <w:sz w:val="24"/>
          <w:szCs w:val="24"/>
          <w:highlight w:val="none"/>
          <w:u w:val="single"/>
        </w:rPr>
        <w:t xml:space="preserve">      </w:t>
      </w:r>
      <w:r>
        <w:rPr>
          <w:rFonts w:hint="eastAsia"/>
          <w:color w:val="auto"/>
          <w:kern w:val="0"/>
          <w:sz w:val="24"/>
          <w:szCs w:val="24"/>
          <w:highlight w:val="none"/>
        </w:rPr>
        <w:t>日</w:t>
      </w:r>
    </w:p>
    <w:p w14:paraId="0FA9DE23">
      <w:pPr>
        <w:spacing w:before="156" w:beforeLines="50" w:after="156" w:afterLines="50" w:line="440" w:lineRule="exact"/>
        <w:rPr>
          <w:rFonts w:hint="eastAsia" w:cs="黑体"/>
          <w:b/>
          <w:color w:val="FF0000"/>
          <w:sz w:val="28"/>
          <w:szCs w:val="28"/>
          <w:highlight w:val="none"/>
        </w:rPr>
      </w:pPr>
    </w:p>
    <w:p w14:paraId="6292F8E9">
      <w:pPr>
        <w:pStyle w:val="23"/>
        <w:ind w:left="0" w:leftChars="0" w:firstLine="0" w:firstLineChars="0"/>
      </w:pPr>
    </w:p>
    <w:p w14:paraId="718EBBE1">
      <w:pPr>
        <w:pStyle w:val="23"/>
        <w:ind w:left="0" w:leftChars="0" w:firstLine="0" w:firstLineChars="0"/>
      </w:pPr>
    </w:p>
    <w:p w14:paraId="16EF8E5A">
      <w:pPr>
        <w:pStyle w:val="23"/>
        <w:ind w:left="0" w:leftChars="0" w:firstLine="0" w:firstLineChars="0"/>
      </w:pPr>
    </w:p>
    <w:p w14:paraId="2E97CB01">
      <w:pPr>
        <w:pStyle w:val="23"/>
        <w:ind w:left="0" w:leftChars="0" w:firstLine="0" w:firstLineChars="0"/>
      </w:pPr>
    </w:p>
    <w:p w14:paraId="6D83C168">
      <w:pPr>
        <w:pStyle w:val="23"/>
        <w:ind w:left="0" w:leftChars="0" w:firstLine="0" w:firstLineChars="0"/>
      </w:pPr>
    </w:p>
    <w:p w14:paraId="5CFBDC76">
      <w:pPr>
        <w:pStyle w:val="23"/>
        <w:ind w:left="0" w:leftChars="0" w:firstLine="0" w:firstLineChars="0"/>
      </w:pPr>
    </w:p>
    <w:p w14:paraId="61EB7F6D">
      <w:pPr>
        <w:pStyle w:val="23"/>
        <w:ind w:left="0" w:leftChars="0" w:firstLine="0" w:firstLineChars="0"/>
      </w:pPr>
    </w:p>
    <w:p w14:paraId="6BA60378">
      <w:pPr>
        <w:pStyle w:val="23"/>
        <w:ind w:left="0" w:leftChars="0" w:firstLine="0" w:firstLineChars="0"/>
      </w:pPr>
    </w:p>
    <w:p w14:paraId="7539BDA1">
      <w:pPr>
        <w:pStyle w:val="23"/>
        <w:ind w:left="0" w:leftChars="0" w:firstLine="0" w:firstLineChars="0"/>
      </w:pPr>
    </w:p>
    <w:p w14:paraId="5C9EE746">
      <w:pPr>
        <w:pStyle w:val="23"/>
        <w:ind w:left="0" w:leftChars="0" w:firstLine="0" w:firstLineChars="0"/>
      </w:pPr>
    </w:p>
    <w:p w14:paraId="050FAE26">
      <w:pPr>
        <w:pStyle w:val="23"/>
        <w:ind w:left="0" w:leftChars="0" w:firstLine="0" w:firstLineChars="0"/>
      </w:pPr>
    </w:p>
    <w:p w14:paraId="53EA3A2C">
      <w:pPr>
        <w:pStyle w:val="3"/>
        <w:numPr>
          <w:ilvl w:val="0"/>
          <w:numId w:val="18"/>
        </w:numPr>
        <w:bidi w:val="0"/>
        <w:rPr>
          <w:rFonts w:hint="eastAsia" w:ascii="宋体" w:hAnsi="宋体" w:eastAsia="宋体" w:cs="宋体"/>
          <w:bCs/>
          <w:lang w:val="zh-CN" w:eastAsia="zh-CN"/>
        </w:rPr>
      </w:pPr>
      <w:bookmarkStart w:id="1732" w:name="_Toc8604"/>
      <w:r>
        <w:rPr>
          <w:rFonts w:hint="eastAsia" w:ascii="宋体" w:hAnsi="宋体" w:eastAsia="宋体" w:cs="宋体"/>
          <w:bCs/>
          <w:lang w:val="zh-CN" w:eastAsia="zh-CN"/>
        </w:rPr>
        <w:t>供应商基本情况资料</w:t>
      </w:r>
    </w:p>
    <w:p w14:paraId="4573DBD9">
      <w:pPr>
        <w:pStyle w:val="4"/>
        <w:bidi w:val="0"/>
        <w:jc w:val="center"/>
      </w:pPr>
      <w:bookmarkStart w:id="1733" w:name="_Toc392837523"/>
      <w:bookmarkEnd w:id="1733"/>
      <w:r>
        <w:rPr>
          <w:rFonts w:hint="eastAsia"/>
        </w:rPr>
        <w:t>（一）</w:t>
      </w:r>
      <w:r>
        <w:rPr>
          <w:rFonts w:hint="eastAsia"/>
          <w:lang w:eastAsia="zh-CN"/>
        </w:rPr>
        <w:t>供应商</w:t>
      </w:r>
      <w:r>
        <w:rPr>
          <w:rFonts w:hint="eastAsia"/>
        </w:rPr>
        <w:t>基本情况表</w:t>
      </w:r>
    </w:p>
    <w:tbl>
      <w:tblPr>
        <w:tblStyle w:val="48"/>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225"/>
        <w:gridCol w:w="1013"/>
        <w:gridCol w:w="1192"/>
        <w:gridCol w:w="69"/>
        <w:gridCol w:w="1287"/>
        <w:gridCol w:w="409"/>
        <w:gridCol w:w="798"/>
        <w:gridCol w:w="1173"/>
      </w:tblGrid>
      <w:tr w14:paraId="71B3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1A22AC6D">
            <w:pPr>
              <w:jc w:val="center"/>
              <w:rPr>
                <w:rFonts w:ascii="宋体" w:hAnsi="宋体"/>
                <w:szCs w:val="21"/>
              </w:rPr>
            </w:pPr>
            <w:r>
              <w:rPr>
                <w:rFonts w:hint="eastAsia" w:ascii="宋体" w:hAnsi="宋体"/>
                <w:lang w:eastAsia="zh-CN"/>
              </w:rPr>
              <w:t>供应商</w:t>
            </w:r>
            <w:r>
              <w:rPr>
                <w:rFonts w:hint="eastAsia" w:ascii="宋体" w:hAnsi="宋体"/>
              </w:rPr>
              <w:t>名称</w:t>
            </w:r>
          </w:p>
        </w:tc>
        <w:tc>
          <w:tcPr>
            <w:tcW w:w="7166" w:type="dxa"/>
            <w:gridSpan w:val="8"/>
            <w:tcBorders>
              <w:top w:val="single" w:color="auto" w:sz="4" w:space="0"/>
              <w:left w:val="nil"/>
              <w:bottom w:val="single" w:color="auto" w:sz="4" w:space="0"/>
              <w:right w:val="single" w:color="auto" w:sz="4" w:space="0"/>
            </w:tcBorders>
            <w:noWrap w:val="0"/>
            <w:vAlign w:val="center"/>
          </w:tcPr>
          <w:p w14:paraId="0A6C8F2A">
            <w:pPr>
              <w:jc w:val="center"/>
              <w:rPr>
                <w:rFonts w:ascii="宋体" w:hAnsi="宋体"/>
                <w:szCs w:val="21"/>
              </w:rPr>
            </w:pPr>
          </w:p>
        </w:tc>
      </w:tr>
      <w:tr w14:paraId="0725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3D6D914A">
            <w:pPr>
              <w:jc w:val="center"/>
              <w:rPr>
                <w:rFonts w:ascii="宋体" w:hAnsi="宋体"/>
                <w:szCs w:val="21"/>
              </w:rPr>
            </w:pPr>
            <w:r>
              <w:rPr>
                <w:rFonts w:hint="eastAsia" w:ascii="宋体" w:hAnsi="宋体"/>
              </w:rPr>
              <w:t>注册地址</w:t>
            </w:r>
          </w:p>
        </w:tc>
        <w:tc>
          <w:tcPr>
            <w:tcW w:w="3499" w:type="dxa"/>
            <w:gridSpan w:val="4"/>
            <w:tcBorders>
              <w:top w:val="single" w:color="auto" w:sz="4" w:space="0"/>
              <w:left w:val="nil"/>
              <w:bottom w:val="single" w:color="auto" w:sz="4" w:space="0"/>
              <w:right w:val="single" w:color="auto" w:sz="4" w:space="0"/>
            </w:tcBorders>
            <w:noWrap w:val="0"/>
            <w:vAlign w:val="center"/>
          </w:tcPr>
          <w:p w14:paraId="15FCC033">
            <w:pPr>
              <w:jc w:val="center"/>
              <w:rPr>
                <w:rFonts w:ascii="宋体" w:hAnsi="宋体"/>
                <w:szCs w:val="21"/>
              </w:rPr>
            </w:pPr>
          </w:p>
        </w:tc>
        <w:tc>
          <w:tcPr>
            <w:tcW w:w="1287" w:type="dxa"/>
            <w:tcBorders>
              <w:top w:val="single" w:color="auto" w:sz="4" w:space="0"/>
              <w:left w:val="nil"/>
              <w:bottom w:val="single" w:color="auto" w:sz="4" w:space="0"/>
              <w:right w:val="single" w:color="auto" w:sz="4" w:space="0"/>
            </w:tcBorders>
            <w:noWrap w:val="0"/>
            <w:vAlign w:val="center"/>
          </w:tcPr>
          <w:p w14:paraId="47D1EBFA">
            <w:pPr>
              <w:jc w:val="center"/>
              <w:rPr>
                <w:rFonts w:ascii="宋体" w:hAnsi="宋体"/>
                <w:szCs w:val="21"/>
              </w:rPr>
            </w:pPr>
            <w:r>
              <w:rPr>
                <w:rFonts w:hint="eastAsia" w:ascii="宋体" w:hAnsi="宋体"/>
              </w:rPr>
              <w:t>邮政编码</w:t>
            </w:r>
          </w:p>
        </w:tc>
        <w:tc>
          <w:tcPr>
            <w:tcW w:w="2380" w:type="dxa"/>
            <w:gridSpan w:val="3"/>
            <w:tcBorders>
              <w:top w:val="single" w:color="auto" w:sz="4" w:space="0"/>
              <w:left w:val="nil"/>
              <w:bottom w:val="single" w:color="auto" w:sz="4" w:space="0"/>
              <w:right w:val="single" w:color="auto" w:sz="4" w:space="0"/>
            </w:tcBorders>
            <w:noWrap w:val="0"/>
            <w:vAlign w:val="center"/>
          </w:tcPr>
          <w:p w14:paraId="6F6A3F14">
            <w:pPr>
              <w:jc w:val="center"/>
              <w:rPr>
                <w:rFonts w:ascii="宋体" w:hAnsi="宋体"/>
                <w:szCs w:val="21"/>
              </w:rPr>
            </w:pPr>
          </w:p>
        </w:tc>
      </w:tr>
      <w:tr w14:paraId="2260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vMerge w:val="restart"/>
            <w:tcBorders>
              <w:top w:val="nil"/>
              <w:left w:val="single" w:color="auto" w:sz="4" w:space="0"/>
              <w:bottom w:val="single" w:color="auto" w:sz="4" w:space="0"/>
              <w:right w:val="single" w:color="auto" w:sz="4" w:space="0"/>
            </w:tcBorders>
            <w:noWrap w:val="0"/>
            <w:vAlign w:val="center"/>
          </w:tcPr>
          <w:p w14:paraId="7C06575B">
            <w:pPr>
              <w:jc w:val="center"/>
              <w:rPr>
                <w:rFonts w:ascii="宋体" w:hAnsi="宋体"/>
                <w:szCs w:val="21"/>
              </w:rPr>
            </w:pPr>
            <w:r>
              <w:rPr>
                <w:rFonts w:hint="eastAsia" w:ascii="宋体" w:hAnsi="宋体"/>
              </w:rPr>
              <w:t>联系方式</w:t>
            </w:r>
          </w:p>
        </w:tc>
        <w:tc>
          <w:tcPr>
            <w:tcW w:w="1225" w:type="dxa"/>
            <w:tcBorders>
              <w:top w:val="single" w:color="auto" w:sz="4" w:space="0"/>
              <w:left w:val="nil"/>
              <w:bottom w:val="single" w:color="auto" w:sz="4" w:space="0"/>
              <w:right w:val="single" w:color="auto" w:sz="4" w:space="0"/>
            </w:tcBorders>
            <w:noWrap w:val="0"/>
            <w:vAlign w:val="center"/>
          </w:tcPr>
          <w:p w14:paraId="453B150D">
            <w:pPr>
              <w:jc w:val="center"/>
              <w:rPr>
                <w:rFonts w:ascii="宋体" w:hAnsi="宋体"/>
                <w:szCs w:val="21"/>
              </w:rPr>
            </w:pPr>
            <w:r>
              <w:rPr>
                <w:rFonts w:hint="eastAsia" w:ascii="宋体" w:hAnsi="宋体"/>
              </w:rPr>
              <w:t>联系人</w:t>
            </w:r>
          </w:p>
        </w:tc>
        <w:tc>
          <w:tcPr>
            <w:tcW w:w="2274" w:type="dxa"/>
            <w:gridSpan w:val="3"/>
            <w:tcBorders>
              <w:top w:val="single" w:color="auto" w:sz="4" w:space="0"/>
              <w:left w:val="nil"/>
              <w:bottom w:val="single" w:color="auto" w:sz="4" w:space="0"/>
              <w:right w:val="single" w:color="auto" w:sz="4" w:space="0"/>
            </w:tcBorders>
            <w:noWrap w:val="0"/>
            <w:vAlign w:val="center"/>
          </w:tcPr>
          <w:p w14:paraId="7FDEB334">
            <w:pPr>
              <w:jc w:val="center"/>
              <w:rPr>
                <w:rFonts w:ascii="宋体" w:hAnsi="宋体"/>
                <w:szCs w:val="21"/>
              </w:rPr>
            </w:pPr>
          </w:p>
        </w:tc>
        <w:tc>
          <w:tcPr>
            <w:tcW w:w="1287" w:type="dxa"/>
            <w:tcBorders>
              <w:top w:val="single" w:color="auto" w:sz="4" w:space="0"/>
              <w:left w:val="nil"/>
              <w:bottom w:val="single" w:color="auto" w:sz="4" w:space="0"/>
              <w:right w:val="single" w:color="auto" w:sz="4" w:space="0"/>
            </w:tcBorders>
            <w:noWrap w:val="0"/>
            <w:vAlign w:val="center"/>
          </w:tcPr>
          <w:p w14:paraId="023C2EAC">
            <w:pPr>
              <w:jc w:val="center"/>
              <w:rPr>
                <w:rFonts w:ascii="宋体" w:hAnsi="宋体"/>
                <w:szCs w:val="21"/>
              </w:rPr>
            </w:pPr>
            <w:r>
              <w:rPr>
                <w:rFonts w:hint="eastAsia" w:ascii="宋体" w:hAnsi="宋体"/>
              </w:rPr>
              <w:t>电  话</w:t>
            </w:r>
          </w:p>
        </w:tc>
        <w:tc>
          <w:tcPr>
            <w:tcW w:w="2380" w:type="dxa"/>
            <w:gridSpan w:val="3"/>
            <w:tcBorders>
              <w:top w:val="single" w:color="auto" w:sz="4" w:space="0"/>
              <w:left w:val="nil"/>
              <w:bottom w:val="single" w:color="auto" w:sz="4" w:space="0"/>
              <w:right w:val="single" w:color="auto" w:sz="4" w:space="0"/>
            </w:tcBorders>
            <w:noWrap w:val="0"/>
            <w:vAlign w:val="center"/>
          </w:tcPr>
          <w:p w14:paraId="2E41DB29">
            <w:pPr>
              <w:jc w:val="center"/>
              <w:rPr>
                <w:rFonts w:ascii="宋体" w:hAnsi="宋体"/>
                <w:szCs w:val="21"/>
              </w:rPr>
            </w:pPr>
          </w:p>
        </w:tc>
      </w:tr>
      <w:tr w14:paraId="1359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vMerge w:val="continue"/>
            <w:tcBorders>
              <w:top w:val="nil"/>
              <w:left w:val="single" w:color="auto" w:sz="4" w:space="0"/>
              <w:bottom w:val="single" w:color="auto" w:sz="4" w:space="0"/>
              <w:right w:val="single" w:color="auto" w:sz="4" w:space="0"/>
            </w:tcBorders>
            <w:noWrap w:val="0"/>
            <w:vAlign w:val="center"/>
          </w:tcPr>
          <w:p w14:paraId="7F6CDDD7">
            <w:pPr>
              <w:widowControl/>
              <w:jc w:val="left"/>
              <w:rPr>
                <w:rFonts w:ascii="宋体" w:hAnsi="宋体"/>
                <w:szCs w:val="21"/>
              </w:rPr>
            </w:pPr>
          </w:p>
        </w:tc>
        <w:tc>
          <w:tcPr>
            <w:tcW w:w="1225" w:type="dxa"/>
            <w:tcBorders>
              <w:top w:val="single" w:color="auto" w:sz="4" w:space="0"/>
              <w:left w:val="nil"/>
              <w:bottom w:val="single" w:color="auto" w:sz="4" w:space="0"/>
              <w:right w:val="single" w:color="auto" w:sz="4" w:space="0"/>
            </w:tcBorders>
            <w:noWrap w:val="0"/>
            <w:vAlign w:val="center"/>
          </w:tcPr>
          <w:p w14:paraId="4B781879">
            <w:pPr>
              <w:jc w:val="center"/>
              <w:rPr>
                <w:rFonts w:ascii="宋体" w:hAnsi="宋体"/>
                <w:szCs w:val="21"/>
              </w:rPr>
            </w:pPr>
            <w:r>
              <w:rPr>
                <w:rFonts w:hint="eastAsia" w:ascii="宋体" w:hAnsi="宋体"/>
              </w:rPr>
              <w:t>电子邮件</w:t>
            </w:r>
          </w:p>
        </w:tc>
        <w:tc>
          <w:tcPr>
            <w:tcW w:w="5941" w:type="dxa"/>
            <w:gridSpan w:val="7"/>
            <w:tcBorders>
              <w:top w:val="single" w:color="auto" w:sz="4" w:space="0"/>
              <w:left w:val="nil"/>
              <w:bottom w:val="single" w:color="auto" w:sz="4" w:space="0"/>
              <w:right w:val="single" w:color="auto" w:sz="4" w:space="0"/>
            </w:tcBorders>
            <w:noWrap w:val="0"/>
            <w:vAlign w:val="center"/>
          </w:tcPr>
          <w:p w14:paraId="3F9A840E">
            <w:pPr>
              <w:jc w:val="center"/>
              <w:rPr>
                <w:rFonts w:ascii="宋体" w:hAnsi="宋体"/>
                <w:szCs w:val="21"/>
              </w:rPr>
            </w:pPr>
          </w:p>
        </w:tc>
      </w:tr>
      <w:tr w14:paraId="2DD0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7960F642">
            <w:pPr>
              <w:jc w:val="center"/>
              <w:rPr>
                <w:rFonts w:ascii="宋体" w:hAnsi="宋体"/>
                <w:szCs w:val="21"/>
              </w:rPr>
            </w:pPr>
            <w:r>
              <w:rPr>
                <w:rFonts w:hint="eastAsia" w:ascii="宋体" w:hAnsi="宋体"/>
              </w:rPr>
              <w:t>组织机构</w:t>
            </w:r>
          </w:p>
        </w:tc>
        <w:tc>
          <w:tcPr>
            <w:tcW w:w="7166" w:type="dxa"/>
            <w:gridSpan w:val="8"/>
            <w:tcBorders>
              <w:top w:val="single" w:color="auto" w:sz="4" w:space="0"/>
              <w:left w:val="nil"/>
              <w:bottom w:val="single" w:color="auto" w:sz="4" w:space="0"/>
              <w:right w:val="single" w:color="auto" w:sz="4" w:space="0"/>
            </w:tcBorders>
            <w:noWrap w:val="0"/>
            <w:vAlign w:val="center"/>
          </w:tcPr>
          <w:p w14:paraId="696C07D6">
            <w:pPr>
              <w:jc w:val="center"/>
              <w:rPr>
                <w:rFonts w:ascii="宋体" w:hAnsi="宋体"/>
                <w:szCs w:val="21"/>
              </w:rPr>
            </w:pPr>
          </w:p>
        </w:tc>
      </w:tr>
      <w:tr w14:paraId="0091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3D363735">
            <w:pPr>
              <w:jc w:val="center"/>
              <w:rPr>
                <w:rFonts w:ascii="宋体" w:hAnsi="宋体"/>
                <w:szCs w:val="21"/>
              </w:rPr>
            </w:pPr>
            <w:r>
              <w:rPr>
                <w:rFonts w:hint="eastAsia" w:ascii="宋体" w:hAnsi="宋体"/>
              </w:rPr>
              <w:t>法定代表人</w:t>
            </w:r>
          </w:p>
        </w:tc>
        <w:tc>
          <w:tcPr>
            <w:tcW w:w="1225" w:type="dxa"/>
            <w:tcBorders>
              <w:top w:val="single" w:color="auto" w:sz="4" w:space="0"/>
              <w:left w:val="nil"/>
              <w:bottom w:val="single" w:color="auto" w:sz="4" w:space="0"/>
              <w:right w:val="single" w:color="auto" w:sz="4" w:space="0"/>
            </w:tcBorders>
            <w:noWrap w:val="0"/>
            <w:vAlign w:val="center"/>
          </w:tcPr>
          <w:p w14:paraId="46DCC203">
            <w:pPr>
              <w:jc w:val="center"/>
              <w:rPr>
                <w:rFonts w:ascii="宋体" w:hAnsi="宋体"/>
                <w:szCs w:val="21"/>
              </w:rPr>
            </w:pPr>
            <w:r>
              <w:rPr>
                <w:rFonts w:hint="eastAsia" w:ascii="宋体" w:hAnsi="宋体"/>
              </w:rPr>
              <w:t>姓名</w:t>
            </w:r>
          </w:p>
        </w:tc>
        <w:tc>
          <w:tcPr>
            <w:tcW w:w="1013" w:type="dxa"/>
            <w:tcBorders>
              <w:top w:val="single" w:color="auto" w:sz="4" w:space="0"/>
              <w:left w:val="nil"/>
              <w:bottom w:val="single" w:color="auto" w:sz="4" w:space="0"/>
              <w:right w:val="single" w:color="auto" w:sz="4" w:space="0"/>
            </w:tcBorders>
            <w:noWrap w:val="0"/>
            <w:vAlign w:val="center"/>
          </w:tcPr>
          <w:p w14:paraId="79F72854">
            <w:pPr>
              <w:jc w:val="center"/>
              <w:rPr>
                <w:rFonts w:ascii="宋体" w:hAnsi="宋体"/>
                <w:szCs w:val="21"/>
              </w:rPr>
            </w:pPr>
          </w:p>
        </w:tc>
        <w:tc>
          <w:tcPr>
            <w:tcW w:w="1261" w:type="dxa"/>
            <w:gridSpan w:val="2"/>
            <w:tcBorders>
              <w:top w:val="single" w:color="auto" w:sz="4" w:space="0"/>
              <w:left w:val="nil"/>
              <w:bottom w:val="single" w:color="auto" w:sz="4" w:space="0"/>
              <w:right w:val="single" w:color="auto" w:sz="4" w:space="0"/>
            </w:tcBorders>
            <w:noWrap w:val="0"/>
            <w:vAlign w:val="center"/>
          </w:tcPr>
          <w:p w14:paraId="1FEFF0CD">
            <w:pPr>
              <w:jc w:val="center"/>
              <w:rPr>
                <w:rFonts w:ascii="宋体" w:hAnsi="宋体"/>
                <w:szCs w:val="21"/>
              </w:rPr>
            </w:pPr>
            <w:r>
              <w:rPr>
                <w:rFonts w:hint="eastAsia" w:ascii="宋体" w:hAnsi="宋体"/>
              </w:rPr>
              <w:t>技术职称</w:t>
            </w:r>
          </w:p>
        </w:tc>
        <w:tc>
          <w:tcPr>
            <w:tcW w:w="1696" w:type="dxa"/>
            <w:gridSpan w:val="2"/>
            <w:tcBorders>
              <w:top w:val="single" w:color="auto" w:sz="4" w:space="0"/>
              <w:left w:val="nil"/>
              <w:bottom w:val="single" w:color="auto" w:sz="4" w:space="0"/>
              <w:right w:val="single" w:color="auto" w:sz="4" w:space="0"/>
            </w:tcBorders>
            <w:noWrap w:val="0"/>
            <w:vAlign w:val="center"/>
          </w:tcPr>
          <w:p w14:paraId="68B48C47">
            <w:pPr>
              <w:jc w:val="center"/>
              <w:rPr>
                <w:rFonts w:ascii="宋体" w:hAnsi="宋体"/>
                <w:szCs w:val="21"/>
              </w:rPr>
            </w:pPr>
          </w:p>
        </w:tc>
        <w:tc>
          <w:tcPr>
            <w:tcW w:w="798" w:type="dxa"/>
            <w:tcBorders>
              <w:top w:val="single" w:color="auto" w:sz="4" w:space="0"/>
              <w:left w:val="nil"/>
              <w:bottom w:val="single" w:color="auto" w:sz="4" w:space="0"/>
              <w:right w:val="single" w:color="auto" w:sz="4" w:space="0"/>
            </w:tcBorders>
            <w:noWrap w:val="0"/>
            <w:vAlign w:val="center"/>
          </w:tcPr>
          <w:p w14:paraId="66BDE9A8">
            <w:pPr>
              <w:jc w:val="center"/>
              <w:rPr>
                <w:rFonts w:ascii="宋体" w:hAnsi="宋体"/>
                <w:szCs w:val="21"/>
              </w:rPr>
            </w:pPr>
            <w:r>
              <w:rPr>
                <w:rFonts w:hint="eastAsia" w:ascii="宋体" w:hAnsi="宋体"/>
              </w:rPr>
              <w:t>电话</w:t>
            </w:r>
          </w:p>
        </w:tc>
        <w:tc>
          <w:tcPr>
            <w:tcW w:w="1173" w:type="dxa"/>
            <w:tcBorders>
              <w:top w:val="single" w:color="auto" w:sz="4" w:space="0"/>
              <w:left w:val="nil"/>
              <w:bottom w:val="single" w:color="auto" w:sz="4" w:space="0"/>
              <w:right w:val="single" w:color="auto" w:sz="4" w:space="0"/>
            </w:tcBorders>
            <w:noWrap w:val="0"/>
            <w:vAlign w:val="center"/>
          </w:tcPr>
          <w:p w14:paraId="3713D9C8">
            <w:pPr>
              <w:jc w:val="center"/>
              <w:rPr>
                <w:rFonts w:ascii="宋体" w:hAnsi="宋体"/>
                <w:szCs w:val="21"/>
              </w:rPr>
            </w:pPr>
          </w:p>
        </w:tc>
      </w:tr>
      <w:tr w14:paraId="60C3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1C970437">
            <w:pPr>
              <w:jc w:val="center"/>
              <w:rPr>
                <w:rFonts w:hint="eastAsia" w:ascii="宋体" w:hAnsi="宋体" w:eastAsia="宋体"/>
                <w:szCs w:val="21"/>
                <w:lang w:eastAsia="zh-CN"/>
              </w:rPr>
            </w:pPr>
            <w:r>
              <w:rPr>
                <w:rFonts w:hint="eastAsia" w:ascii="宋体" w:hAnsi="宋体"/>
                <w:lang w:eastAsia="zh-CN"/>
              </w:rPr>
              <w:t>项目总工</w:t>
            </w:r>
          </w:p>
        </w:tc>
        <w:tc>
          <w:tcPr>
            <w:tcW w:w="1225" w:type="dxa"/>
            <w:tcBorders>
              <w:top w:val="single" w:color="auto" w:sz="4" w:space="0"/>
              <w:left w:val="nil"/>
              <w:bottom w:val="single" w:color="auto" w:sz="4" w:space="0"/>
              <w:right w:val="single" w:color="auto" w:sz="4" w:space="0"/>
            </w:tcBorders>
            <w:noWrap w:val="0"/>
            <w:vAlign w:val="center"/>
          </w:tcPr>
          <w:p w14:paraId="24D7693D">
            <w:pPr>
              <w:jc w:val="center"/>
              <w:rPr>
                <w:rFonts w:ascii="宋体" w:hAnsi="宋体"/>
                <w:szCs w:val="21"/>
              </w:rPr>
            </w:pPr>
            <w:r>
              <w:rPr>
                <w:rFonts w:hint="eastAsia" w:ascii="宋体" w:hAnsi="宋体"/>
              </w:rPr>
              <w:t>姓名</w:t>
            </w:r>
          </w:p>
        </w:tc>
        <w:tc>
          <w:tcPr>
            <w:tcW w:w="1013" w:type="dxa"/>
            <w:tcBorders>
              <w:top w:val="single" w:color="auto" w:sz="4" w:space="0"/>
              <w:left w:val="nil"/>
              <w:bottom w:val="single" w:color="auto" w:sz="4" w:space="0"/>
              <w:right w:val="single" w:color="auto" w:sz="4" w:space="0"/>
            </w:tcBorders>
            <w:noWrap w:val="0"/>
            <w:vAlign w:val="center"/>
          </w:tcPr>
          <w:p w14:paraId="04E86BE3">
            <w:pPr>
              <w:jc w:val="center"/>
              <w:rPr>
                <w:rFonts w:ascii="宋体" w:hAnsi="宋体"/>
                <w:szCs w:val="21"/>
              </w:rPr>
            </w:pPr>
          </w:p>
        </w:tc>
        <w:tc>
          <w:tcPr>
            <w:tcW w:w="1261" w:type="dxa"/>
            <w:gridSpan w:val="2"/>
            <w:tcBorders>
              <w:top w:val="single" w:color="auto" w:sz="4" w:space="0"/>
              <w:left w:val="nil"/>
              <w:bottom w:val="single" w:color="auto" w:sz="4" w:space="0"/>
              <w:right w:val="single" w:color="auto" w:sz="4" w:space="0"/>
            </w:tcBorders>
            <w:noWrap w:val="0"/>
            <w:vAlign w:val="center"/>
          </w:tcPr>
          <w:p w14:paraId="429962E2">
            <w:pPr>
              <w:jc w:val="center"/>
              <w:rPr>
                <w:rFonts w:ascii="宋体" w:hAnsi="宋体"/>
                <w:szCs w:val="21"/>
              </w:rPr>
            </w:pPr>
            <w:r>
              <w:rPr>
                <w:rFonts w:hint="eastAsia" w:ascii="宋体" w:hAnsi="宋体"/>
              </w:rPr>
              <w:t>技术职称</w:t>
            </w:r>
          </w:p>
        </w:tc>
        <w:tc>
          <w:tcPr>
            <w:tcW w:w="1696" w:type="dxa"/>
            <w:gridSpan w:val="2"/>
            <w:tcBorders>
              <w:top w:val="single" w:color="auto" w:sz="4" w:space="0"/>
              <w:left w:val="nil"/>
              <w:bottom w:val="single" w:color="auto" w:sz="4" w:space="0"/>
              <w:right w:val="single" w:color="auto" w:sz="4" w:space="0"/>
            </w:tcBorders>
            <w:noWrap w:val="0"/>
            <w:vAlign w:val="center"/>
          </w:tcPr>
          <w:p w14:paraId="16DF1741">
            <w:pPr>
              <w:jc w:val="center"/>
              <w:rPr>
                <w:rFonts w:ascii="宋体" w:hAnsi="宋体"/>
                <w:szCs w:val="21"/>
              </w:rPr>
            </w:pPr>
          </w:p>
        </w:tc>
        <w:tc>
          <w:tcPr>
            <w:tcW w:w="798" w:type="dxa"/>
            <w:tcBorders>
              <w:top w:val="single" w:color="auto" w:sz="4" w:space="0"/>
              <w:left w:val="nil"/>
              <w:bottom w:val="single" w:color="auto" w:sz="4" w:space="0"/>
              <w:right w:val="single" w:color="auto" w:sz="4" w:space="0"/>
            </w:tcBorders>
            <w:noWrap w:val="0"/>
            <w:vAlign w:val="center"/>
          </w:tcPr>
          <w:p w14:paraId="45B57551">
            <w:pPr>
              <w:jc w:val="center"/>
              <w:rPr>
                <w:rFonts w:ascii="宋体" w:hAnsi="宋体"/>
                <w:szCs w:val="21"/>
              </w:rPr>
            </w:pPr>
            <w:r>
              <w:rPr>
                <w:rFonts w:hint="eastAsia" w:ascii="宋体" w:hAnsi="宋体"/>
              </w:rPr>
              <w:t>电话</w:t>
            </w:r>
          </w:p>
        </w:tc>
        <w:tc>
          <w:tcPr>
            <w:tcW w:w="1173" w:type="dxa"/>
            <w:tcBorders>
              <w:top w:val="single" w:color="auto" w:sz="4" w:space="0"/>
              <w:left w:val="nil"/>
              <w:bottom w:val="single" w:color="auto" w:sz="4" w:space="0"/>
              <w:right w:val="single" w:color="auto" w:sz="4" w:space="0"/>
            </w:tcBorders>
            <w:noWrap w:val="0"/>
            <w:vAlign w:val="center"/>
          </w:tcPr>
          <w:p w14:paraId="7F7259F6">
            <w:pPr>
              <w:jc w:val="center"/>
              <w:rPr>
                <w:rFonts w:ascii="宋体" w:hAnsi="宋体"/>
                <w:szCs w:val="21"/>
              </w:rPr>
            </w:pPr>
          </w:p>
        </w:tc>
      </w:tr>
      <w:tr w14:paraId="72A2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55888027">
            <w:pPr>
              <w:jc w:val="center"/>
              <w:rPr>
                <w:rFonts w:ascii="宋体" w:hAnsi="宋体"/>
                <w:szCs w:val="21"/>
              </w:rPr>
            </w:pPr>
            <w:r>
              <w:rPr>
                <w:rFonts w:hint="eastAsia" w:ascii="宋体" w:hAnsi="宋体"/>
              </w:rPr>
              <w:t>成立时间</w:t>
            </w:r>
          </w:p>
        </w:tc>
        <w:tc>
          <w:tcPr>
            <w:tcW w:w="2238" w:type="dxa"/>
            <w:gridSpan w:val="2"/>
            <w:tcBorders>
              <w:top w:val="single" w:color="auto" w:sz="4" w:space="0"/>
              <w:left w:val="nil"/>
              <w:bottom w:val="single" w:color="auto" w:sz="4" w:space="0"/>
              <w:right w:val="single" w:color="auto" w:sz="4" w:space="0"/>
            </w:tcBorders>
            <w:noWrap w:val="0"/>
            <w:vAlign w:val="center"/>
          </w:tcPr>
          <w:p w14:paraId="1F69522A">
            <w:pPr>
              <w:jc w:val="center"/>
              <w:rPr>
                <w:rFonts w:ascii="宋体" w:hAnsi="宋体"/>
                <w:szCs w:val="21"/>
              </w:rPr>
            </w:pPr>
          </w:p>
        </w:tc>
        <w:tc>
          <w:tcPr>
            <w:tcW w:w="4928" w:type="dxa"/>
            <w:gridSpan w:val="6"/>
            <w:tcBorders>
              <w:top w:val="single" w:color="auto" w:sz="4" w:space="0"/>
              <w:left w:val="nil"/>
              <w:bottom w:val="single" w:color="auto" w:sz="4" w:space="0"/>
              <w:right w:val="single" w:color="auto" w:sz="4" w:space="0"/>
            </w:tcBorders>
            <w:noWrap w:val="0"/>
            <w:vAlign w:val="center"/>
          </w:tcPr>
          <w:p w14:paraId="6BADF955">
            <w:pPr>
              <w:jc w:val="center"/>
              <w:rPr>
                <w:rFonts w:ascii="宋体" w:hAnsi="宋体"/>
                <w:szCs w:val="21"/>
              </w:rPr>
            </w:pPr>
            <w:r>
              <w:rPr>
                <w:rFonts w:hint="eastAsia" w:ascii="宋体" w:hAnsi="宋体"/>
              </w:rPr>
              <w:t>员工总人数：</w:t>
            </w:r>
          </w:p>
        </w:tc>
      </w:tr>
      <w:tr w14:paraId="4247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7D9F4132">
            <w:pPr>
              <w:jc w:val="center"/>
              <w:rPr>
                <w:rFonts w:ascii="宋体" w:hAnsi="宋体"/>
                <w:szCs w:val="21"/>
              </w:rPr>
            </w:pPr>
            <w:r>
              <w:rPr>
                <w:rFonts w:hint="eastAsia" w:ascii="宋体" w:hAnsi="宋体"/>
              </w:rPr>
              <w:t>企业资质等级</w:t>
            </w:r>
          </w:p>
        </w:tc>
        <w:tc>
          <w:tcPr>
            <w:tcW w:w="1225" w:type="dxa"/>
            <w:tcBorders>
              <w:top w:val="single" w:color="auto" w:sz="4" w:space="0"/>
              <w:left w:val="nil"/>
              <w:bottom w:val="single" w:color="auto" w:sz="4" w:space="0"/>
              <w:right w:val="single" w:color="auto" w:sz="4" w:space="0"/>
            </w:tcBorders>
            <w:noWrap w:val="0"/>
            <w:vAlign w:val="center"/>
          </w:tcPr>
          <w:p w14:paraId="7533423E">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08A834E8">
            <w:pPr>
              <w:jc w:val="center"/>
              <w:rPr>
                <w:rFonts w:ascii="宋体" w:hAnsi="宋体"/>
                <w:szCs w:val="21"/>
              </w:rPr>
            </w:pPr>
          </w:p>
        </w:tc>
        <w:tc>
          <w:tcPr>
            <w:tcW w:w="1192" w:type="dxa"/>
            <w:vMerge w:val="restart"/>
            <w:tcBorders>
              <w:top w:val="single" w:color="auto" w:sz="4" w:space="0"/>
              <w:left w:val="nil"/>
              <w:bottom w:val="single" w:color="auto" w:sz="4" w:space="0"/>
              <w:right w:val="single" w:color="auto" w:sz="4" w:space="0"/>
            </w:tcBorders>
            <w:noWrap w:val="0"/>
            <w:vAlign w:val="center"/>
          </w:tcPr>
          <w:p w14:paraId="629F788D">
            <w:pPr>
              <w:jc w:val="center"/>
              <w:rPr>
                <w:rFonts w:ascii="宋体" w:hAnsi="宋体"/>
                <w:szCs w:val="21"/>
              </w:rPr>
            </w:pPr>
            <w:r>
              <w:rPr>
                <w:rFonts w:hint="eastAsia" w:ascii="宋体" w:hAnsi="宋体"/>
              </w:rPr>
              <w:t>其中</w:t>
            </w:r>
          </w:p>
        </w:tc>
        <w:tc>
          <w:tcPr>
            <w:tcW w:w="1765" w:type="dxa"/>
            <w:gridSpan w:val="3"/>
            <w:tcBorders>
              <w:top w:val="single" w:color="auto" w:sz="4" w:space="0"/>
              <w:left w:val="nil"/>
              <w:bottom w:val="single" w:color="auto" w:sz="4" w:space="0"/>
              <w:right w:val="single" w:color="auto" w:sz="4" w:space="0"/>
            </w:tcBorders>
            <w:noWrap w:val="0"/>
            <w:vAlign w:val="center"/>
          </w:tcPr>
          <w:p w14:paraId="1FD75571">
            <w:pPr>
              <w:jc w:val="center"/>
              <w:rPr>
                <w:rFonts w:hint="eastAsia" w:ascii="宋体" w:hAnsi="宋体" w:eastAsia="宋体"/>
                <w:szCs w:val="21"/>
                <w:lang w:eastAsia="zh-CN"/>
              </w:rPr>
            </w:pPr>
            <w:r>
              <w:rPr>
                <w:rFonts w:hint="eastAsia" w:ascii="宋体" w:hAnsi="宋体"/>
              </w:rPr>
              <w:t>拟派</w:t>
            </w:r>
            <w:r>
              <w:rPr>
                <w:rFonts w:hint="eastAsia" w:ascii="宋体" w:hAnsi="宋体"/>
                <w:lang w:eastAsia="zh-CN"/>
              </w:rPr>
              <w:t>项目经理</w:t>
            </w:r>
          </w:p>
        </w:tc>
        <w:tc>
          <w:tcPr>
            <w:tcW w:w="1971" w:type="dxa"/>
            <w:gridSpan w:val="2"/>
            <w:tcBorders>
              <w:top w:val="single" w:color="auto" w:sz="4" w:space="0"/>
              <w:left w:val="nil"/>
              <w:bottom w:val="single" w:color="auto" w:sz="4" w:space="0"/>
              <w:right w:val="single" w:color="auto" w:sz="4" w:space="0"/>
            </w:tcBorders>
            <w:noWrap w:val="0"/>
            <w:vAlign w:val="center"/>
          </w:tcPr>
          <w:p w14:paraId="0003F0E2">
            <w:pPr>
              <w:jc w:val="center"/>
              <w:rPr>
                <w:rFonts w:ascii="宋体" w:hAnsi="宋体"/>
                <w:szCs w:val="21"/>
              </w:rPr>
            </w:pPr>
          </w:p>
        </w:tc>
      </w:tr>
      <w:tr w14:paraId="235A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40495C3C">
            <w:pPr>
              <w:jc w:val="center"/>
              <w:rPr>
                <w:rFonts w:ascii="宋体" w:hAnsi="宋体"/>
                <w:szCs w:val="21"/>
              </w:rPr>
            </w:pPr>
            <w:r>
              <w:rPr>
                <w:rFonts w:hint="eastAsia" w:ascii="宋体" w:hAnsi="宋体"/>
              </w:rPr>
              <w:t>营业执照号</w:t>
            </w:r>
          </w:p>
        </w:tc>
        <w:tc>
          <w:tcPr>
            <w:tcW w:w="1225" w:type="dxa"/>
            <w:tcBorders>
              <w:top w:val="single" w:color="auto" w:sz="4" w:space="0"/>
              <w:left w:val="nil"/>
              <w:bottom w:val="single" w:color="auto" w:sz="4" w:space="0"/>
              <w:right w:val="single" w:color="auto" w:sz="4" w:space="0"/>
            </w:tcBorders>
            <w:noWrap w:val="0"/>
            <w:vAlign w:val="center"/>
          </w:tcPr>
          <w:p w14:paraId="3076FDF9">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26FDECCB">
            <w:pPr>
              <w:jc w:val="center"/>
              <w:rPr>
                <w:rFonts w:ascii="宋体" w:hAnsi="宋体"/>
                <w:szCs w:val="21"/>
              </w:rPr>
            </w:pPr>
          </w:p>
        </w:tc>
        <w:tc>
          <w:tcPr>
            <w:tcW w:w="1192" w:type="dxa"/>
            <w:vMerge w:val="continue"/>
            <w:tcBorders>
              <w:top w:val="single" w:color="auto" w:sz="4" w:space="0"/>
              <w:left w:val="nil"/>
              <w:bottom w:val="single" w:color="auto" w:sz="4" w:space="0"/>
              <w:right w:val="single" w:color="auto" w:sz="4" w:space="0"/>
            </w:tcBorders>
            <w:noWrap w:val="0"/>
            <w:vAlign w:val="center"/>
          </w:tcPr>
          <w:p w14:paraId="72C5A2C5">
            <w:pPr>
              <w:widowControl/>
              <w:jc w:val="left"/>
              <w:rPr>
                <w:rFonts w:ascii="宋体" w:hAnsi="宋体"/>
                <w:szCs w:val="21"/>
              </w:rPr>
            </w:pPr>
          </w:p>
        </w:tc>
        <w:tc>
          <w:tcPr>
            <w:tcW w:w="1765" w:type="dxa"/>
            <w:gridSpan w:val="3"/>
            <w:tcBorders>
              <w:top w:val="single" w:color="auto" w:sz="4" w:space="0"/>
              <w:left w:val="nil"/>
              <w:bottom w:val="single" w:color="auto" w:sz="4" w:space="0"/>
              <w:right w:val="single" w:color="auto" w:sz="4" w:space="0"/>
            </w:tcBorders>
            <w:noWrap w:val="0"/>
            <w:vAlign w:val="center"/>
          </w:tcPr>
          <w:p w14:paraId="57004AB0">
            <w:pPr>
              <w:jc w:val="center"/>
              <w:rPr>
                <w:rFonts w:ascii="宋体" w:hAnsi="宋体"/>
                <w:szCs w:val="21"/>
              </w:rPr>
            </w:pPr>
            <w:r>
              <w:rPr>
                <w:rFonts w:hint="eastAsia" w:ascii="宋体" w:hAnsi="宋体"/>
              </w:rPr>
              <w:t>高级职称人员</w:t>
            </w:r>
          </w:p>
        </w:tc>
        <w:tc>
          <w:tcPr>
            <w:tcW w:w="1971" w:type="dxa"/>
            <w:gridSpan w:val="2"/>
            <w:tcBorders>
              <w:top w:val="single" w:color="auto" w:sz="4" w:space="0"/>
              <w:left w:val="nil"/>
              <w:bottom w:val="single" w:color="auto" w:sz="4" w:space="0"/>
              <w:right w:val="single" w:color="auto" w:sz="4" w:space="0"/>
            </w:tcBorders>
            <w:noWrap w:val="0"/>
            <w:vAlign w:val="center"/>
          </w:tcPr>
          <w:p w14:paraId="5885D8F0">
            <w:pPr>
              <w:jc w:val="center"/>
              <w:rPr>
                <w:rFonts w:ascii="宋体" w:hAnsi="宋体"/>
                <w:szCs w:val="21"/>
              </w:rPr>
            </w:pPr>
          </w:p>
        </w:tc>
      </w:tr>
      <w:tr w14:paraId="118F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1617C61A">
            <w:pPr>
              <w:jc w:val="center"/>
              <w:rPr>
                <w:rFonts w:ascii="宋体" w:hAnsi="宋体"/>
                <w:szCs w:val="21"/>
              </w:rPr>
            </w:pPr>
            <w:r>
              <w:rPr>
                <w:rFonts w:hint="eastAsia" w:ascii="宋体" w:hAnsi="宋体"/>
              </w:rPr>
              <w:t>注册资金</w:t>
            </w:r>
          </w:p>
        </w:tc>
        <w:tc>
          <w:tcPr>
            <w:tcW w:w="1225" w:type="dxa"/>
            <w:tcBorders>
              <w:top w:val="single" w:color="auto" w:sz="4" w:space="0"/>
              <w:left w:val="nil"/>
              <w:bottom w:val="single" w:color="auto" w:sz="4" w:space="0"/>
              <w:right w:val="single" w:color="auto" w:sz="4" w:space="0"/>
            </w:tcBorders>
            <w:noWrap w:val="0"/>
            <w:vAlign w:val="center"/>
          </w:tcPr>
          <w:p w14:paraId="344E65E3">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7D215569">
            <w:pPr>
              <w:jc w:val="center"/>
              <w:rPr>
                <w:rFonts w:ascii="宋体" w:hAnsi="宋体"/>
                <w:szCs w:val="21"/>
              </w:rPr>
            </w:pPr>
          </w:p>
        </w:tc>
        <w:tc>
          <w:tcPr>
            <w:tcW w:w="1192" w:type="dxa"/>
            <w:vMerge w:val="continue"/>
            <w:tcBorders>
              <w:top w:val="single" w:color="auto" w:sz="4" w:space="0"/>
              <w:left w:val="nil"/>
              <w:bottom w:val="single" w:color="auto" w:sz="4" w:space="0"/>
              <w:right w:val="single" w:color="auto" w:sz="4" w:space="0"/>
            </w:tcBorders>
            <w:noWrap w:val="0"/>
            <w:vAlign w:val="center"/>
          </w:tcPr>
          <w:p w14:paraId="10AA5B1A">
            <w:pPr>
              <w:widowControl/>
              <w:jc w:val="left"/>
              <w:rPr>
                <w:rFonts w:ascii="宋体" w:hAnsi="宋体"/>
                <w:szCs w:val="21"/>
              </w:rPr>
            </w:pPr>
          </w:p>
        </w:tc>
        <w:tc>
          <w:tcPr>
            <w:tcW w:w="1765" w:type="dxa"/>
            <w:gridSpan w:val="3"/>
            <w:tcBorders>
              <w:top w:val="single" w:color="auto" w:sz="4" w:space="0"/>
              <w:left w:val="nil"/>
              <w:bottom w:val="single" w:color="auto" w:sz="4" w:space="0"/>
              <w:right w:val="single" w:color="auto" w:sz="4" w:space="0"/>
            </w:tcBorders>
            <w:noWrap w:val="0"/>
            <w:vAlign w:val="center"/>
          </w:tcPr>
          <w:p w14:paraId="6BCC2752">
            <w:pPr>
              <w:jc w:val="center"/>
              <w:rPr>
                <w:rFonts w:ascii="宋体" w:hAnsi="宋体"/>
                <w:szCs w:val="21"/>
              </w:rPr>
            </w:pPr>
            <w:r>
              <w:rPr>
                <w:rFonts w:hint="eastAsia" w:ascii="宋体" w:hAnsi="宋体"/>
              </w:rPr>
              <w:t>中级职称人员</w:t>
            </w:r>
          </w:p>
        </w:tc>
        <w:tc>
          <w:tcPr>
            <w:tcW w:w="1971" w:type="dxa"/>
            <w:gridSpan w:val="2"/>
            <w:tcBorders>
              <w:top w:val="single" w:color="auto" w:sz="4" w:space="0"/>
              <w:left w:val="nil"/>
              <w:bottom w:val="single" w:color="auto" w:sz="4" w:space="0"/>
              <w:right w:val="single" w:color="auto" w:sz="4" w:space="0"/>
            </w:tcBorders>
            <w:noWrap w:val="0"/>
            <w:vAlign w:val="center"/>
          </w:tcPr>
          <w:p w14:paraId="4CBA6B64">
            <w:pPr>
              <w:jc w:val="center"/>
              <w:rPr>
                <w:rFonts w:ascii="宋体" w:hAnsi="宋体"/>
                <w:szCs w:val="21"/>
              </w:rPr>
            </w:pPr>
          </w:p>
        </w:tc>
      </w:tr>
      <w:tr w14:paraId="27F9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328ED699">
            <w:pPr>
              <w:jc w:val="center"/>
              <w:rPr>
                <w:rFonts w:ascii="宋体" w:hAnsi="宋体"/>
                <w:szCs w:val="21"/>
              </w:rPr>
            </w:pPr>
            <w:r>
              <w:rPr>
                <w:rFonts w:hint="eastAsia" w:ascii="宋体" w:hAnsi="宋体"/>
              </w:rPr>
              <w:t>开户银行</w:t>
            </w:r>
          </w:p>
        </w:tc>
        <w:tc>
          <w:tcPr>
            <w:tcW w:w="1225" w:type="dxa"/>
            <w:tcBorders>
              <w:top w:val="single" w:color="auto" w:sz="4" w:space="0"/>
              <w:left w:val="nil"/>
              <w:bottom w:val="single" w:color="auto" w:sz="4" w:space="0"/>
              <w:right w:val="single" w:color="auto" w:sz="4" w:space="0"/>
            </w:tcBorders>
            <w:noWrap w:val="0"/>
            <w:vAlign w:val="center"/>
          </w:tcPr>
          <w:p w14:paraId="23295621">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628DF9FF">
            <w:pPr>
              <w:jc w:val="center"/>
              <w:rPr>
                <w:rFonts w:ascii="宋体" w:hAnsi="宋体"/>
                <w:szCs w:val="21"/>
              </w:rPr>
            </w:pPr>
          </w:p>
        </w:tc>
        <w:tc>
          <w:tcPr>
            <w:tcW w:w="1192" w:type="dxa"/>
            <w:vMerge w:val="continue"/>
            <w:tcBorders>
              <w:top w:val="single" w:color="auto" w:sz="4" w:space="0"/>
              <w:left w:val="nil"/>
              <w:bottom w:val="single" w:color="auto" w:sz="4" w:space="0"/>
              <w:right w:val="single" w:color="auto" w:sz="4" w:space="0"/>
            </w:tcBorders>
            <w:noWrap w:val="0"/>
            <w:vAlign w:val="center"/>
          </w:tcPr>
          <w:p w14:paraId="55C6B6EC">
            <w:pPr>
              <w:widowControl/>
              <w:jc w:val="left"/>
              <w:rPr>
                <w:rFonts w:ascii="宋体" w:hAnsi="宋体"/>
                <w:szCs w:val="21"/>
              </w:rPr>
            </w:pPr>
          </w:p>
        </w:tc>
        <w:tc>
          <w:tcPr>
            <w:tcW w:w="1765" w:type="dxa"/>
            <w:gridSpan w:val="3"/>
            <w:tcBorders>
              <w:top w:val="single" w:color="auto" w:sz="4" w:space="0"/>
              <w:left w:val="nil"/>
              <w:bottom w:val="single" w:color="auto" w:sz="4" w:space="0"/>
              <w:right w:val="single" w:color="auto" w:sz="4" w:space="0"/>
            </w:tcBorders>
            <w:noWrap w:val="0"/>
            <w:vAlign w:val="center"/>
          </w:tcPr>
          <w:p w14:paraId="5160A482">
            <w:pPr>
              <w:jc w:val="center"/>
              <w:rPr>
                <w:rFonts w:ascii="宋体" w:hAnsi="宋体"/>
                <w:szCs w:val="21"/>
              </w:rPr>
            </w:pPr>
            <w:r>
              <w:rPr>
                <w:rFonts w:hint="eastAsia" w:ascii="宋体" w:hAnsi="宋体"/>
              </w:rPr>
              <w:t>初级职称人员</w:t>
            </w:r>
          </w:p>
        </w:tc>
        <w:tc>
          <w:tcPr>
            <w:tcW w:w="1971" w:type="dxa"/>
            <w:gridSpan w:val="2"/>
            <w:tcBorders>
              <w:top w:val="single" w:color="auto" w:sz="4" w:space="0"/>
              <w:left w:val="nil"/>
              <w:bottom w:val="single" w:color="auto" w:sz="4" w:space="0"/>
              <w:right w:val="single" w:color="auto" w:sz="4" w:space="0"/>
            </w:tcBorders>
            <w:noWrap w:val="0"/>
            <w:vAlign w:val="center"/>
          </w:tcPr>
          <w:p w14:paraId="2A74E52A">
            <w:pPr>
              <w:jc w:val="center"/>
              <w:rPr>
                <w:rFonts w:ascii="宋体" w:hAnsi="宋体"/>
                <w:szCs w:val="21"/>
              </w:rPr>
            </w:pPr>
          </w:p>
        </w:tc>
      </w:tr>
      <w:tr w14:paraId="07FF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5E2E583C">
            <w:pPr>
              <w:jc w:val="center"/>
              <w:rPr>
                <w:rFonts w:ascii="宋体" w:hAnsi="宋体"/>
                <w:szCs w:val="21"/>
              </w:rPr>
            </w:pPr>
            <w:r>
              <w:rPr>
                <w:rFonts w:hint="eastAsia" w:ascii="宋体" w:hAnsi="宋体"/>
              </w:rPr>
              <w:t>账号</w:t>
            </w:r>
          </w:p>
        </w:tc>
        <w:tc>
          <w:tcPr>
            <w:tcW w:w="1225" w:type="dxa"/>
            <w:tcBorders>
              <w:top w:val="single" w:color="auto" w:sz="4" w:space="0"/>
              <w:left w:val="nil"/>
              <w:bottom w:val="single" w:color="auto" w:sz="4" w:space="0"/>
              <w:right w:val="single" w:color="auto" w:sz="4" w:space="0"/>
            </w:tcBorders>
            <w:noWrap w:val="0"/>
            <w:vAlign w:val="center"/>
          </w:tcPr>
          <w:p w14:paraId="126222E9">
            <w:pPr>
              <w:jc w:val="center"/>
              <w:rPr>
                <w:rFonts w:ascii="宋体" w:hAnsi="宋体"/>
                <w:szCs w:val="21"/>
              </w:rPr>
            </w:pPr>
          </w:p>
        </w:tc>
        <w:tc>
          <w:tcPr>
            <w:tcW w:w="1013" w:type="dxa"/>
            <w:tcBorders>
              <w:top w:val="single" w:color="auto" w:sz="4" w:space="0"/>
              <w:left w:val="nil"/>
              <w:bottom w:val="single" w:color="auto" w:sz="4" w:space="0"/>
              <w:right w:val="single" w:color="auto" w:sz="4" w:space="0"/>
            </w:tcBorders>
            <w:noWrap w:val="0"/>
            <w:vAlign w:val="center"/>
          </w:tcPr>
          <w:p w14:paraId="6B46E014">
            <w:pPr>
              <w:jc w:val="center"/>
              <w:rPr>
                <w:rFonts w:ascii="宋体" w:hAnsi="宋体"/>
                <w:szCs w:val="21"/>
              </w:rPr>
            </w:pPr>
          </w:p>
        </w:tc>
        <w:tc>
          <w:tcPr>
            <w:tcW w:w="1192" w:type="dxa"/>
            <w:vMerge w:val="continue"/>
            <w:tcBorders>
              <w:top w:val="single" w:color="auto" w:sz="4" w:space="0"/>
              <w:left w:val="nil"/>
              <w:bottom w:val="single" w:color="auto" w:sz="4" w:space="0"/>
              <w:right w:val="single" w:color="auto" w:sz="4" w:space="0"/>
            </w:tcBorders>
            <w:noWrap w:val="0"/>
            <w:vAlign w:val="center"/>
          </w:tcPr>
          <w:p w14:paraId="22AE362D">
            <w:pPr>
              <w:widowControl/>
              <w:jc w:val="left"/>
              <w:rPr>
                <w:rFonts w:ascii="宋体" w:hAnsi="宋体"/>
                <w:szCs w:val="21"/>
              </w:rPr>
            </w:pPr>
          </w:p>
        </w:tc>
        <w:tc>
          <w:tcPr>
            <w:tcW w:w="1765" w:type="dxa"/>
            <w:gridSpan w:val="3"/>
            <w:tcBorders>
              <w:top w:val="single" w:color="auto" w:sz="4" w:space="0"/>
              <w:left w:val="nil"/>
              <w:bottom w:val="single" w:color="auto" w:sz="4" w:space="0"/>
              <w:right w:val="single" w:color="auto" w:sz="4" w:space="0"/>
            </w:tcBorders>
            <w:noWrap w:val="0"/>
            <w:vAlign w:val="center"/>
          </w:tcPr>
          <w:p w14:paraId="79859FEF">
            <w:pPr>
              <w:jc w:val="center"/>
              <w:rPr>
                <w:rFonts w:ascii="宋体" w:hAnsi="宋体"/>
                <w:szCs w:val="21"/>
              </w:rPr>
            </w:pPr>
            <w:r>
              <w:rPr>
                <w:rFonts w:hint="eastAsia" w:ascii="宋体" w:hAnsi="宋体"/>
              </w:rPr>
              <w:t>技  工</w:t>
            </w:r>
          </w:p>
        </w:tc>
        <w:tc>
          <w:tcPr>
            <w:tcW w:w="1971" w:type="dxa"/>
            <w:gridSpan w:val="2"/>
            <w:tcBorders>
              <w:top w:val="single" w:color="auto" w:sz="4" w:space="0"/>
              <w:left w:val="nil"/>
              <w:bottom w:val="single" w:color="auto" w:sz="4" w:space="0"/>
              <w:right w:val="single" w:color="auto" w:sz="4" w:space="0"/>
            </w:tcBorders>
            <w:noWrap w:val="0"/>
            <w:vAlign w:val="center"/>
          </w:tcPr>
          <w:p w14:paraId="5A48962A">
            <w:pPr>
              <w:jc w:val="center"/>
              <w:rPr>
                <w:rFonts w:ascii="宋体" w:hAnsi="宋体"/>
                <w:szCs w:val="21"/>
              </w:rPr>
            </w:pPr>
          </w:p>
        </w:tc>
      </w:tr>
      <w:tr w14:paraId="6050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715BE369">
            <w:pPr>
              <w:jc w:val="center"/>
              <w:rPr>
                <w:rFonts w:ascii="宋体" w:hAnsi="宋体"/>
                <w:szCs w:val="21"/>
              </w:rPr>
            </w:pPr>
            <w:r>
              <w:rPr>
                <w:rFonts w:hint="eastAsia" w:ascii="宋体" w:hAnsi="宋体"/>
              </w:rPr>
              <w:t>经营范围</w:t>
            </w:r>
          </w:p>
        </w:tc>
        <w:tc>
          <w:tcPr>
            <w:tcW w:w="7166" w:type="dxa"/>
            <w:gridSpan w:val="8"/>
            <w:tcBorders>
              <w:top w:val="single" w:color="auto" w:sz="4" w:space="0"/>
              <w:left w:val="nil"/>
              <w:bottom w:val="single" w:color="auto" w:sz="4" w:space="0"/>
              <w:right w:val="single" w:color="auto" w:sz="4" w:space="0"/>
            </w:tcBorders>
            <w:noWrap w:val="0"/>
            <w:vAlign w:val="center"/>
          </w:tcPr>
          <w:p w14:paraId="47F49035">
            <w:pPr>
              <w:jc w:val="center"/>
              <w:rPr>
                <w:rFonts w:ascii="宋体" w:hAnsi="宋体"/>
                <w:szCs w:val="21"/>
              </w:rPr>
            </w:pPr>
          </w:p>
        </w:tc>
      </w:tr>
      <w:tr w14:paraId="79BD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33" w:type="dxa"/>
            <w:tcBorders>
              <w:top w:val="single" w:color="auto" w:sz="4" w:space="0"/>
              <w:left w:val="single" w:color="auto" w:sz="4" w:space="0"/>
              <w:bottom w:val="single" w:color="auto" w:sz="4" w:space="0"/>
              <w:right w:val="single" w:color="auto" w:sz="4" w:space="0"/>
            </w:tcBorders>
            <w:noWrap w:val="0"/>
            <w:vAlign w:val="center"/>
          </w:tcPr>
          <w:p w14:paraId="2864E6BF">
            <w:pPr>
              <w:jc w:val="center"/>
              <w:rPr>
                <w:rFonts w:ascii="宋体" w:hAnsi="宋体"/>
                <w:szCs w:val="21"/>
              </w:rPr>
            </w:pPr>
            <w:r>
              <w:rPr>
                <w:rFonts w:hint="eastAsia" w:ascii="宋体" w:hAnsi="宋体"/>
              </w:rPr>
              <w:t>备注</w:t>
            </w:r>
          </w:p>
        </w:tc>
        <w:tc>
          <w:tcPr>
            <w:tcW w:w="7166" w:type="dxa"/>
            <w:gridSpan w:val="8"/>
            <w:tcBorders>
              <w:top w:val="single" w:color="auto" w:sz="4" w:space="0"/>
              <w:left w:val="nil"/>
              <w:bottom w:val="single" w:color="auto" w:sz="4" w:space="0"/>
              <w:right w:val="single" w:color="auto" w:sz="4" w:space="0"/>
            </w:tcBorders>
            <w:noWrap w:val="0"/>
            <w:vAlign w:val="center"/>
          </w:tcPr>
          <w:p w14:paraId="7E0AD939">
            <w:pPr>
              <w:jc w:val="center"/>
              <w:rPr>
                <w:rFonts w:ascii="宋体" w:hAnsi="宋体"/>
                <w:szCs w:val="21"/>
              </w:rPr>
            </w:pPr>
          </w:p>
        </w:tc>
      </w:tr>
    </w:tbl>
    <w:p w14:paraId="3D9C96FE">
      <w:pPr>
        <w:spacing w:line="440" w:lineRule="exact"/>
        <w:ind w:firstLine="240" w:firstLineChars="100"/>
        <w:rPr>
          <w:rFonts w:ascii="宋体" w:hAnsi="宋体"/>
          <w:szCs w:val="21"/>
        </w:rPr>
      </w:pPr>
      <w:r>
        <w:rPr>
          <w:rFonts w:hint="eastAsia" w:ascii="宋体" w:hAnsi="宋体"/>
        </w:rPr>
        <w:t>备注：本表后应附企业法人营业执照、企业资质证书等材料的扫描件。</w:t>
      </w:r>
    </w:p>
    <w:p w14:paraId="52A23DCF">
      <w:pPr>
        <w:pStyle w:val="4"/>
        <w:bidi w:val="0"/>
        <w:jc w:val="center"/>
      </w:pPr>
      <w:r>
        <w:rPr>
          <w:rFonts w:hint="eastAsia"/>
        </w:rPr>
        <w:br w:type="page"/>
      </w:r>
      <w:r>
        <w:rPr>
          <w:rFonts w:hint="eastAsia"/>
        </w:rPr>
        <w:t>（二）近年财务状况表</w:t>
      </w:r>
    </w:p>
    <w:p w14:paraId="4BEB20D3">
      <w:pPr>
        <w:spacing w:line="520" w:lineRule="exact"/>
        <w:ind w:firstLine="480" w:firstLineChars="200"/>
        <w:rPr>
          <w:rFonts w:ascii="宋体" w:hAnsi="宋体"/>
          <w:sz w:val="24"/>
          <w:szCs w:val="24"/>
        </w:rPr>
      </w:pPr>
      <w:r>
        <w:rPr>
          <w:rFonts w:hint="eastAsia" w:ascii="宋体" w:hAnsi="宋体"/>
          <w:sz w:val="24"/>
          <w:szCs w:val="24"/>
        </w:rPr>
        <w:t>备注：具体年份要求见</w:t>
      </w:r>
      <w:r>
        <w:rPr>
          <w:rFonts w:hint="eastAsia" w:ascii="宋体" w:hAnsi="宋体"/>
          <w:sz w:val="24"/>
          <w:szCs w:val="24"/>
          <w:lang w:eastAsia="zh-CN"/>
        </w:rPr>
        <w:t>供应商</w:t>
      </w:r>
      <w:r>
        <w:rPr>
          <w:rFonts w:hint="eastAsia" w:ascii="宋体" w:hAnsi="宋体"/>
          <w:sz w:val="24"/>
          <w:szCs w:val="24"/>
        </w:rPr>
        <w:t>须知表。</w:t>
      </w:r>
    </w:p>
    <w:p w14:paraId="01F3A8E9">
      <w:pPr>
        <w:pStyle w:val="3"/>
        <w:keepNext/>
        <w:keepLines/>
        <w:pageBreakBefore w:val="0"/>
        <w:widowControl w:val="0"/>
        <w:numPr>
          <w:ilvl w:val="0"/>
          <w:numId w:val="18"/>
        </w:numPr>
        <w:kinsoku/>
        <w:wordWrap w:val="0"/>
        <w:overflowPunct/>
        <w:topLinePunct/>
        <w:autoSpaceDE/>
        <w:autoSpaceDN/>
        <w:bidi w:val="0"/>
        <w:adjustRightInd/>
        <w:snapToGrid/>
        <w:ind w:left="0" w:firstLine="0"/>
        <w:textAlignment w:val="auto"/>
        <w:rPr>
          <w:rFonts w:hint="eastAsia" w:ascii="宋体" w:hAnsi="宋体" w:eastAsia="宋体"/>
          <w:color w:val="auto"/>
          <w:szCs w:val="24"/>
          <w:highlight w:val="none"/>
        </w:rPr>
      </w:pPr>
      <w:r>
        <w:rPr>
          <w:rFonts w:hint="eastAsia" w:ascii="宋体" w:hAnsi="宋体"/>
        </w:rPr>
        <w:br w:type="page"/>
      </w:r>
      <w:bookmarkEnd w:id="1729"/>
      <w:bookmarkEnd w:id="1732"/>
      <w:bookmarkStart w:id="1734" w:name="_Toc7238"/>
      <w:bookmarkStart w:id="1735" w:name="_Toc9591"/>
      <w:bookmarkStart w:id="1736" w:name="_Toc355809725"/>
      <w:bookmarkStart w:id="1737" w:name="_Toc275795959"/>
      <w:bookmarkStart w:id="1738" w:name="_Toc28100"/>
      <w:bookmarkStart w:id="1739" w:name="_Toc339972632"/>
      <w:bookmarkStart w:id="1740" w:name="_Toc20487"/>
      <w:r>
        <w:rPr>
          <w:rFonts w:hint="eastAsia"/>
          <w:color w:val="auto"/>
          <w:szCs w:val="24"/>
          <w:highlight w:val="none"/>
          <w:lang w:val="en-US" w:eastAsia="zh-CN"/>
        </w:rPr>
        <w:t>商务标证明文件</w:t>
      </w:r>
    </w:p>
    <w:p w14:paraId="27A588A0">
      <w:pPr>
        <w:pStyle w:val="4"/>
        <w:keepNext/>
        <w:keepLines/>
        <w:pageBreakBefore w:val="0"/>
        <w:widowControl w:val="0"/>
        <w:numPr>
          <w:ilvl w:val="0"/>
          <w:numId w:val="23"/>
        </w:numPr>
        <w:kinsoku/>
        <w:wordWrap w:val="0"/>
        <w:overflowPunct/>
        <w:topLinePunct/>
        <w:autoSpaceDE/>
        <w:autoSpaceDN/>
        <w:bidi w:val="0"/>
        <w:adjustRightInd/>
        <w:snapToGrid/>
        <w:ind w:left="0" w:leftChars="0" w:firstLine="420" w:firstLineChars="0"/>
        <w:jc w:val="center"/>
        <w:textAlignment w:val="auto"/>
        <w:rPr>
          <w:rFonts w:hint="eastAsia"/>
          <w:lang w:val="en-US" w:eastAsia="zh-CN"/>
        </w:rPr>
      </w:pPr>
      <w:r>
        <w:rPr>
          <w:rFonts w:hint="eastAsia"/>
          <w:lang w:val="en-US" w:eastAsia="zh-CN"/>
        </w:rPr>
        <w:t>主要人员</w:t>
      </w:r>
    </w:p>
    <w:p w14:paraId="63879122">
      <w:pPr>
        <w:bidi w:val="0"/>
        <w:rPr>
          <w:rFonts w:hint="eastAsia"/>
          <w:lang w:val="en-US" w:eastAsia="zh-CN"/>
        </w:rPr>
      </w:pPr>
    </w:p>
    <w:p w14:paraId="1AB79F03">
      <w:pPr>
        <w:numPr>
          <w:ilvl w:val="0"/>
          <w:numId w:val="0"/>
        </w:numPr>
        <w:bidi w:val="0"/>
        <w:ind w:left="420" w:leftChars="0"/>
        <w:rPr>
          <w:rFonts w:hint="eastAsia" w:ascii="宋体" w:hAnsi="宋体" w:eastAsia="宋体" w:cs="仿宋_GB2312"/>
          <w:color w:val="auto"/>
          <w:kern w:val="0"/>
          <w:sz w:val="24"/>
          <w:szCs w:val="24"/>
          <w:highlight w:val="none"/>
          <w:lang w:val="en-US" w:eastAsia="zh-CN"/>
        </w:rPr>
      </w:pPr>
    </w:p>
    <w:p w14:paraId="46C2715A">
      <w:pPr>
        <w:bidi w:val="0"/>
        <w:ind w:firstLine="240" w:firstLineChars="100"/>
        <w:rPr>
          <w:rFonts w:hint="eastAsia" w:ascii="宋体" w:hAnsi="宋体" w:eastAsia="宋体" w:cs="仿宋_GB2312"/>
          <w:b w:val="0"/>
          <w:bCs w:val="0"/>
          <w:color w:val="auto"/>
          <w:kern w:val="0"/>
          <w:sz w:val="24"/>
          <w:szCs w:val="24"/>
          <w:highlight w:val="none"/>
          <w:lang w:val="en-US" w:eastAsia="zh-CN" w:bidi="ar-SA"/>
        </w:rPr>
      </w:pPr>
      <w:r>
        <w:rPr>
          <w:rFonts w:hint="eastAsia"/>
          <w:lang w:val="en-US" w:eastAsia="zh-CN"/>
        </w:rPr>
        <w:t>按第三章评审办法、商务标评分因素及标准提供</w:t>
      </w:r>
      <w:r>
        <w:rPr>
          <w:rFonts w:hint="eastAsia" w:ascii="宋体" w:hAnsi="宋体" w:eastAsia="宋体" w:cs="仿宋_GB2312"/>
          <w:b w:val="0"/>
          <w:bCs w:val="0"/>
          <w:color w:val="auto"/>
          <w:kern w:val="0"/>
          <w:sz w:val="24"/>
          <w:szCs w:val="24"/>
          <w:highlight w:val="none"/>
          <w:lang w:val="en-US" w:eastAsia="zh-CN" w:bidi="ar-SA"/>
        </w:rPr>
        <w:t>。</w:t>
      </w:r>
    </w:p>
    <w:p w14:paraId="65F56352">
      <w:pPr>
        <w:bidi w:val="0"/>
        <w:ind w:firstLine="480" w:firstLineChars="200"/>
        <w:rPr>
          <w:rFonts w:hint="eastAsia"/>
          <w:lang w:val="en-US" w:eastAsia="zh-CN"/>
        </w:rPr>
      </w:pPr>
    </w:p>
    <w:p w14:paraId="2820045E">
      <w:pPr>
        <w:pStyle w:val="4"/>
        <w:numPr>
          <w:ilvl w:val="0"/>
          <w:numId w:val="23"/>
        </w:numPr>
        <w:bidi w:val="0"/>
        <w:jc w:val="center"/>
        <w:rPr>
          <w:rFonts w:hint="eastAsia" w:ascii="宋体" w:hAnsi="宋体" w:eastAsia="宋体" w:cs="宋体"/>
          <w:b/>
          <w:bCs/>
          <w:lang w:val="en-US" w:eastAsia="zh-CN"/>
        </w:rPr>
      </w:pPr>
      <w:r>
        <w:rPr>
          <w:rFonts w:hint="eastAsia" w:ascii="宋体" w:hAnsi="宋体" w:eastAsia="宋体" w:cs="仿宋_GB2312"/>
          <w:color w:val="auto"/>
          <w:kern w:val="0"/>
          <w:sz w:val="24"/>
          <w:szCs w:val="24"/>
          <w:highlight w:val="none"/>
          <w:lang w:val="en-US" w:eastAsia="zh-CN"/>
        </w:rPr>
        <w:br w:type="page"/>
      </w:r>
      <w:r>
        <w:rPr>
          <w:rFonts w:hint="eastAsia" w:ascii="宋体" w:hAnsi="宋体" w:eastAsia="宋体" w:cs="宋体"/>
          <w:b/>
          <w:bCs/>
          <w:kern w:val="2"/>
          <w:sz w:val="28"/>
          <w:szCs w:val="21"/>
          <w:lang w:val="en-US" w:eastAsia="zh-CN" w:bidi="ar-SA"/>
        </w:rPr>
        <w:t>企业业绩</w:t>
      </w:r>
    </w:p>
    <w:p w14:paraId="11D91737">
      <w:pPr>
        <w:rPr>
          <w:rFonts w:hint="eastAsia"/>
          <w:lang w:val="en-US" w:eastAsia="zh-CN"/>
        </w:rPr>
      </w:pPr>
    </w:p>
    <w:p w14:paraId="5905470B">
      <w:pPr>
        <w:bidi w:val="0"/>
        <w:jc w:val="center"/>
        <w:rPr>
          <w:rFonts w:hint="eastAsia"/>
          <w:b/>
          <w:bCs/>
          <w:sz w:val="24"/>
          <w:szCs w:val="21"/>
          <w:lang w:val="zh-CN" w:eastAsia="zh-CN"/>
        </w:rPr>
      </w:pPr>
      <w:bookmarkStart w:id="1741" w:name="_Toc14785"/>
      <w:r>
        <w:rPr>
          <w:rFonts w:hint="eastAsia"/>
          <w:b/>
          <w:bCs/>
          <w:sz w:val="24"/>
          <w:szCs w:val="21"/>
          <w:lang w:val="zh-CN" w:eastAsia="zh-CN"/>
        </w:rPr>
        <w:t>近年完成的类似项目清单</w:t>
      </w:r>
      <w:bookmarkEnd w:id="1741"/>
    </w:p>
    <w:p w14:paraId="43CE6D25">
      <w:pPr>
        <w:bidi w:val="0"/>
        <w:jc w:val="center"/>
        <w:rPr>
          <w:rFonts w:hint="eastAsia"/>
          <w:b/>
          <w:bCs/>
          <w:sz w:val="24"/>
          <w:szCs w:val="21"/>
          <w:lang w:val="zh-CN" w:eastAsia="zh-CN"/>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6655"/>
      </w:tblGrid>
      <w:tr w14:paraId="3F2C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42724F09">
            <w:pPr>
              <w:jc w:val="center"/>
              <w:rPr>
                <w:rFonts w:hint="eastAsia" w:ascii="宋体" w:hAnsi="宋体"/>
                <w:szCs w:val="21"/>
                <w:highlight w:val="none"/>
              </w:rPr>
            </w:pPr>
            <w:r>
              <w:rPr>
                <w:rFonts w:hint="eastAsia" w:ascii="宋体" w:hAnsi="宋体"/>
                <w:szCs w:val="21"/>
                <w:highlight w:val="none"/>
              </w:rPr>
              <w:t>项目名称</w:t>
            </w:r>
          </w:p>
        </w:tc>
        <w:tc>
          <w:tcPr>
            <w:tcW w:w="6655" w:type="dxa"/>
            <w:noWrap w:val="0"/>
            <w:vAlign w:val="center"/>
          </w:tcPr>
          <w:p w14:paraId="5A295A32">
            <w:pPr>
              <w:jc w:val="center"/>
              <w:rPr>
                <w:rFonts w:hint="eastAsia" w:ascii="宋体" w:hAnsi="宋体"/>
                <w:szCs w:val="21"/>
                <w:highlight w:val="none"/>
              </w:rPr>
            </w:pPr>
          </w:p>
        </w:tc>
      </w:tr>
      <w:tr w14:paraId="2925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5452884F">
            <w:pPr>
              <w:jc w:val="center"/>
              <w:rPr>
                <w:rFonts w:hint="eastAsia" w:ascii="宋体" w:hAnsi="宋体"/>
                <w:szCs w:val="21"/>
                <w:highlight w:val="none"/>
              </w:rPr>
            </w:pPr>
            <w:r>
              <w:rPr>
                <w:rFonts w:hint="eastAsia" w:ascii="宋体" w:hAnsi="宋体"/>
                <w:szCs w:val="21"/>
                <w:highlight w:val="none"/>
              </w:rPr>
              <w:t>项目所在地</w:t>
            </w:r>
          </w:p>
        </w:tc>
        <w:tc>
          <w:tcPr>
            <w:tcW w:w="6655" w:type="dxa"/>
            <w:noWrap w:val="0"/>
            <w:vAlign w:val="center"/>
          </w:tcPr>
          <w:p w14:paraId="16D3B4AD">
            <w:pPr>
              <w:jc w:val="center"/>
              <w:rPr>
                <w:rFonts w:hint="eastAsia" w:ascii="宋体" w:hAnsi="宋体"/>
                <w:szCs w:val="21"/>
                <w:highlight w:val="none"/>
              </w:rPr>
            </w:pPr>
          </w:p>
        </w:tc>
      </w:tr>
      <w:tr w14:paraId="3699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7B989096">
            <w:pPr>
              <w:jc w:val="center"/>
              <w:rPr>
                <w:rFonts w:hint="eastAsia" w:ascii="宋体" w:hAnsi="宋体"/>
                <w:szCs w:val="21"/>
                <w:highlight w:val="none"/>
              </w:rPr>
            </w:pPr>
            <w:r>
              <w:rPr>
                <w:rFonts w:hint="eastAsia" w:ascii="宋体" w:hAnsi="宋体"/>
                <w:szCs w:val="21"/>
                <w:highlight w:val="none"/>
              </w:rPr>
              <w:t>发包人名称</w:t>
            </w:r>
          </w:p>
        </w:tc>
        <w:tc>
          <w:tcPr>
            <w:tcW w:w="6655" w:type="dxa"/>
            <w:noWrap w:val="0"/>
            <w:vAlign w:val="center"/>
          </w:tcPr>
          <w:p w14:paraId="65D3137E">
            <w:pPr>
              <w:jc w:val="center"/>
              <w:rPr>
                <w:rFonts w:hint="eastAsia" w:ascii="宋体" w:hAnsi="宋体"/>
                <w:szCs w:val="21"/>
                <w:highlight w:val="none"/>
              </w:rPr>
            </w:pPr>
          </w:p>
        </w:tc>
      </w:tr>
      <w:tr w14:paraId="71E7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68F08A03">
            <w:pPr>
              <w:jc w:val="center"/>
              <w:rPr>
                <w:rFonts w:hint="eastAsia" w:ascii="宋体" w:hAnsi="宋体"/>
                <w:szCs w:val="21"/>
                <w:highlight w:val="none"/>
              </w:rPr>
            </w:pPr>
            <w:r>
              <w:rPr>
                <w:rFonts w:hint="eastAsia" w:ascii="宋体" w:hAnsi="宋体"/>
                <w:szCs w:val="21"/>
                <w:highlight w:val="none"/>
              </w:rPr>
              <w:t>发包人地址</w:t>
            </w:r>
          </w:p>
        </w:tc>
        <w:tc>
          <w:tcPr>
            <w:tcW w:w="6655" w:type="dxa"/>
            <w:noWrap w:val="0"/>
            <w:vAlign w:val="center"/>
          </w:tcPr>
          <w:p w14:paraId="5D2F325E">
            <w:pPr>
              <w:jc w:val="center"/>
              <w:rPr>
                <w:rFonts w:hint="eastAsia" w:ascii="宋体" w:hAnsi="宋体"/>
                <w:szCs w:val="21"/>
                <w:highlight w:val="none"/>
              </w:rPr>
            </w:pPr>
          </w:p>
        </w:tc>
      </w:tr>
      <w:tr w14:paraId="02BE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194F5E2E">
            <w:pPr>
              <w:jc w:val="center"/>
              <w:rPr>
                <w:rFonts w:hint="eastAsia" w:ascii="宋体" w:hAnsi="宋体"/>
                <w:szCs w:val="21"/>
                <w:highlight w:val="none"/>
              </w:rPr>
            </w:pPr>
            <w:r>
              <w:rPr>
                <w:rFonts w:hint="eastAsia" w:ascii="宋体" w:hAnsi="宋体"/>
                <w:szCs w:val="21"/>
                <w:highlight w:val="none"/>
              </w:rPr>
              <w:t>发包人联系人及电话</w:t>
            </w:r>
          </w:p>
        </w:tc>
        <w:tc>
          <w:tcPr>
            <w:tcW w:w="6655" w:type="dxa"/>
            <w:noWrap w:val="0"/>
            <w:vAlign w:val="center"/>
          </w:tcPr>
          <w:p w14:paraId="6721DF07">
            <w:pPr>
              <w:jc w:val="center"/>
              <w:rPr>
                <w:rFonts w:hint="eastAsia" w:ascii="宋体" w:hAnsi="宋体"/>
                <w:szCs w:val="21"/>
                <w:highlight w:val="none"/>
              </w:rPr>
            </w:pPr>
          </w:p>
        </w:tc>
      </w:tr>
      <w:tr w14:paraId="1C89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5BFB5FCC">
            <w:pPr>
              <w:jc w:val="center"/>
              <w:rPr>
                <w:rFonts w:hint="eastAsia" w:ascii="宋体" w:hAnsi="宋体"/>
                <w:szCs w:val="21"/>
                <w:highlight w:val="none"/>
              </w:rPr>
            </w:pPr>
            <w:r>
              <w:rPr>
                <w:rFonts w:hint="eastAsia" w:ascii="宋体" w:hAnsi="宋体"/>
                <w:szCs w:val="21"/>
                <w:highlight w:val="none"/>
              </w:rPr>
              <w:t>合同价格</w:t>
            </w:r>
          </w:p>
        </w:tc>
        <w:tc>
          <w:tcPr>
            <w:tcW w:w="6655" w:type="dxa"/>
            <w:noWrap w:val="0"/>
            <w:vAlign w:val="center"/>
          </w:tcPr>
          <w:p w14:paraId="2B5FF318">
            <w:pPr>
              <w:jc w:val="center"/>
              <w:rPr>
                <w:rFonts w:hint="eastAsia" w:ascii="宋体" w:hAnsi="宋体"/>
                <w:szCs w:val="21"/>
                <w:highlight w:val="none"/>
              </w:rPr>
            </w:pPr>
          </w:p>
        </w:tc>
      </w:tr>
      <w:tr w14:paraId="3FD1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7EF10110">
            <w:pPr>
              <w:jc w:val="center"/>
              <w:rPr>
                <w:rFonts w:hint="eastAsia" w:ascii="宋体" w:hAnsi="宋体"/>
                <w:szCs w:val="21"/>
                <w:highlight w:val="none"/>
              </w:rPr>
            </w:pPr>
            <w:r>
              <w:rPr>
                <w:rFonts w:hint="eastAsia" w:ascii="宋体" w:hAnsi="宋体"/>
                <w:szCs w:val="21"/>
                <w:highlight w:val="none"/>
              </w:rPr>
              <w:t>开工日期</w:t>
            </w:r>
          </w:p>
        </w:tc>
        <w:tc>
          <w:tcPr>
            <w:tcW w:w="6655" w:type="dxa"/>
            <w:noWrap w:val="0"/>
            <w:vAlign w:val="center"/>
          </w:tcPr>
          <w:p w14:paraId="4501CC98">
            <w:pPr>
              <w:jc w:val="center"/>
              <w:rPr>
                <w:rFonts w:hint="eastAsia" w:ascii="宋体" w:hAnsi="宋体"/>
                <w:szCs w:val="21"/>
                <w:highlight w:val="none"/>
              </w:rPr>
            </w:pPr>
          </w:p>
        </w:tc>
      </w:tr>
      <w:tr w14:paraId="3A28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44D52BE7">
            <w:pPr>
              <w:jc w:val="center"/>
              <w:rPr>
                <w:rFonts w:hint="eastAsia" w:ascii="宋体" w:hAnsi="宋体"/>
                <w:szCs w:val="21"/>
                <w:highlight w:val="none"/>
              </w:rPr>
            </w:pPr>
            <w:r>
              <w:rPr>
                <w:rFonts w:hint="eastAsia" w:ascii="宋体" w:hAnsi="宋体"/>
                <w:szCs w:val="21"/>
                <w:highlight w:val="none"/>
              </w:rPr>
              <w:t>竣工日期</w:t>
            </w:r>
          </w:p>
        </w:tc>
        <w:tc>
          <w:tcPr>
            <w:tcW w:w="6655" w:type="dxa"/>
            <w:noWrap w:val="0"/>
            <w:vAlign w:val="center"/>
          </w:tcPr>
          <w:p w14:paraId="33FBD71F">
            <w:pPr>
              <w:jc w:val="center"/>
              <w:rPr>
                <w:rFonts w:hint="eastAsia" w:ascii="宋体" w:hAnsi="宋体"/>
                <w:szCs w:val="21"/>
                <w:highlight w:val="none"/>
              </w:rPr>
            </w:pPr>
          </w:p>
        </w:tc>
      </w:tr>
      <w:tr w14:paraId="587F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73636638">
            <w:pPr>
              <w:jc w:val="center"/>
              <w:rPr>
                <w:rFonts w:hint="eastAsia" w:ascii="宋体" w:hAnsi="宋体"/>
                <w:szCs w:val="21"/>
                <w:highlight w:val="none"/>
              </w:rPr>
            </w:pPr>
            <w:r>
              <w:rPr>
                <w:rFonts w:hint="eastAsia" w:ascii="宋体" w:hAnsi="宋体"/>
                <w:szCs w:val="21"/>
                <w:highlight w:val="none"/>
              </w:rPr>
              <w:t>承担的工作</w:t>
            </w:r>
          </w:p>
        </w:tc>
        <w:tc>
          <w:tcPr>
            <w:tcW w:w="6655" w:type="dxa"/>
            <w:noWrap w:val="0"/>
            <w:vAlign w:val="center"/>
          </w:tcPr>
          <w:p w14:paraId="41A6E25C">
            <w:pPr>
              <w:jc w:val="center"/>
              <w:rPr>
                <w:rFonts w:hint="eastAsia" w:ascii="宋体" w:hAnsi="宋体"/>
                <w:szCs w:val="21"/>
                <w:highlight w:val="none"/>
              </w:rPr>
            </w:pPr>
          </w:p>
        </w:tc>
      </w:tr>
      <w:tr w14:paraId="19E4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20C56AB0">
            <w:pPr>
              <w:jc w:val="center"/>
              <w:rPr>
                <w:rFonts w:hint="eastAsia" w:ascii="宋体" w:hAnsi="宋体"/>
                <w:szCs w:val="21"/>
                <w:highlight w:val="none"/>
              </w:rPr>
            </w:pPr>
            <w:r>
              <w:rPr>
                <w:rFonts w:hint="eastAsia" w:ascii="宋体" w:hAnsi="宋体"/>
                <w:szCs w:val="21"/>
                <w:highlight w:val="none"/>
              </w:rPr>
              <w:t>工程质量</w:t>
            </w:r>
          </w:p>
        </w:tc>
        <w:tc>
          <w:tcPr>
            <w:tcW w:w="6655" w:type="dxa"/>
            <w:noWrap w:val="0"/>
            <w:vAlign w:val="center"/>
          </w:tcPr>
          <w:p w14:paraId="627035C0">
            <w:pPr>
              <w:jc w:val="center"/>
              <w:rPr>
                <w:rFonts w:hint="eastAsia" w:ascii="宋体" w:hAnsi="宋体"/>
                <w:szCs w:val="21"/>
                <w:highlight w:val="none"/>
              </w:rPr>
            </w:pPr>
          </w:p>
        </w:tc>
      </w:tr>
      <w:tr w14:paraId="4053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0D9BB5FE">
            <w:pPr>
              <w:jc w:val="center"/>
              <w:rPr>
                <w:rFonts w:hint="eastAsia" w:ascii="宋体" w:hAnsi="宋体" w:eastAsia="宋体"/>
                <w:szCs w:val="21"/>
                <w:highlight w:val="none"/>
                <w:lang w:eastAsia="zh-CN"/>
              </w:rPr>
            </w:pPr>
            <w:r>
              <w:rPr>
                <w:rFonts w:hint="eastAsia" w:ascii="宋体" w:hAnsi="宋体"/>
                <w:szCs w:val="21"/>
                <w:highlight w:val="none"/>
              </w:rPr>
              <w:t>项目</w:t>
            </w:r>
            <w:r>
              <w:rPr>
                <w:rFonts w:hint="eastAsia"/>
                <w:szCs w:val="21"/>
                <w:highlight w:val="none"/>
                <w:lang w:val="en-US" w:eastAsia="zh-CN"/>
              </w:rPr>
              <w:t>负责人</w:t>
            </w:r>
          </w:p>
        </w:tc>
        <w:tc>
          <w:tcPr>
            <w:tcW w:w="6655" w:type="dxa"/>
            <w:noWrap w:val="0"/>
            <w:vAlign w:val="center"/>
          </w:tcPr>
          <w:p w14:paraId="0C8532C2">
            <w:pPr>
              <w:jc w:val="center"/>
              <w:rPr>
                <w:rFonts w:hint="eastAsia" w:ascii="宋体" w:hAnsi="宋体"/>
                <w:szCs w:val="21"/>
                <w:highlight w:val="none"/>
              </w:rPr>
            </w:pPr>
          </w:p>
        </w:tc>
      </w:tr>
      <w:tr w14:paraId="6984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0BD23295">
            <w:pPr>
              <w:jc w:val="center"/>
              <w:rPr>
                <w:rFonts w:hint="eastAsia" w:ascii="宋体" w:hAnsi="宋体"/>
                <w:szCs w:val="21"/>
                <w:highlight w:val="none"/>
              </w:rPr>
            </w:pPr>
            <w:r>
              <w:rPr>
                <w:rFonts w:hint="eastAsia" w:ascii="宋体" w:hAnsi="宋体"/>
                <w:szCs w:val="21"/>
                <w:highlight w:val="none"/>
              </w:rPr>
              <w:t>技术负责人</w:t>
            </w:r>
          </w:p>
        </w:tc>
        <w:tc>
          <w:tcPr>
            <w:tcW w:w="6655" w:type="dxa"/>
            <w:noWrap w:val="0"/>
            <w:vAlign w:val="center"/>
          </w:tcPr>
          <w:p w14:paraId="043A6B7C">
            <w:pPr>
              <w:jc w:val="center"/>
              <w:rPr>
                <w:rFonts w:hint="eastAsia" w:ascii="宋体" w:hAnsi="宋体"/>
                <w:szCs w:val="21"/>
                <w:highlight w:val="none"/>
              </w:rPr>
            </w:pPr>
          </w:p>
        </w:tc>
      </w:tr>
      <w:tr w14:paraId="15FC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1F9C13BD">
            <w:pPr>
              <w:jc w:val="center"/>
              <w:rPr>
                <w:rFonts w:hint="eastAsia" w:ascii="宋体" w:hAnsi="宋体"/>
                <w:szCs w:val="21"/>
                <w:highlight w:val="none"/>
              </w:rPr>
            </w:pPr>
            <w:r>
              <w:rPr>
                <w:rFonts w:hint="eastAsia" w:ascii="宋体" w:hAnsi="宋体"/>
                <w:szCs w:val="21"/>
                <w:highlight w:val="none"/>
              </w:rPr>
              <w:t>总监理工程师及电话</w:t>
            </w:r>
          </w:p>
        </w:tc>
        <w:tc>
          <w:tcPr>
            <w:tcW w:w="6655" w:type="dxa"/>
            <w:noWrap w:val="0"/>
            <w:vAlign w:val="center"/>
          </w:tcPr>
          <w:p w14:paraId="4ED179A9">
            <w:pPr>
              <w:jc w:val="center"/>
              <w:rPr>
                <w:rFonts w:hint="eastAsia" w:ascii="宋体" w:hAnsi="宋体"/>
                <w:szCs w:val="21"/>
                <w:highlight w:val="none"/>
              </w:rPr>
            </w:pPr>
          </w:p>
        </w:tc>
      </w:tr>
      <w:tr w14:paraId="2DA6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2411" w:type="dxa"/>
            <w:noWrap w:val="0"/>
            <w:vAlign w:val="center"/>
          </w:tcPr>
          <w:p w14:paraId="23537835">
            <w:pPr>
              <w:jc w:val="center"/>
              <w:rPr>
                <w:rFonts w:hint="eastAsia" w:ascii="宋体" w:hAnsi="宋体"/>
                <w:szCs w:val="21"/>
                <w:highlight w:val="none"/>
              </w:rPr>
            </w:pPr>
            <w:r>
              <w:rPr>
                <w:rFonts w:hint="eastAsia" w:ascii="宋体" w:hAnsi="宋体"/>
                <w:szCs w:val="21"/>
                <w:highlight w:val="none"/>
              </w:rPr>
              <w:t>项目描述</w:t>
            </w:r>
          </w:p>
        </w:tc>
        <w:tc>
          <w:tcPr>
            <w:tcW w:w="6655" w:type="dxa"/>
            <w:noWrap w:val="0"/>
            <w:vAlign w:val="center"/>
          </w:tcPr>
          <w:p w14:paraId="7C854517">
            <w:pPr>
              <w:jc w:val="center"/>
              <w:rPr>
                <w:rFonts w:hint="eastAsia" w:ascii="宋体" w:hAnsi="宋体"/>
                <w:szCs w:val="21"/>
                <w:highlight w:val="none"/>
              </w:rPr>
            </w:pPr>
          </w:p>
        </w:tc>
      </w:tr>
      <w:tr w14:paraId="4180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noWrap w:val="0"/>
            <w:vAlign w:val="center"/>
          </w:tcPr>
          <w:p w14:paraId="6B8F7347">
            <w:pPr>
              <w:jc w:val="center"/>
              <w:rPr>
                <w:rFonts w:hint="eastAsia" w:ascii="宋体" w:hAnsi="宋体"/>
                <w:szCs w:val="21"/>
                <w:highlight w:val="none"/>
              </w:rPr>
            </w:pPr>
            <w:r>
              <w:rPr>
                <w:rFonts w:hint="eastAsia" w:ascii="宋体" w:hAnsi="宋体"/>
                <w:szCs w:val="21"/>
                <w:highlight w:val="none"/>
              </w:rPr>
              <w:t>备注</w:t>
            </w:r>
          </w:p>
        </w:tc>
        <w:tc>
          <w:tcPr>
            <w:tcW w:w="6655" w:type="dxa"/>
            <w:noWrap w:val="0"/>
            <w:vAlign w:val="center"/>
          </w:tcPr>
          <w:p w14:paraId="3C8F0F57">
            <w:pPr>
              <w:jc w:val="center"/>
              <w:rPr>
                <w:rFonts w:hint="eastAsia" w:ascii="宋体" w:hAnsi="宋体"/>
                <w:szCs w:val="21"/>
                <w:highlight w:val="none"/>
              </w:rPr>
            </w:pPr>
          </w:p>
        </w:tc>
      </w:tr>
    </w:tbl>
    <w:p w14:paraId="3CC464EB">
      <w:pPr>
        <w:spacing w:line="440" w:lineRule="exact"/>
        <w:ind w:left="10" w:firstLine="708" w:firstLineChars="295"/>
        <w:rPr>
          <w:rFonts w:ascii="宋体" w:hAnsi="宋体"/>
          <w:szCs w:val="21"/>
        </w:rPr>
      </w:pPr>
      <w:r>
        <w:rPr>
          <w:rFonts w:hint="eastAsia" w:ascii="宋体" w:hAnsi="宋体"/>
          <w:szCs w:val="21"/>
          <w:highlight w:val="none"/>
        </w:rPr>
        <w:t>备注</w:t>
      </w:r>
      <w:r>
        <w:rPr>
          <w:rFonts w:hint="eastAsia" w:ascii="宋体" w:hAnsi="宋体"/>
          <w:color w:val="auto"/>
          <w:szCs w:val="21"/>
          <w:highlight w:val="none"/>
        </w:rPr>
        <w:t>：1、</w:t>
      </w:r>
      <w:r>
        <w:rPr>
          <w:rFonts w:hint="eastAsia" w:ascii="宋体" w:hAnsi="宋体"/>
        </w:rPr>
        <w:t xml:space="preserve"> 本表后附合同协议书的原件扫描件，具体年份要求见</w:t>
      </w:r>
      <w:r>
        <w:rPr>
          <w:rFonts w:hint="eastAsia"/>
          <w:lang w:eastAsia="zh-CN"/>
        </w:rPr>
        <w:t>供应商</w:t>
      </w:r>
      <w:r>
        <w:rPr>
          <w:rFonts w:hint="eastAsia" w:ascii="宋体" w:hAnsi="宋体"/>
        </w:rPr>
        <w:t>须知前附表。每张表格只填写一个项目，并标明序号。</w:t>
      </w:r>
    </w:p>
    <w:p w14:paraId="72A51CC6">
      <w:pPr>
        <w:pStyle w:val="4"/>
        <w:numPr>
          <w:ilvl w:val="0"/>
          <w:numId w:val="23"/>
        </w:numPr>
        <w:bidi w:val="0"/>
        <w:ind w:left="0" w:leftChars="0" w:firstLine="420" w:firstLineChars="0"/>
        <w:jc w:val="center"/>
        <w:rPr>
          <w:rFonts w:hint="eastAsia" w:ascii="宋体" w:hAnsi="宋体" w:eastAsia="宋体" w:cs="宋体"/>
          <w:b/>
          <w:bCs/>
          <w:lang w:val="en-US" w:eastAsia="zh-CN"/>
        </w:rPr>
      </w:pPr>
      <w:r>
        <w:rPr>
          <w:rFonts w:hint="eastAsia" w:ascii="宋体" w:hAnsi="宋体" w:eastAsia="宋体" w:cs="宋体"/>
          <w:b/>
          <w:bCs/>
          <w:lang w:val="en-US" w:eastAsia="zh-CN"/>
        </w:rPr>
        <w:br w:type="page"/>
      </w:r>
      <w:r>
        <w:rPr>
          <w:rFonts w:hint="eastAsia"/>
          <w:lang w:val="zh-CN" w:eastAsia="zh-CN"/>
        </w:rPr>
        <w:t>服务承诺</w:t>
      </w:r>
      <w:bookmarkEnd w:id="1734"/>
      <w:bookmarkEnd w:id="1735"/>
    </w:p>
    <w:p w14:paraId="139190B1">
      <w:pPr>
        <w:bidi w:val="0"/>
        <w:rPr>
          <w:rFonts w:hint="eastAsia" w:ascii="宋体" w:hAnsi="宋体" w:eastAsia="宋体" w:cs="仿宋_GB2312"/>
          <w:b w:val="0"/>
          <w:bCs w:val="0"/>
          <w:color w:val="auto"/>
          <w:kern w:val="0"/>
          <w:sz w:val="24"/>
          <w:szCs w:val="24"/>
          <w:highlight w:val="none"/>
          <w:lang w:val="en-US" w:eastAsia="zh-CN" w:bidi="ar-SA"/>
        </w:rPr>
      </w:pPr>
    </w:p>
    <w:p w14:paraId="0F81BB76">
      <w:pPr>
        <w:bidi w:val="0"/>
        <w:ind w:firstLine="240" w:firstLineChars="100"/>
        <w:rPr>
          <w:rFonts w:hint="eastAsia" w:ascii="宋体" w:hAnsi="宋体" w:eastAsia="宋体" w:cs="仿宋_GB2312"/>
          <w:b w:val="0"/>
          <w:bCs w:val="0"/>
          <w:color w:val="auto"/>
          <w:kern w:val="0"/>
          <w:sz w:val="24"/>
          <w:szCs w:val="24"/>
          <w:highlight w:val="none"/>
          <w:lang w:val="en-US" w:eastAsia="zh-CN" w:bidi="ar-SA"/>
        </w:rPr>
      </w:pPr>
    </w:p>
    <w:p w14:paraId="101AC8A1">
      <w:pPr>
        <w:bidi w:val="0"/>
        <w:ind w:firstLine="240" w:firstLineChars="100"/>
        <w:rPr>
          <w:rFonts w:hint="eastAsia" w:ascii="宋体" w:hAnsi="宋体" w:eastAsia="宋体" w:cs="仿宋_GB2312"/>
          <w:b w:val="0"/>
          <w:bCs w:val="0"/>
          <w:color w:val="auto"/>
          <w:kern w:val="0"/>
          <w:sz w:val="24"/>
          <w:szCs w:val="24"/>
          <w:highlight w:val="none"/>
          <w:lang w:val="en-US" w:eastAsia="zh-CN" w:bidi="ar-SA"/>
        </w:rPr>
      </w:pPr>
      <w:r>
        <w:rPr>
          <w:rFonts w:hint="eastAsia"/>
          <w:lang w:val="en-US" w:eastAsia="zh-CN"/>
        </w:rPr>
        <w:t>按第三章评审办法、商务标评分因素及标准提供</w:t>
      </w:r>
      <w:r>
        <w:rPr>
          <w:rFonts w:hint="eastAsia" w:ascii="宋体" w:hAnsi="宋体" w:eastAsia="宋体" w:cs="仿宋_GB2312"/>
          <w:b w:val="0"/>
          <w:bCs w:val="0"/>
          <w:color w:val="auto"/>
          <w:kern w:val="0"/>
          <w:sz w:val="24"/>
          <w:szCs w:val="24"/>
          <w:highlight w:val="none"/>
          <w:lang w:val="en-US" w:eastAsia="zh-CN" w:bidi="ar-SA"/>
        </w:rPr>
        <w:t>。</w:t>
      </w:r>
    </w:p>
    <w:p w14:paraId="2B0AD340">
      <w:pPr>
        <w:pStyle w:val="3"/>
        <w:keepNext/>
        <w:keepLines/>
        <w:pageBreakBefore w:val="0"/>
        <w:widowControl w:val="0"/>
        <w:numPr>
          <w:ilvl w:val="0"/>
          <w:numId w:val="18"/>
        </w:numPr>
        <w:kinsoku/>
        <w:wordWrap w:val="0"/>
        <w:overflowPunct/>
        <w:topLinePunct/>
        <w:autoSpaceDE/>
        <w:autoSpaceDN/>
        <w:bidi w:val="0"/>
        <w:adjustRightInd w:val="0"/>
        <w:snapToGrid/>
        <w:ind w:left="0" w:firstLine="0"/>
        <w:textAlignment w:val="auto"/>
        <w:rPr>
          <w:rFonts w:hint="eastAsia" w:ascii="宋体" w:hAnsi="宋体" w:eastAsia="宋体" w:cs="宋体"/>
          <w:bCs/>
          <w:color w:val="auto"/>
          <w:szCs w:val="24"/>
          <w:highlight w:val="none"/>
          <w:lang w:val="en-US" w:eastAsia="zh-CN"/>
        </w:rPr>
      </w:pPr>
      <w:r>
        <w:rPr>
          <w:rFonts w:hint="eastAsia" w:ascii="宋体" w:hAnsi="宋体" w:eastAsia="宋体" w:cs="Times New Roman"/>
          <w:bCs w:val="0"/>
          <w:color w:val="auto"/>
          <w:szCs w:val="24"/>
          <w:highlight w:val="none"/>
          <w:lang w:val="zh-CN" w:eastAsia="zh-CN"/>
        </w:rPr>
        <w:br w:type="page"/>
      </w:r>
      <w:bookmarkEnd w:id="1736"/>
      <w:bookmarkEnd w:id="1737"/>
      <w:bookmarkEnd w:id="1738"/>
      <w:bookmarkEnd w:id="1739"/>
      <w:bookmarkEnd w:id="1740"/>
      <w:bookmarkStart w:id="1742" w:name="_Toc15983"/>
      <w:bookmarkStart w:id="1743" w:name="_Toc207"/>
      <w:bookmarkStart w:id="1744" w:name="_Toc7544"/>
      <w:r>
        <w:rPr>
          <w:rFonts w:hint="eastAsia" w:ascii="宋体" w:hAnsi="宋体" w:eastAsia="宋体" w:cs="宋体"/>
          <w:bCs/>
          <w:color w:val="auto"/>
          <w:szCs w:val="24"/>
          <w:highlight w:val="none"/>
          <w:lang w:val="en-US" w:eastAsia="zh-CN"/>
        </w:rPr>
        <w:t>中小企业证明文件</w:t>
      </w:r>
    </w:p>
    <w:p w14:paraId="68A90AA7">
      <w:pPr>
        <w:pStyle w:val="4"/>
        <w:keepNext/>
        <w:keepLines/>
        <w:pageBreakBefore w:val="0"/>
        <w:widowControl w:val="0"/>
        <w:numPr>
          <w:ilvl w:val="0"/>
          <w:numId w:val="24"/>
        </w:numPr>
        <w:kinsoku/>
        <w:wordWrap w:val="0"/>
        <w:overflowPunct/>
        <w:topLinePunct/>
        <w:autoSpaceDE/>
        <w:autoSpaceDN/>
        <w:bidi w:val="0"/>
        <w:adjustRightInd w:val="0"/>
        <w:snapToGrid/>
        <w:ind w:left="0" w:leftChars="0" w:firstLine="0" w:firstLineChars="0"/>
        <w:jc w:val="center"/>
        <w:textAlignment w:val="auto"/>
        <w:rPr>
          <w:rFonts w:hint="eastAsia"/>
        </w:rPr>
      </w:pPr>
      <w:r>
        <w:rPr>
          <w:rFonts w:hint="eastAsia"/>
          <w:lang w:val="zh-CN" w:eastAsia="zh-CN"/>
        </w:rPr>
        <w:t>中小企业声明函</w:t>
      </w:r>
      <w:bookmarkEnd w:id="1742"/>
      <w:bookmarkEnd w:id="1743"/>
      <w:bookmarkEnd w:id="1744"/>
    </w:p>
    <w:p w14:paraId="25E56226">
      <w:pPr>
        <w:rPr>
          <w:rFonts w:hint="eastAsia"/>
          <w:color w:val="auto"/>
          <w:highlight w:val="none"/>
        </w:rPr>
      </w:pPr>
    </w:p>
    <w:p w14:paraId="1ACCBF3B">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i w:val="0"/>
          <w:iCs w:val="0"/>
          <w:color w:val="auto"/>
          <w:sz w:val="24"/>
          <w:szCs w:val="24"/>
          <w:highlight w:val="none"/>
        </w:rPr>
      </w:pPr>
      <w:bookmarkStart w:id="1745" w:name="_Toc9983"/>
      <w:bookmarkStart w:id="1746" w:name="_Toc28975"/>
      <w:r>
        <w:rPr>
          <w:rFonts w:hint="eastAsia" w:ascii="宋体" w:hAnsi="宋体" w:eastAsia="宋体" w:cs="宋体"/>
          <w:i w:val="0"/>
          <w:iCs w:val="0"/>
          <w:color w:val="auto"/>
          <w:kern w:val="0"/>
          <w:sz w:val="24"/>
          <w:szCs w:val="24"/>
          <w:highlight w:val="none"/>
          <w:lang w:val="en-US" w:eastAsia="zh-CN" w:bidi="ar"/>
        </w:rPr>
        <w:t>本公司（联合体）郑重声明，根据《政府采购促进中小 企业发展管理办法》（财库﹝2020﹞46 号）的规定，本公司（联合体）参加</w:t>
      </w:r>
      <w:r>
        <w:rPr>
          <w:rFonts w:hint="eastAsia" w:ascii="宋体" w:hAnsi="宋体" w:eastAsia="宋体" w:cs="宋体"/>
          <w:i w:val="0"/>
          <w:iCs w:val="0"/>
          <w:color w:val="auto"/>
          <w:kern w:val="0"/>
          <w:sz w:val="24"/>
          <w:szCs w:val="24"/>
          <w:highlight w:val="none"/>
          <w:u w:val="single"/>
          <w:lang w:val="en-US" w:eastAsia="zh-CN" w:bidi="ar"/>
        </w:rPr>
        <w:t>（单位名称）</w:t>
      </w:r>
      <w:r>
        <w:rPr>
          <w:rFonts w:hint="eastAsia" w:ascii="宋体" w:hAnsi="宋体" w:eastAsia="宋体" w:cs="宋体"/>
          <w:i w:val="0"/>
          <w:iCs w:val="0"/>
          <w:color w:val="auto"/>
          <w:kern w:val="0"/>
          <w:sz w:val="24"/>
          <w:szCs w:val="24"/>
          <w:highlight w:val="none"/>
          <w:lang w:val="en-US" w:eastAsia="zh-CN" w:bidi="ar"/>
        </w:rPr>
        <w:t>的</w:t>
      </w:r>
      <w:r>
        <w:rPr>
          <w:rFonts w:hint="eastAsia" w:ascii="宋体" w:hAnsi="宋体" w:eastAsia="宋体" w:cs="宋体"/>
          <w:i w:val="0"/>
          <w:iCs w:val="0"/>
          <w:color w:val="auto"/>
          <w:kern w:val="0"/>
          <w:sz w:val="24"/>
          <w:szCs w:val="24"/>
          <w:highlight w:val="none"/>
          <w:u w:val="single"/>
          <w:lang w:val="en-US" w:eastAsia="zh-CN" w:bidi="ar"/>
        </w:rPr>
        <w:t>（项目名称）</w:t>
      </w:r>
      <w:r>
        <w:rPr>
          <w:rFonts w:hint="eastAsia" w:ascii="宋体" w:hAnsi="宋体" w:eastAsia="宋体" w:cs="宋体"/>
          <w:i w:val="0"/>
          <w:iCs w:val="0"/>
          <w:color w:val="auto"/>
          <w:kern w:val="0"/>
          <w:sz w:val="24"/>
          <w:szCs w:val="24"/>
          <w:highlight w:val="none"/>
          <w:lang w:val="en-US" w:eastAsia="zh-CN" w:bidi="ar"/>
        </w:rPr>
        <w:t>采购活动，工程的施工单位全部为符合政策要求的中小企业。相关企业（含联合体中的中小企业、签订分包意向协议的中小企业）的具体情况如下：</w:t>
      </w:r>
    </w:p>
    <w:p w14:paraId="28B97DB0">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1.</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（采购文件中明确的所属行业）</w:t>
      </w:r>
      <w:r>
        <w:rPr>
          <w:rFonts w:hint="eastAsia" w:ascii="宋体" w:hAnsi="宋体" w:eastAsia="宋体" w:cs="宋体"/>
          <w:i w:val="0"/>
          <w:iCs w:val="0"/>
          <w:color w:val="auto"/>
          <w:kern w:val="0"/>
          <w:sz w:val="24"/>
          <w:szCs w:val="24"/>
          <w:highlight w:val="none"/>
          <w:lang w:val="en-US" w:eastAsia="zh-CN" w:bidi="ar"/>
        </w:rPr>
        <w:t>； 承建（承接）企业为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（中型企业、 小型企业、微型企业）</w:t>
      </w:r>
      <w:r>
        <w:rPr>
          <w:rFonts w:hint="eastAsia" w:ascii="宋体" w:hAnsi="宋体" w:eastAsia="宋体" w:cs="宋体"/>
          <w:i w:val="0"/>
          <w:iCs w:val="0"/>
          <w:color w:val="auto"/>
          <w:kern w:val="0"/>
          <w:sz w:val="24"/>
          <w:szCs w:val="24"/>
          <w:highlight w:val="none"/>
          <w:lang w:val="en-US" w:eastAsia="zh-CN" w:bidi="ar"/>
        </w:rPr>
        <w:t xml:space="preserve">； </w:t>
      </w:r>
    </w:p>
    <w:p w14:paraId="1E4530A7">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2.</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（采购文件中明确的所属行业）</w:t>
      </w:r>
      <w:r>
        <w:rPr>
          <w:rFonts w:hint="eastAsia" w:ascii="宋体" w:hAnsi="宋体" w:eastAsia="宋体" w:cs="宋体"/>
          <w:i w:val="0"/>
          <w:iCs w:val="0"/>
          <w:color w:val="auto"/>
          <w:kern w:val="0"/>
          <w:sz w:val="24"/>
          <w:szCs w:val="24"/>
          <w:highlight w:val="none"/>
          <w:lang w:val="en-US" w:eastAsia="zh-CN" w:bidi="ar"/>
        </w:rPr>
        <w:t>； 承建（承接）企业为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（中型企业、 小型企业、微型企业）</w:t>
      </w:r>
      <w:r>
        <w:rPr>
          <w:rFonts w:hint="eastAsia" w:ascii="宋体" w:hAnsi="宋体" w:eastAsia="宋体" w:cs="宋体"/>
          <w:i w:val="0"/>
          <w:iCs w:val="0"/>
          <w:color w:val="auto"/>
          <w:kern w:val="0"/>
          <w:sz w:val="24"/>
          <w:szCs w:val="24"/>
          <w:highlight w:val="none"/>
          <w:lang w:val="en-US" w:eastAsia="zh-CN" w:bidi="ar"/>
        </w:rPr>
        <w:t xml:space="preserve">； </w:t>
      </w:r>
    </w:p>
    <w:p w14:paraId="27FBC7D4">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w:t>
      </w:r>
    </w:p>
    <w:p w14:paraId="042D044F">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以上企业，不属于大企业的分支机构，不存在控股股东 为大企业的情形，也不存在与大企业的负责人为同一人的情形。</w:t>
      </w:r>
    </w:p>
    <w:p w14:paraId="5B7B49EB">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本企业对上述声明内容的真实性负责。如有虚假，将依法承担相应责任。 </w:t>
      </w:r>
    </w:p>
    <w:p w14:paraId="4C1ABBB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18"/>
          <w:szCs w:val="18"/>
          <w:highlight w:val="none"/>
          <w:lang w:val="en-US" w:eastAsia="zh-CN" w:bidi="ar"/>
        </w:rPr>
      </w:pPr>
    </w:p>
    <w:p w14:paraId="6A483BC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p>
    <w:p w14:paraId="422091EE">
      <w:pPr>
        <w:keepNext w:val="0"/>
        <w:keepLines w:val="0"/>
        <w:pageBreakBefore w:val="0"/>
        <w:widowControl/>
        <w:suppressLineNumbers w:val="0"/>
        <w:kinsoku/>
        <w:wordWrap/>
        <w:overflowPunct/>
        <w:topLinePunct w:val="0"/>
        <w:autoSpaceDE/>
        <w:autoSpaceDN/>
        <w:bidi w:val="0"/>
        <w:adjustRightInd/>
        <w:snapToGrid/>
        <w:spacing w:line="360" w:lineRule="auto"/>
        <w:ind w:firstLine="5760" w:firstLineChars="24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企业名称（盖章）： </w:t>
      </w:r>
    </w:p>
    <w:p w14:paraId="0999ED0B">
      <w:pPr>
        <w:keepNext w:val="0"/>
        <w:keepLines w:val="0"/>
        <w:pageBreakBefore w:val="0"/>
        <w:widowControl/>
        <w:suppressLineNumbers w:val="0"/>
        <w:kinsoku/>
        <w:wordWrap/>
        <w:overflowPunct/>
        <w:topLinePunct w:val="0"/>
        <w:autoSpaceDE/>
        <w:autoSpaceDN/>
        <w:bidi w:val="0"/>
        <w:adjustRightInd/>
        <w:snapToGrid/>
        <w:spacing w:line="360" w:lineRule="auto"/>
        <w:ind w:firstLine="5760" w:firstLineChars="24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日 期： </w:t>
      </w:r>
    </w:p>
    <w:p w14:paraId="5A0309E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注：</w:t>
      </w:r>
      <w:r>
        <w:rPr>
          <w:rFonts w:hint="eastAsia" w:ascii="宋体" w:hAnsi="宋体" w:eastAsia="宋体" w:cs="宋体"/>
          <w:color w:val="auto"/>
          <w:kern w:val="0"/>
          <w:sz w:val="24"/>
          <w:szCs w:val="24"/>
          <w:highlight w:val="none"/>
          <w:lang w:val="en-US" w:eastAsia="en-US" w:bidi="ar"/>
        </w:rPr>
        <w:t>①</w:t>
      </w:r>
      <w:r>
        <w:rPr>
          <w:rFonts w:hint="eastAsia" w:ascii="宋体" w:hAnsi="宋体" w:eastAsia="宋体" w:cs="宋体"/>
          <w:color w:val="auto"/>
          <w:kern w:val="0"/>
          <w:sz w:val="24"/>
          <w:szCs w:val="24"/>
          <w:highlight w:val="none"/>
          <w:lang w:val="en-US" w:eastAsia="zh-CN" w:bidi="ar"/>
        </w:rPr>
        <w:t xml:space="preserve">从业人员、营业收入、资产总额填报上一年度数据，无上一年度数据的新成立企业可不填报。 </w:t>
      </w:r>
    </w:p>
    <w:p w14:paraId="7390B5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en-US"/>
        </w:rPr>
        <w:t>②</w:t>
      </w:r>
      <w:r>
        <w:rPr>
          <w:rFonts w:hint="eastAsia" w:ascii="宋体" w:hAnsi="宋体" w:eastAsia="宋体" w:cs="宋体"/>
          <w:color w:val="auto"/>
          <w:kern w:val="0"/>
          <w:sz w:val="24"/>
          <w:szCs w:val="24"/>
          <w:highlight w:val="none"/>
          <w:lang w:val="en-US" w:eastAsia="zh-CN" w:bidi="ar"/>
        </w:rPr>
        <w:t xml:space="preserve">以联合体形式参加政府采购活动，联合体各方均为中小企业的，联合体视同中小企业。其中，联合体各方均为小微企业的，联合体视同小微企业。 </w:t>
      </w:r>
    </w:p>
    <w:p w14:paraId="0C59AE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en-US" w:bidi="ar"/>
        </w:rPr>
        <w:t>③</w:t>
      </w:r>
      <w:r>
        <w:rPr>
          <w:rFonts w:hint="eastAsia" w:ascii="宋体" w:hAnsi="宋体" w:eastAsia="宋体" w:cs="宋体"/>
          <w:color w:val="auto"/>
          <w:kern w:val="0"/>
          <w:sz w:val="24"/>
          <w:szCs w:val="24"/>
          <w:highlight w:val="none"/>
          <w:lang w:val="en-US" w:eastAsia="zh-CN" w:bidi="ar"/>
        </w:rPr>
        <w:t>在政府采购活动中，供应商提供的工程工程由中小企业承建，即工程施工单位为中小企业的，才能享受《政府采购促进中小企业发展管理办法》规定的中小企业扶持政策。</w:t>
      </w:r>
    </w:p>
    <w:p w14:paraId="1037A6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④在工程采购项目中，工程应当由中小企业承建，不对其中涉及的货物的制造商和服务的承接商作出要求。</w:t>
      </w:r>
    </w:p>
    <w:p w14:paraId="28547F75">
      <w:pPr>
        <w:pStyle w:val="4"/>
        <w:numPr>
          <w:ilvl w:val="0"/>
          <w:numId w:val="24"/>
        </w:numPr>
        <w:bidi w:val="0"/>
        <w:ind w:left="0" w:leftChars="0" w:firstLine="420" w:firstLineChars="0"/>
        <w:jc w:val="center"/>
        <w:rPr>
          <w:rFonts w:hint="eastAsia"/>
          <w:lang w:val="en-US" w:eastAsia="zh-CN"/>
        </w:rPr>
      </w:pPr>
      <w:bookmarkStart w:id="1747" w:name="_Toc23233"/>
      <w:bookmarkStart w:id="1748" w:name="_Toc21261"/>
      <w:bookmarkStart w:id="1749" w:name="_Toc14029"/>
      <w:bookmarkStart w:id="1750" w:name="_Toc1950"/>
      <w:bookmarkStart w:id="1751" w:name="_Toc28627"/>
      <w:bookmarkStart w:id="1752" w:name="OLE_LINK13"/>
      <w:bookmarkStart w:id="1753" w:name="OLE_LINK14"/>
      <w:r>
        <w:rPr>
          <w:rFonts w:hint="eastAsia"/>
          <w:lang w:val="en-US" w:eastAsia="zh-CN"/>
        </w:rPr>
        <w:t>残疾人福利性单位声明函</w:t>
      </w:r>
      <w:bookmarkEnd w:id="1747"/>
      <w:bookmarkEnd w:id="1748"/>
      <w:bookmarkEnd w:id="1749"/>
      <w:r>
        <w:rPr>
          <w:rFonts w:hint="eastAsia"/>
          <w:lang w:val="en-US" w:eastAsia="zh-CN"/>
        </w:rPr>
        <w:t>（如有）</w:t>
      </w:r>
      <w:bookmarkEnd w:id="1750"/>
      <w:bookmarkEnd w:id="1751"/>
    </w:p>
    <w:bookmarkEnd w:id="1752"/>
    <w:bookmarkEnd w:id="1753"/>
    <w:p w14:paraId="74B7FD3B">
      <w:pPr>
        <w:spacing w:line="360" w:lineRule="auto"/>
        <w:rPr>
          <w:rFonts w:hint="eastAsia" w:ascii="宋体" w:hAnsi="宋体" w:cs="宋体"/>
          <w:b/>
          <w:color w:val="auto"/>
          <w:spacing w:val="6"/>
          <w:szCs w:val="21"/>
          <w:highlight w:val="none"/>
        </w:rPr>
      </w:pPr>
    </w:p>
    <w:p w14:paraId="386E2727">
      <w:pPr>
        <w:spacing w:line="360" w:lineRule="auto"/>
        <w:ind w:firstLine="504" w:firstLineChars="200"/>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w:t>
      </w:r>
      <w:r>
        <w:rPr>
          <w:rFonts w:hint="eastAsia" w:ascii="宋体" w:hAnsi="宋体" w:cs="宋体"/>
          <w:color w:val="auto"/>
          <w:spacing w:val="6"/>
          <w:sz w:val="24"/>
          <w:szCs w:val="24"/>
          <w:highlight w:val="none"/>
          <w:u w:val="single"/>
        </w:rPr>
        <w:t xml:space="preserve">       </w:t>
      </w:r>
      <w:r>
        <w:rPr>
          <w:rFonts w:hint="eastAsia" w:ascii="宋体" w:hAnsi="宋体" w:cs="宋体"/>
          <w:color w:val="auto"/>
          <w:spacing w:val="6"/>
          <w:sz w:val="24"/>
          <w:szCs w:val="24"/>
          <w:highlight w:val="none"/>
        </w:rPr>
        <w:t>单位的</w:t>
      </w:r>
      <w:r>
        <w:rPr>
          <w:rFonts w:hint="eastAsia" w:ascii="宋体" w:hAnsi="宋体" w:cs="宋体"/>
          <w:color w:val="auto"/>
          <w:spacing w:val="6"/>
          <w:sz w:val="24"/>
          <w:szCs w:val="24"/>
          <w:highlight w:val="none"/>
          <w:u w:val="single"/>
        </w:rPr>
        <w:t xml:space="preserve">      </w:t>
      </w:r>
      <w:r>
        <w:rPr>
          <w:rFonts w:hint="eastAsia" w:ascii="宋体" w:hAnsi="宋体" w:cs="宋体"/>
          <w:color w:val="auto"/>
          <w:spacing w:val="6"/>
          <w:sz w:val="24"/>
          <w:szCs w:val="24"/>
          <w:highlight w:val="none"/>
        </w:rPr>
        <w:t>项目采购活动提供本单位制造的货物（由本单位承担工程/提供服务），或者提供其他残疾人福利性单位制造的货物（不包括使用非残疾人福利性单位注册商标的货物）。</w:t>
      </w:r>
    </w:p>
    <w:p w14:paraId="11D34C17">
      <w:pPr>
        <w:spacing w:line="360" w:lineRule="auto"/>
        <w:ind w:firstLine="504" w:firstLineChars="200"/>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14:paraId="42035A83">
      <w:pPr>
        <w:spacing w:line="360" w:lineRule="auto"/>
        <w:ind w:firstLine="504" w:firstLineChars="200"/>
        <w:rPr>
          <w:rFonts w:hint="eastAsia" w:ascii="宋体" w:hAnsi="宋体" w:cs="宋体"/>
          <w:color w:val="auto"/>
          <w:spacing w:val="6"/>
          <w:sz w:val="24"/>
          <w:szCs w:val="24"/>
          <w:highlight w:val="none"/>
        </w:rPr>
      </w:pPr>
    </w:p>
    <w:p w14:paraId="3068E4C8">
      <w:pPr>
        <w:spacing w:line="360" w:lineRule="auto"/>
        <w:ind w:firstLine="504" w:firstLineChars="200"/>
        <w:rPr>
          <w:rFonts w:hint="eastAsia" w:ascii="宋体" w:hAnsi="宋体" w:cs="宋体"/>
          <w:color w:val="auto"/>
          <w:spacing w:val="6"/>
          <w:sz w:val="24"/>
          <w:szCs w:val="24"/>
          <w:highlight w:val="none"/>
        </w:rPr>
      </w:pPr>
    </w:p>
    <w:p w14:paraId="35A450F7">
      <w:pPr>
        <w:tabs>
          <w:tab w:val="left" w:pos="4860"/>
        </w:tabs>
        <w:spacing w:line="360" w:lineRule="auto"/>
        <w:ind w:right="1560" w:firstLine="504" w:firstLineChars="200"/>
        <w:jc w:val="center"/>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14:paraId="2ACDD3A9">
      <w:pPr>
        <w:tabs>
          <w:tab w:val="left" w:pos="4860"/>
        </w:tabs>
        <w:spacing w:line="360" w:lineRule="auto"/>
        <w:ind w:right="1560" w:firstLine="504" w:firstLineChars="200"/>
        <w:jc w:val="center"/>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14:paraId="4E6DC68B">
      <w:pPr>
        <w:tabs>
          <w:tab w:val="left" w:pos="840"/>
        </w:tabs>
        <w:autoSpaceDE w:val="0"/>
        <w:autoSpaceDN w:val="0"/>
        <w:adjustRightInd w:val="0"/>
        <w:spacing w:line="360" w:lineRule="auto"/>
        <w:jc w:val="center"/>
        <w:rPr>
          <w:rFonts w:hint="eastAsia" w:ascii="宋体" w:hAnsi="宋体"/>
          <w:b/>
          <w:color w:val="auto"/>
          <w:sz w:val="24"/>
          <w:szCs w:val="24"/>
          <w:highlight w:val="none"/>
        </w:rPr>
      </w:pPr>
    </w:p>
    <w:p w14:paraId="7EB2DAC1">
      <w:pPr>
        <w:spacing w:line="360" w:lineRule="auto"/>
        <w:rPr>
          <w:rFonts w:hint="eastAsia"/>
          <w:color w:val="auto"/>
          <w:sz w:val="24"/>
          <w:szCs w:val="24"/>
          <w:highlight w:val="none"/>
        </w:rPr>
      </w:pPr>
      <w:r>
        <w:rPr>
          <w:rFonts w:hint="eastAsia"/>
          <w:color w:val="auto"/>
          <w:sz w:val="24"/>
          <w:szCs w:val="24"/>
          <w:highlight w:val="none"/>
        </w:rPr>
        <w:t>《财政部民政部中国残疾人联合会关于促进残疾人就业政府采购政策的通知》（财库（2017〔141〕号）的规定：</w:t>
      </w:r>
    </w:p>
    <w:p w14:paraId="33E85D0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 享受政府采购支持政策的残疾人福利性单位应当同时满足以下条件：</w:t>
      </w:r>
    </w:p>
    <w:p w14:paraId="7E5FE7A6">
      <w:pPr>
        <w:spacing w:line="360" w:lineRule="auto"/>
        <w:rPr>
          <w:rFonts w:hint="eastAsia"/>
          <w:color w:val="auto"/>
          <w:sz w:val="24"/>
          <w:szCs w:val="24"/>
          <w:highlight w:val="none"/>
        </w:rPr>
      </w:pPr>
      <w:r>
        <w:rPr>
          <w:rFonts w:hint="eastAsia"/>
          <w:color w:val="auto"/>
          <w:sz w:val="24"/>
          <w:szCs w:val="24"/>
          <w:highlight w:val="none"/>
        </w:rPr>
        <w:t>（1）安置的残疾人占本单位在职职工人数的比例不低于25%（含25%），并且安置的残疾人人数不少于10人（含10人）；</w:t>
      </w:r>
    </w:p>
    <w:p w14:paraId="5905F2F9">
      <w:pPr>
        <w:spacing w:line="360" w:lineRule="auto"/>
        <w:rPr>
          <w:rFonts w:hint="eastAsia"/>
          <w:color w:val="auto"/>
          <w:sz w:val="24"/>
          <w:szCs w:val="24"/>
          <w:highlight w:val="none"/>
        </w:rPr>
      </w:pPr>
      <w:r>
        <w:rPr>
          <w:rFonts w:hint="eastAsia"/>
          <w:color w:val="auto"/>
          <w:sz w:val="24"/>
          <w:szCs w:val="24"/>
          <w:highlight w:val="none"/>
        </w:rPr>
        <w:t>（2）依法与安置的每位残疾人签订了一年以上（含一年）的劳动合同或服务协议；</w:t>
      </w:r>
    </w:p>
    <w:p w14:paraId="05A0178B">
      <w:pPr>
        <w:spacing w:line="360" w:lineRule="auto"/>
        <w:rPr>
          <w:rFonts w:hint="eastAsia"/>
          <w:color w:val="auto"/>
          <w:sz w:val="24"/>
          <w:szCs w:val="24"/>
          <w:highlight w:val="none"/>
        </w:rPr>
      </w:pPr>
      <w:r>
        <w:rPr>
          <w:rFonts w:hint="eastAsia"/>
          <w:color w:val="auto"/>
          <w:sz w:val="24"/>
          <w:szCs w:val="24"/>
          <w:highlight w:val="none"/>
        </w:rPr>
        <w:t>（3）为安置的每位残疾人按月足额缴纳了基本养老保险、基本医疗保险、失业保险、工伤保险和生育保险等社会保险费；</w:t>
      </w:r>
    </w:p>
    <w:p w14:paraId="47412EB5">
      <w:pPr>
        <w:spacing w:line="360" w:lineRule="auto"/>
        <w:rPr>
          <w:rFonts w:hint="eastAsia"/>
          <w:color w:val="auto"/>
          <w:sz w:val="24"/>
          <w:szCs w:val="24"/>
          <w:highlight w:val="none"/>
        </w:rPr>
      </w:pPr>
      <w:r>
        <w:rPr>
          <w:rFonts w:hint="eastAsia"/>
          <w:color w:val="auto"/>
          <w:sz w:val="24"/>
          <w:szCs w:val="24"/>
          <w:highlight w:val="none"/>
        </w:rPr>
        <w:t>（4）通过银行等金融机构向安置的每位残疾人，按月支付了不低于单位所在区县适用的经省级人民政府批准的月最低工资标准的工资；</w:t>
      </w:r>
    </w:p>
    <w:p w14:paraId="4FB3219C">
      <w:pPr>
        <w:spacing w:line="360" w:lineRule="auto"/>
        <w:rPr>
          <w:rFonts w:hint="eastAsia"/>
          <w:color w:val="auto"/>
          <w:sz w:val="24"/>
          <w:szCs w:val="24"/>
          <w:highlight w:val="none"/>
        </w:rPr>
      </w:pPr>
      <w:r>
        <w:rPr>
          <w:rFonts w:hint="eastAsia"/>
          <w:color w:val="auto"/>
          <w:sz w:val="24"/>
          <w:szCs w:val="24"/>
          <w:highlight w:val="none"/>
        </w:rPr>
        <w:t>（5）提供本单位制造的货物、承担的工程或者服务（以下简称产品），或者提供其他残疾人福利性单位制造的货物（不包括使用非残疾人福利性单位注册商标的货物）。</w:t>
      </w:r>
    </w:p>
    <w:p w14:paraId="38DC017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2. </w:t>
      </w:r>
      <w:r>
        <w:rPr>
          <w:rFonts w:hint="eastAsia" w:ascii="宋体" w:hAnsi="宋体" w:cs="宋体"/>
          <w:color w:val="auto"/>
          <w:sz w:val="24"/>
          <w:szCs w:val="24"/>
          <w:highlight w:val="none"/>
          <w:lang w:eastAsia="zh-CN"/>
        </w:rPr>
        <w:t>成交人</w:t>
      </w:r>
      <w:r>
        <w:rPr>
          <w:rFonts w:hint="eastAsia" w:ascii="宋体" w:hAnsi="宋体" w:cs="宋体"/>
          <w:color w:val="auto"/>
          <w:sz w:val="24"/>
          <w:szCs w:val="24"/>
          <w:highlight w:val="none"/>
        </w:rPr>
        <w:t>为残疾人福利性单位的，采购人或者其委托的采购代理机构应当随成交结果同时公告其《残疾人福利性单位声明函》，接受社会监督。</w:t>
      </w:r>
    </w:p>
    <w:p w14:paraId="23F4F925">
      <w:pPr>
        <w:bidi w:val="0"/>
        <w:rPr>
          <w:rFonts w:hint="eastAsia"/>
          <w:sz w:val="24"/>
          <w:szCs w:val="24"/>
          <w:lang w:val="en-US" w:eastAsia="zh-CN"/>
        </w:rPr>
      </w:pPr>
    </w:p>
    <w:p w14:paraId="04630DDC">
      <w:pPr>
        <w:pStyle w:val="4"/>
        <w:numPr>
          <w:ilvl w:val="0"/>
          <w:numId w:val="24"/>
        </w:numPr>
        <w:bidi w:val="0"/>
        <w:ind w:left="0" w:leftChars="0" w:firstLine="420" w:firstLineChars="0"/>
        <w:jc w:val="center"/>
        <w:rPr>
          <w:rFonts w:hint="eastAsia"/>
          <w:lang w:val="en-GB" w:eastAsia="zh-CN"/>
        </w:rPr>
      </w:pPr>
      <w:bookmarkStart w:id="1754" w:name="_Toc2700"/>
      <w:bookmarkStart w:id="1755" w:name="_Toc28634"/>
      <w:r>
        <w:rPr>
          <w:rFonts w:hint="eastAsia" w:cs="Times New Roman"/>
          <w:bCs w:val="0"/>
          <w:color w:val="auto"/>
          <w:szCs w:val="24"/>
          <w:highlight w:val="none"/>
          <w:lang w:val="en-US" w:eastAsia="zh-CN"/>
        </w:rPr>
        <w:br w:type="page"/>
      </w:r>
      <w:bookmarkStart w:id="1756" w:name="_Toc8844"/>
      <w:r>
        <w:rPr>
          <w:rFonts w:hint="eastAsia"/>
          <w:lang w:val="en-GB" w:eastAsia="zh-CN"/>
        </w:rPr>
        <w:t>监狱企业证明材料</w:t>
      </w:r>
      <w:bookmarkEnd w:id="1754"/>
      <w:r>
        <w:rPr>
          <w:rFonts w:hint="eastAsia"/>
          <w:lang w:val="en-GB" w:eastAsia="zh-CN"/>
        </w:rPr>
        <w:t>（如有）</w:t>
      </w:r>
      <w:bookmarkEnd w:id="1755"/>
      <w:bookmarkEnd w:id="1756"/>
    </w:p>
    <w:p w14:paraId="7FD6C93E">
      <w:pPr>
        <w:bidi w:val="0"/>
        <w:rPr>
          <w:rFonts w:hint="eastAsia"/>
          <w:lang w:val="en-GB" w:eastAsia="zh-CN"/>
        </w:rPr>
      </w:pPr>
    </w:p>
    <w:p w14:paraId="042AB717">
      <w:pPr>
        <w:bidi w:val="0"/>
        <w:rPr>
          <w:rFonts w:hint="eastAsia"/>
          <w:lang w:val="en-GB" w:eastAsia="zh-CN"/>
        </w:rPr>
      </w:pPr>
    </w:p>
    <w:p w14:paraId="7160C5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GB" w:eastAsia="zh-CN"/>
        </w:rPr>
      </w:pPr>
      <w:r>
        <w:rPr>
          <w:rFonts w:hint="eastAsia"/>
          <w:color w:val="auto"/>
          <w:sz w:val="24"/>
          <w:szCs w:val="24"/>
          <w:highlight w:val="none"/>
          <w:lang w:val="en-GB" w:eastAsia="zh-CN"/>
        </w:rPr>
        <w:t>监狱企业参加政府采购活动时，应当提供由省级以上监狱管理局、戒毒管理局（含新疆生产建设兵团）出具的属于监狱企业的证明文件。</w:t>
      </w:r>
    </w:p>
    <w:p w14:paraId="5378C0B3">
      <w:pPr>
        <w:rPr>
          <w:rFonts w:hint="eastAsia"/>
          <w:color w:val="auto"/>
          <w:highlight w:val="none"/>
          <w:lang w:val="en-GB" w:eastAsia="zh-CN"/>
        </w:rPr>
      </w:pPr>
    </w:p>
    <w:p w14:paraId="6E269D46">
      <w:pPr>
        <w:bidi w:val="0"/>
        <w:rPr>
          <w:rFonts w:hint="eastAsia"/>
          <w:color w:val="auto"/>
          <w:highlight w:val="none"/>
          <w:lang w:val="en-GB" w:eastAsia="zh-CN"/>
        </w:rPr>
      </w:pPr>
    </w:p>
    <w:p w14:paraId="2304631D">
      <w:pPr>
        <w:bidi w:val="0"/>
        <w:rPr>
          <w:rFonts w:hint="eastAsia"/>
          <w:highlight w:val="none"/>
          <w:lang w:val="en-US" w:eastAsia="zh-CN"/>
        </w:rPr>
      </w:pPr>
    </w:p>
    <w:p w14:paraId="731F4F8E">
      <w:pPr>
        <w:pStyle w:val="3"/>
        <w:numPr>
          <w:ilvl w:val="0"/>
          <w:numId w:val="18"/>
        </w:numPr>
        <w:bidi w:val="0"/>
        <w:rPr>
          <w:rFonts w:hint="eastAsia" w:ascii="宋体" w:hAnsi="宋体" w:eastAsia="宋体" w:cs="Times New Roman"/>
          <w:bCs w:val="0"/>
          <w:color w:val="auto"/>
          <w:szCs w:val="24"/>
          <w:highlight w:val="none"/>
          <w:lang w:val="en-US" w:eastAsia="zh-CN"/>
        </w:rPr>
      </w:pPr>
      <w:r>
        <w:rPr>
          <w:rFonts w:hint="eastAsia" w:ascii="宋体" w:hAnsi="宋体" w:eastAsia="宋体" w:cs="Times New Roman"/>
          <w:bCs w:val="0"/>
          <w:color w:val="auto"/>
          <w:szCs w:val="24"/>
          <w:highlight w:val="none"/>
          <w:lang w:val="en-US" w:eastAsia="zh-CN"/>
        </w:rPr>
        <w:br w:type="page"/>
      </w:r>
      <w:bookmarkStart w:id="1757" w:name="_Toc2167"/>
      <w:bookmarkStart w:id="1758" w:name="_Toc21534"/>
      <w:r>
        <w:rPr>
          <w:rFonts w:hint="eastAsia" w:ascii="宋体" w:hAnsi="宋体" w:eastAsia="宋体" w:cs="宋体"/>
          <w:bCs/>
          <w:color w:val="auto"/>
          <w:szCs w:val="21"/>
          <w:highlight w:val="none"/>
          <w:lang w:val="en-US" w:eastAsia="zh-CN"/>
        </w:rPr>
        <w:t>其他</w:t>
      </w:r>
      <w:bookmarkEnd w:id="1745"/>
      <w:r>
        <w:rPr>
          <w:rFonts w:hint="eastAsia" w:ascii="宋体" w:hAnsi="宋体" w:eastAsia="宋体" w:cs="宋体"/>
          <w:bCs/>
          <w:color w:val="auto"/>
          <w:szCs w:val="21"/>
          <w:highlight w:val="none"/>
          <w:lang w:val="en-US" w:eastAsia="zh-CN"/>
        </w:rPr>
        <w:t>资料</w:t>
      </w:r>
      <w:bookmarkEnd w:id="1746"/>
      <w:bookmarkEnd w:id="1757"/>
      <w:bookmarkEnd w:id="1758"/>
    </w:p>
    <w:p w14:paraId="4B0D6493">
      <w:pPr>
        <w:pStyle w:val="4"/>
        <w:numPr>
          <w:ilvl w:val="0"/>
          <w:numId w:val="25"/>
        </w:numPr>
        <w:bidi w:val="0"/>
        <w:ind w:left="0" w:leftChars="0" w:firstLine="420" w:firstLineChars="0"/>
        <w:jc w:val="center"/>
        <w:rPr>
          <w:rFonts w:hint="eastAsia"/>
          <w:lang w:val="zh-CN" w:eastAsia="zh-CN"/>
        </w:rPr>
      </w:pPr>
      <w:bookmarkStart w:id="1759" w:name="_Toc9042"/>
      <w:bookmarkStart w:id="1760" w:name="_Toc17257"/>
      <w:r>
        <w:rPr>
          <w:rFonts w:hint="eastAsia"/>
          <w:lang w:val="zh-CN" w:eastAsia="zh-CN"/>
        </w:rPr>
        <w:t>反商业贿赂承诺书</w:t>
      </w:r>
      <w:bookmarkEnd w:id="1759"/>
      <w:bookmarkEnd w:id="1760"/>
    </w:p>
    <w:p w14:paraId="7F73F7D7">
      <w:pPr>
        <w:rPr>
          <w:rFonts w:hint="eastAsia"/>
        </w:rPr>
      </w:pPr>
    </w:p>
    <w:p w14:paraId="6C5E079D">
      <w:pPr>
        <w:spacing w:line="480" w:lineRule="exact"/>
        <w:rPr>
          <w:rFonts w:hint="eastAsia" w:ascii="宋体" w:hAnsi="宋体"/>
          <w:color w:val="auto"/>
          <w:sz w:val="24"/>
          <w:szCs w:val="24"/>
          <w:highlight w:val="none"/>
        </w:rPr>
      </w:pPr>
      <w:r>
        <w:rPr>
          <w:rFonts w:hint="eastAsia" w:ascii="宋体" w:hAnsi="宋体"/>
          <w:color w:val="auto"/>
          <w:sz w:val="24"/>
          <w:szCs w:val="24"/>
          <w:highlight w:val="none"/>
        </w:rPr>
        <w:t>我公司承诺：</w:t>
      </w:r>
    </w:p>
    <w:p w14:paraId="7DFD348A">
      <w:pPr>
        <w:spacing w:line="480" w:lineRule="exact"/>
        <w:ind w:firstLine="555"/>
        <w:rPr>
          <w:rFonts w:hint="eastAsia" w:ascii="宋体" w:hAnsi="宋体"/>
          <w:color w:val="auto"/>
          <w:sz w:val="24"/>
          <w:szCs w:val="24"/>
          <w:highlight w:val="none"/>
        </w:rPr>
      </w:pPr>
      <w:r>
        <w:rPr>
          <w:rFonts w:hint="eastAsia" w:ascii="宋体" w:hAnsi="宋体"/>
          <w:color w:val="auto"/>
          <w:sz w:val="24"/>
          <w:szCs w:val="24"/>
          <w:highlight w:val="none"/>
        </w:rPr>
        <w:t>在</w:t>
      </w:r>
      <w:r>
        <w:rPr>
          <w:rFonts w:hint="eastAsia" w:ascii="宋体" w:hAnsi="宋体"/>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ascii="宋体" w:hAnsi="宋体"/>
          <w:color w:val="auto"/>
          <w:sz w:val="24"/>
          <w:szCs w:val="24"/>
          <w:highlight w:val="none"/>
          <w:u w:val="single"/>
        </w:rPr>
        <w:t>（采购项目名称）</w:t>
      </w:r>
      <w:r>
        <w:rPr>
          <w:rFonts w:hint="eastAsia" w:ascii="宋体" w:hAnsi="宋体"/>
          <w:color w:val="auto"/>
          <w:sz w:val="24"/>
          <w:szCs w:val="24"/>
          <w:highlight w:val="none"/>
        </w:rPr>
        <w:t>采购活动中，我公司保证做到：</w:t>
      </w:r>
    </w:p>
    <w:p w14:paraId="2FB6D5F6">
      <w:pPr>
        <w:spacing w:line="480" w:lineRule="exact"/>
        <w:ind w:firstLine="555"/>
        <w:rPr>
          <w:rFonts w:hint="eastAsia" w:ascii="宋体" w:hAnsi="宋体"/>
          <w:color w:val="auto"/>
          <w:sz w:val="24"/>
          <w:szCs w:val="24"/>
          <w:highlight w:val="none"/>
        </w:rPr>
      </w:pPr>
      <w:r>
        <w:rPr>
          <w:rFonts w:hint="eastAsia" w:ascii="宋体" w:hAnsi="宋体"/>
          <w:color w:val="auto"/>
          <w:sz w:val="24"/>
          <w:szCs w:val="24"/>
          <w:highlight w:val="none"/>
        </w:rPr>
        <w:t>1. 公平竞争参加本次采购活动。</w:t>
      </w:r>
    </w:p>
    <w:p w14:paraId="0A3B456D">
      <w:pPr>
        <w:spacing w:line="480" w:lineRule="exact"/>
        <w:ind w:firstLine="556"/>
        <w:rPr>
          <w:rFonts w:hint="eastAsia" w:ascii="宋体" w:hAnsi="宋体"/>
          <w:color w:val="auto"/>
          <w:sz w:val="24"/>
          <w:szCs w:val="24"/>
          <w:highlight w:val="none"/>
        </w:rPr>
      </w:pPr>
      <w:r>
        <w:rPr>
          <w:rFonts w:hint="eastAsia" w:ascii="宋体" w:hAnsi="宋体"/>
          <w:color w:val="auto"/>
          <w:sz w:val="24"/>
          <w:szCs w:val="24"/>
          <w:highlight w:val="none"/>
        </w:rPr>
        <w:t>2. 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10764A45">
      <w:pPr>
        <w:spacing w:line="480" w:lineRule="exact"/>
        <w:ind w:firstLine="556"/>
        <w:rPr>
          <w:rFonts w:hint="eastAsia" w:ascii="宋体" w:hAnsi="宋体"/>
          <w:color w:val="auto"/>
          <w:sz w:val="24"/>
          <w:szCs w:val="24"/>
          <w:highlight w:val="none"/>
        </w:rPr>
      </w:pPr>
      <w:r>
        <w:rPr>
          <w:rFonts w:hint="eastAsia" w:ascii="宋体" w:hAnsi="宋体"/>
          <w:color w:val="auto"/>
          <w:sz w:val="24"/>
          <w:szCs w:val="24"/>
          <w:highlight w:val="none"/>
        </w:rPr>
        <w:t>3. 若出现上述行为，我公司及参与</w:t>
      </w:r>
      <w:r>
        <w:rPr>
          <w:rFonts w:hint="eastAsia"/>
          <w:color w:val="auto"/>
          <w:sz w:val="24"/>
          <w:szCs w:val="24"/>
          <w:highlight w:val="none"/>
          <w:lang w:eastAsia="zh-CN"/>
        </w:rPr>
        <w:t>磋商</w:t>
      </w:r>
      <w:r>
        <w:rPr>
          <w:rFonts w:hint="eastAsia" w:ascii="宋体" w:hAnsi="宋体"/>
          <w:color w:val="auto"/>
          <w:sz w:val="24"/>
          <w:szCs w:val="24"/>
          <w:highlight w:val="none"/>
        </w:rPr>
        <w:t>的工作人员愿意接受按照国家法律法规等有关规定给予的处罚。</w:t>
      </w:r>
    </w:p>
    <w:p w14:paraId="2F7404CA">
      <w:pPr>
        <w:spacing w:line="480" w:lineRule="exact"/>
        <w:ind w:firstLine="555"/>
        <w:rPr>
          <w:rFonts w:hint="eastAsia" w:ascii="宋体" w:hAnsi="宋体"/>
          <w:color w:val="auto"/>
          <w:sz w:val="24"/>
          <w:szCs w:val="24"/>
          <w:highlight w:val="none"/>
        </w:rPr>
      </w:pPr>
    </w:p>
    <w:p w14:paraId="12443785">
      <w:pPr>
        <w:spacing w:line="480" w:lineRule="exact"/>
        <w:ind w:firstLine="2880"/>
        <w:rPr>
          <w:rFonts w:hint="eastAsia" w:ascii="宋体" w:hAnsi="宋体"/>
          <w:color w:val="auto"/>
          <w:sz w:val="24"/>
          <w:szCs w:val="24"/>
          <w:highlight w:val="none"/>
        </w:rPr>
      </w:pPr>
      <w:r>
        <w:rPr>
          <w:rFonts w:hint="eastAsia"/>
          <w:color w:val="auto"/>
          <w:sz w:val="24"/>
          <w:szCs w:val="24"/>
          <w:highlight w:val="none"/>
          <w:lang w:eastAsia="zh-CN"/>
        </w:rPr>
        <w:t>供应商</w:t>
      </w:r>
      <w:r>
        <w:rPr>
          <w:rFonts w:hint="eastAsia" w:ascii="宋体" w:hAnsi="宋体"/>
          <w:color w:val="auto"/>
          <w:sz w:val="24"/>
          <w:szCs w:val="24"/>
          <w:highlight w:val="none"/>
        </w:rPr>
        <w:t>（公章）：</w:t>
      </w:r>
      <w:r>
        <w:rPr>
          <w:rFonts w:hint="eastAsia"/>
          <w:color w:val="auto"/>
          <w:sz w:val="24"/>
          <w:szCs w:val="24"/>
          <w:highlight w:val="none"/>
          <w:u w:val="single"/>
          <w:lang w:val="en-US" w:eastAsia="zh-CN"/>
        </w:rPr>
        <w:t xml:space="preserve">                         </w:t>
      </w:r>
    </w:p>
    <w:p w14:paraId="110DB70B">
      <w:pPr>
        <w:spacing w:line="480" w:lineRule="exact"/>
        <w:ind w:firstLine="2880"/>
        <w:rPr>
          <w:rFonts w:hint="eastAsia" w:ascii="宋体" w:hAnsi="宋体"/>
          <w:color w:val="auto"/>
          <w:sz w:val="24"/>
          <w:szCs w:val="24"/>
          <w:highlight w:val="none"/>
        </w:rPr>
      </w:pPr>
      <w:r>
        <w:rPr>
          <w:rFonts w:hint="eastAsia" w:ascii="宋体" w:hAnsi="宋体"/>
          <w:color w:val="auto"/>
          <w:sz w:val="24"/>
          <w:szCs w:val="24"/>
          <w:highlight w:val="none"/>
          <w:lang w:val="en-US" w:eastAsia="zh-CN"/>
        </w:rPr>
        <w:t>法定代表人</w:t>
      </w:r>
      <w:r>
        <w:rPr>
          <w:rFonts w:hint="eastAsia" w:ascii="宋体" w:hAnsi="宋体"/>
          <w:color w:val="auto"/>
          <w:sz w:val="24"/>
          <w:szCs w:val="24"/>
          <w:highlight w:val="none"/>
        </w:rPr>
        <w:t>（</w:t>
      </w:r>
      <w:r>
        <w:rPr>
          <w:rFonts w:hint="eastAsia"/>
          <w:color w:val="auto"/>
          <w:sz w:val="24"/>
          <w:szCs w:val="24"/>
          <w:highlight w:val="none"/>
          <w:lang w:val="en-US" w:eastAsia="zh-CN"/>
        </w:rPr>
        <w:t>电子签章</w:t>
      </w:r>
      <w:r>
        <w:rPr>
          <w:rFonts w:hint="eastAsia" w:ascii="宋体" w:hAnsi="宋体"/>
          <w:color w:val="auto"/>
          <w:sz w:val="24"/>
          <w:szCs w:val="24"/>
          <w:highlight w:val="none"/>
        </w:rPr>
        <w:t>）：</w:t>
      </w:r>
      <w:r>
        <w:rPr>
          <w:rFonts w:hint="eastAsia"/>
          <w:color w:val="auto"/>
          <w:sz w:val="24"/>
          <w:szCs w:val="24"/>
          <w:highlight w:val="none"/>
          <w:u w:val="single"/>
          <w:lang w:val="en-US" w:eastAsia="zh-CN"/>
        </w:rPr>
        <w:t xml:space="preserve">                 </w:t>
      </w:r>
    </w:p>
    <w:p w14:paraId="013160AE">
      <w:pPr>
        <w:spacing w:line="480" w:lineRule="exact"/>
        <w:ind w:firstLine="555"/>
        <w:rPr>
          <w:rFonts w:hint="eastAsia"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年  月  日</w:t>
      </w:r>
    </w:p>
    <w:p w14:paraId="35154778">
      <w:pPr>
        <w:rPr>
          <w:rFonts w:ascii="宋体" w:hAnsi="宋体"/>
          <w:color w:val="auto"/>
          <w:szCs w:val="21"/>
          <w:highlight w:val="none"/>
        </w:rPr>
      </w:pPr>
    </w:p>
    <w:p w14:paraId="46245172">
      <w:pPr>
        <w:pStyle w:val="4"/>
        <w:numPr>
          <w:ilvl w:val="0"/>
          <w:numId w:val="25"/>
        </w:numPr>
        <w:bidi w:val="0"/>
        <w:ind w:left="0" w:leftChars="0" w:firstLine="420" w:firstLineChars="0"/>
        <w:jc w:val="center"/>
        <w:rPr>
          <w:rFonts w:hint="eastAsia"/>
        </w:rPr>
      </w:pPr>
      <w:r>
        <w:rPr>
          <w:rFonts w:hint="eastAsia"/>
          <w:lang w:val="en-US" w:eastAsia="zh-CN"/>
        </w:rPr>
        <w:br w:type="page"/>
      </w:r>
      <w:r>
        <w:rPr>
          <w:rFonts w:hint="eastAsia"/>
        </w:rPr>
        <w:t>缴纳农民工工资保证金承诺</w:t>
      </w:r>
    </w:p>
    <w:p w14:paraId="221D1290">
      <w:pPr>
        <w:rPr>
          <w:rFonts w:hint="eastAsia"/>
        </w:rPr>
      </w:pPr>
    </w:p>
    <w:p w14:paraId="7E7D90DD">
      <w:pPr>
        <w:jc w:val="center"/>
        <w:rPr>
          <w:rFonts w:hint="eastAsia" w:ascii="宋体" w:hAnsi="宋体"/>
          <w:b/>
          <w:bCs/>
          <w:sz w:val="24"/>
          <w:szCs w:val="24"/>
        </w:rPr>
      </w:pPr>
    </w:p>
    <w:p w14:paraId="5462B72E">
      <w:pPr>
        <w:jc w:val="center"/>
        <w:rPr>
          <w:rFonts w:ascii="宋体" w:hAnsi="宋体"/>
          <w:b/>
          <w:sz w:val="24"/>
          <w:szCs w:val="24"/>
        </w:rPr>
      </w:pPr>
      <w:r>
        <w:rPr>
          <w:rFonts w:hint="eastAsia" w:ascii="宋体" w:hAnsi="宋体"/>
          <w:b/>
          <w:bCs/>
          <w:sz w:val="24"/>
          <w:szCs w:val="24"/>
        </w:rPr>
        <w:t>缴纳</w:t>
      </w:r>
      <w:r>
        <w:rPr>
          <w:rFonts w:hint="eastAsia" w:ascii="宋体" w:hAnsi="宋体"/>
          <w:b/>
          <w:sz w:val="24"/>
          <w:szCs w:val="24"/>
        </w:rPr>
        <w:t>农民工工资保证金承诺书</w:t>
      </w:r>
    </w:p>
    <w:p w14:paraId="3EF0E803">
      <w:pPr>
        <w:widowControl/>
        <w:spacing w:after="200" w:line="276" w:lineRule="auto"/>
        <w:rPr>
          <w:rFonts w:hint="eastAsia" w:cs="宋体"/>
          <w:kern w:val="0"/>
          <w:sz w:val="24"/>
          <w:szCs w:val="24"/>
          <w:lang w:val="en-US" w:eastAsia="zh-CN"/>
        </w:rPr>
      </w:pPr>
    </w:p>
    <w:p w14:paraId="6941A0FB">
      <w:pPr>
        <w:keepNext w:val="0"/>
        <w:keepLines w:val="0"/>
        <w:pageBreakBefore w:val="0"/>
        <w:widowControl/>
        <w:kinsoku/>
        <w:wordWrap w:val="0"/>
        <w:overflowPunct/>
        <w:topLinePunct/>
        <w:autoSpaceDE/>
        <w:autoSpaceDN/>
        <w:bidi w:val="0"/>
        <w:adjustRightInd/>
        <w:snapToGrid w:val="0"/>
        <w:spacing w:after="200" w:line="276" w:lineRule="auto"/>
        <w:textAlignment w:val="auto"/>
        <w:rPr>
          <w:rFonts w:hint="eastAsia" w:ascii="宋体" w:hAnsi="宋体" w:cs="宋体"/>
          <w:kern w:val="0"/>
          <w:sz w:val="24"/>
          <w:szCs w:val="24"/>
          <w:u w:val="single"/>
        </w:rPr>
      </w:pPr>
      <w:r>
        <w:rPr>
          <w:rFonts w:hint="eastAsia" w:cs="宋体"/>
          <w:kern w:val="0"/>
          <w:sz w:val="24"/>
          <w:szCs w:val="24"/>
          <w:lang w:val="en-US" w:eastAsia="zh-CN"/>
        </w:rPr>
        <w:t xml:space="preserve"> </w:t>
      </w:r>
      <w:r>
        <w:rPr>
          <w:rFonts w:hint="eastAsia" w:cs="宋体"/>
          <w:kern w:val="0"/>
          <w:sz w:val="24"/>
          <w:szCs w:val="24"/>
          <w:u w:val="single"/>
          <w:lang w:val="en-US" w:eastAsia="zh-CN"/>
        </w:rPr>
        <w:t xml:space="preserve">             </w:t>
      </w:r>
      <w:r>
        <w:rPr>
          <w:rFonts w:hint="eastAsia" w:ascii="宋体" w:hAnsi="宋体" w:cs="宋体"/>
          <w:kern w:val="0"/>
          <w:sz w:val="24"/>
          <w:szCs w:val="24"/>
          <w:u w:val="single"/>
        </w:rPr>
        <w:t>（</w:t>
      </w:r>
      <w:r>
        <w:rPr>
          <w:rFonts w:hint="eastAsia" w:cs="宋体"/>
          <w:kern w:val="0"/>
          <w:sz w:val="24"/>
          <w:szCs w:val="24"/>
          <w:u w:val="single"/>
          <w:lang w:val="en-US" w:eastAsia="zh-CN"/>
        </w:rPr>
        <w:t>采购人</w:t>
      </w:r>
      <w:r>
        <w:rPr>
          <w:rFonts w:hint="eastAsia" w:ascii="宋体" w:hAnsi="宋体" w:cs="宋体"/>
          <w:kern w:val="0"/>
          <w:sz w:val="24"/>
          <w:szCs w:val="24"/>
          <w:u w:val="single"/>
        </w:rPr>
        <w:t>名称）：</w:t>
      </w:r>
    </w:p>
    <w:p w14:paraId="32674933">
      <w:pPr>
        <w:keepNext w:val="0"/>
        <w:keepLines w:val="0"/>
        <w:pageBreakBefore w:val="0"/>
        <w:widowControl/>
        <w:kinsoku/>
        <w:wordWrap w:val="0"/>
        <w:overflowPunct/>
        <w:topLinePunct/>
        <w:autoSpaceDE/>
        <w:autoSpaceDN/>
        <w:bidi w:val="0"/>
        <w:adjustRightInd/>
        <w:snapToGrid w:val="0"/>
        <w:spacing w:after="200" w:line="276" w:lineRule="auto"/>
        <w:ind w:firstLine="720" w:firstLineChars="300"/>
        <w:textAlignment w:val="auto"/>
        <w:rPr>
          <w:rFonts w:ascii="宋体" w:hAnsi="宋体" w:cs="宋体"/>
          <w:kern w:val="0"/>
          <w:sz w:val="24"/>
          <w:szCs w:val="24"/>
        </w:rPr>
      </w:pPr>
      <w:r>
        <w:rPr>
          <w:rFonts w:hint="eastAsia" w:ascii="宋体" w:hAnsi="宋体" w:cs="宋体"/>
          <w:kern w:val="0"/>
          <w:sz w:val="24"/>
          <w:szCs w:val="24"/>
        </w:rPr>
        <w:t>我方在此声明，</w:t>
      </w:r>
      <w:r>
        <w:rPr>
          <w:rFonts w:hint="eastAsia" w:cs="宋体"/>
          <w:kern w:val="0"/>
          <w:sz w:val="24"/>
          <w:szCs w:val="24"/>
          <w:lang w:val="en-US" w:eastAsia="zh-CN"/>
        </w:rPr>
        <w:t>成交</w:t>
      </w:r>
      <w:r>
        <w:rPr>
          <w:rFonts w:hint="eastAsia" w:ascii="宋体" w:hAnsi="宋体" w:cs="宋体"/>
          <w:kern w:val="0"/>
          <w:sz w:val="24"/>
          <w:szCs w:val="24"/>
        </w:rPr>
        <w:t>后按豫人社规｛2022｝4号文件规定缴纳农</w:t>
      </w:r>
      <w:r>
        <w:rPr>
          <w:rFonts w:ascii="宋体" w:hAnsi="宋体" w:cs="宋体"/>
          <w:kern w:val="0"/>
          <w:sz w:val="24"/>
          <w:szCs w:val="24"/>
        </w:rPr>
        <w:t>民工工资</w:t>
      </w:r>
      <w:r>
        <w:rPr>
          <w:rFonts w:hint="eastAsia" w:ascii="宋体" w:hAnsi="宋体" w:cs="宋体"/>
          <w:kern w:val="0"/>
          <w:sz w:val="24"/>
          <w:szCs w:val="24"/>
        </w:rPr>
        <w:t>保证金</w:t>
      </w:r>
      <w:r>
        <w:rPr>
          <w:rFonts w:ascii="宋体" w:hAnsi="宋体" w:cs="宋体"/>
          <w:kern w:val="0"/>
          <w:sz w:val="24"/>
          <w:szCs w:val="24"/>
        </w:rPr>
        <w:t>。</w:t>
      </w:r>
    </w:p>
    <w:p w14:paraId="71855E2E">
      <w:pPr>
        <w:keepNext w:val="0"/>
        <w:keepLines w:val="0"/>
        <w:pageBreakBefore w:val="0"/>
        <w:widowControl/>
        <w:kinsoku/>
        <w:wordWrap w:val="0"/>
        <w:overflowPunct/>
        <w:topLinePunct/>
        <w:autoSpaceDE/>
        <w:autoSpaceDN/>
        <w:bidi w:val="0"/>
        <w:adjustRightInd/>
        <w:snapToGrid w:val="0"/>
        <w:spacing w:after="200" w:line="276" w:lineRule="auto"/>
        <w:jc w:val="center"/>
        <w:textAlignment w:val="auto"/>
        <w:rPr>
          <w:rFonts w:ascii="宋体" w:hAnsi="宋体" w:cs="宋体"/>
          <w:kern w:val="0"/>
          <w:sz w:val="24"/>
          <w:szCs w:val="24"/>
        </w:rPr>
      </w:pPr>
    </w:p>
    <w:p w14:paraId="01227992">
      <w:pPr>
        <w:keepNext w:val="0"/>
        <w:keepLines w:val="0"/>
        <w:pageBreakBefore w:val="0"/>
        <w:widowControl/>
        <w:kinsoku/>
        <w:wordWrap w:val="0"/>
        <w:overflowPunct/>
        <w:topLinePunct/>
        <w:autoSpaceDE/>
        <w:autoSpaceDN/>
        <w:bidi w:val="0"/>
        <w:adjustRightInd/>
        <w:snapToGrid w:val="0"/>
        <w:spacing w:after="200" w:line="276" w:lineRule="auto"/>
        <w:ind w:firstLine="720" w:firstLineChars="300"/>
        <w:textAlignment w:val="auto"/>
        <w:rPr>
          <w:rFonts w:hint="eastAsia" w:ascii="宋体" w:hAnsi="宋体" w:eastAsia="宋体" w:cs="宋体"/>
          <w:kern w:val="0"/>
          <w:sz w:val="24"/>
          <w:szCs w:val="24"/>
          <w:lang w:eastAsia="zh-CN"/>
        </w:rPr>
      </w:pPr>
      <w:r>
        <w:rPr>
          <w:rFonts w:hint="eastAsia" w:ascii="宋体" w:hAnsi="宋体" w:cs="宋体"/>
          <w:kern w:val="0"/>
          <w:sz w:val="24"/>
          <w:szCs w:val="24"/>
        </w:rPr>
        <w:t>特此承诺</w:t>
      </w:r>
      <w:r>
        <w:rPr>
          <w:rFonts w:hint="eastAsia" w:cs="宋体"/>
          <w:kern w:val="0"/>
          <w:sz w:val="24"/>
          <w:szCs w:val="24"/>
          <w:lang w:eastAsia="zh-CN"/>
        </w:rPr>
        <w:t>，</w:t>
      </w:r>
    </w:p>
    <w:p w14:paraId="0D12CA98">
      <w:pPr>
        <w:widowControl/>
        <w:spacing w:after="200" w:line="276" w:lineRule="auto"/>
        <w:jc w:val="center"/>
        <w:rPr>
          <w:rFonts w:ascii="宋体" w:hAnsi="宋体" w:cs="宋体"/>
          <w:kern w:val="0"/>
          <w:sz w:val="24"/>
          <w:szCs w:val="24"/>
        </w:rPr>
      </w:pPr>
    </w:p>
    <w:p w14:paraId="2AFFBC04">
      <w:pPr>
        <w:widowControl/>
        <w:spacing w:after="200" w:line="276" w:lineRule="auto"/>
        <w:jc w:val="center"/>
        <w:rPr>
          <w:rFonts w:ascii="宋体" w:hAnsi="宋体" w:cs="宋体"/>
          <w:kern w:val="0"/>
          <w:sz w:val="24"/>
          <w:szCs w:val="24"/>
        </w:rPr>
      </w:pPr>
    </w:p>
    <w:p w14:paraId="1D676287">
      <w:pPr>
        <w:widowControl/>
        <w:spacing w:after="200" w:line="276"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rPr>
        <w:t xml:space="preserve"> 　　　　　　　　　　　　　</w:t>
      </w:r>
      <w:r>
        <w:rPr>
          <w:rFonts w:hint="eastAsia" w:cs="宋体"/>
          <w:kern w:val="0"/>
          <w:sz w:val="24"/>
          <w:szCs w:val="24"/>
          <w:lang w:val="en-US" w:eastAsia="zh-CN"/>
        </w:rPr>
        <w:t>供应商</w:t>
      </w:r>
      <w:r>
        <w:rPr>
          <w:rFonts w:hint="eastAsia" w:ascii="宋体" w:hAnsi="宋体" w:cs="宋体"/>
          <w:kern w:val="0"/>
          <w:sz w:val="24"/>
          <w:szCs w:val="24"/>
        </w:rPr>
        <w:t>（</w:t>
      </w:r>
      <w:r>
        <w:rPr>
          <w:rFonts w:hint="eastAsia" w:ascii="宋体" w:hAnsi="Courier New"/>
          <w:kern w:val="0"/>
          <w:sz w:val="24"/>
          <w:szCs w:val="24"/>
        </w:rPr>
        <w:t>盖单位章</w:t>
      </w:r>
      <w:r>
        <w:rPr>
          <w:rFonts w:hint="eastAsia" w:ascii="宋体" w:hAnsi="宋体" w:cs="宋体"/>
          <w:kern w:val="0"/>
          <w:sz w:val="24"/>
          <w:szCs w:val="24"/>
        </w:rPr>
        <w:t>）：</w:t>
      </w:r>
      <w:r>
        <w:rPr>
          <w:rFonts w:hint="eastAsia" w:cs="宋体"/>
          <w:kern w:val="0"/>
          <w:sz w:val="24"/>
          <w:szCs w:val="24"/>
          <w:lang w:val="en-US" w:eastAsia="zh-CN"/>
        </w:rPr>
        <w:t xml:space="preserve"> </w:t>
      </w:r>
      <w:r>
        <w:rPr>
          <w:rFonts w:hint="eastAsia" w:cs="宋体"/>
          <w:kern w:val="0"/>
          <w:sz w:val="24"/>
          <w:szCs w:val="24"/>
          <w:u w:val="single"/>
          <w:lang w:val="en-US" w:eastAsia="zh-CN"/>
        </w:rPr>
        <w:t xml:space="preserve">             </w:t>
      </w:r>
    </w:p>
    <w:p w14:paraId="283E96DB">
      <w:pPr>
        <w:widowControl/>
        <w:spacing w:after="200" w:line="276" w:lineRule="auto"/>
        <w:jc w:val="center"/>
        <w:rPr>
          <w:rFonts w:hint="eastAsia" w:ascii="宋体" w:hAnsi="宋体" w:cs="宋体"/>
          <w:kern w:val="0"/>
          <w:szCs w:val="21"/>
        </w:rPr>
      </w:pPr>
      <w:r>
        <w:rPr>
          <w:rFonts w:hint="eastAsia" w:ascii="宋体" w:hAnsi="宋体" w:cs="宋体"/>
          <w:kern w:val="0"/>
          <w:sz w:val="24"/>
          <w:szCs w:val="24"/>
        </w:rPr>
        <w:t xml:space="preserve">                        年   月   日</w:t>
      </w:r>
    </w:p>
    <w:p w14:paraId="0765B495">
      <w:pPr>
        <w:pStyle w:val="4"/>
        <w:numPr>
          <w:ilvl w:val="0"/>
          <w:numId w:val="25"/>
        </w:numPr>
        <w:bidi w:val="0"/>
        <w:ind w:left="0" w:leftChars="0" w:firstLine="420" w:firstLineChars="0"/>
        <w:jc w:val="center"/>
        <w:rPr>
          <w:rFonts w:hint="default" w:ascii="宋体" w:hAnsi="宋体" w:eastAsia="宋体"/>
          <w:b/>
          <w:color w:val="auto"/>
          <w:szCs w:val="21"/>
          <w:highlight w:val="none"/>
          <w:lang w:val="en-US" w:eastAsia="zh-CN"/>
        </w:rPr>
      </w:pPr>
      <w:r>
        <w:rPr>
          <w:rFonts w:hint="eastAsia" w:ascii="宋体" w:hAnsi="宋体"/>
          <w:b/>
          <w:color w:val="auto"/>
          <w:szCs w:val="21"/>
          <w:highlight w:val="none"/>
        </w:rPr>
        <w:br w:type="page"/>
      </w:r>
      <w:r>
        <w:rPr>
          <w:rFonts w:hint="eastAsia"/>
          <w:b/>
          <w:color w:val="auto"/>
          <w:szCs w:val="21"/>
          <w:highlight w:val="none"/>
          <w:lang w:val="en-US" w:eastAsia="zh-CN"/>
        </w:rPr>
        <w:t>其他资料</w:t>
      </w:r>
    </w:p>
    <w:p w14:paraId="7EC63CCF">
      <w:pPr>
        <w:rPr>
          <w:rFonts w:hint="eastAsia"/>
          <w:color w:val="auto"/>
          <w:highlight w:val="none"/>
        </w:rPr>
      </w:pPr>
    </w:p>
    <w:p w14:paraId="3E90151C">
      <w:pPr>
        <w:pStyle w:val="23"/>
        <w:spacing w:line="500" w:lineRule="exact"/>
        <w:ind w:left="0" w:leftChars="0" w:firstLine="0" w:firstLineChars="0"/>
        <w:jc w:val="both"/>
        <w:rPr>
          <w:rFonts w:hint="eastAsia" w:ascii="宋体" w:hAnsi="宋体"/>
          <w:b/>
          <w:color w:val="auto"/>
          <w:szCs w:val="21"/>
          <w:highlight w:val="none"/>
        </w:rPr>
      </w:pPr>
    </w:p>
    <w:bookmarkEnd w:id="1723"/>
    <w:p w14:paraId="5BF753F8">
      <w:pPr>
        <w:rPr>
          <w:color w:val="auto"/>
          <w:highlight w:val="none"/>
        </w:rPr>
      </w:pPr>
    </w:p>
    <w:p w14:paraId="0EEE9474">
      <w:pPr>
        <w:pStyle w:val="47"/>
        <w:rPr>
          <w:color w:val="auto"/>
          <w:highlight w:val="none"/>
        </w:rPr>
      </w:pPr>
    </w:p>
    <w:p w14:paraId="5851D736">
      <w:pPr>
        <w:pStyle w:val="91"/>
        <w:rPr>
          <w:color w:val="auto"/>
          <w:highlight w:val="none"/>
        </w:rPr>
      </w:pPr>
    </w:p>
    <w:p w14:paraId="32BF5BB0">
      <w:pPr>
        <w:rPr>
          <w:color w:val="auto"/>
          <w:highlight w:val="none"/>
        </w:rPr>
      </w:pPr>
    </w:p>
    <w:p w14:paraId="702C1EF2">
      <w:pPr>
        <w:pStyle w:val="47"/>
        <w:rPr>
          <w:color w:val="auto"/>
          <w:highlight w:val="none"/>
        </w:rPr>
      </w:pPr>
    </w:p>
    <w:p w14:paraId="35234B7C">
      <w:pPr>
        <w:pStyle w:val="91"/>
        <w:rPr>
          <w:color w:val="auto"/>
          <w:highlight w:val="none"/>
        </w:rPr>
      </w:pPr>
    </w:p>
    <w:p w14:paraId="39F9C77A">
      <w:pPr>
        <w:rPr>
          <w:color w:val="auto"/>
          <w:highlight w:val="none"/>
        </w:rPr>
      </w:pPr>
    </w:p>
    <w:p w14:paraId="221B85B9">
      <w:pPr>
        <w:pStyle w:val="47"/>
        <w:rPr>
          <w:color w:val="auto"/>
          <w:highlight w:val="none"/>
        </w:rPr>
      </w:pPr>
    </w:p>
    <w:p w14:paraId="28498526">
      <w:pPr>
        <w:pStyle w:val="91"/>
        <w:rPr>
          <w:color w:val="auto"/>
          <w:highlight w:val="none"/>
        </w:rPr>
      </w:pPr>
    </w:p>
    <w:p w14:paraId="197BF3B0">
      <w:pPr>
        <w:rPr>
          <w:color w:val="auto"/>
          <w:highlight w:val="none"/>
        </w:rPr>
      </w:pPr>
    </w:p>
    <w:p w14:paraId="3AF7D53B">
      <w:pPr>
        <w:pStyle w:val="47"/>
        <w:rPr>
          <w:color w:val="auto"/>
          <w:highlight w:val="none"/>
        </w:rPr>
      </w:pPr>
    </w:p>
    <w:p w14:paraId="7213B627">
      <w:pPr>
        <w:pStyle w:val="91"/>
        <w:rPr>
          <w:color w:val="auto"/>
          <w:highlight w:val="none"/>
        </w:rPr>
      </w:pPr>
    </w:p>
    <w:p w14:paraId="338B794C">
      <w:pPr>
        <w:rPr>
          <w:color w:val="auto"/>
          <w:highlight w:val="none"/>
        </w:rPr>
      </w:pPr>
    </w:p>
    <w:p w14:paraId="575263D9">
      <w:pPr>
        <w:pStyle w:val="47"/>
        <w:rPr>
          <w:rFonts w:hint="default"/>
          <w:color w:val="auto"/>
          <w:highlight w:val="none"/>
          <w:lang w:val="en-US" w:eastAsia="zh-CN"/>
        </w:rPr>
      </w:pPr>
    </w:p>
    <w:sectPr>
      <w:pgSz w:w="11907" w:h="16840"/>
      <w:pgMar w:top="1400" w:right="1418" w:bottom="1089" w:left="1418" w:header="850" w:footer="850" w:gutter="0"/>
      <w:pgBorders>
        <w:top w:val="none" w:sz="0" w:space="0"/>
        <w:left w:val="none" w:sz="0" w:space="0"/>
        <w:bottom w:val="none" w:sz="0" w:space="0"/>
        <w:right w:val="none" w:sz="0" w:space="0"/>
      </w:pgBorders>
      <w:pgNumType w:fmt="decimal"/>
      <w:cols w:space="72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幼圆">
    <w:altName w:val="宋体"/>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37962">
    <w:pPr>
      <w:spacing w:line="172" w:lineRule="auto"/>
      <w:ind w:left="4699"/>
      <w:rPr>
        <w:rFonts w:eastAsia="Times New Roman"/>
        <w:sz w:val="14"/>
        <w:szCs w:val="14"/>
      </w:rPr>
    </w:pPr>
    <w:r>
      <w:rPr>
        <w:sz w:val="14"/>
      </w:rPr>
      <mc:AlternateContent>
        <mc:Choice Requires="wps">
          <w:drawing>
            <wp:anchor distT="0" distB="0" distL="114300" distR="114300" simplePos="0" relativeHeight="251662336" behindDoc="0" locked="0" layoutInCell="1" allowOverlap="1">
              <wp:simplePos x="0" y="0"/>
              <wp:positionH relativeFrom="margin">
                <wp:posOffset>2853055</wp:posOffset>
              </wp:positionH>
              <wp:positionV relativeFrom="paragraph">
                <wp:posOffset>-175895</wp:posOffset>
              </wp:positionV>
              <wp:extent cx="1828800" cy="1828800"/>
              <wp:effectExtent l="0" t="0" r="0" b="0"/>
              <wp:wrapNone/>
              <wp:docPr id="7"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822C5A">
                          <w:pPr>
                            <w:pStyle w:val="32"/>
                            <w:keepNext w:val="0"/>
                            <w:keepLines w:val="0"/>
                            <w:pageBreakBefore w:val="0"/>
                            <w:widowControl w:val="0"/>
                            <w:kinsoku/>
                            <w:wordWrap w:val="0"/>
                            <w:overflowPunct/>
                            <w:topLinePunct/>
                            <w:bidi w:val="0"/>
                            <w:adjustRightInd/>
                            <w:snapToGrid w:val="0"/>
                            <w:ind w:left="120" w:leftChars="50" w:right="120" w:rightChars="50"/>
                            <w:textAlignment w:val="auto"/>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35" o:spid="_x0000_s1026" o:spt="202" type="#_x0000_t202" style="position:absolute;left:0pt;margin-left:224.65pt;margin-top:-13.85pt;height:144pt;width:144pt;mso-position-horizontal-relative:margin;mso-wrap-style:none;z-index:251662336;mso-width-relative:page;mso-height-relative:page;" filled="f" stroked="f" coordsize="21600,21600" o:gfxdata="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fha/nYAAAACwEAAA8A&#10;AAAAAAAAAQAgAAAAIgAAAGRycy9kb3ducmV2LnhtbFBLAQIUABQAAAAIAIdO4kCqh8Ug3gEAAL8D&#10;AAAOAAAAAAAAAAEAIAAAACcBAABkcnMvZTJvRG9jLnhtbFBLBQYAAAAABgAGAFkBAAB3BQAAAAA=&#10;">
              <v:fill on="f" focussize="0,0"/>
              <v:stroke on="f"/>
              <v:imagedata o:title=""/>
              <o:lock v:ext="edit" aspectratio="f"/>
              <v:textbox inset="0mm,0mm,0mm,0mm" style="mso-fit-shape-to-text:t;">
                <w:txbxContent>
                  <w:p w14:paraId="5E822C5A">
                    <w:pPr>
                      <w:pStyle w:val="32"/>
                      <w:keepNext w:val="0"/>
                      <w:keepLines w:val="0"/>
                      <w:pageBreakBefore w:val="0"/>
                      <w:widowControl w:val="0"/>
                      <w:kinsoku/>
                      <w:wordWrap w:val="0"/>
                      <w:overflowPunct/>
                      <w:topLinePunct/>
                      <w:bidi w:val="0"/>
                      <w:adjustRightInd/>
                      <w:snapToGrid w:val="0"/>
                      <w:ind w:left="120" w:leftChars="50" w:right="120" w:rightChars="50"/>
                      <w:textAlignment w:val="auto"/>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23C1F">
    <w:pPr>
      <w:spacing w:line="169" w:lineRule="auto"/>
      <w:ind w:left="4709"/>
      <w:rPr>
        <w:rFonts w:ascii="宋体" w:hAnsi="宋体" w:cs="宋体"/>
        <w:sz w:val="14"/>
        <w:szCs w:val="14"/>
      </w:rPr>
    </w:pPr>
    <w:r>
      <w:rPr>
        <w:sz w:val="1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BD9C9F">
                          <w:pPr>
                            <w:pStyle w:val="32"/>
                          </w:pPr>
                          <w:r>
                            <w:fldChar w:fldCharType="begin"/>
                          </w:r>
                          <w:r>
                            <w:instrText xml:space="preserve"> PAGE  \* MERGEFORMAT </w:instrText>
                          </w:r>
                          <w:r>
                            <w:fldChar w:fldCharType="separate"/>
                          </w:r>
                          <w:r>
                            <w:t>74</w:t>
                          </w:r>
                          <w:r>
                            <w:fldChar w:fldCharType="end"/>
                          </w:r>
                        </w:p>
                      </w:txbxContent>
                    </wps:txbx>
                    <wps:bodyPr vert="horz" wrap="none" lIns="0" tIns="0" rIns="0" bIns="0" anchor="t" anchorCtr="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xUoz94BAAC/AwAADgAAAGRycy9lMm9Eb2MueG1srVPNjtMwEL4j8Q6W&#10;7zTZIq2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JzG7oSlgZ+/fzv/+HX++ZW9&#10;vE769AErSrsLlBiH136grZn9SM5Ee2jBpj8RYhQndU8XddUQmUyXVsvVqqSQpNh8IPzi4XoAjG+V&#10;tywZNQcaX1ZVHN9jHFPnlFTN+VttTB6hcX85CDN5itT72GOy4rAbJkI735yID70DqtN5+MJZT1tQ&#10;c0dLz5l550jktDCzAbOxmw3hJF2seeRsNN/EcbEOAfS+y6uWmsLw6hC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jFSjP3gEAAL8DAAAOAAAAAAAA&#10;AAEAIAAAAB4BAABkcnMvZTJvRG9jLnhtbFBLBQYAAAAABgAGAFkBAABuBQAAAAA=&#10;">
              <v:fill on="f" focussize="0,0"/>
              <v:stroke on="f"/>
              <v:imagedata o:title=""/>
              <o:lock v:ext="edit" aspectratio="f"/>
              <v:textbox inset="0mm,0mm,0mm,0mm" style="mso-fit-shape-to-text:t;">
                <w:txbxContent>
                  <w:p w14:paraId="55BD9C9F">
                    <w:pPr>
                      <w:pStyle w:val="32"/>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47560">
    <w:pPr>
      <w:pStyle w:val="32"/>
      <w:pBdr>
        <w:top w:val="none" w:color="auto" w:sz="0" w:space="1"/>
        <w:left w:val="none" w:color="auto" w:sz="0" w:space="0"/>
        <w:bottom w:val="none" w:color="auto" w:sz="0" w:space="0"/>
        <w:right w:val="none" w:color="auto" w:sz="0" w:space="0"/>
        <w:between w:val="none" w:color="auto" w:sz="0" w:space="0"/>
      </w:pBdr>
      <w:ind w:right="360"/>
      <w:jc w:val="center"/>
      <w:rPr>
        <w:rStyle w:val="52"/>
        <w:rFonts w:hint="eastAsia" w:ascii="宋体" w:hAnsi="宋体"/>
        <w:sz w:val="24"/>
        <w:szCs w:val="24"/>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66B2E2">
                          <w:pPr>
                            <w:pStyle w:val="32"/>
                            <w:keepNext w:val="0"/>
                            <w:keepLines w:val="0"/>
                            <w:pageBreakBefore w:val="0"/>
                            <w:widowControl w:val="0"/>
                            <w:kinsoku/>
                            <w:wordWrap w:val="0"/>
                            <w:overflowPunct/>
                            <w:topLinePunct/>
                            <w:bidi w:val="0"/>
                            <w:adjustRightInd/>
                            <w:snapToGrid w:val="0"/>
                            <w:ind w:left="120" w:leftChars="50" w:right="120" w:rightChars="50"/>
                            <w:textAlignment w:val="auto"/>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X35joN8BAAC/AwAADgAAAAAA&#10;AAABACAAAAAeAQAAZHJzL2Uyb0RvYy54bWxQSwUGAAAAAAYABgBZAQAAbwUAAAAA&#10;">
              <v:fill on="f" focussize="0,0"/>
              <v:stroke on="f"/>
              <v:imagedata o:title=""/>
              <o:lock v:ext="edit" aspectratio="f"/>
              <v:textbox inset="0mm,0mm,0mm,0mm" style="mso-fit-shape-to-text:t;">
                <w:txbxContent>
                  <w:p w14:paraId="6A66B2E2">
                    <w:pPr>
                      <w:pStyle w:val="32"/>
                      <w:keepNext w:val="0"/>
                      <w:keepLines w:val="0"/>
                      <w:pageBreakBefore w:val="0"/>
                      <w:widowControl w:val="0"/>
                      <w:kinsoku/>
                      <w:wordWrap w:val="0"/>
                      <w:overflowPunct/>
                      <w:topLinePunct/>
                      <w:bidi w:val="0"/>
                      <w:adjustRightInd/>
                      <w:snapToGrid w:val="0"/>
                      <w:ind w:left="120" w:leftChars="50" w:right="120" w:rightChars="50"/>
                      <w:textAlignment w:val="auto"/>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55822A">
                          <w:pPr>
                            <w:pStyle w:val="32"/>
                            <w:keepNext w:val="0"/>
                            <w:keepLines w:val="0"/>
                            <w:pageBreakBefore w:val="0"/>
                            <w:widowControl w:val="0"/>
                            <w:kinsoku/>
                            <w:wordWrap w:val="0"/>
                            <w:overflowPunct/>
                            <w:topLinePunct/>
                            <w:bidi w:val="0"/>
                            <w:adjustRightInd/>
                            <w:snapToGrid w:val="0"/>
                            <w:jc w:val="center"/>
                            <w:textAlignment w:val="auto"/>
                            <w:rPr>
                              <w:rFonts w:hint="eastAsia" w:eastAsia="宋体"/>
                              <w:lang w:eastAsia="zh-CN"/>
                            </w:rPr>
                          </w:pP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KqpTMoBAACa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19T4rjFgZ9/fD///H3+9Y1c&#10;X2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KqpTMoBAACaAwAADgAAAAAAAAABACAAAAAeAQAAZHJzL2Uyb0Rv&#10;Yy54bWxQSwUGAAAAAAYABgBZAQAAWgUAAAAA&#10;">
              <v:fill on="f" focussize="0,0"/>
              <v:stroke on="f"/>
              <v:imagedata o:title=""/>
              <o:lock v:ext="edit" aspectratio="f"/>
              <v:textbox inset="0mm,0mm,0mm,0mm" style="mso-fit-shape-to-text:t;">
                <w:txbxContent>
                  <w:p w14:paraId="7955822A">
                    <w:pPr>
                      <w:pStyle w:val="32"/>
                      <w:keepNext w:val="0"/>
                      <w:keepLines w:val="0"/>
                      <w:pageBreakBefore w:val="0"/>
                      <w:widowControl w:val="0"/>
                      <w:kinsoku/>
                      <w:wordWrap w:val="0"/>
                      <w:overflowPunct/>
                      <w:topLinePunct/>
                      <w:bidi w:val="0"/>
                      <w:adjustRightInd/>
                      <w:snapToGrid w:val="0"/>
                      <w:jc w:val="center"/>
                      <w:textAlignment w:val="auto"/>
                      <w:rPr>
                        <w:rFonts w:hint="eastAsia" w:eastAsia="宋体"/>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A65C7">
    <w:pPr>
      <w:pStyle w:val="3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C79EF9">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7dgfAd8BAAC/AwAADgAAAAAA&#10;AAABACAAAAAeAQAAZHJzL2Uyb0RvYy54bWxQSwUGAAAAAAYABgBZAQAAbwUAAAAA&#10;">
              <v:fill on="f" focussize="0,0"/>
              <v:stroke on="f"/>
              <v:imagedata o:title=""/>
              <o:lock v:ext="edit" aspectratio="f"/>
              <v:textbox inset="0mm,0mm,0mm,0mm" style="mso-fit-shape-to-text:t;">
                <w:txbxContent>
                  <w:p w14:paraId="7BC79EF9">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6917">
    <w:pPr>
      <w:widowControl w:val="0"/>
      <w:pBdr>
        <w:top w:val="none" w:color="auto" w:sz="0" w:space="1"/>
        <w:left w:val="none" w:color="auto" w:sz="0" w:space="4"/>
        <w:bottom w:val="single" w:color="auto" w:sz="4" w:space="1"/>
        <w:right w:val="none" w:color="auto" w:sz="0" w:space="4"/>
        <w:between w:val="none" w:color="auto" w:sz="0" w:space="0"/>
      </w:pBdr>
      <w:tabs>
        <w:tab w:val="left" w:pos="7567"/>
      </w:tabs>
      <w:wordWrap w:val="0"/>
      <w:topLinePunct/>
      <w:jc w:val="left"/>
      <w:rPr>
        <w:rFonts w:hint="eastAsia" w:ascii="宋体" w:hAnsi="宋体" w:eastAsia="宋体" w:cs="宋体"/>
        <w:color w:val="000000"/>
        <w:kern w:val="2"/>
        <w:sz w:val="18"/>
        <w:szCs w:val="21"/>
        <w:lang w:val="en-US" w:eastAsia="zh-CN" w:bidi="ar-SA"/>
      </w:rPr>
    </w:pPr>
    <w:r>
      <w:rPr>
        <w:rFonts w:hint="eastAsia" w:ascii="宋体" w:hAnsi="宋体" w:eastAsia="宋体" w:cs="宋体"/>
        <w:color w:val="000000"/>
        <w:kern w:val="2"/>
        <w:sz w:val="18"/>
        <w:szCs w:val="21"/>
        <w:lang w:val="en-US" w:eastAsia="zh-CN" w:bidi="ar-SA"/>
      </w:rPr>
      <w:t>2025年普通国省道穿村过镇平交路口治理项目(湖滨区、开发区、示范区)竞争性磋商文件</w:t>
    </w:r>
  </w:p>
  <w:p w14:paraId="1AE0DBFA">
    <w:pPr>
      <w:pStyle w:val="33"/>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bidi w:val="0"/>
      <w:adjustRightInd w:val="0"/>
      <w:snapToGrid w:val="0"/>
      <w:spacing w:line="240" w:lineRule="auto"/>
      <w:ind w:firstLine="0" w:firstLineChars="0"/>
      <w:textAlignment w:val="auto"/>
      <w:rPr>
        <w:rFonts w:hint="eastAsia" w:ascii="仿宋" w:hAnsi="仿宋" w:eastAsia="仿宋" w:cs="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C3ED3">
    <w:pPr>
      <w:pStyle w:val="33"/>
      <w:pBdr>
        <w:top w:val="none" w:color="auto" w:sz="0" w:space="0"/>
        <w:left w:val="none" w:color="auto" w:sz="0" w:space="0"/>
        <w:bottom w:val="none" w:color="auto" w:sz="0" w:space="1"/>
        <w:right w:val="none" w:color="auto" w:sz="0" w:space="0"/>
        <w:between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70100">
    <w:pPr>
      <w:widowControl w:val="0"/>
      <w:pBdr>
        <w:top w:val="none" w:color="auto" w:sz="0" w:space="1"/>
        <w:left w:val="none" w:color="auto" w:sz="0" w:space="4"/>
        <w:bottom w:val="single" w:color="auto" w:sz="4" w:space="1"/>
        <w:right w:val="none" w:color="auto" w:sz="0" w:space="4"/>
        <w:between w:val="none" w:color="auto" w:sz="0" w:space="0"/>
      </w:pBdr>
      <w:tabs>
        <w:tab w:val="left" w:pos="7567"/>
      </w:tabs>
      <w:wordWrap w:val="0"/>
      <w:topLinePunct/>
      <w:jc w:val="left"/>
      <w:rPr>
        <w:rFonts w:hint="eastAsia" w:ascii="宋体" w:hAnsi="宋体" w:eastAsia="宋体" w:cs="宋体"/>
        <w:color w:val="000000"/>
        <w:kern w:val="2"/>
        <w:sz w:val="18"/>
        <w:szCs w:val="21"/>
        <w:lang w:val="en-US" w:eastAsia="zh-CN" w:bidi="ar-SA"/>
      </w:rPr>
    </w:pPr>
    <w:r>
      <w:rPr>
        <w:rFonts w:hint="eastAsia" w:ascii="宋体" w:hAnsi="宋体" w:eastAsia="宋体" w:cs="宋体"/>
        <w:color w:val="000000"/>
        <w:kern w:val="2"/>
        <w:sz w:val="18"/>
        <w:szCs w:val="21"/>
        <w:lang w:val="en-US" w:eastAsia="zh-CN" w:bidi="ar-SA"/>
      </w:rPr>
      <w:t>2025年普通国省道穿村过镇平交路口治理项目(湖滨区、开发区、示范区)竞争性磋商文件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1587E">
    <w:pPr>
      <w:pStyle w:val="33"/>
      <w:widowControl w:val="0"/>
      <w:pBdr>
        <w:top w:val="none" w:color="auto" w:sz="0" w:space="1"/>
        <w:left w:val="none" w:color="auto" w:sz="0" w:space="4"/>
        <w:bottom w:val="single" w:color="auto" w:sz="4" w:space="1"/>
        <w:right w:val="none" w:color="auto" w:sz="0" w:space="4"/>
        <w:between w:val="none" w:color="auto" w:sz="0" w:space="0"/>
      </w:pBdr>
      <w:wordWrap w:val="0"/>
      <w:topLinePunct/>
      <w:snapToGrid w:val="0"/>
      <w:jc w:val="both"/>
      <w:rPr>
        <w:rFonts w:hint="eastAsia" w:eastAsia="宋体"/>
        <w:lang w:eastAsia="zh-CN"/>
      </w:rPr>
    </w:pPr>
    <w:r>
      <w:rPr>
        <w:rFonts w:hint="eastAsia"/>
        <w:lang w:eastAsia="zh-CN"/>
      </w:rPr>
      <w:t>2025年普通国省道穿村过镇平交路口治理项目(湖滨区、经济开发区、示范区)竞争性磋商文件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CAC66"/>
    <w:multiLevelType w:val="singleLevel"/>
    <w:tmpl w:val="81ACAC66"/>
    <w:lvl w:ilvl="0" w:tentative="0">
      <w:start w:val="1"/>
      <w:numFmt w:val="chineseCounting"/>
      <w:suff w:val="nothing"/>
      <w:lvlText w:val="%1、"/>
      <w:lvlJc w:val="left"/>
      <w:rPr>
        <w:rFonts w:hint="eastAsia"/>
      </w:rPr>
    </w:lvl>
  </w:abstractNum>
  <w:abstractNum w:abstractNumId="1">
    <w:nsid w:val="8A961AF3"/>
    <w:multiLevelType w:val="singleLevel"/>
    <w:tmpl w:val="8A961AF3"/>
    <w:lvl w:ilvl="0" w:tentative="0">
      <w:start w:val="1"/>
      <w:numFmt w:val="decimal"/>
      <w:suff w:val="space"/>
      <w:lvlText w:val="(%1)"/>
      <w:lvlJc w:val="left"/>
      <w:pPr>
        <w:ind w:left="1385" w:hanging="425"/>
      </w:pPr>
      <w:rPr>
        <w:rFonts w:hint="default"/>
      </w:rPr>
    </w:lvl>
  </w:abstractNum>
  <w:abstractNum w:abstractNumId="2">
    <w:nsid w:val="8D78B508"/>
    <w:multiLevelType w:val="singleLevel"/>
    <w:tmpl w:val="8D78B508"/>
    <w:lvl w:ilvl="0" w:tentative="0">
      <w:start w:val="1"/>
      <w:numFmt w:val="chineseCounting"/>
      <w:suff w:val="nothing"/>
      <w:lvlText w:val="（%1）"/>
      <w:lvlJc w:val="left"/>
      <w:pPr>
        <w:ind w:left="0" w:firstLine="420"/>
      </w:pPr>
      <w:rPr>
        <w:rFonts w:hint="eastAsia"/>
      </w:rPr>
    </w:lvl>
  </w:abstractNum>
  <w:abstractNum w:abstractNumId="3">
    <w:nsid w:val="A0647C4F"/>
    <w:multiLevelType w:val="multilevel"/>
    <w:tmpl w:val="A0647C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ascii="宋体" w:hAnsi="宋体" w:eastAsia="宋体" w:cs="宋体"/>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AEB4568E"/>
    <w:multiLevelType w:val="singleLevel"/>
    <w:tmpl w:val="AEB4568E"/>
    <w:lvl w:ilvl="0" w:tentative="0">
      <w:start w:val="3"/>
      <w:numFmt w:val="chineseCounting"/>
      <w:suff w:val="space"/>
      <w:lvlText w:val="第%1章"/>
      <w:lvlJc w:val="left"/>
      <w:rPr>
        <w:rFonts w:hint="eastAsia"/>
      </w:rPr>
    </w:lvl>
  </w:abstractNum>
  <w:abstractNum w:abstractNumId="5">
    <w:nsid w:val="B4E65505"/>
    <w:multiLevelType w:val="singleLevel"/>
    <w:tmpl w:val="B4E65505"/>
    <w:lvl w:ilvl="0" w:tentative="0">
      <w:start w:val="1"/>
      <w:numFmt w:val="decimal"/>
      <w:lvlText w:val="%1."/>
      <w:lvlJc w:val="left"/>
      <w:pPr>
        <w:tabs>
          <w:tab w:val="left" w:pos="312"/>
        </w:tabs>
      </w:pPr>
    </w:lvl>
  </w:abstractNum>
  <w:abstractNum w:abstractNumId="6">
    <w:nsid w:val="BE9B0E44"/>
    <w:multiLevelType w:val="singleLevel"/>
    <w:tmpl w:val="BE9B0E44"/>
    <w:lvl w:ilvl="0" w:tentative="0">
      <w:start w:val="1"/>
      <w:numFmt w:val="decimal"/>
      <w:suff w:val="space"/>
      <w:lvlText w:val="(%1)"/>
      <w:lvlJc w:val="left"/>
      <w:pPr>
        <w:ind w:left="425" w:hanging="425"/>
      </w:pPr>
      <w:rPr>
        <w:rFonts w:hint="default"/>
      </w:rPr>
    </w:lvl>
  </w:abstractNum>
  <w:abstractNum w:abstractNumId="7">
    <w:nsid w:val="CB1D8D4A"/>
    <w:multiLevelType w:val="singleLevel"/>
    <w:tmpl w:val="CB1D8D4A"/>
    <w:lvl w:ilvl="0" w:tentative="0">
      <w:start w:val="1"/>
      <w:numFmt w:val="decimal"/>
      <w:suff w:val="space"/>
      <w:lvlText w:val="(%1)"/>
      <w:lvlJc w:val="left"/>
      <w:pPr>
        <w:ind w:left="425" w:hanging="425"/>
      </w:pPr>
      <w:rPr>
        <w:rFonts w:hint="default"/>
      </w:rPr>
    </w:lvl>
  </w:abstractNum>
  <w:abstractNum w:abstractNumId="8">
    <w:nsid w:val="E6718CB8"/>
    <w:multiLevelType w:val="singleLevel"/>
    <w:tmpl w:val="E6718CB8"/>
    <w:lvl w:ilvl="0" w:tentative="0">
      <w:start w:val="1"/>
      <w:numFmt w:val="chineseCounting"/>
      <w:suff w:val="nothing"/>
      <w:lvlText w:val="（%1）"/>
      <w:lvlJc w:val="left"/>
      <w:rPr>
        <w:rFonts w:hint="eastAsia"/>
      </w:rPr>
    </w:lvl>
  </w:abstractNum>
  <w:abstractNum w:abstractNumId="9">
    <w:nsid w:val="F3F79CC7"/>
    <w:multiLevelType w:val="singleLevel"/>
    <w:tmpl w:val="F3F79CC7"/>
    <w:lvl w:ilvl="0" w:tentative="0">
      <w:start w:val="1"/>
      <w:numFmt w:val="decimal"/>
      <w:lvlText w:val="(%1)"/>
      <w:lvlJc w:val="left"/>
      <w:pPr>
        <w:ind w:left="425" w:hanging="425"/>
      </w:pPr>
      <w:rPr>
        <w:rFonts w:hint="default"/>
      </w:rPr>
    </w:lvl>
  </w:abstractNum>
  <w:abstractNum w:abstractNumId="10">
    <w:nsid w:val="FC9098F0"/>
    <w:multiLevelType w:val="multilevel"/>
    <w:tmpl w:val="FC9098F0"/>
    <w:lvl w:ilvl="0" w:tentative="0">
      <w:start w:val="1"/>
      <w:numFmt w:val="decimal"/>
      <w:suff w:val="nothing"/>
      <w:lvlText w:val="%1."/>
      <w:lvlJc w:val="left"/>
      <w:pPr>
        <w:ind w:left="425" w:hanging="425"/>
      </w:pPr>
      <w:rPr>
        <w:rFonts w:hint="default"/>
      </w:rPr>
    </w:lvl>
    <w:lvl w:ilvl="1" w:tentative="0">
      <w:start w:val="1"/>
      <w:numFmt w:val="decimal"/>
      <w:suff w:val="space"/>
      <w:lvlText w:val="%1.%2"/>
      <w:lvlJc w:val="left"/>
      <w:pPr>
        <w:ind w:left="0" w:firstLine="0"/>
      </w:pPr>
      <w:rPr>
        <w:rFonts w:hint="default" w:ascii="宋体" w:hAnsi="宋体" w:eastAsia="宋体" w:cs="宋体"/>
        <w:b/>
        <w:bCs/>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FCC59B67"/>
    <w:multiLevelType w:val="singleLevel"/>
    <w:tmpl w:val="FCC59B67"/>
    <w:lvl w:ilvl="0" w:tentative="0">
      <w:start w:val="1"/>
      <w:numFmt w:val="decimal"/>
      <w:lvlText w:val="(%1)"/>
      <w:lvlJc w:val="left"/>
      <w:pPr>
        <w:ind w:left="425" w:hanging="425"/>
      </w:pPr>
      <w:rPr>
        <w:rFonts w:hint="default" w:ascii="宋体" w:hAnsi="宋体" w:eastAsia="宋体" w:cs="宋体"/>
        <w:sz w:val="21"/>
        <w:szCs w:val="21"/>
      </w:rPr>
    </w:lvl>
  </w:abstractNum>
  <w:abstractNum w:abstractNumId="12">
    <w:nsid w:val="0000000A"/>
    <w:multiLevelType w:val="multilevel"/>
    <w:tmpl w:val="0000000A"/>
    <w:lvl w:ilvl="0" w:tentative="0">
      <w:start w:val="1"/>
      <w:numFmt w:val="japaneseCounting"/>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0E"/>
    <w:multiLevelType w:val="multilevel"/>
    <w:tmpl w:val="0000000E"/>
    <w:lvl w:ilvl="0" w:tentative="0">
      <w:start w:val="1"/>
      <w:numFmt w:val="decimal"/>
      <w:pStyle w:val="148"/>
      <w:lvlText w:val="%1"/>
      <w:lvlJc w:val="left"/>
      <w:pPr>
        <w:tabs>
          <w:tab w:val="left" w:pos="432"/>
        </w:tabs>
        <w:ind w:left="432" w:hanging="432"/>
      </w:pPr>
      <w:rPr>
        <w:rFonts w:hint="eastAsia"/>
      </w:rPr>
    </w:lvl>
    <w:lvl w:ilvl="1" w:tentative="0">
      <w:start w:val="1"/>
      <w:numFmt w:val="decimal"/>
      <w:pStyle w:val="14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4">
    <w:nsid w:val="063B2C10"/>
    <w:multiLevelType w:val="multilevel"/>
    <w:tmpl w:val="063B2C10"/>
    <w:lvl w:ilvl="0" w:tentative="0">
      <w:start w:val="1"/>
      <w:numFmt w:val="decimal"/>
      <w:lvlText w:val="（%1）"/>
      <w:lvlJc w:val="left"/>
      <w:pPr>
        <w:tabs>
          <w:tab w:val="left" w:pos="720"/>
        </w:tabs>
        <w:ind w:left="720" w:hanging="720"/>
      </w:pPr>
      <w:rPr>
        <w:rFonts w:hint="default"/>
      </w:rPr>
    </w:lvl>
    <w:lvl w:ilvl="1" w:tentative="0">
      <w:start w:val="1"/>
      <w:numFmt w:val="upperLetter"/>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298A380"/>
    <w:multiLevelType w:val="singleLevel"/>
    <w:tmpl w:val="1298A380"/>
    <w:lvl w:ilvl="0" w:tentative="0">
      <w:start w:val="1"/>
      <w:numFmt w:val="decimal"/>
      <w:suff w:val="space"/>
      <w:lvlText w:val="(%1)"/>
      <w:lvlJc w:val="left"/>
      <w:pPr>
        <w:ind w:left="425" w:hanging="425"/>
      </w:pPr>
      <w:rPr>
        <w:rFonts w:hint="default"/>
      </w:rPr>
    </w:lvl>
  </w:abstractNum>
  <w:abstractNum w:abstractNumId="16">
    <w:nsid w:val="17DCB180"/>
    <w:multiLevelType w:val="singleLevel"/>
    <w:tmpl w:val="17DCB180"/>
    <w:lvl w:ilvl="0" w:tentative="0">
      <w:start w:val="1"/>
      <w:numFmt w:val="decimal"/>
      <w:lvlText w:val="%1."/>
      <w:lvlJc w:val="left"/>
      <w:pPr>
        <w:tabs>
          <w:tab w:val="left" w:pos="312"/>
        </w:tabs>
      </w:pPr>
    </w:lvl>
  </w:abstractNum>
  <w:abstractNum w:abstractNumId="17">
    <w:nsid w:val="19A91DF7"/>
    <w:multiLevelType w:val="singleLevel"/>
    <w:tmpl w:val="19A91DF7"/>
    <w:lvl w:ilvl="0" w:tentative="0">
      <w:start w:val="1"/>
      <w:numFmt w:val="decimal"/>
      <w:suff w:val="nothing"/>
      <w:lvlText w:val="(%1)"/>
      <w:lvlJc w:val="left"/>
      <w:pPr>
        <w:ind w:left="425" w:hanging="425"/>
      </w:pPr>
      <w:rPr>
        <w:rFonts w:hint="default"/>
      </w:rPr>
    </w:lvl>
  </w:abstractNum>
  <w:abstractNum w:abstractNumId="18">
    <w:nsid w:val="3489695D"/>
    <w:multiLevelType w:val="singleLevel"/>
    <w:tmpl w:val="3489695D"/>
    <w:lvl w:ilvl="0" w:tentative="0">
      <w:start w:val="1"/>
      <w:numFmt w:val="decimal"/>
      <w:lvlText w:val="%1."/>
      <w:lvlJc w:val="left"/>
      <w:pPr>
        <w:tabs>
          <w:tab w:val="left" w:pos="312"/>
        </w:tabs>
      </w:pPr>
    </w:lvl>
  </w:abstractNum>
  <w:abstractNum w:abstractNumId="19">
    <w:nsid w:val="4790B35F"/>
    <w:multiLevelType w:val="singleLevel"/>
    <w:tmpl w:val="4790B35F"/>
    <w:lvl w:ilvl="0" w:tentative="0">
      <w:start w:val="1"/>
      <w:numFmt w:val="chineseCounting"/>
      <w:suff w:val="nothing"/>
      <w:lvlText w:val="（%1）"/>
      <w:lvlJc w:val="left"/>
      <w:pPr>
        <w:ind w:left="0" w:firstLine="420"/>
      </w:pPr>
      <w:rPr>
        <w:rFonts w:hint="eastAsia"/>
      </w:rPr>
    </w:lvl>
  </w:abstractNum>
  <w:abstractNum w:abstractNumId="20">
    <w:nsid w:val="4F3FF634"/>
    <w:multiLevelType w:val="singleLevel"/>
    <w:tmpl w:val="4F3FF634"/>
    <w:lvl w:ilvl="0" w:tentative="0">
      <w:start w:val="2"/>
      <w:numFmt w:val="decimal"/>
      <w:lvlText w:val="%1."/>
      <w:lvlJc w:val="left"/>
      <w:pPr>
        <w:tabs>
          <w:tab w:val="left" w:pos="312"/>
        </w:tabs>
      </w:pPr>
    </w:lvl>
  </w:abstractNum>
  <w:abstractNum w:abstractNumId="21">
    <w:nsid w:val="53DA77C0"/>
    <w:multiLevelType w:val="singleLevel"/>
    <w:tmpl w:val="53DA77C0"/>
    <w:lvl w:ilvl="0" w:tentative="0">
      <w:start w:val="2"/>
      <w:numFmt w:val="chineseCounting"/>
      <w:suff w:val="nothing"/>
      <w:lvlText w:val="（%1）"/>
      <w:lvlJc w:val="left"/>
      <w:rPr>
        <w:rFonts w:hint="eastAsia"/>
      </w:rPr>
    </w:lvl>
  </w:abstractNum>
  <w:abstractNum w:abstractNumId="22">
    <w:nsid w:val="5EFF9968"/>
    <w:multiLevelType w:val="multilevel"/>
    <w:tmpl w:val="5EFF9968"/>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3">
    <w:nsid w:val="6D9F63AE"/>
    <w:multiLevelType w:val="singleLevel"/>
    <w:tmpl w:val="6D9F63AE"/>
    <w:lvl w:ilvl="0" w:tentative="0">
      <w:start w:val="1"/>
      <w:numFmt w:val="chineseCounting"/>
      <w:suff w:val="nothing"/>
      <w:lvlText w:val="（%1）"/>
      <w:lvlJc w:val="left"/>
      <w:pPr>
        <w:ind w:left="0" w:firstLine="420"/>
      </w:pPr>
      <w:rPr>
        <w:rFonts w:hint="eastAsia"/>
      </w:rPr>
    </w:lvl>
  </w:abstractNum>
  <w:abstractNum w:abstractNumId="24">
    <w:nsid w:val="754F5E40"/>
    <w:multiLevelType w:val="singleLevel"/>
    <w:tmpl w:val="754F5E40"/>
    <w:lvl w:ilvl="0" w:tentative="0">
      <w:start w:val="1"/>
      <w:numFmt w:val="chineseCounting"/>
      <w:suff w:val="nothing"/>
      <w:lvlText w:val="（%1）"/>
      <w:lvlJc w:val="left"/>
      <w:pPr>
        <w:ind w:left="0" w:firstLine="420"/>
      </w:pPr>
      <w:rPr>
        <w:rFonts w:hint="eastAsia"/>
      </w:rPr>
    </w:lvl>
  </w:abstractNum>
  <w:num w:numId="1">
    <w:abstractNumId w:val="13"/>
  </w:num>
  <w:num w:numId="2">
    <w:abstractNumId w:val="0"/>
  </w:num>
  <w:num w:numId="3">
    <w:abstractNumId w:val="16"/>
  </w:num>
  <w:num w:numId="4">
    <w:abstractNumId w:val="10"/>
  </w:num>
  <w:num w:numId="5">
    <w:abstractNumId w:val="3"/>
  </w:num>
  <w:num w:numId="6">
    <w:abstractNumId w:val="15"/>
  </w:num>
  <w:num w:numId="7">
    <w:abstractNumId w:val="6"/>
  </w:num>
  <w:num w:numId="8">
    <w:abstractNumId w:val="1"/>
  </w:num>
  <w:num w:numId="9">
    <w:abstractNumId w:val="9"/>
  </w:num>
  <w:num w:numId="10">
    <w:abstractNumId w:val="11"/>
  </w:num>
  <w:num w:numId="11">
    <w:abstractNumId w:val="7"/>
  </w:num>
  <w:num w:numId="12">
    <w:abstractNumId w:val="20"/>
  </w:num>
  <w:num w:numId="13">
    <w:abstractNumId w:val="4"/>
  </w:num>
  <w:num w:numId="14">
    <w:abstractNumId w:val="18"/>
  </w:num>
  <w:num w:numId="15">
    <w:abstractNumId w:val="14"/>
  </w:num>
  <w:num w:numId="16">
    <w:abstractNumId w:val="5"/>
  </w:num>
  <w:num w:numId="17">
    <w:abstractNumId w:val="12"/>
    <w:lvlOverride w:ilvl="0">
      <w:startOverride w:val="1"/>
    </w:lvlOverride>
  </w:num>
  <w:num w:numId="18">
    <w:abstractNumId w:val="22"/>
  </w:num>
  <w:num w:numId="19">
    <w:abstractNumId w:val="8"/>
  </w:num>
  <w:num w:numId="20">
    <w:abstractNumId w:val="21"/>
  </w:num>
  <w:num w:numId="21">
    <w:abstractNumId w:val="19"/>
  </w:num>
  <w:num w:numId="22">
    <w:abstractNumId w:val="17"/>
  </w:num>
  <w:num w:numId="23">
    <w:abstractNumId w:val="2"/>
  </w:num>
  <w:num w:numId="24">
    <w:abstractNumId w:val="2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dit="trackedChanges" w:enforcement="1" w:cryptProviderType="rsaFull" w:cryptAlgorithmClass="hash" w:cryptAlgorithmType="typeAny" w:cryptAlgorithmSid="4" w:cryptSpinCount="0" w:hash="nPdjjCtQcuD2ZQfdHTUKHBIl6Q4=" w:salt="jZNadFTI4DTDO8GbqcHFhw=="/>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lZDY4ZmI3YTNhNzVlZjkwYzk1MTAwOWM1N2U5MjIifQ=="/>
  </w:docVars>
  <w:rsids>
    <w:rsidRoot w:val="00172A27"/>
    <w:rsid w:val="000000E3"/>
    <w:rsid w:val="000008AB"/>
    <w:rsid w:val="0000102C"/>
    <w:rsid w:val="00001E66"/>
    <w:rsid w:val="000022E6"/>
    <w:rsid w:val="000026C2"/>
    <w:rsid w:val="0000408E"/>
    <w:rsid w:val="0000548F"/>
    <w:rsid w:val="00005AC8"/>
    <w:rsid w:val="0000610D"/>
    <w:rsid w:val="000065BD"/>
    <w:rsid w:val="0000761F"/>
    <w:rsid w:val="00007813"/>
    <w:rsid w:val="00011697"/>
    <w:rsid w:val="00013107"/>
    <w:rsid w:val="00015B27"/>
    <w:rsid w:val="00015BEE"/>
    <w:rsid w:val="0001646E"/>
    <w:rsid w:val="000179C3"/>
    <w:rsid w:val="00021A08"/>
    <w:rsid w:val="00022533"/>
    <w:rsid w:val="00023554"/>
    <w:rsid w:val="0002561E"/>
    <w:rsid w:val="00027C6E"/>
    <w:rsid w:val="00032C41"/>
    <w:rsid w:val="00041546"/>
    <w:rsid w:val="0004256A"/>
    <w:rsid w:val="000428CD"/>
    <w:rsid w:val="00044D61"/>
    <w:rsid w:val="00047FA8"/>
    <w:rsid w:val="00050154"/>
    <w:rsid w:val="0005169F"/>
    <w:rsid w:val="00053098"/>
    <w:rsid w:val="0005458A"/>
    <w:rsid w:val="000551FC"/>
    <w:rsid w:val="00056346"/>
    <w:rsid w:val="00060B81"/>
    <w:rsid w:val="00061A6E"/>
    <w:rsid w:val="000631F4"/>
    <w:rsid w:val="00063446"/>
    <w:rsid w:val="00067C3F"/>
    <w:rsid w:val="00070FB5"/>
    <w:rsid w:val="00074E87"/>
    <w:rsid w:val="00076A33"/>
    <w:rsid w:val="00077759"/>
    <w:rsid w:val="00080DB4"/>
    <w:rsid w:val="00082E76"/>
    <w:rsid w:val="00085CCB"/>
    <w:rsid w:val="00086F7C"/>
    <w:rsid w:val="00087257"/>
    <w:rsid w:val="0009042D"/>
    <w:rsid w:val="00090BC9"/>
    <w:rsid w:val="000931C9"/>
    <w:rsid w:val="0009364E"/>
    <w:rsid w:val="00093762"/>
    <w:rsid w:val="000948EF"/>
    <w:rsid w:val="00094945"/>
    <w:rsid w:val="0009511B"/>
    <w:rsid w:val="000954B2"/>
    <w:rsid w:val="000A1EFD"/>
    <w:rsid w:val="000A3DB2"/>
    <w:rsid w:val="000A4B07"/>
    <w:rsid w:val="000A5B68"/>
    <w:rsid w:val="000A5BCE"/>
    <w:rsid w:val="000A7D43"/>
    <w:rsid w:val="000B131C"/>
    <w:rsid w:val="000B3FEE"/>
    <w:rsid w:val="000B4842"/>
    <w:rsid w:val="000B709D"/>
    <w:rsid w:val="000B73C6"/>
    <w:rsid w:val="000C3822"/>
    <w:rsid w:val="000C5A29"/>
    <w:rsid w:val="000C5EC5"/>
    <w:rsid w:val="000D6DD8"/>
    <w:rsid w:val="000E01DD"/>
    <w:rsid w:val="000E1419"/>
    <w:rsid w:val="000E2276"/>
    <w:rsid w:val="000E35E3"/>
    <w:rsid w:val="000E3EF7"/>
    <w:rsid w:val="000E3F16"/>
    <w:rsid w:val="000E4AD5"/>
    <w:rsid w:val="000E62D8"/>
    <w:rsid w:val="000E63C5"/>
    <w:rsid w:val="000E7B10"/>
    <w:rsid w:val="000F02C9"/>
    <w:rsid w:val="000F1307"/>
    <w:rsid w:val="000F5B2A"/>
    <w:rsid w:val="000F5D6C"/>
    <w:rsid w:val="000F6040"/>
    <w:rsid w:val="000F646F"/>
    <w:rsid w:val="00107CD4"/>
    <w:rsid w:val="00110E23"/>
    <w:rsid w:val="001124B4"/>
    <w:rsid w:val="00114047"/>
    <w:rsid w:val="00120DCD"/>
    <w:rsid w:val="0012271C"/>
    <w:rsid w:val="0012527B"/>
    <w:rsid w:val="001271AF"/>
    <w:rsid w:val="00127B0D"/>
    <w:rsid w:val="00130FB4"/>
    <w:rsid w:val="001340FE"/>
    <w:rsid w:val="0013415A"/>
    <w:rsid w:val="00141177"/>
    <w:rsid w:val="00142815"/>
    <w:rsid w:val="00143089"/>
    <w:rsid w:val="0014361D"/>
    <w:rsid w:val="001456B5"/>
    <w:rsid w:val="00150050"/>
    <w:rsid w:val="00151FBE"/>
    <w:rsid w:val="0015201C"/>
    <w:rsid w:val="001534CF"/>
    <w:rsid w:val="00153772"/>
    <w:rsid w:val="0015417B"/>
    <w:rsid w:val="0015539F"/>
    <w:rsid w:val="00160670"/>
    <w:rsid w:val="001619C7"/>
    <w:rsid w:val="00161A8E"/>
    <w:rsid w:val="00162BC3"/>
    <w:rsid w:val="00163FAE"/>
    <w:rsid w:val="00165BDA"/>
    <w:rsid w:val="00165E68"/>
    <w:rsid w:val="00170931"/>
    <w:rsid w:val="00174D2C"/>
    <w:rsid w:val="001753C5"/>
    <w:rsid w:val="00176111"/>
    <w:rsid w:val="00180069"/>
    <w:rsid w:val="00181823"/>
    <w:rsid w:val="00181F3F"/>
    <w:rsid w:val="00182517"/>
    <w:rsid w:val="00184182"/>
    <w:rsid w:val="00186C72"/>
    <w:rsid w:val="001872F8"/>
    <w:rsid w:val="001905A5"/>
    <w:rsid w:val="00194721"/>
    <w:rsid w:val="00194851"/>
    <w:rsid w:val="00194AD9"/>
    <w:rsid w:val="00195A86"/>
    <w:rsid w:val="001A07EE"/>
    <w:rsid w:val="001A31DB"/>
    <w:rsid w:val="001A3BED"/>
    <w:rsid w:val="001A4332"/>
    <w:rsid w:val="001A6641"/>
    <w:rsid w:val="001A6FFF"/>
    <w:rsid w:val="001A73C1"/>
    <w:rsid w:val="001A7C2A"/>
    <w:rsid w:val="001B03F9"/>
    <w:rsid w:val="001C04FA"/>
    <w:rsid w:val="001C185A"/>
    <w:rsid w:val="001C25E0"/>
    <w:rsid w:val="001C52FD"/>
    <w:rsid w:val="001C6A94"/>
    <w:rsid w:val="001D0970"/>
    <w:rsid w:val="001D0FEA"/>
    <w:rsid w:val="001D1490"/>
    <w:rsid w:val="001D43B3"/>
    <w:rsid w:val="001D48B8"/>
    <w:rsid w:val="001D63DE"/>
    <w:rsid w:val="001E0328"/>
    <w:rsid w:val="001E20B2"/>
    <w:rsid w:val="001E3CF8"/>
    <w:rsid w:val="001E6EDA"/>
    <w:rsid w:val="001E716F"/>
    <w:rsid w:val="001F0FCC"/>
    <w:rsid w:val="001F1A5C"/>
    <w:rsid w:val="001F5971"/>
    <w:rsid w:val="001F696E"/>
    <w:rsid w:val="00204968"/>
    <w:rsid w:val="00205375"/>
    <w:rsid w:val="0020779A"/>
    <w:rsid w:val="00207853"/>
    <w:rsid w:val="002117D0"/>
    <w:rsid w:val="00211B98"/>
    <w:rsid w:val="00213CD0"/>
    <w:rsid w:val="0022067F"/>
    <w:rsid w:val="00221707"/>
    <w:rsid w:val="00224DCC"/>
    <w:rsid w:val="0022553D"/>
    <w:rsid w:val="00226ADB"/>
    <w:rsid w:val="002272A9"/>
    <w:rsid w:val="00227AF5"/>
    <w:rsid w:val="0023018B"/>
    <w:rsid w:val="00230473"/>
    <w:rsid w:val="002317DB"/>
    <w:rsid w:val="00231B3E"/>
    <w:rsid w:val="00231EC7"/>
    <w:rsid w:val="00231F06"/>
    <w:rsid w:val="0023325F"/>
    <w:rsid w:val="00234D36"/>
    <w:rsid w:val="00236AC2"/>
    <w:rsid w:val="00236F1C"/>
    <w:rsid w:val="0024018A"/>
    <w:rsid w:val="00240F10"/>
    <w:rsid w:val="0024198C"/>
    <w:rsid w:val="00241B28"/>
    <w:rsid w:val="00242038"/>
    <w:rsid w:val="002509D3"/>
    <w:rsid w:val="00251950"/>
    <w:rsid w:val="00253A7A"/>
    <w:rsid w:val="00254B34"/>
    <w:rsid w:val="00255644"/>
    <w:rsid w:val="00256C45"/>
    <w:rsid w:val="00257191"/>
    <w:rsid w:val="002610FA"/>
    <w:rsid w:val="0026614C"/>
    <w:rsid w:val="0026664F"/>
    <w:rsid w:val="00267851"/>
    <w:rsid w:val="00270CBE"/>
    <w:rsid w:val="00272305"/>
    <w:rsid w:val="002738A8"/>
    <w:rsid w:val="00273C2F"/>
    <w:rsid w:val="00275BDB"/>
    <w:rsid w:val="002776FC"/>
    <w:rsid w:val="00280E0F"/>
    <w:rsid w:val="00280FE9"/>
    <w:rsid w:val="002817EB"/>
    <w:rsid w:val="0028225A"/>
    <w:rsid w:val="002858FB"/>
    <w:rsid w:val="0028594A"/>
    <w:rsid w:val="00286315"/>
    <w:rsid w:val="00290388"/>
    <w:rsid w:val="00290B6A"/>
    <w:rsid w:val="00292B5F"/>
    <w:rsid w:val="0029370D"/>
    <w:rsid w:val="00295604"/>
    <w:rsid w:val="00296990"/>
    <w:rsid w:val="002A04ED"/>
    <w:rsid w:val="002A083F"/>
    <w:rsid w:val="002A23E2"/>
    <w:rsid w:val="002A2B48"/>
    <w:rsid w:val="002A2EC9"/>
    <w:rsid w:val="002A4CCB"/>
    <w:rsid w:val="002A4DDE"/>
    <w:rsid w:val="002A6E74"/>
    <w:rsid w:val="002B0047"/>
    <w:rsid w:val="002B11CA"/>
    <w:rsid w:val="002B2547"/>
    <w:rsid w:val="002B3450"/>
    <w:rsid w:val="002B3FD9"/>
    <w:rsid w:val="002B4628"/>
    <w:rsid w:val="002B6C8D"/>
    <w:rsid w:val="002C0AC9"/>
    <w:rsid w:val="002C1511"/>
    <w:rsid w:val="002C37A1"/>
    <w:rsid w:val="002C5CF0"/>
    <w:rsid w:val="002C71FD"/>
    <w:rsid w:val="002D02FB"/>
    <w:rsid w:val="002D111D"/>
    <w:rsid w:val="002D2281"/>
    <w:rsid w:val="002D4340"/>
    <w:rsid w:val="002D4EC6"/>
    <w:rsid w:val="002D557A"/>
    <w:rsid w:val="002D5B02"/>
    <w:rsid w:val="002D6209"/>
    <w:rsid w:val="002D750B"/>
    <w:rsid w:val="002E5F59"/>
    <w:rsid w:val="002E66AF"/>
    <w:rsid w:val="002E6B05"/>
    <w:rsid w:val="002F0B01"/>
    <w:rsid w:val="002F61F1"/>
    <w:rsid w:val="002F685A"/>
    <w:rsid w:val="002F6B3D"/>
    <w:rsid w:val="002F6CF9"/>
    <w:rsid w:val="002F7C43"/>
    <w:rsid w:val="00300794"/>
    <w:rsid w:val="00300D93"/>
    <w:rsid w:val="0030181A"/>
    <w:rsid w:val="00303956"/>
    <w:rsid w:val="00312A70"/>
    <w:rsid w:val="00312A93"/>
    <w:rsid w:val="00314554"/>
    <w:rsid w:val="003156EF"/>
    <w:rsid w:val="0031680D"/>
    <w:rsid w:val="00317DEE"/>
    <w:rsid w:val="0032267D"/>
    <w:rsid w:val="00326AD2"/>
    <w:rsid w:val="00331455"/>
    <w:rsid w:val="003321E2"/>
    <w:rsid w:val="00332E33"/>
    <w:rsid w:val="00334339"/>
    <w:rsid w:val="00334D4D"/>
    <w:rsid w:val="003355E9"/>
    <w:rsid w:val="00335869"/>
    <w:rsid w:val="00335E16"/>
    <w:rsid w:val="00336479"/>
    <w:rsid w:val="003365C4"/>
    <w:rsid w:val="00337106"/>
    <w:rsid w:val="00337686"/>
    <w:rsid w:val="00337B6D"/>
    <w:rsid w:val="00337BF4"/>
    <w:rsid w:val="00344E18"/>
    <w:rsid w:val="00347736"/>
    <w:rsid w:val="0035167E"/>
    <w:rsid w:val="00351825"/>
    <w:rsid w:val="003532FE"/>
    <w:rsid w:val="003548E8"/>
    <w:rsid w:val="00354B90"/>
    <w:rsid w:val="00356240"/>
    <w:rsid w:val="00356792"/>
    <w:rsid w:val="003610D4"/>
    <w:rsid w:val="00362770"/>
    <w:rsid w:val="00363FD6"/>
    <w:rsid w:val="00363FEF"/>
    <w:rsid w:val="00365928"/>
    <w:rsid w:val="00367777"/>
    <w:rsid w:val="003678E2"/>
    <w:rsid w:val="00375908"/>
    <w:rsid w:val="00375993"/>
    <w:rsid w:val="0038105C"/>
    <w:rsid w:val="00382C45"/>
    <w:rsid w:val="003830A7"/>
    <w:rsid w:val="00383126"/>
    <w:rsid w:val="00383272"/>
    <w:rsid w:val="00383B87"/>
    <w:rsid w:val="00385D5B"/>
    <w:rsid w:val="00386169"/>
    <w:rsid w:val="00386D73"/>
    <w:rsid w:val="0038761E"/>
    <w:rsid w:val="00387E1C"/>
    <w:rsid w:val="00391D64"/>
    <w:rsid w:val="003929B6"/>
    <w:rsid w:val="00393947"/>
    <w:rsid w:val="00393BAD"/>
    <w:rsid w:val="00397151"/>
    <w:rsid w:val="003973DF"/>
    <w:rsid w:val="003A0983"/>
    <w:rsid w:val="003A1C30"/>
    <w:rsid w:val="003A1FC5"/>
    <w:rsid w:val="003A3346"/>
    <w:rsid w:val="003A661B"/>
    <w:rsid w:val="003A7290"/>
    <w:rsid w:val="003B122C"/>
    <w:rsid w:val="003B1D15"/>
    <w:rsid w:val="003B251F"/>
    <w:rsid w:val="003B25A0"/>
    <w:rsid w:val="003B4036"/>
    <w:rsid w:val="003B5BFD"/>
    <w:rsid w:val="003C03A1"/>
    <w:rsid w:val="003C0F52"/>
    <w:rsid w:val="003C1389"/>
    <w:rsid w:val="003C276F"/>
    <w:rsid w:val="003C280A"/>
    <w:rsid w:val="003C28EF"/>
    <w:rsid w:val="003C39E2"/>
    <w:rsid w:val="003C3DD8"/>
    <w:rsid w:val="003C447F"/>
    <w:rsid w:val="003C7B72"/>
    <w:rsid w:val="003D1DAF"/>
    <w:rsid w:val="003D2CE3"/>
    <w:rsid w:val="003D32E4"/>
    <w:rsid w:val="003D3FD6"/>
    <w:rsid w:val="003D6656"/>
    <w:rsid w:val="003D7B35"/>
    <w:rsid w:val="003E286B"/>
    <w:rsid w:val="003E54A6"/>
    <w:rsid w:val="003F2E2E"/>
    <w:rsid w:val="003F5E06"/>
    <w:rsid w:val="003F7991"/>
    <w:rsid w:val="00400360"/>
    <w:rsid w:val="00400F8D"/>
    <w:rsid w:val="0040164C"/>
    <w:rsid w:val="00402087"/>
    <w:rsid w:val="00404797"/>
    <w:rsid w:val="00406D91"/>
    <w:rsid w:val="0041081F"/>
    <w:rsid w:val="00411D90"/>
    <w:rsid w:val="004120BB"/>
    <w:rsid w:val="0041217F"/>
    <w:rsid w:val="00413E42"/>
    <w:rsid w:val="004230B5"/>
    <w:rsid w:val="00423F9E"/>
    <w:rsid w:val="004248F9"/>
    <w:rsid w:val="00426CD8"/>
    <w:rsid w:val="0043325A"/>
    <w:rsid w:val="00433E53"/>
    <w:rsid w:val="00441458"/>
    <w:rsid w:val="00441AD5"/>
    <w:rsid w:val="0044286A"/>
    <w:rsid w:val="00444479"/>
    <w:rsid w:val="004462EB"/>
    <w:rsid w:val="00453324"/>
    <w:rsid w:val="00453762"/>
    <w:rsid w:val="00455B43"/>
    <w:rsid w:val="00457364"/>
    <w:rsid w:val="00457986"/>
    <w:rsid w:val="00457A14"/>
    <w:rsid w:val="004600B4"/>
    <w:rsid w:val="00460D72"/>
    <w:rsid w:val="00461078"/>
    <w:rsid w:val="00462EB8"/>
    <w:rsid w:val="00467EC8"/>
    <w:rsid w:val="004747B0"/>
    <w:rsid w:val="00476727"/>
    <w:rsid w:val="00477325"/>
    <w:rsid w:val="0047761F"/>
    <w:rsid w:val="00477BB4"/>
    <w:rsid w:val="00480729"/>
    <w:rsid w:val="004816C3"/>
    <w:rsid w:val="004851E3"/>
    <w:rsid w:val="0048628F"/>
    <w:rsid w:val="00492017"/>
    <w:rsid w:val="00494568"/>
    <w:rsid w:val="00494E20"/>
    <w:rsid w:val="0049620B"/>
    <w:rsid w:val="004A0A90"/>
    <w:rsid w:val="004A0F99"/>
    <w:rsid w:val="004A66FC"/>
    <w:rsid w:val="004B0096"/>
    <w:rsid w:val="004B1567"/>
    <w:rsid w:val="004B316C"/>
    <w:rsid w:val="004B3575"/>
    <w:rsid w:val="004B43B9"/>
    <w:rsid w:val="004B6416"/>
    <w:rsid w:val="004B658A"/>
    <w:rsid w:val="004C0734"/>
    <w:rsid w:val="004C1209"/>
    <w:rsid w:val="004C200A"/>
    <w:rsid w:val="004C4F26"/>
    <w:rsid w:val="004C6029"/>
    <w:rsid w:val="004C70A0"/>
    <w:rsid w:val="004C757B"/>
    <w:rsid w:val="004C7C30"/>
    <w:rsid w:val="004C7FCC"/>
    <w:rsid w:val="004D02FF"/>
    <w:rsid w:val="004D5567"/>
    <w:rsid w:val="004D564B"/>
    <w:rsid w:val="004E1539"/>
    <w:rsid w:val="004E2CB7"/>
    <w:rsid w:val="004E3CD4"/>
    <w:rsid w:val="004E5750"/>
    <w:rsid w:val="004E5A16"/>
    <w:rsid w:val="004E6221"/>
    <w:rsid w:val="004E65C8"/>
    <w:rsid w:val="004F0111"/>
    <w:rsid w:val="004F7CE6"/>
    <w:rsid w:val="0050018A"/>
    <w:rsid w:val="00501F48"/>
    <w:rsid w:val="00503211"/>
    <w:rsid w:val="00505BC4"/>
    <w:rsid w:val="00506079"/>
    <w:rsid w:val="00506D65"/>
    <w:rsid w:val="00507926"/>
    <w:rsid w:val="005118C8"/>
    <w:rsid w:val="005125D8"/>
    <w:rsid w:val="00512D8A"/>
    <w:rsid w:val="00515A1B"/>
    <w:rsid w:val="0051646B"/>
    <w:rsid w:val="005169F6"/>
    <w:rsid w:val="0052034F"/>
    <w:rsid w:val="005212DA"/>
    <w:rsid w:val="00521ADC"/>
    <w:rsid w:val="00526FEC"/>
    <w:rsid w:val="005279BE"/>
    <w:rsid w:val="00534928"/>
    <w:rsid w:val="005352D1"/>
    <w:rsid w:val="00535443"/>
    <w:rsid w:val="005361A7"/>
    <w:rsid w:val="005361BF"/>
    <w:rsid w:val="00540B2E"/>
    <w:rsid w:val="00541037"/>
    <w:rsid w:val="00542F09"/>
    <w:rsid w:val="00543A02"/>
    <w:rsid w:val="005440C7"/>
    <w:rsid w:val="0054459A"/>
    <w:rsid w:val="00544CE6"/>
    <w:rsid w:val="00546213"/>
    <w:rsid w:val="0054744F"/>
    <w:rsid w:val="00551167"/>
    <w:rsid w:val="00551BBC"/>
    <w:rsid w:val="005525BF"/>
    <w:rsid w:val="00552D38"/>
    <w:rsid w:val="00557864"/>
    <w:rsid w:val="00557A78"/>
    <w:rsid w:val="005603C2"/>
    <w:rsid w:val="00561EAB"/>
    <w:rsid w:val="005642A2"/>
    <w:rsid w:val="00566860"/>
    <w:rsid w:val="00571AC8"/>
    <w:rsid w:val="00572311"/>
    <w:rsid w:val="00572586"/>
    <w:rsid w:val="00572F9D"/>
    <w:rsid w:val="005730EC"/>
    <w:rsid w:val="00575059"/>
    <w:rsid w:val="00575932"/>
    <w:rsid w:val="005771C0"/>
    <w:rsid w:val="005771CF"/>
    <w:rsid w:val="005778FE"/>
    <w:rsid w:val="00580164"/>
    <w:rsid w:val="0058033F"/>
    <w:rsid w:val="00581AEE"/>
    <w:rsid w:val="00581DBB"/>
    <w:rsid w:val="00583F6A"/>
    <w:rsid w:val="00585BED"/>
    <w:rsid w:val="00585DC1"/>
    <w:rsid w:val="00586A75"/>
    <w:rsid w:val="005877FF"/>
    <w:rsid w:val="00587A84"/>
    <w:rsid w:val="00587C66"/>
    <w:rsid w:val="00590991"/>
    <w:rsid w:val="00591867"/>
    <w:rsid w:val="00595C2B"/>
    <w:rsid w:val="005A0C65"/>
    <w:rsid w:val="005A23E3"/>
    <w:rsid w:val="005A78B0"/>
    <w:rsid w:val="005B3879"/>
    <w:rsid w:val="005B4849"/>
    <w:rsid w:val="005B5259"/>
    <w:rsid w:val="005B571D"/>
    <w:rsid w:val="005B7540"/>
    <w:rsid w:val="005C10A2"/>
    <w:rsid w:val="005C1EC2"/>
    <w:rsid w:val="005C2153"/>
    <w:rsid w:val="005C4AC2"/>
    <w:rsid w:val="005C5880"/>
    <w:rsid w:val="005D30C1"/>
    <w:rsid w:val="005D3F1D"/>
    <w:rsid w:val="005D42F7"/>
    <w:rsid w:val="005D681B"/>
    <w:rsid w:val="005E220B"/>
    <w:rsid w:val="005E322D"/>
    <w:rsid w:val="005E3607"/>
    <w:rsid w:val="005E421E"/>
    <w:rsid w:val="005E50EF"/>
    <w:rsid w:val="005E73AB"/>
    <w:rsid w:val="005F04F0"/>
    <w:rsid w:val="005F0528"/>
    <w:rsid w:val="005F2246"/>
    <w:rsid w:val="005F2AF8"/>
    <w:rsid w:val="005F5E70"/>
    <w:rsid w:val="005F688B"/>
    <w:rsid w:val="005F7B44"/>
    <w:rsid w:val="00600F7B"/>
    <w:rsid w:val="006015D3"/>
    <w:rsid w:val="006047FA"/>
    <w:rsid w:val="006074C6"/>
    <w:rsid w:val="00612F38"/>
    <w:rsid w:val="006158DF"/>
    <w:rsid w:val="00615B92"/>
    <w:rsid w:val="00616078"/>
    <w:rsid w:val="006160DA"/>
    <w:rsid w:val="00616E2C"/>
    <w:rsid w:val="00620448"/>
    <w:rsid w:val="00621998"/>
    <w:rsid w:val="00622B22"/>
    <w:rsid w:val="006254BA"/>
    <w:rsid w:val="00630B7C"/>
    <w:rsid w:val="00632686"/>
    <w:rsid w:val="00633115"/>
    <w:rsid w:val="00633660"/>
    <w:rsid w:val="00633B9E"/>
    <w:rsid w:val="00633D04"/>
    <w:rsid w:val="00635D86"/>
    <w:rsid w:val="006367AC"/>
    <w:rsid w:val="00637F0A"/>
    <w:rsid w:val="006416C1"/>
    <w:rsid w:val="00642C22"/>
    <w:rsid w:val="0064307F"/>
    <w:rsid w:val="00643E1A"/>
    <w:rsid w:val="00644EC2"/>
    <w:rsid w:val="00646543"/>
    <w:rsid w:val="00646DF5"/>
    <w:rsid w:val="00650397"/>
    <w:rsid w:val="006515D7"/>
    <w:rsid w:val="00653605"/>
    <w:rsid w:val="006544D1"/>
    <w:rsid w:val="00655EA3"/>
    <w:rsid w:val="0065769C"/>
    <w:rsid w:val="00661A2D"/>
    <w:rsid w:val="00662186"/>
    <w:rsid w:val="00663382"/>
    <w:rsid w:val="0066350D"/>
    <w:rsid w:val="006635B3"/>
    <w:rsid w:val="006637C0"/>
    <w:rsid w:val="00663F6C"/>
    <w:rsid w:val="00664D2C"/>
    <w:rsid w:val="0066555B"/>
    <w:rsid w:val="00666619"/>
    <w:rsid w:val="0066670C"/>
    <w:rsid w:val="00670E09"/>
    <w:rsid w:val="00671890"/>
    <w:rsid w:val="00672FD8"/>
    <w:rsid w:val="00673D4A"/>
    <w:rsid w:val="00673D55"/>
    <w:rsid w:val="006742CF"/>
    <w:rsid w:val="0067446A"/>
    <w:rsid w:val="00674701"/>
    <w:rsid w:val="006748FD"/>
    <w:rsid w:val="006769AD"/>
    <w:rsid w:val="0068344A"/>
    <w:rsid w:val="0068474A"/>
    <w:rsid w:val="00684853"/>
    <w:rsid w:val="0068485F"/>
    <w:rsid w:val="00684E6F"/>
    <w:rsid w:val="00686A3A"/>
    <w:rsid w:val="00687939"/>
    <w:rsid w:val="006902C9"/>
    <w:rsid w:val="00691BB8"/>
    <w:rsid w:val="00692738"/>
    <w:rsid w:val="00693224"/>
    <w:rsid w:val="006955F0"/>
    <w:rsid w:val="00695867"/>
    <w:rsid w:val="00696749"/>
    <w:rsid w:val="006A14B6"/>
    <w:rsid w:val="006A1854"/>
    <w:rsid w:val="006A23EC"/>
    <w:rsid w:val="006A30C8"/>
    <w:rsid w:val="006A542C"/>
    <w:rsid w:val="006A6000"/>
    <w:rsid w:val="006A74EB"/>
    <w:rsid w:val="006B05F9"/>
    <w:rsid w:val="006B0FB0"/>
    <w:rsid w:val="006B57F4"/>
    <w:rsid w:val="006B662A"/>
    <w:rsid w:val="006C0ABC"/>
    <w:rsid w:val="006C1474"/>
    <w:rsid w:val="006C179F"/>
    <w:rsid w:val="006C25C7"/>
    <w:rsid w:val="006C52E7"/>
    <w:rsid w:val="006C6A02"/>
    <w:rsid w:val="006D0033"/>
    <w:rsid w:val="006D11FF"/>
    <w:rsid w:val="006D12B0"/>
    <w:rsid w:val="006D15D4"/>
    <w:rsid w:val="006D4528"/>
    <w:rsid w:val="006D49F1"/>
    <w:rsid w:val="006D5AAE"/>
    <w:rsid w:val="006D779F"/>
    <w:rsid w:val="006E0391"/>
    <w:rsid w:val="006E139F"/>
    <w:rsid w:val="006E3DF9"/>
    <w:rsid w:val="006E578D"/>
    <w:rsid w:val="006E5AA6"/>
    <w:rsid w:val="006E5DFF"/>
    <w:rsid w:val="006E7422"/>
    <w:rsid w:val="006E7744"/>
    <w:rsid w:val="006E7DA9"/>
    <w:rsid w:val="006F0883"/>
    <w:rsid w:val="006F0B13"/>
    <w:rsid w:val="006F1016"/>
    <w:rsid w:val="006F30AA"/>
    <w:rsid w:val="006F4E4C"/>
    <w:rsid w:val="006F6084"/>
    <w:rsid w:val="006F6405"/>
    <w:rsid w:val="0070011E"/>
    <w:rsid w:val="00700AB9"/>
    <w:rsid w:val="00701211"/>
    <w:rsid w:val="007012CE"/>
    <w:rsid w:val="00703228"/>
    <w:rsid w:val="00704481"/>
    <w:rsid w:val="00704A63"/>
    <w:rsid w:val="00705156"/>
    <w:rsid w:val="00705F80"/>
    <w:rsid w:val="007066B6"/>
    <w:rsid w:val="00707384"/>
    <w:rsid w:val="00711ED9"/>
    <w:rsid w:val="00715C5B"/>
    <w:rsid w:val="007201EC"/>
    <w:rsid w:val="007213B9"/>
    <w:rsid w:val="00721AA2"/>
    <w:rsid w:val="0072315D"/>
    <w:rsid w:val="00723EDC"/>
    <w:rsid w:val="00725506"/>
    <w:rsid w:val="007264B1"/>
    <w:rsid w:val="00730598"/>
    <w:rsid w:val="0073215A"/>
    <w:rsid w:val="007357BA"/>
    <w:rsid w:val="00735BC2"/>
    <w:rsid w:val="00735E6D"/>
    <w:rsid w:val="00736CDB"/>
    <w:rsid w:val="00740C32"/>
    <w:rsid w:val="00741018"/>
    <w:rsid w:val="00744FE4"/>
    <w:rsid w:val="007455E4"/>
    <w:rsid w:val="00745F3E"/>
    <w:rsid w:val="007460FC"/>
    <w:rsid w:val="00751B54"/>
    <w:rsid w:val="00751FBD"/>
    <w:rsid w:val="00753535"/>
    <w:rsid w:val="00755D2B"/>
    <w:rsid w:val="0076104B"/>
    <w:rsid w:val="007630F0"/>
    <w:rsid w:val="00766D50"/>
    <w:rsid w:val="00770367"/>
    <w:rsid w:val="007722CC"/>
    <w:rsid w:val="00773E36"/>
    <w:rsid w:val="007750C5"/>
    <w:rsid w:val="0077672D"/>
    <w:rsid w:val="00777C14"/>
    <w:rsid w:val="007808C1"/>
    <w:rsid w:val="00782026"/>
    <w:rsid w:val="00782BAF"/>
    <w:rsid w:val="00785321"/>
    <w:rsid w:val="0078723D"/>
    <w:rsid w:val="00787308"/>
    <w:rsid w:val="00787643"/>
    <w:rsid w:val="00790EE8"/>
    <w:rsid w:val="00793CDE"/>
    <w:rsid w:val="00794B04"/>
    <w:rsid w:val="007959E0"/>
    <w:rsid w:val="007A2108"/>
    <w:rsid w:val="007A21D9"/>
    <w:rsid w:val="007A5C5E"/>
    <w:rsid w:val="007B4D3A"/>
    <w:rsid w:val="007B6945"/>
    <w:rsid w:val="007B6C77"/>
    <w:rsid w:val="007B724E"/>
    <w:rsid w:val="007C2A7B"/>
    <w:rsid w:val="007C7A95"/>
    <w:rsid w:val="007D1272"/>
    <w:rsid w:val="007D2A67"/>
    <w:rsid w:val="007D3D70"/>
    <w:rsid w:val="007D626D"/>
    <w:rsid w:val="007D7BAB"/>
    <w:rsid w:val="007E0EE2"/>
    <w:rsid w:val="007E1450"/>
    <w:rsid w:val="007E20EA"/>
    <w:rsid w:val="007E3023"/>
    <w:rsid w:val="007E7484"/>
    <w:rsid w:val="007F1A7E"/>
    <w:rsid w:val="007F3549"/>
    <w:rsid w:val="007F4DF9"/>
    <w:rsid w:val="007F4F3D"/>
    <w:rsid w:val="007F5D82"/>
    <w:rsid w:val="007F620D"/>
    <w:rsid w:val="00800C76"/>
    <w:rsid w:val="008047B3"/>
    <w:rsid w:val="008070D5"/>
    <w:rsid w:val="00807A33"/>
    <w:rsid w:val="00812EE5"/>
    <w:rsid w:val="008142CE"/>
    <w:rsid w:val="008152C5"/>
    <w:rsid w:val="00820225"/>
    <w:rsid w:val="00820BF2"/>
    <w:rsid w:val="00820CFC"/>
    <w:rsid w:val="00824851"/>
    <w:rsid w:val="0082590A"/>
    <w:rsid w:val="00826C76"/>
    <w:rsid w:val="00826EB5"/>
    <w:rsid w:val="00827AB8"/>
    <w:rsid w:val="00830280"/>
    <w:rsid w:val="00830C37"/>
    <w:rsid w:val="00830DF0"/>
    <w:rsid w:val="008315D5"/>
    <w:rsid w:val="008331A9"/>
    <w:rsid w:val="00833BE5"/>
    <w:rsid w:val="0083583E"/>
    <w:rsid w:val="008375C8"/>
    <w:rsid w:val="008404A7"/>
    <w:rsid w:val="008411C9"/>
    <w:rsid w:val="0084184D"/>
    <w:rsid w:val="00842326"/>
    <w:rsid w:val="00842943"/>
    <w:rsid w:val="00846993"/>
    <w:rsid w:val="0085162C"/>
    <w:rsid w:val="008524CD"/>
    <w:rsid w:val="00855C57"/>
    <w:rsid w:val="00856983"/>
    <w:rsid w:val="00856B31"/>
    <w:rsid w:val="00860A98"/>
    <w:rsid w:val="008616E3"/>
    <w:rsid w:val="008654F8"/>
    <w:rsid w:val="0086589B"/>
    <w:rsid w:val="00865B93"/>
    <w:rsid w:val="00870C0A"/>
    <w:rsid w:val="00872884"/>
    <w:rsid w:val="00873456"/>
    <w:rsid w:val="00875457"/>
    <w:rsid w:val="00876E92"/>
    <w:rsid w:val="008776B9"/>
    <w:rsid w:val="00880170"/>
    <w:rsid w:val="00880BD9"/>
    <w:rsid w:val="00882E64"/>
    <w:rsid w:val="00884E2E"/>
    <w:rsid w:val="00884EB5"/>
    <w:rsid w:val="00892771"/>
    <w:rsid w:val="008928FB"/>
    <w:rsid w:val="008949C1"/>
    <w:rsid w:val="00895834"/>
    <w:rsid w:val="00895C0D"/>
    <w:rsid w:val="00895FD2"/>
    <w:rsid w:val="00897620"/>
    <w:rsid w:val="00897CF7"/>
    <w:rsid w:val="008A1B02"/>
    <w:rsid w:val="008A4913"/>
    <w:rsid w:val="008A74A7"/>
    <w:rsid w:val="008B381B"/>
    <w:rsid w:val="008B3C81"/>
    <w:rsid w:val="008B3C94"/>
    <w:rsid w:val="008B5D3A"/>
    <w:rsid w:val="008C0518"/>
    <w:rsid w:val="008C24DF"/>
    <w:rsid w:val="008C2E0D"/>
    <w:rsid w:val="008C5477"/>
    <w:rsid w:val="008C637B"/>
    <w:rsid w:val="008C7BC0"/>
    <w:rsid w:val="008D16CA"/>
    <w:rsid w:val="008D2DCF"/>
    <w:rsid w:val="008D4B2A"/>
    <w:rsid w:val="008D5455"/>
    <w:rsid w:val="008D5C7D"/>
    <w:rsid w:val="008D5D52"/>
    <w:rsid w:val="008D75B7"/>
    <w:rsid w:val="008E156A"/>
    <w:rsid w:val="008E1A5B"/>
    <w:rsid w:val="008E1C9A"/>
    <w:rsid w:val="008E1D22"/>
    <w:rsid w:val="008E1D41"/>
    <w:rsid w:val="008F286B"/>
    <w:rsid w:val="008F3375"/>
    <w:rsid w:val="008F54BB"/>
    <w:rsid w:val="008F7F45"/>
    <w:rsid w:val="00900CB7"/>
    <w:rsid w:val="00901D4A"/>
    <w:rsid w:val="00903FB9"/>
    <w:rsid w:val="00906567"/>
    <w:rsid w:val="00906A10"/>
    <w:rsid w:val="009075CB"/>
    <w:rsid w:val="00907CC2"/>
    <w:rsid w:val="00910C9F"/>
    <w:rsid w:val="00912B32"/>
    <w:rsid w:val="0091458F"/>
    <w:rsid w:val="00915894"/>
    <w:rsid w:val="009165DA"/>
    <w:rsid w:val="00920F42"/>
    <w:rsid w:val="00921685"/>
    <w:rsid w:val="0092532D"/>
    <w:rsid w:val="00926A57"/>
    <w:rsid w:val="00927219"/>
    <w:rsid w:val="009309FB"/>
    <w:rsid w:val="00932B8B"/>
    <w:rsid w:val="00932C38"/>
    <w:rsid w:val="009339A8"/>
    <w:rsid w:val="00935F6B"/>
    <w:rsid w:val="00937822"/>
    <w:rsid w:val="0094271D"/>
    <w:rsid w:val="009432FC"/>
    <w:rsid w:val="009440B6"/>
    <w:rsid w:val="00951AC8"/>
    <w:rsid w:val="009522CA"/>
    <w:rsid w:val="0095231E"/>
    <w:rsid w:val="00954E96"/>
    <w:rsid w:val="0095792C"/>
    <w:rsid w:val="00962A8A"/>
    <w:rsid w:val="00965AAC"/>
    <w:rsid w:val="00965C61"/>
    <w:rsid w:val="00967FED"/>
    <w:rsid w:val="00972C7C"/>
    <w:rsid w:val="00974B53"/>
    <w:rsid w:val="00975FC9"/>
    <w:rsid w:val="0097699F"/>
    <w:rsid w:val="00977281"/>
    <w:rsid w:val="0097755B"/>
    <w:rsid w:val="00980F40"/>
    <w:rsid w:val="00982AB9"/>
    <w:rsid w:val="00983592"/>
    <w:rsid w:val="009852AA"/>
    <w:rsid w:val="009856F4"/>
    <w:rsid w:val="009858A1"/>
    <w:rsid w:val="009861A6"/>
    <w:rsid w:val="0098669D"/>
    <w:rsid w:val="009868F3"/>
    <w:rsid w:val="00987D12"/>
    <w:rsid w:val="009917C4"/>
    <w:rsid w:val="00993D7E"/>
    <w:rsid w:val="00994095"/>
    <w:rsid w:val="009943CC"/>
    <w:rsid w:val="00995827"/>
    <w:rsid w:val="00996C8C"/>
    <w:rsid w:val="009A07B7"/>
    <w:rsid w:val="009A2234"/>
    <w:rsid w:val="009A47D4"/>
    <w:rsid w:val="009A52BD"/>
    <w:rsid w:val="009B122D"/>
    <w:rsid w:val="009B487E"/>
    <w:rsid w:val="009B6A54"/>
    <w:rsid w:val="009B7808"/>
    <w:rsid w:val="009C0674"/>
    <w:rsid w:val="009C1450"/>
    <w:rsid w:val="009C25F0"/>
    <w:rsid w:val="009C38BA"/>
    <w:rsid w:val="009C5A4E"/>
    <w:rsid w:val="009C6304"/>
    <w:rsid w:val="009D174C"/>
    <w:rsid w:val="009D1963"/>
    <w:rsid w:val="009D2E79"/>
    <w:rsid w:val="009D3998"/>
    <w:rsid w:val="009D7210"/>
    <w:rsid w:val="009E4799"/>
    <w:rsid w:val="009E517C"/>
    <w:rsid w:val="009E7985"/>
    <w:rsid w:val="009F21B5"/>
    <w:rsid w:val="009F2FE9"/>
    <w:rsid w:val="009F3C80"/>
    <w:rsid w:val="009F40F3"/>
    <w:rsid w:val="009F7E87"/>
    <w:rsid w:val="009F7F39"/>
    <w:rsid w:val="00A0304D"/>
    <w:rsid w:val="00A033AC"/>
    <w:rsid w:val="00A03A4A"/>
    <w:rsid w:val="00A049F7"/>
    <w:rsid w:val="00A129E0"/>
    <w:rsid w:val="00A134E3"/>
    <w:rsid w:val="00A13776"/>
    <w:rsid w:val="00A15654"/>
    <w:rsid w:val="00A15A58"/>
    <w:rsid w:val="00A168B1"/>
    <w:rsid w:val="00A23774"/>
    <w:rsid w:val="00A24B2B"/>
    <w:rsid w:val="00A271DB"/>
    <w:rsid w:val="00A320E1"/>
    <w:rsid w:val="00A32EEF"/>
    <w:rsid w:val="00A3423C"/>
    <w:rsid w:val="00A346B7"/>
    <w:rsid w:val="00A379A7"/>
    <w:rsid w:val="00A37B97"/>
    <w:rsid w:val="00A40ADF"/>
    <w:rsid w:val="00A41DFB"/>
    <w:rsid w:val="00A433A2"/>
    <w:rsid w:val="00A448CD"/>
    <w:rsid w:val="00A44A5F"/>
    <w:rsid w:val="00A45E2C"/>
    <w:rsid w:val="00A4625C"/>
    <w:rsid w:val="00A549BA"/>
    <w:rsid w:val="00A5513A"/>
    <w:rsid w:val="00A56C56"/>
    <w:rsid w:val="00A604BB"/>
    <w:rsid w:val="00A60FDA"/>
    <w:rsid w:val="00A61F31"/>
    <w:rsid w:val="00A6610B"/>
    <w:rsid w:val="00A66587"/>
    <w:rsid w:val="00A66E16"/>
    <w:rsid w:val="00A671D2"/>
    <w:rsid w:val="00A67A81"/>
    <w:rsid w:val="00A70142"/>
    <w:rsid w:val="00A70503"/>
    <w:rsid w:val="00A74E14"/>
    <w:rsid w:val="00A757B3"/>
    <w:rsid w:val="00A76099"/>
    <w:rsid w:val="00A7620C"/>
    <w:rsid w:val="00A82BD8"/>
    <w:rsid w:val="00A856E5"/>
    <w:rsid w:val="00A85E5A"/>
    <w:rsid w:val="00A85EB2"/>
    <w:rsid w:val="00A92842"/>
    <w:rsid w:val="00A93435"/>
    <w:rsid w:val="00A93916"/>
    <w:rsid w:val="00A941D1"/>
    <w:rsid w:val="00A96180"/>
    <w:rsid w:val="00A9644D"/>
    <w:rsid w:val="00A97E7D"/>
    <w:rsid w:val="00AA4938"/>
    <w:rsid w:val="00AA4B48"/>
    <w:rsid w:val="00AA5599"/>
    <w:rsid w:val="00AA624C"/>
    <w:rsid w:val="00AA7E72"/>
    <w:rsid w:val="00AA7F8B"/>
    <w:rsid w:val="00AB5CCC"/>
    <w:rsid w:val="00AC5AB3"/>
    <w:rsid w:val="00AC7D05"/>
    <w:rsid w:val="00AC7DA4"/>
    <w:rsid w:val="00AD3471"/>
    <w:rsid w:val="00AD5696"/>
    <w:rsid w:val="00AD6DE8"/>
    <w:rsid w:val="00AE13CE"/>
    <w:rsid w:val="00AE215C"/>
    <w:rsid w:val="00AE26F3"/>
    <w:rsid w:val="00AE3E43"/>
    <w:rsid w:val="00AE40DF"/>
    <w:rsid w:val="00AE5696"/>
    <w:rsid w:val="00AF31B7"/>
    <w:rsid w:val="00AF3DC4"/>
    <w:rsid w:val="00AF4871"/>
    <w:rsid w:val="00AF4BD8"/>
    <w:rsid w:val="00AF4C9B"/>
    <w:rsid w:val="00AF514F"/>
    <w:rsid w:val="00AF6E7F"/>
    <w:rsid w:val="00B01E49"/>
    <w:rsid w:val="00B0371C"/>
    <w:rsid w:val="00B039FC"/>
    <w:rsid w:val="00B046E1"/>
    <w:rsid w:val="00B05CA0"/>
    <w:rsid w:val="00B07858"/>
    <w:rsid w:val="00B07B3B"/>
    <w:rsid w:val="00B07DDB"/>
    <w:rsid w:val="00B14675"/>
    <w:rsid w:val="00B14DFB"/>
    <w:rsid w:val="00B1645B"/>
    <w:rsid w:val="00B17734"/>
    <w:rsid w:val="00B17BFA"/>
    <w:rsid w:val="00B17CE2"/>
    <w:rsid w:val="00B202F4"/>
    <w:rsid w:val="00B20585"/>
    <w:rsid w:val="00B213BB"/>
    <w:rsid w:val="00B23140"/>
    <w:rsid w:val="00B236BD"/>
    <w:rsid w:val="00B25B35"/>
    <w:rsid w:val="00B2651A"/>
    <w:rsid w:val="00B27B60"/>
    <w:rsid w:val="00B35165"/>
    <w:rsid w:val="00B35A4A"/>
    <w:rsid w:val="00B36B58"/>
    <w:rsid w:val="00B43A85"/>
    <w:rsid w:val="00B4616A"/>
    <w:rsid w:val="00B46522"/>
    <w:rsid w:val="00B5104D"/>
    <w:rsid w:val="00B52C3C"/>
    <w:rsid w:val="00B52E36"/>
    <w:rsid w:val="00B562FD"/>
    <w:rsid w:val="00B57AC6"/>
    <w:rsid w:val="00B64065"/>
    <w:rsid w:val="00B667B1"/>
    <w:rsid w:val="00B715AD"/>
    <w:rsid w:val="00B742EC"/>
    <w:rsid w:val="00B7474B"/>
    <w:rsid w:val="00B77089"/>
    <w:rsid w:val="00B802CE"/>
    <w:rsid w:val="00B8255A"/>
    <w:rsid w:val="00B82C32"/>
    <w:rsid w:val="00B85790"/>
    <w:rsid w:val="00B85EA6"/>
    <w:rsid w:val="00B9072C"/>
    <w:rsid w:val="00B94201"/>
    <w:rsid w:val="00B9501C"/>
    <w:rsid w:val="00B95C5D"/>
    <w:rsid w:val="00BA0003"/>
    <w:rsid w:val="00BA1159"/>
    <w:rsid w:val="00BA1387"/>
    <w:rsid w:val="00BA26D0"/>
    <w:rsid w:val="00BA649F"/>
    <w:rsid w:val="00BA7243"/>
    <w:rsid w:val="00BA79BB"/>
    <w:rsid w:val="00BB040B"/>
    <w:rsid w:val="00BC131C"/>
    <w:rsid w:val="00BC2FBD"/>
    <w:rsid w:val="00BC68AE"/>
    <w:rsid w:val="00BD2C9C"/>
    <w:rsid w:val="00BD591C"/>
    <w:rsid w:val="00BD5985"/>
    <w:rsid w:val="00BD5C52"/>
    <w:rsid w:val="00BD5CC5"/>
    <w:rsid w:val="00BD66E7"/>
    <w:rsid w:val="00BE1ABD"/>
    <w:rsid w:val="00BE5F55"/>
    <w:rsid w:val="00BE67B9"/>
    <w:rsid w:val="00BE750A"/>
    <w:rsid w:val="00BE7797"/>
    <w:rsid w:val="00BF1E21"/>
    <w:rsid w:val="00BF5D30"/>
    <w:rsid w:val="00BF5DF5"/>
    <w:rsid w:val="00BF6625"/>
    <w:rsid w:val="00BF6D8E"/>
    <w:rsid w:val="00C00553"/>
    <w:rsid w:val="00C01A9C"/>
    <w:rsid w:val="00C04078"/>
    <w:rsid w:val="00C045FA"/>
    <w:rsid w:val="00C0489E"/>
    <w:rsid w:val="00C13431"/>
    <w:rsid w:val="00C1383B"/>
    <w:rsid w:val="00C145AC"/>
    <w:rsid w:val="00C1703C"/>
    <w:rsid w:val="00C17643"/>
    <w:rsid w:val="00C204D0"/>
    <w:rsid w:val="00C24A01"/>
    <w:rsid w:val="00C265EC"/>
    <w:rsid w:val="00C27464"/>
    <w:rsid w:val="00C3067B"/>
    <w:rsid w:val="00C30FD1"/>
    <w:rsid w:val="00C31533"/>
    <w:rsid w:val="00C3182D"/>
    <w:rsid w:val="00C33CAB"/>
    <w:rsid w:val="00C36696"/>
    <w:rsid w:val="00C3699B"/>
    <w:rsid w:val="00C36FB4"/>
    <w:rsid w:val="00C4051A"/>
    <w:rsid w:val="00C41258"/>
    <w:rsid w:val="00C43159"/>
    <w:rsid w:val="00C444B1"/>
    <w:rsid w:val="00C55470"/>
    <w:rsid w:val="00C55ACD"/>
    <w:rsid w:val="00C56E6B"/>
    <w:rsid w:val="00C56EA8"/>
    <w:rsid w:val="00C624B9"/>
    <w:rsid w:val="00C63269"/>
    <w:rsid w:val="00C63C4E"/>
    <w:rsid w:val="00C66E2E"/>
    <w:rsid w:val="00C70AD5"/>
    <w:rsid w:val="00C71623"/>
    <w:rsid w:val="00C71842"/>
    <w:rsid w:val="00C748C5"/>
    <w:rsid w:val="00C7630D"/>
    <w:rsid w:val="00C76C8F"/>
    <w:rsid w:val="00C7786E"/>
    <w:rsid w:val="00C80B6E"/>
    <w:rsid w:val="00C82389"/>
    <w:rsid w:val="00C83D85"/>
    <w:rsid w:val="00C84F28"/>
    <w:rsid w:val="00C8678A"/>
    <w:rsid w:val="00C8727D"/>
    <w:rsid w:val="00C92F1C"/>
    <w:rsid w:val="00C94DD4"/>
    <w:rsid w:val="00C95483"/>
    <w:rsid w:val="00C96DB7"/>
    <w:rsid w:val="00CA040F"/>
    <w:rsid w:val="00CA0618"/>
    <w:rsid w:val="00CA078C"/>
    <w:rsid w:val="00CA19A9"/>
    <w:rsid w:val="00CA1AAF"/>
    <w:rsid w:val="00CA1E0B"/>
    <w:rsid w:val="00CA42CF"/>
    <w:rsid w:val="00CB2453"/>
    <w:rsid w:val="00CB297A"/>
    <w:rsid w:val="00CB556B"/>
    <w:rsid w:val="00CB58F2"/>
    <w:rsid w:val="00CB6C17"/>
    <w:rsid w:val="00CC24DE"/>
    <w:rsid w:val="00CC492A"/>
    <w:rsid w:val="00CC5AE3"/>
    <w:rsid w:val="00CC7181"/>
    <w:rsid w:val="00CD04ED"/>
    <w:rsid w:val="00CD04F0"/>
    <w:rsid w:val="00CD1D4A"/>
    <w:rsid w:val="00CD2E94"/>
    <w:rsid w:val="00CD32D8"/>
    <w:rsid w:val="00CD4023"/>
    <w:rsid w:val="00CD4350"/>
    <w:rsid w:val="00CD53F1"/>
    <w:rsid w:val="00CD6062"/>
    <w:rsid w:val="00CE1F00"/>
    <w:rsid w:val="00CE2218"/>
    <w:rsid w:val="00CE42CB"/>
    <w:rsid w:val="00CE5767"/>
    <w:rsid w:val="00CE770C"/>
    <w:rsid w:val="00CF03DC"/>
    <w:rsid w:val="00CF0FE5"/>
    <w:rsid w:val="00CF462F"/>
    <w:rsid w:val="00CF56FF"/>
    <w:rsid w:val="00CF6064"/>
    <w:rsid w:val="00D01FBF"/>
    <w:rsid w:val="00D0437B"/>
    <w:rsid w:val="00D06B96"/>
    <w:rsid w:val="00D104C0"/>
    <w:rsid w:val="00D10FEB"/>
    <w:rsid w:val="00D11932"/>
    <w:rsid w:val="00D124DB"/>
    <w:rsid w:val="00D12A67"/>
    <w:rsid w:val="00D221D3"/>
    <w:rsid w:val="00D22E2C"/>
    <w:rsid w:val="00D23560"/>
    <w:rsid w:val="00D2420A"/>
    <w:rsid w:val="00D314F0"/>
    <w:rsid w:val="00D35109"/>
    <w:rsid w:val="00D35FE0"/>
    <w:rsid w:val="00D3698D"/>
    <w:rsid w:val="00D4089B"/>
    <w:rsid w:val="00D42A33"/>
    <w:rsid w:val="00D5565B"/>
    <w:rsid w:val="00D55EED"/>
    <w:rsid w:val="00D5618E"/>
    <w:rsid w:val="00D61650"/>
    <w:rsid w:val="00D623C5"/>
    <w:rsid w:val="00D63913"/>
    <w:rsid w:val="00D658F4"/>
    <w:rsid w:val="00D66D1B"/>
    <w:rsid w:val="00D67FA9"/>
    <w:rsid w:val="00D736E5"/>
    <w:rsid w:val="00D749A0"/>
    <w:rsid w:val="00D758FA"/>
    <w:rsid w:val="00D75A6C"/>
    <w:rsid w:val="00D76917"/>
    <w:rsid w:val="00D77E9F"/>
    <w:rsid w:val="00D80843"/>
    <w:rsid w:val="00D820E4"/>
    <w:rsid w:val="00D82DF3"/>
    <w:rsid w:val="00D83A53"/>
    <w:rsid w:val="00D840EE"/>
    <w:rsid w:val="00D843EF"/>
    <w:rsid w:val="00D84975"/>
    <w:rsid w:val="00D912C9"/>
    <w:rsid w:val="00D914D6"/>
    <w:rsid w:val="00D91647"/>
    <w:rsid w:val="00D91DC6"/>
    <w:rsid w:val="00D94A47"/>
    <w:rsid w:val="00D95472"/>
    <w:rsid w:val="00D9551D"/>
    <w:rsid w:val="00D95C78"/>
    <w:rsid w:val="00D97BE0"/>
    <w:rsid w:val="00DA1F85"/>
    <w:rsid w:val="00DA3BFD"/>
    <w:rsid w:val="00DA3F4D"/>
    <w:rsid w:val="00DB2878"/>
    <w:rsid w:val="00DB4A2C"/>
    <w:rsid w:val="00DB4E55"/>
    <w:rsid w:val="00DB5407"/>
    <w:rsid w:val="00DC0BBA"/>
    <w:rsid w:val="00DC1D25"/>
    <w:rsid w:val="00DC31A7"/>
    <w:rsid w:val="00DC338D"/>
    <w:rsid w:val="00DC33D5"/>
    <w:rsid w:val="00DC40E7"/>
    <w:rsid w:val="00DC48AA"/>
    <w:rsid w:val="00DC7C7A"/>
    <w:rsid w:val="00DD27DA"/>
    <w:rsid w:val="00DD426B"/>
    <w:rsid w:val="00DD5EEC"/>
    <w:rsid w:val="00DE1793"/>
    <w:rsid w:val="00DE1968"/>
    <w:rsid w:val="00DE2E68"/>
    <w:rsid w:val="00DE6B4E"/>
    <w:rsid w:val="00DE7A10"/>
    <w:rsid w:val="00DE7A6D"/>
    <w:rsid w:val="00DF5A80"/>
    <w:rsid w:val="00DF5B2F"/>
    <w:rsid w:val="00DF7F84"/>
    <w:rsid w:val="00E00011"/>
    <w:rsid w:val="00E002C8"/>
    <w:rsid w:val="00E01301"/>
    <w:rsid w:val="00E04923"/>
    <w:rsid w:val="00E050E3"/>
    <w:rsid w:val="00E059EC"/>
    <w:rsid w:val="00E05D86"/>
    <w:rsid w:val="00E10037"/>
    <w:rsid w:val="00E12604"/>
    <w:rsid w:val="00E20E91"/>
    <w:rsid w:val="00E21407"/>
    <w:rsid w:val="00E22051"/>
    <w:rsid w:val="00E221B3"/>
    <w:rsid w:val="00E24131"/>
    <w:rsid w:val="00E26637"/>
    <w:rsid w:val="00E273F9"/>
    <w:rsid w:val="00E30D27"/>
    <w:rsid w:val="00E314A6"/>
    <w:rsid w:val="00E31917"/>
    <w:rsid w:val="00E3353B"/>
    <w:rsid w:val="00E3416E"/>
    <w:rsid w:val="00E34EDF"/>
    <w:rsid w:val="00E40199"/>
    <w:rsid w:val="00E42AAB"/>
    <w:rsid w:val="00E47FA6"/>
    <w:rsid w:val="00E5244F"/>
    <w:rsid w:val="00E52501"/>
    <w:rsid w:val="00E5473E"/>
    <w:rsid w:val="00E54E23"/>
    <w:rsid w:val="00E55259"/>
    <w:rsid w:val="00E56C84"/>
    <w:rsid w:val="00E6009E"/>
    <w:rsid w:val="00E61532"/>
    <w:rsid w:val="00E61B6D"/>
    <w:rsid w:val="00E62D2E"/>
    <w:rsid w:val="00E7386E"/>
    <w:rsid w:val="00E74594"/>
    <w:rsid w:val="00E7497F"/>
    <w:rsid w:val="00E8026E"/>
    <w:rsid w:val="00E80B0F"/>
    <w:rsid w:val="00E818DC"/>
    <w:rsid w:val="00E82141"/>
    <w:rsid w:val="00E82FD8"/>
    <w:rsid w:val="00E840F5"/>
    <w:rsid w:val="00E84FFB"/>
    <w:rsid w:val="00E8663C"/>
    <w:rsid w:val="00E87373"/>
    <w:rsid w:val="00E877F3"/>
    <w:rsid w:val="00E91E80"/>
    <w:rsid w:val="00E92017"/>
    <w:rsid w:val="00E921A0"/>
    <w:rsid w:val="00EA0A02"/>
    <w:rsid w:val="00EA0B83"/>
    <w:rsid w:val="00EA1808"/>
    <w:rsid w:val="00EA2993"/>
    <w:rsid w:val="00EA6A3C"/>
    <w:rsid w:val="00EA6DC1"/>
    <w:rsid w:val="00EB0293"/>
    <w:rsid w:val="00EB37E6"/>
    <w:rsid w:val="00EB3CB1"/>
    <w:rsid w:val="00EB5F8D"/>
    <w:rsid w:val="00EB7473"/>
    <w:rsid w:val="00ED093E"/>
    <w:rsid w:val="00ED0FF7"/>
    <w:rsid w:val="00ED4BBB"/>
    <w:rsid w:val="00ED5216"/>
    <w:rsid w:val="00ED5CD3"/>
    <w:rsid w:val="00ED67C8"/>
    <w:rsid w:val="00EE3A1A"/>
    <w:rsid w:val="00EE49CE"/>
    <w:rsid w:val="00EF06B2"/>
    <w:rsid w:val="00EF1F16"/>
    <w:rsid w:val="00EF2E70"/>
    <w:rsid w:val="00EF3D57"/>
    <w:rsid w:val="00EF4640"/>
    <w:rsid w:val="00EF7150"/>
    <w:rsid w:val="00F003A1"/>
    <w:rsid w:val="00F0108C"/>
    <w:rsid w:val="00F01538"/>
    <w:rsid w:val="00F01696"/>
    <w:rsid w:val="00F03377"/>
    <w:rsid w:val="00F07AA9"/>
    <w:rsid w:val="00F10C25"/>
    <w:rsid w:val="00F10E4E"/>
    <w:rsid w:val="00F126CB"/>
    <w:rsid w:val="00F12FB4"/>
    <w:rsid w:val="00F13592"/>
    <w:rsid w:val="00F13687"/>
    <w:rsid w:val="00F14364"/>
    <w:rsid w:val="00F15067"/>
    <w:rsid w:val="00F163F9"/>
    <w:rsid w:val="00F2138C"/>
    <w:rsid w:val="00F2317C"/>
    <w:rsid w:val="00F262DF"/>
    <w:rsid w:val="00F2680D"/>
    <w:rsid w:val="00F27B35"/>
    <w:rsid w:val="00F27CD3"/>
    <w:rsid w:val="00F313B0"/>
    <w:rsid w:val="00F31B85"/>
    <w:rsid w:val="00F3282E"/>
    <w:rsid w:val="00F32E54"/>
    <w:rsid w:val="00F37BFA"/>
    <w:rsid w:val="00F45C53"/>
    <w:rsid w:val="00F45FFB"/>
    <w:rsid w:val="00F53988"/>
    <w:rsid w:val="00F555C7"/>
    <w:rsid w:val="00F55B6B"/>
    <w:rsid w:val="00F629A9"/>
    <w:rsid w:val="00F63A8B"/>
    <w:rsid w:val="00F64F5C"/>
    <w:rsid w:val="00F67180"/>
    <w:rsid w:val="00F678A3"/>
    <w:rsid w:val="00F74BB4"/>
    <w:rsid w:val="00F75173"/>
    <w:rsid w:val="00F75ED8"/>
    <w:rsid w:val="00F76064"/>
    <w:rsid w:val="00F76942"/>
    <w:rsid w:val="00F76B82"/>
    <w:rsid w:val="00F7715E"/>
    <w:rsid w:val="00F813C4"/>
    <w:rsid w:val="00F82C71"/>
    <w:rsid w:val="00F833D5"/>
    <w:rsid w:val="00F838F6"/>
    <w:rsid w:val="00F85D25"/>
    <w:rsid w:val="00F867D1"/>
    <w:rsid w:val="00F908C1"/>
    <w:rsid w:val="00F9175B"/>
    <w:rsid w:val="00F93145"/>
    <w:rsid w:val="00F9513E"/>
    <w:rsid w:val="00F9575C"/>
    <w:rsid w:val="00F97CF2"/>
    <w:rsid w:val="00FA0A3E"/>
    <w:rsid w:val="00FA56A9"/>
    <w:rsid w:val="00FA5784"/>
    <w:rsid w:val="00FA74A9"/>
    <w:rsid w:val="00FB219E"/>
    <w:rsid w:val="00FB4159"/>
    <w:rsid w:val="00FB500A"/>
    <w:rsid w:val="00FB78AC"/>
    <w:rsid w:val="00FC0189"/>
    <w:rsid w:val="00FC0F86"/>
    <w:rsid w:val="00FC1EAF"/>
    <w:rsid w:val="00FC457A"/>
    <w:rsid w:val="00FC49A0"/>
    <w:rsid w:val="00FC49FE"/>
    <w:rsid w:val="00FC50F3"/>
    <w:rsid w:val="00FC6CA9"/>
    <w:rsid w:val="00FD0283"/>
    <w:rsid w:val="00FD0C84"/>
    <w:rsid w:val="00FD1D26"/>
    <w:rsid w:val="00FD1E00"/>
    <w:rsid w:val="00FD2367"/>
    <w:rsid w:val="00FE0D87"/>
    <w:rsid w:val="00FE0DC4"/>
    <w:rsid w:val="00FE0F96"/>
    <w:rsid w:val="00FE1EC3"/>
    <w:rsid w:val="00FE345C"/>
    <w:rsid w:val="00FE465E"/>
    <w:rsid w:val="00FE493E"/>
    <w:rsid w:val="00FE4B74"/>
    <w:rsid w:val="00FE4CA7"/>
    <w:rsid w:val="00FE4E12"/>
    <w:rsid w:val="00FE7E1D"/>
    <w:rsid w:val="00FF0A56"/>
    <w:rsid w:val="00FF1C1C"/>
    <w:rsid w:val="00FF449F"/>
    <w:rsid w:val="00FF549A"/>
    <w:rsid w:val="00FF75C1"/>
    <w:rsid w:val="00FF7D9A"/>
    <w:rsid w:val="01003242"/>
    <w:rsid w:val="01043EBD"/>
    <w:rsid w:val="01124CC5"/>
    <w:rsid w:val="011C4500"/>
    <w:rsid w:val="012259A7"/>
    <w:rsid w:val="01341807"/>
    <w:rsid w:val="01394B48"/>
    <w:rsid w:val="01437C9C"/>
    <w:rsid w:val="014C6B51"/>
    <w:rsid w:val="014D33EB"/>
    <w:rsid w:val="014F25AF"/>
    <w:rsid w:val="01570977"/>
    <w:rsid w:val="016A5229"/>
    <w:rsid w:val="016B72A3"/>
    <w:rsid w:val="0170184F"/>
    <w:rsid w:val="017F55F4"/>
    <w:rsid w:val="018F30C8"/>
    <w:rsid w:val="01A1404C"/>
    <w:rsid w:val="01B450F7"/>
    <w:rsid w:val="01BC2E60"/>
    <w:rsid w:val="01C66586"/>
    <w:rsid w:val="01CB5792"/>
    <w:rsid w:val="01D4107A"/>
    <w:rsid w:val="01D84888"/>
    <w:rsid w:val="01E52732"/>
    <w:rsid w:val="01EA0CDA"/>
    <w:rsid w:val="01EB45BC"/>
    <w:rsid w:val="01FC4717"/>
    <w:rsid w:val="020439D6"/>
    <w:rsid w:val="023309D1"/>
    <w:rsid w:val="023630EE"/>
    <w:rsid w:val="023870D5"/>
    <w:rsid w:val="023E05FC"/>
    <w:rsid w:val="0245208B"/>
    <w:rsid w:val="02500A70"/>
    <w:rsid w:val="025A60E5"/>
    <w:rsid w:val="0264340D"/>
    <w:rsid w:val="02716342"/>
    <w:rsid w:val="029040BA"/>
    <w:rsid w:val="02A8425B"/>
    <w:rsid w:val="02C01269"/>
    <w:rsid w:val="02CB1358"/>
    <w:rsid w:val="02E62FD5"/>
    <w:rsid w:val="02E96621"/>
    <w:rsid w:val="02EE59E6"/>
    <w:rsid w:val="03004097"/>
    <w:rsid w:val="03015719"/>
    <w:rsid w:val="030516AD"/>
    <w:rsid w:val="030B2C9C"/>
    <w:rsid w:val="03306F17"/>
    <w:rsid w:val="033C49A3"/>
    <w:rsid w:val="03443858"/>
    <w:rsid w:val="03471663"/>
    <w:rsid w:val="03583547"/>
    <w:rsid w:val="03901BDD"/>
    <w:rsid w:val="03912F41"/>
    <w:rsid w:val="039D6571"/>
    <w:rsid w:val="03B07393"/>
    <w:rsid w:val="03B60BF9"/>
    <w:rsid w:val="03BA2836"/>
    <w:rsid w:val="03BB57E7"/>
    <w:rsid w:val="03C25B9F"/>
    <w:rsid w:val="03D472D2"/>
    <w:rsid w:val="03F71B22"/>
    <w:rsid w:val="043D09D3"/>
    <w:rsid w:val="043F299D"/>
    <w:rsid w:val="046643CE"/>
    <w:rsid w:val="047429D6"/>
    <w:rsid w:val="047B418A"/>
    <w:rsid w:val="047B78E7"/>
    <w:rsid w:val="0490144A"/>
    <w:rsid w:val="049063BA"/>
    <w:rsid w:val="04975E10"/>
    <w:rsid w:val="04AB66FE"/>
    <w:rsid w:val="04C46A11"/>
    <w:rsid w:val="04D255BF"/>
    <w:rsid w:val="04D37589"/>
    <w:rsid w:val="04D75AFC"/>
    <w:rsid w:val="04E673A0"/>
    <w:rsid w:val="04EA6DAD"/>
    <w:rsid w:val="04F62DA6"/>
    <w:rsid w:val="04FB0603"/>
    <w:rsid w:val="04FD7C0E"/>
    <w:rsid w:val="051C2CDE"/>
    <w:rsid w:val="051F457C"/>
    <w:rsid w:val="05296BAF"/>
    <w:rsid w:val="053E55B0"/>
    <w:rsid w:val="05432782"/>
    <w:rsid w:val="05512AE0"/>
    <w:rsid w:val="05561C9B"/>
    <w:rsid w:val="055A55B4"/>
    <w:rsid w:val="056F3007"/>
    <w:rsid w:val="056F6820"/>
    <w:rsid w:val="05806AC8"/>
    <w:rsid w:val="05815A88"/>
    <w:rsid w:val="05A21A1E"/>
    <w:rsid w:val="05A351AD"/>
    <w:rsid w:val="05A52CD4"/>
    <w:rsid w:val="05A84572"/>
    <w:rsid w:val="05B86DE2"/>
    <w:rsid w:val="05CF5FA2"/>
    <w:rsid w:val="05D36D4B"/>
    <w:rsid w:val="05D43738"/>
    <w:rsid w:val="05D9472B"/>
    <w:rsid w:val="05DD246D"/>
    <w:rsid w:val="05DE6629"/>
    <w:rsid w:val="05F652DD"/>
    <w:rsid w:val="05F71D30"/>
    <w:rsid w:val="05FF746E"/>
    <w:rsid w:val="060F2A34"/>
    <w:rsid w:val="06113EC5"/>
    <w:rsid w:val="06150691"/>
    <w:rsid w:val="06166A98"/>
    <w:rsid w:val="062E4A77"/>
    <w:rsid w:val="064A73D7"/>
    <w:rsid w:val="06711A3F"/>
    <w:rsid w:val="06716DD5"/>
    <w:rsid w:val="0673692E"/>
    <w:rsid w:val="06874187"/>
    <w:rsid w:val="06897F9B"/>
    <w:rsid w:val="06A574A9"/>
    <w:rsid w:val="06CC4290"/>
    <w:rsid w:val="06D64CED"/>
    <w:rsid w:val="06D73361"/>
    <w:rsid w:val="06E87E87"/>
    <w:rsid w:val="06EB451D"/>
    <w:rsid w:val="06FB2C54"/>
    <w:rsid w:val="070B17E3"/>
    <w:rsid w:val="071D01B9"/>
    <w:rsid w:val="071D689A"/>
    <w:rsid w:val="071F3A7A"/>
    <w:rsid w:val="07370E03"/>
    <w:rsid w:val="074D1FAA"/>
    <w:rsid w:val="07520C39"/>
    <w:rsid w:val="077869D4"/>
    <w:rsid w:val="077A1F3E"/>
    <w:rsid w:val="0781151E"/>
    <w:rsid w:val="079E3E7E"/>
    <w:rsid w:val="07A11279"/>
    <w:rsid w:val="07D80A2F"/>
    <w:rsid w:val="07F42F89"/>
    <w:rsid w:val="08002443"/>
    <w:rsid w:val="0801567C"/>
    <w:rsid w:val="0811287F"/>
    <w:rsid w:val="08120473"/>
    <w:rsid w:val="08213C5F"/>
    <w:rsid w:val="08264627"/>
    <w:rsid w:val="08312278"/>
    <w:rsid w:val="083E11BD"/>
    <w:rsid w:val="08485B98"/>
    <w:rsid w:val="08497F0B"/>
    <w:rsid w:val="084C24F2"/>
    <w:rsid w:val="087028C8"/>
    <w:rsid w:val="0896217F"/>
    <w:rsid w:val="08BE33E4"/>
    <w:rsid w:val="08CB2A51"/>
    <w:rsid w:val="08DA2C94"/>
    <w:rsid w:val="08EE2D07"/>
    <w:rsid w:val="09081FF3"/>
    <w:rsid w:val="092708D3"/>
    <w:rsid w:val="092B33AD"/>
    <w:rsid w:val="09311D07"/>
    <w:rsid w:val="093C74AB"/>
    <w:rsid w:val="095C5D9F"/>
    <w:rsid w:val="09615163"/>
    <w:rsid w:val="0962248A"/>
    <w:rsid w:val="097B276C"/>
    <w:rsid w:val="09905A49"/>
    <w:rsid w:val="09B41AF1"/>
    <w:rsid w:val="09B45D2D"/>
    <w:rsid w:val="09C22FA5"/>
    <w:rsid w:val="09EF71E1"/>
    <w:rsid w:val="0A0C05B1"/>
    <w:rsid w:val="0A160EC9"/>
    <w:rsid w:val="0A2235C4"/>
    <w:rsid w:val="0A2262F9"/>
    <w:rsid w:val="0A343FA2"/>
    <w:rsid w:val="0A3D5C6E"/>
    <w:rsid w:val="0A5922DF"/>
    <w:rsid w:val="0A6317D2"/>
    <w:rsid w:val="0A636CB9"/>
    <w:rsid w:val="0A6767AA"/>
    <w:rsid w:val="0A742C74"/>
    <w:rsid w:val="0A7E6D9E"/>
    <w:rsid w:val="0A8A2498"/>
    <w:rsid w:val="0A8F7AAE"/>
    <w:rsid w:val="0A8F7DDB"/>
    <w:rsid w:val="0A93759F"/>
    <w:rsid w:val="0AB35AB2"/>
    <w:rsid w:val="0AC06CD4"/>
    <w:rsid w:val="0ACB1E4E"/>
    <w:rsid w:val="0ACC2AB1"/>
    <w:rsid w:val="0AD41965"/>
    <w:rsid w:val="0ADB2DC2"/>
    <w:rsid w:val="0AF50259"/>
    <w:rsid w:val="0AF85654"/>
    <w:rsid w:val="0AFC23AB"/>
    <w:rsid w:val="0AFD0EBC"/>
    <w:rsid w:val="0B00274B"/>
    <w:rsid w:val="0B071D3B"/>
    <w:rsid w:val="0B1D155E"/>
    <w:rsid w:val="0B562D19"/>
    <w:rsid w:val="0B576BAE"/>
    <w:rsid w:val="0B6A1BFD"/>
    <w:rsid w:val="0B6B28C4"/>
    <w:rsid w:val="0B755E87"/>
    <w:rsid w:val="0B7E5B88"/>
    <w:rsid w:val="0B9E1294"/>
    <w:rsid w:val="0B9F33DB"/>
    <w:rsid w:val="0B9F70A1"/>
    <w:rsid w:val="0BB837FF"/>
    <w:rsid w:val="0BBF5926"/>
    <w:rsid w:val="0BCE0FF1"/>
    <w:rsid w:val="0C0C2286"/>
    <w:rsid w:val="0C112E71"/>
    <w:rsid w:val="0C156969"/>
    <w:rsid w:val="0C246F82"/>
    <w:rsid w:val="0C2710AB"/>
    <w:rsid w:val="0C475CAC"/>
    <w:rsid w:val="0C513ECB"/>
    <w:rsid w:val="0C5E5EFE"/>
    <w:rsid w:val="0C6710A0"/>
    <w:rsid w:val="0C6948F0"/>
    <w:rsid w:val="0C79320C"/>
    <w:rsid w:val="0C796F15"/>
    <w:rsid w:val="0C7B158E"/>
    <w:rsid w:val="0C8C699B"/>
    <w:rsid w:val="0CAE337D"/>
    <w:rsid w:val="0CBE5FE8"/>
    <w:rsid w:val="0CC20559"/>
    <w:rsid w:val="0CC212FB"/>
    <w:rsid w:val="0CC97E72"/>
    <w:rsid w:val="0CD014BE"/>
    <w:rsid w:val="0CDD05A5"/>
    <w:rsid w:val="0CEC11E8"/>
    <w:rsid w:val="0D1B387B"/>
    <w:rsid w:val="0D215582"/>
    <w:rsid w:val="0D2857BD"/>
    <w:rsid w:val="0D297B19"/>
    <w:rsid w:val="0D2C5A88"/>
    <w:rsid w:val="0D4841F2"/>
    <w:rsid w:val="0D56223C"/>
    <w:rsid w:val="0D582A63"/>
    <w:rsid w:val="0D5D1265"/>
    <w:rsid w:val="0D933D59"/>
    <w:rsid w:val="0DB56CB0"/>
    <w:rsid w:val="0DD248FB"/>
    <w:rsid w:val="0DDD53EB"/>
    <w:rsid w:val="0DED5B18"/>
    <w:rsid w:val="0DEE0F90"/>
    <w:rsid w:val="0DF60F60"/>
    <w:rsid w:val="0DF62754"/>
    <w:rsid w:val="0DFC36AD"/>
    <w:rsid w:val="0E160716"/>
    <w:rsid w:val="0E342E47"/>
    <w:rsid w:val="0E4565B8"/>
    <w:rsid w:val="0E460DCC"/>
    <w:rsid w:val="0E4612F3"/>
    <w:rsid w:val="0E5B1516"/>
    <w:rsid w:val="0E6D45AA"/>
    <w:rsid w:val="0E6D6359"/>
    <w:rsid w:val="0E85096E"/>
    <w:rsid w:val="0E8D7234"/>
    <w:rsid w:val="0E93448D"/>
    <w:rsid w:val="0EAA3109"/>
    <w:rsid w:val="0EC27378"/>
    <w:rsid w:val="0EC57F43"/>
    <w:rsid w:val="0ECA58E6"/>
    <w:rsid w:val="0ECC3DE6"/>
    <w:rsid w:val="0ED30733"/>
    <w:rsid w:val="0ED30760"/>
    <w:rsid w:val="0EE06B2A"/>
    <w:rsid w:val="0EF81D8A"/>
    <w:rsid w:val="0F213404"/>
    <w:rsid w:val="0F3513A4"/>
    <w:rsid w:val="0F387BC6"/>
    <w:rsid w:val="0F4F7C33"/>
    <w:rsid w:val="0F5270E8"/>
    <w:rsid w:val="0F6E2162"/>
    <w:rsid w:val="0F7A3598"/>
    <w:rsid w:val="0F7B7E1B"/>
    <w:rsid w:val="0F841CA1"/>
    <w:rsid w:val="0F87739A"/>
    <w:rsid w:val="0F9811B3"/>
    <w:rsid w:val="0F9F2542"/>
    <w:rsid w:val="0FA66E59"/>
    <w:rsid w:val="0FB33510"/>
    <w:rsid w:val="0FCD4425"/>
    <w:rsid w:val="0FD57DF7"/>
    <w:rsid w:val="0FF26B15"/>
    <w:rsid w:val="0FF56606"/>
    <w:rsid w:val="0FFB63F9"/>
    <w:rsid w:val="1001264F"/>
    <w:rsid w:val="100D367C"/>
    <w:rsid w:val="102B64CB"/>
    <w:rsid w:val="105F3B49"/>
    <w:rsid w:val="10713A54"/>
    <w:rsid w:val="10791B84"/>
    <w:rsid w:val="10833C11"/>
    <w:rsid w:val="10840113"/>
    <w:rsid w:val="108C51BC"/>
    <w:rsid w:val="10B62239"/>
    <w:rsid w:val="10B93AD7"/>
    <w:rsid w:val="10CF3404"/>
    <w:rsid w:val="10D8518E"/>
    <w:rsid w:val="10DE52DC"/>
    <w:rsid w:val="10E63D85"/>
    <w:rsid w:val="10EB4ADA"/>
    <w:rsid w:val="10F62635"/>
    <w:rsid w:val="10F93ED3"/>
    <w:rsid w:val="11050ACA"/>
    <w:rsid w:val="11095B6B"/>
    <w:rsid w:val="11153B29"/>
    <w:rsid w:val="111625F3"/>
    <w:rsid w:val="111B02EE"/>
    <w:rsid w:val="111C47D5"/>
    <w:rsid w:val="113373E5"/>
    <w:rsid w:val="113849FC"/>
    <w:rsid w:val="113D122F"/>
    <w:rsid w:val="11531836"/>
    <w:rsid w:val="1158509E"/>
    <w:rsid w:val="115F4671"/>
    <w:rsid w:val="116752E1"/>
    <w:rsid w:val="11691059"/>
    <w:rsid w:val="118E6CCE"/>
    <w:rsid w:val="119A3908"/>
    <w:rsid w:val="119F23B1"/>
    <w:rsid w:val="11AC648D"/>
    <w:rsid w:val="11AD363C"/>
    <w:rsid w:val="11B02CA7"/>
    <w:rsid w:val="11D0732A"/>
    <w:rsid w:val="11D230A2"/>
    <w:rsid w:val="11E20E0C"/>
    <w:rsid w:val="120627E3"/>
    <w:rsid w:val="120828D2"/>
    <w:rsid w:val="12096398"/>
    <w:rsid w:val="121217FD"/>
    <w:rsid w:val="12366443"/>
    <w:rsid w:val="124C7783"/>
    <w:rsid w:val="126E0D75"/>
    <w:rsid w:val="128879FC"/>
    <w:rsid w:val="129A77C7"/>
    <w:rsid w:val="129B5000"/>
    <w:rsid w:val="12A07107"/>
    <w:rsid w:val="12B46C9C"/>
    <w:rsid w:val="12BC38AE"/>
    <w:rsid w:val="12C56763"/>
    <w:rsid w:val="12CA49D0"/>
    <w:rsid w:val="12CC1CB6"/>
    <w:rsid w:val="12CC44EC"/>
    <w:rsid w:val="12CD386A"/>
    <w:rsid w:val="12DA307B"/>
    <w:rsid w:val="12ED1816"/>
    <w:rsid w:val="13010175"/>
    <w:rsid w:val="131A70F7"/>
    <w:rsid w:val="131B7F29"/>
    <w:rsid w:val="132A4818"/>
    <w:rsid w:val="133B10E0"/>
    <w:rsid w:val="133D09EF"/>
    <w:rsid w:val="13444EE1"/>
    <w:rsid w:val="136E6DFB"/>
    <w:rsid w:val="1399374C"/>
    <w:rsid w:val="13AA5686"/>
    <w:rsid w:val="13B81E49"/>
    <w:rsid w:val="13C54541"/>
    <w:rsid w:val="13CD21DA"/>
    <w:rsid w:val="13DA7BB0"/>
    <w:rsid w:val="13DD24AE"/>
    <w:rsid w:val="13E74397"/>
    <w:rsid w:val="140A0C29"/>
    <w:rsid w:val="141F00F5"/>
    <w:rsid w:val="143962D3"/>
    <w:rsid w:val="144813FA"/>
    <w:rsid w:val="14553B17"/>
    <w:rsid w:val="146038EA"/>
    <w:rsid w:val="148B12E6"/>
    <w:rsid w:val="14991C55"/>
    <w:rsid w:val="14A23354"/>
    <w:rsid w:val="14A34EC6"/>
    <w:rsid w:val="14BD0CD3"/>
    <w:rsid w:val="150958F5"/>
    <w:rsid w:val="150B2699"/>
    <w:rsid w:val="15335384"/>
    <w:rsid w:val="1542266E"/>
    <w:rsid w:val="15545B7C"/>
    <w:rsid w:val="15595889"/>
    <w:rsid w:val="155B6F0B"/>
    <w:rsid w:val="156758B0"/>
    <w:rsid w:val="158F4E06"/>
    <w:rsid w:val="1591642B"/>
    <w:rsid w:val="1598397B"/>
    <w:rsid w:val="15AA3568"/>
    <w:rsid w:val="15B825AF"/>
    <w:rsid w:val="15D62EA3"/>
    <w:rsid w:val="16041350"/>
    <w:rsid w:val="160C28FB"/>
    <w:rsid w:val="162C5E35"/>
    <w:rsid w:val="163C4F8E"/>
    <w:rsid w:val="164606F0"/>
    <w:rsid w:val="16482398"/>
    <w:rsid w:val="164B3E37"/>
    <w:rsid w:val="164C69D2"/>
    <w:rsid w:val="16571308"/>
    <w:rsid w:val="165C118C"/>
    <w:rsid w:val="166530B3"/>
    <w:rsid w:val="16704C38"/>
    <w:rsid w:val="16791B72"/>
    <w:rsid w:val="16847857"/>
    <w:rsid w:val="16945039"/>
    <w:rsid w:val="169D48C3"/>
    <w:rsid w:val="16AA639C"/>
    <w:rsid w:val="16AB5D1B"/>
    <w:rsid w:val="16B12A12"/>
    <w:rsid w:val="16B43C1A"/>
    <w:rsid w:val="16D059CE"/>
    <w:rsid w:val="16D451C7"/>
    <w:rsid w:val="16DD3E90"/>
    <w:rsid w:val="16EE14BF"/>
    <w:rsid w:val="170B4961"/>
    <w:rsid w:val="171001C9"/>
    <w:rsid w:val="171A4BA4"/>
    <w:rsid w:val="172962D8"/>
    <w:rsid w:val="173B414F"/>
    <w:rsid w:val="174A5489"/>
    <w:rsid w:val="17516C5A"/>
    <w:rsid w:val="17610F4D"/>
    <w:rsid w:val="176B6C54"/>
    <w:rsid w:val="17724EAC"/>
    <w:rsid w:val="177A36EB"/>
    <w:rsid w:val="177C13BA"/>
    <w:rsid w:val="177F0400"/>
    <w:rsid w:val="17826488"/>
    <w:rsid w:val="178C67C1"/>
    <w:rsid w:val="1791364D"/>
    <w:rsid w:val="17B31280"/>
    <w:rsid w:val="17D06747"/>
    <w:rsid w:val="180F5F46"/>
    <w:rsid w:val="1817254C"/>
    <w:rsid w:val="182666AE"/>
    <w:rsid w:val="1838358E"/>
    <w:rsid w:val="18540BAD"/>
    <w:rsid w:val="186802BC"/>
    <w:rsid w:val="187753D6"/>
    <w:rsid w:val="188815E1"/>
    <w:rsid w:val="1888270D"/>
    <w:rsid w:val="188C387F"/>
    <w:rsid w:val="18932E60"/>
    <w:rsid w:val="18950986"/>
    <w:rsid w:val="189664AC"/>
    <w:rsid w:val="18A76FEA"/>
    <w:rsid w:val="18BA5EFD"/>
    <w:rsid w:val="18BE4ED0"/>
    <w:rsid w:val="18C91E66"/>
    <w:rsid w:val="18D761AE"/>
    <w:rsid w:val="18D97CAA"/>
    <w:rsid w:val="18DA156B"/>
    <w:rsid w:val="18FF44CF"/>
    <w:rsid w:val="190B6E9A"/>
    <w:rsid w:val="190D47E8"/>
    <w:rsid w:val="192555C6"/>
    <w:rsid w:val="193A0E2C"/>
    <w:rsid w:val="193C34F7"/>
    <w:rsid w:val="193F08F1"/>
    <w:rsid w:val="19481A38"/>
    <w:rsid w:val="194A50B3"/>
    <w:rsid w:val="195235C3"/>
    <w:rsid w:val="195A0529"/>
    <w:rsid w:val="195D7462"/>
    <w:rsid w:val="196518EF"/>
    <w:rsid w:val="197131A1"/>
    <w:rsid w:val="1979340B"/>
    <w:rsid w:val="197E73EB"/>
    <w:rsid w:val="199346DB"/>
    <w:rsid w:val="19B05C2A"/>
    <w:rsid w:val="19BE14B0"/>
    <w:rsid w:val="19D27125"/>
    <w:rsid w:val="1A0B5FF5"/>
    <w:rsid w:val="1A0D7983"/>
    <w:rsid w:val="1A127FD2"/>
    <w:rsid w:val="1A2A01BB"/>
    <w:rsid w:val="1A500D48"/>
    <w:rsid w:val="1A530A2D"/>
    <w:rsid w:val="1A626167"/>
    <w:rsid w:val="1A6D1654"/>
    <w:rsid w:val="1A7035B1"/>
    <w:rsid w:val="1A7A7E33"/>
    <w:rsid w:val="1A7B255F"/>
    <w:rsid w:val="1A840DC9"/>
    <w:rsid w:val="1A881F9E"/>
    <w:rsid w:val="1A954C6D"/>
    <w:rsid w:val="1ABA58F3"/>
    <w:rsid w:val="1AC05F4C"/>
    <w:rsid w:val="1ACD3147"/>
    <w:rsid w:val="1AE259D8"/>
    <w:rsid w:val="1AE71241"/>
    <w:rsid w:val="1AFC1190"/>
    <w:rsid w:val="1B1A2BC9"/>
    <w:rsid w:val="1B1E632F"/>
    <w:rsid w:val="1B23766D"/>
    <w:rsid w:val="1B391A9C"/>
    <w:rsid w:val="1B445856"/>
    <w:rsid w:val="1B473775"/>
    <w:rsid w:val="1B4C5746"/>
    <w:rsid w:val="1B5508A0"/>
    <w:rsid w:val="1B590390"/>
    <w:rsid w:val="1B612A4D"/>
    <w:rsid w:val="1B612DA1"/>
    <w:rsid w:val="1B666609"/>
    <w:rsid w:val="1B8A2083"/>
    <w:rsid w:val="1B9670CD"/>
    <w:rsid w:val="1BA81CB0"/>
    <w:rsid w:val="1BAB4858"/>
    <w:rsid w:val="1BC238EC"/>
    <w:rsid w:val="1BD45C69"/>
    <w:rsid w:val="1BE84D70"/>
    <w:rsid w:val="1BFE41CD"/>
    <w:rsid w:val="1C0B1E3F"/>
    <w:rsid w:val="1C142509"/>
    <w:rsid w:val="1C287915"/>
    <w:rsid w:val="1C297D63"/>
    <w:rsid w:val="1C3C687E"/>
    <w:rsid w:val="1C3D4856"/>
    <w:rsid w:val="1C3D55BC"/>
    <w:rsid w:val="1C5B1EE6"/>
    <w:rsid w:val="1C666CE3"/>
    <w:rsid w:val="1C6E39C8"/>
    <w:rsid w:val="1C7630AD"/>
    <w:rsid w:val="1C784A5D"/>
    <w:rsid w:val="1C8F6C9B"/>
    <w:rsid w:val="1C950A26"/>
    <w:rsid w:val="1CA904D0"/>
    <w:rsid w:val="1CAC73F1"/>
    <w:rsid w:val="1CB145A4"/>
    <w:rsid w:val="1CBF2475"/>
    <w:rsid w:val="1CC11F5A"/>
    <w:rsid w:val="1CCA4C24"/>
    <w:rsid w:val="1CD20D06"/>
    <w:rsid w:val="1CDC2B36"/>
    <w:rsid w:val="1CE324AB"/>
    <w:rsid w:val="1CE4012E"/>
    <w:rsid w:val="1CE87BC5"/>
    <w:rsid w:val="1CE94979"/>
    <w:rsid w:val="1CEB14BC"/>
    <w:rsid w:val="1CFE29C1"/>
    <w:rsid w:val="1D0D4F35"/>
    <w:rsid w:val="1D0E0D07"/>
    <w:rsid w:val="1D1141C4"/>
    <w:rsid w:val="1D1972A9"/>
    <w:rsid w:val="1D1A3B4F"/>
    <w:rsid w:val="1D225D93"/>
    <w:rsid w:val="1D291FE4"/>
    <w:rsid w:val="1D2F6430"/>
    <w:rsid w:val="1D3A4B55"/>
    <w:rsid w:val="1D3D4AEA"/>
    <w:rsid w:val="1D4B050F"/>
    <w:rsid w:val="1D7414B2"/>
    <w:rsid w:val="1D7E762B"/>
    <w:rsid w:val="1D8B1DF6"/>
    <w:rsid w:val="1D987A29"/>
    <w:rsid w:val="1DA657AD"/>
    <w:rsid w:val="1DAB47A7"/>
    <w:rsid w:val="1DE026A3"/>
    <w:rsid w:val="1DE4779A"/>
    <w:rsid w:val="1DE631B0"/>
    <w:rsid w:val="1DF351A4"/>
    <w:rsid w:val="1DF978AF"/>
    <w:rsid w:val="1DFD14A7"/>
    <w:rsid w:val="1E106FBF"/>
    <w:rsid w:val="1E14059F"/>
    <w:rsid w:val="1E18008F"/>
    <w:rsid w:val="1E1B04E3"/>
    <w:rsid w:val="1E3E1186"/>
    <w:rsid w:val="1E567940"/>
    <w:rsid w:val="1E57048B"/>
    <w:rsid w:val="1E586C2C"/>
    <w:rsid w:val="1E682698"/>
    <w:rsid w:val="1E707ECB"/>
    <w:rsid w:val="1E7948A6"/>
    <w:rsid w:val="1E88623C"/>
    <w:rsid w:val="1E8F40C9"/>
    <w:rsid w:val="1E907536"/>
    <w:rsid w:val="1E97767C"/>
    <w:rsid w:val="1EAB7596"/>
    <w:rsid w:val="1EAC4C7B"/>
    <w:rsid w:val="1EAE27A1"/>
    <w:rsid w:val="1EC14895"/>
    <w:rsid w:val="1ECE0148"/>
    <w:rsid w:val="1ED1023E"/>
    <w:rsid w:val="1EDE4FE5"/>
    <w:rsid w:val="1F040FC2"/>
    <w:rsid w:val="1F056F9E"/>
    <w:rsid w:val="1F0625DD"/>
    <w:rsid w:val="1F124243"/>
    <w:rsid w:val="1F130D84"/>
    <w:rsid w:val="1F1D5028"/>
    <w:rsid w:val="1F3461EA"/>
    <w:rsid w:val="1F3A0D74"/>
    <w:rsid w:val="1F48190C"/>
    <w:rsid w:val="1F5119C9"/>
    <w:rsid w:val="1F680BA2"/>
    <w:rsid w:val="1F762827"/>
    <w:rsid w:val="1F8075C3"/>
    <w:rsid w:val="1F864334"/>
    <w:rsid w:val="1F8D1F23"/>
    <w:rsid w:val="1F903C55"/>
    <w:rsid w:val="1FA3607E"/>
    <w:rsid w:val="1FA70AE4"/>
    <w:rsid w:val="1FAF3934"/>
    <w:rsid w:val="1FAF6F3F"/>
    <w:rsid w:val="1FB827FA"/>
    <w:rsid w:val="1FBE4459"/>
    <w:rsid w:val="1FBF453A"/>
    <w:rsid w:val="1FC45BC6"/>
    <w:rsid w:val="1FE50445"/>
    <w:rsid w:val="1FF620FB"/>
    <w:rsid w:val="20126152"/>
    <w:rsid w:val="202D5948"/>
    <w:rsid w:val="202F4381"/>
    <w:rsid w:val="20342C82"/>
    <w:rsid w:val="20357301"/>
    <w:rsid w:val="20370574"/>
    <w:rsid w:val="20481563"/>
    <w:rsid w:val="20511636"/>
    <w:rsid w:val="205840FA"/>
    <w:rsid w:val="20624768"/>
    <w:rsid w:val="206733F1"/>
    <w:rsid w:val="206D3B58"/>
    <w:rsid w:val="2073185F"/>
    <w:rsid w:val="207D242B"/>
    <w:rsid w:val="2093259A"/>
    <w:rsid w:val="209E10A2"/>
    <w:rsid w:val="20B56531"/>
    <w:rsid w:val="20B87907"/>
    <w:rsid w:val="20C466CA"/>
    <w:rsid w:val="20C67DC1"/>
    <w:rsid w:val="20C72BC9"/>
    <w:rsid w:val="20CA6928"/>
    <w:rsid w:val="20D14BC5"/>
    <w:rsid w:val="20E64474"/>
    <w:rsid w:val="21063677"/>
    <w:rsid w:val="21097D9E"/>
    <w:rsid w:val="210E39CB"/>
    <w:rsid w:val="21254871"/>
    <w:rsid w:val="216206FE"/>
    <w:rsid w:val="2166388F"/>
    <w:rsid w:val="21667363"/>
    <w:rsid w:val="217B112C"/>
    <w:rsid w:val="217E476E"/>
    <w:rsid w:val="217F3616"/>
    <w:rsid w:val="21823539"/>
    <w:rsid w:val="218872DA"/>
    <w:rsid w:val="219668C6"/>
    <w:rsid w:val="21B225A8"/>
    <w:rsid w:val="21B53E47"/>
    <w:rsid w:val="21D85178"/>
    <w:rsid w:val="21EF3614"/>
    <w:rsid w:val="220151E1"/>
    <w:rsid w:val="220821C8"/>
    <w:rsid w:val="22205522"/>
    <w:rsid w:val="223A5D63"/>
    <w:rsid w:val="2262759A"/>
    <w:rsid w:val="2265586D"/>
    <w:rsid w:val="2265661E"/>
    <w:rsid w:val="226A4C31"/>
    <w:rsid w:val="22700284"/>
    <w:rsid w:val="229473A2"/>
    <w:rsid w:val="229E75AD"/>
    <w:rsid w:val="22AA04B3"/>
    <w:rsid w:val="22AA3280"/>
    <w:rsid w:val="22AF0896"/>
    <w:rsid w:val="22B076E6"/>
    <w:rsid w:val="22BC1C6C"/>
    <w:rsid w:val="22DD5403"/>
    <w:rsid w:val="22EB130B"/>
    <w:rsid w:val="22EB1893"/>
    <w:rsid w:val="22F10EAE"/>
    <w:rsid w:val="23160E80"/>
    <w:rsid w:val="2318220D"/>
    <w:rsid w:val="2326264B"/>
    <w:rsid w:val="233314C7"/>
    <w:rsid w:val="23495888"/>
    <w:rsid w:val="23586B9D"/>
    <w:rsid w:val="235872D0"/>
    <w:rsid w:val="236001EA"/>
    <w:rsid w:val="237C23E3"/>
    <w:rsid w:val="238143F2"/>
    <w:rsid w:val="2383579D"/>
    <w:rsid w:val="23875C03"/>
    <w:rsid w:val="23971ACE"/>
    <w:rsid w:val="239A3929"/>
    <w:rsid w:val="23A82D1D"/>
    <w:rsid w:val="23AD1279"/>
    <w:rsid w:val="23B05255"/>
    <w:rsid w:val="23C50720"/>
    <w:rsid w:val="23D43F8D"/>
    <w:rsid w:val="23E53B79"/>
    <w:rsid w:val="23F07630"/>
    <w:rsid w:val="23F30A09"/>
    <w:rsid w:val="24091482"/>
    <w:rsid w:val="240A66CC"/>
    <w:rsid w:val="2415676D"/>
    <w:rsid w:val="24174945"/>
    <w:rsid w:val="242A6861"/>
    <w:rsid w:val="242D0706"/>
    <w:rsid w:val="2435126F"/>
    <w:rsid w:val="243D65D9"/>
    <w:rsid w:val="244C1BAA"/>
    <w:rsid w:val="24702ADF"/>
    <w:rsid w:val="248D4C07"/>
    <w:rsid w:val="2492046F"/>
    <w:rsid w:val="2492221D"/>
    <w:rsid w:val="249B5E8F"/>
    <w:rsid w:val="24AF7273"/>
    <w:rsid w:val="24B16BC3"/>
    <w:rsid w:val="24B41768"/>
    <w:rsid w:val="24B959FC"/>
    <w:rsid w:val="24C96330"/>
    <w:rsid w:val="24E3463B"/>
    <w:rsid w:val="24ED7FF2"/>
    <w:rsid w:val="252512E3"/>
    <w:rsid w:val="2542005A"/>
    <w:rsid w:val="2543662D"/>
    <w:rsid w:val="25486157"/>
    <w:rsid w:val="254B58EF"/>
    <w:rsid w:val="255E0351"/>
    <w:rsid w:val="256000EE"/>
    <w:rsid w:val="256736AA"/>
    <w:rsid w:val="25734250"/>
    <w:rsid w:val="257B0F03"/>
    <w:rsid w:val="257C646B"/>
    <w:rsid w:val="25867FD4"/>
    <w:rsid w:val="25C428AA"/>
    <w:rsid w:val="25C95094"/>
    <w:rsid w:val="25F8727D"/>
    <w:rsid w:val="25FA7A3B"/>
    <w:rsid w:val="25FC7803"/>
    <w:rsid w:val="261438AB"/>
    <w:rsid w:val="26213859"/>
    <w:rsid w:val="26217EDD"/>
    <w:rsid w:val="262A201D"/>
    <w:rsid w:val="26431A21"/>
    <w:rsid w:val="265F3983"/>
    <w:rsid w:val="266412BB"/>
    <w:rsid w:val="26751DF6"/>
    <w:rsid w:val="267A4206"/>
    <w:rsid w:val="268F4BD3"/>
    <w:rsid w:val="26960378"/>
    <w:rsid w:val="26971D6D"/>
    <w:rsid w:val="26993D37"/>
    <w:rsid w:val="26A82A80"/>
    <w:rsid w:val="26AA28EA"/>
    <w:rsid w:val="26B359FE"/>
    <w:rsid w:val="26B46BD6"/>
    <w:rsid w:val="26D60E92"/>
    <w:rsid w:val="26D82E39"/>
    <w:rsid w:val="26DB434F"/>
    <w:rsid w:val="26E54430"/>
    <w:rsid w:val="26FC6074"/>
    <w:rsid w:val="271104CA"/>
    <w:rsid w:val="27127645"/>
    <w:rsid w:val="271B0423"/>
    <w:rsid w:val="271B7BF9"/>
    <w:rsid w:val="271E5FEA"/>
    <w:rsid w:val="27227E1F"/>
    <w:rsid w:val="27374003"/>
    <w:rsid w:val="273A0E14"/>
    <w:rsid w:val="274A3CD6"/>
    <w:rsid w:val="27637EA1"/>
    <w:rsid w:val="27723602"/>
    <w:rsid w:val="27822A1D"/>
    <w:rsid w:val="27845895"/>
    <w:rsid w:val="278535DF"/>
    <w:rsid w:val="27891C73"/>
    <w:rsid w:val="27930203"/>
    <w:rsid w:val="2795366E"/>
    <w:rsid w:val="279E4DD5"/>
    <w:rsid w:val="27BD7B0D"/>
    <w:rsid w:val="27E9484A"/>
    <w:rsid w:val="2807712D"/>
    <w:rsid w:val="280E42B1"/>
    <w:rsid w:val="28481571"/>
    <w:rsid w:val="285D2B42"/>
    <w:rsid w:val="285F2833"/>
    <w:rsid w:val="28667C49"/>
    <w:rsid w:val="287738FC"/>
    <w:rsid w:val="28810F26"/>
    <w:rsid w:val="28967781"/>
    <w:rsid w:val="2898550E"/>
    <w:rsid w:val="28B5297E"/>
    <w:rsid w:val="28BE57A5"/>
    <w:rsid w:val="28C8445F"/>
    <w:rsid w:val="28CC205B"/>
    <w:rsid w:val="28DF066B"/>
    <w:rsid w:val="28EA6FFA"/>
    <w:rsid w:val="28F3516F"/>
    <w:rsid w:val="29021EC6"/>
    <w:rsid w:val="29163B16"/>
    <w:rsid w:val="292305E4"/>
    <w:rsid w:val="29253660"/>
    <w:rsid w:val="2927562A"/>
    <w:rsid w:val="292A511A"/>
    <w:rsid w:val="29386AA1"/>
    <w:rsid w:val="29485346"/>
    <w:rsid w:val="295920EB"/>
    <w:rsid w:val="295977AD"/>
    <w:rsid w:val="295A4D74"/>
    <w:rsid w:val="29607C4F"/>
    <w:rsid w:val="2962355E"/>
    <w:rsid w:val="299900F2"/>
    <w:rsid w:val="29A94291"/>
    <w:rsid w:val="29AE1F41"/>
    <w:rsid w:val="29E7300B"/>
    <w:rsid w:val="29EC0622"/>
    <w:rsid w:val="2A005E7B"/>
    <w:rsid w:val="2A0C65CE"/>
    <w:rsid w:val="2A155A85"/>
    <w:rsid w:val="2A162882"/>
    <w:rsid w:val="2A2D509E"/>
    <w:rsid w:val="2A573CED"/>
    <w:rsid w:val="2A6D355C"/>
    <w:rsid w:val="2A703001"/>
    <w:rsid w:val="2A73489F"/>
    <w:rsid w:val="2A736529"/>
    <w:rsid w:val="2A737FE1"/>
    <w:rsid w:val="2A815B98"/>
    <w:rsid w:val="2A8B3997"/>
    <w:rsid w:val="2A9617AC"/>
    <w:rsid w:val="2AA73CED"/>
    <w:rsid w:val="2AA93734"/>
    <w:rsid w:val="2AB729B7"/>
    <w:rsid w:val="2AD046DA"/>
    <w:rsid w:val="2AD96DF8"/>
    <w:rsid w:val="2AE4105E"/>
    <w:rsid w:val="2AE412F9"/>
    <w:rsid w:val="2AE8703B"/>
    <w:rsid w:val="2AF75155"/>
    <w:rsid w:val="2AF91248"/>
    <w:rsid w:val="2AFA0B1C"/>
    <w:rsid w:val="2B2A1401"/>
    <w:rsid w:val="2B3B0454"/>
    <w:rsid w:val="2B4104F9"/>
    <w:rsid w:val="2B5D17D7"/>
    <w:rsid w:val="2B790767"/>
    <w:rsid w:val="2B99377E"/>
    <w:rsid w:val="2B9B22FF"/>
    <w:rsid w:val="2BA07853"/>
    <w:rsid w:val="2BA82239"/>
    <w:rsid w:val="2BBB1BCE"/>
    <w:rsid w:val="2BF22494"/>
    <w:rsid w:val="2C0003B4"/>
    <w:rsid w:val="2C057779"/>
    <w:rsid w:val="2C1A587F"/>
    <w:rsid w:val="2C1D2A53"/>
    <w:rsid w:val="2C256589"/>
    <w:rsid w:val="2C315FBD"/>
    <w:rsid w:val="2C355CA9"/>
    <w:rsid w:val="2C3C1B09"/>
    <w:rsid w:val="2C71207A"/>
    <w:rsid w:val="2C7A0167"/>
    <w:rsid w:val="2C80549D"/>
    <w:rsid w:val="2CA828A4"/>
    <w:rsid w:val="2CAB0320"/>
    <w:rsid w:val="2CB43194"/>
    <w:rsid w:val="2CB83AA9"/>
    <w:rsid w:val="2CBC42DB"/>
    <w:rsid w:val="2CDA3D94"/>
    <w:rsid w:val="2CE124F7"/>
    <w:rsid w:val="2CED58B9"/>
    <w:rsid w:val="2D021A60"/>
    <w:rsid w:val="2D177F0C"/>
    <w:rsid w:val="2D3D7EA4"/>
    <w:rsid w:val="2D436EC9"/>
    <w:rsid w:val="2D4A4FA6"/>
    <w:rsid w:val="2D4E47A8"/>
    <w:rsid w:val="2D4F514F"/>
    <w:rsid w:val="2D5638AE"/>
    <w:rsid w:val="2D7050C6"/>
    <w:rsid w:val="2D793FC1"/>
    <w:rsid w:val="2D7E735B"/>
    <w:rsid w:val="2D872760"/>
    <w:rsid w:val="2D8C1822"/>
    <w:rsid w:val="2DBB4972"/>
    <w:rsid w:val="2DBF0527"/>
    <w:rsid w:val="2DC7118A"/>
    <w:rsid w:val="2DD37B2E"/>
    <w:rsid w:val="2DE627CF"/>
    <w:rsid w:val="2E073E0D"/>
    <w:rsid w:val="2E093550"/>
    <w:rsid w:val="2E110657"/>
    <w:rsid w:val="2E1B5BCA"/>
    <w:rsid w:val="2E2450F3"/>
    <w:rsid w:val="2E274A0C"/>
    <w:rsid w:val="2E516CA5"/>
    <w:rsid w:val="2E536394"/>
    <w:rsid w:val="2E6703F1"/>
    <w:rsid w:val="2E67296D"/>
    <w:rsid w:val="2E9B4C54"/>
    <w:rsid w:val="2EA22A88"/>
    <w:rsid w:val="2EA82DC5"/>
    <w:rsid w:val="2EB05F12"/>
    <w:rsid w:val="2EC041C1"/>
    <w:rsid w:val="2EE47B19"/>
    <w:rsid w:val="2F041F69"/>
    <w:rsid w:val="2F081A5A"/>
    <w:rsid w:val="2F1C3757"/>
    <w:rsid w:val="2F255E42"/>
    <w:rsid w:val="2F2820FC"/>
    <w:rsid w:val="2F583B7F"/>
    <w:rsid w:val="2F6D5D61"/>
    <w:rsid w:val="2F7B66D0"/>
    <w:rsid w:val="2F827A5E"/>
    <w:rsid w:val="2F844130"/>
    <w:rsid w:val="2F8F217B"/>
    <w:rsid w:val="2F923D90"/>
    <w:rsid w:val="2F9E1E2F"/>
    <w:rsid w:val="2FBD0A96"/>
    <w:rsid w:val="2FDE27BA"/>
    <w:rsid w:val="2FE70007"/>
    <w:rsid w:val="30077F63"/>
    <w:rsid w:val="300E12F2"/>
    <w:rsid w:val="3014442E"/>
    <w:rsid w:val="302467A6"/>
    <w:rsid w:val="302723B3"/>
    <w:rsid w:val="304940D8"/>
    <w:rsid w:val="30556F21"/>
    <w:rsid w:val="30696528"/>
    <w:rsid w:val="306B0D9E"/>
    <w:rsid w:val="30722448"/>
    <w:rsid w:val="30757489"/>
    <w:rsid w:val="307753A4"/>
    <w:rsid w:val="308C0FF5"/>
    <w:rsid w:val="30A25EDE"/>
    <w:rsid w:val="30A87085"/>
    <w:rsid w:val="30B63BC5"/>
    <w:rsid w:val="30CF343B"/>
    <w:rsid w:val="30D616E4"/>
    <w:rsid w:val="30DB7244"/>
    <w:rsid w:val="30E262DA"/>
    <w:rsid w:val="30EB1FDF"/>
    <w:rsid w:val="30F73B34"/>
    <w:rsid w:val="30FF1A1B"/>
    <w:rsid w:val="310E3D62"/>
    <w:rsid w:val="312B1A2F"/>
    <w:rsid w:val="31350C31"/>
    <w:rsid w:val="31472626"/>
    <w:rsid w:val="31501496"/>
    <w:rsid w:val="31520986"/>
    <w:rsid w:val="31521DCB"/>
    <w:rsid w:val="31566DB1"/>
    <w:rsid w:val="315B2DA5"/>
    <w:rsid w:val="315C5124"/>
    <w:rsid w:val="31795B7C"/>
    <w:rsid w:val="3186709E"/>
    <w:rsid w:val="3193343B"/>
    <w:rsid w:val="31A679EB"/>
    <w:rsid w:val="31B03D4D"/>
    <w:rsid w:val="31BC4EB3"/>
    <w:rsid w:val="31C12394"/>
    <w:rsid w:val="31C854D0"/>
    <w:rsid w:val="31CC3212"/>
    <w:rsid w:val="31D5535F"/>
    <w:rsid w:val="31D77F86"/>
    <w:rsid w:val="31E367AE"/>
    <w:rsid w:val="31F518A0"/>
    <w:rsid w:val="31F84007"/>
    <w:rsid w:val="32023F05"/>
    <w:rsid w:val="32056724"/>
    <w:rsid w:val="32132BEF"/>
    <w:rsid w:val="321B1AA4"/>
    <w:rsid w:val="323668DE"/>
    <w:rsid w:val="32385310"/>
    <w:rsid w:val="32452FC5"/>
    <w:rsid w:val="32463BFF"/>
    <w:rsid w:val="324F01C0"/>
    <w:rsid w:val="325B11DD"/>
    <w:rsid w:val="325F4AF3"/>
    <w:rsid w:val="32637642"/>
    <w:rsid w:val="32807B9E"/>
    <w:rsid w:val="328A6373"/>
    <w:rsid w:val="328C24B8"/>
    <w:rsid w:val="328F49B3"/>
    <w:rsid w:val="32911D66"/>
    <w:rsid w:val="32936434"/>
    <w:rsid w:val="32954666"/>
    <w:rsid w:val="32AB107A"/>
    <w:rsid w:val="32D752F7"/>
    <w:rsid w:val="32F17756"/>
    <w:rsid w:val="32FD73FC"/>
    <w:rsid w:val="33175CD2"/>
    <w:rsid w:val="333D5A4A"/>
    <w:rsid w:val="335676C9"/>
    <w:rsid w:val="33750F3E"/>
    <w:rsid w:val="33766AC7"/>
    <w:rsid w:val="337771AE"/>
    <w:rsid w:val="33780A1A"/>
    <w:rsid w:val="33A77124"/>
    <w:rsid w:val="33C10429"/>
    <w:rsid w:val="33D068BE"/>
    <w:rsid w:val="33EA2114"/>
    <w:rsid w:val="33FF6CCA"/>
    <w:rsid w:val="340F5440"/>
    <w:rsid w:val="343628AC"/>
    <w:rsid w:val="34425A0E"/>
    <w:rsid w:val="345816A0"/>
    <w:rsid w:val="345A2D08"/>
    <w:rsid w:val="345C0F34"/>
    <w:rsid w:val="345D63A4"/>
    <w:rsid w:val="346E798E"/>
    <w:rsid w:val="34712EA7"/>
    <w:rsid w:val="34773BF2"/>
    <w:rsid w:val="347B0F20"/>
    <w:rsid w:val="34832D86"/>
    <w:rsid w:val="34864FF7"/>
    <w:rsid w:val="34893582"/>
    <w:rsid w:val="34945B7F"/>
    <w:rsid w:val="34A07451"/>
    <w:rsid w:val="34A456D5"/>
    <w:rsid w:val="34B54432"/>
    <w:rsid w:val="34BA119C"/>
    <w:rsid w:val="34CC063E"/>
    <w:rsid w:val="34CF04F8"/>
    <w:rsid w:val="34D923E8"/>
    <w:rsid w:val="34FC3F1C"/>
    <w:rsid w:val="35032FA3"/>
    <w:rsid w:val="352073D1"/>
    <w:rsid w:val="35227FBB"/>
    <w:rsid w:val="35494036"/>
    <w:rsid w:val="35494B7A"/>
    <w:rsid w:val="355754E9"/>
    <w:rsid w:val="355B5701"/>
    <w:rsid w:val="358431E6"/>
    <w:rsid w:val="358750F0"/>
    <w:rsid w:val="35B22915"/>
    <w:rsid w:val="35C81CBC"/>
    <w:rsid w:val="35CF2AAD"/>
    <w:rsid w:val="35D5174D"/>
    <w:rsid w:val="35EF127D"/>
    <w:rsid w:val="35F63017"/>
    <w:rsid w:val="36014E2E"/>
    <w:rsid w:val="36193C8D"/>
    <w:rsid w:val="362F02CB"/>
    <w:rsid w:val="36322AE5"/>
    <w:rsid w:val="363510E1"/>
    <w:rsid w:val="363F6CED"/>
    <w:rsid w:val="36422B4C"/>
    <w:rsid w:val="36525CB0"/>
    <w:rsid w:val="365657A0"/>
    <w:rsid w:val="366326C4"/>
    <w:rsid w:val="366F208E"/>
    <w:rsid w:val="366F588A"/>
    <w:rsid w:val="367A5CD3"/>
    <w:rsid w:val="368A619C"/>
    <w:rsid w:val="36AE7D6A"/>
    <w:rsid w:val="36B05C08"/>
    <w:rsid w:val="36E07E35"/>
    <w:rsid w:val="36F42240"/>
    <w:rsid w:val="370074BA"/>
    <w:rsid w:val="3727496B"/>
    <w:rsid w:val="372A0138"/>
    <w:rsid w:val="373F7FE3"/>
    <w:rsid w:val="374675C3"/>
    <w:rsid w:val="37492C0F"/>
    <w:rsid w:val="375A7BC0"/>
    <w:rsid w:val="37621F23"/>
    <w:rsid w:val="376C4B50"/>
    <w:rsid w:val="37762BDF"/>
    <w:rsid w:val="37781747"/>
    <w:rsid w:val="37997818"/>
    <w:rsid w:val="37A249A3"/>
    <w:rsid w:val="37A4253C"/>
    <w:rsid w:val="37D526F5"/>
    <w:rsid w:val="37DA3624"/>
    <w:rsid w:val="37E82428"/>
    <w:rsid w:val="38013C97"/>
    <w:rsid w:val="380C0AFF"/>
    <w:rsid w:val="381E440C"/>
    <w:rsid w:val="38262F51"/>
    <w:rsid w:val="382B0567"/>
    <w:rsid w:val="383647D6"/>
    <w:rsid w:val="3836588A"/>
    <w:rsid w:val="383D1FFC"/>
    <w:rsid w:val="385F3146"/>
    <w:rsid w:val="387B5426"/>
    <w:rsid w:val="38B0575C"/>
    <w:rsid w:val="38C06F01"/>
    <w:rsid w:val="38C52B98"/>
    <w:rsid w:val="38CC1D4A"/>
    <w:rsid w:val="38D74737"/>
    <w:rsid w:val="38E075A3"/>
    <w:rsid w:val="38E62CF4"/>
    <w:rsid w:val="38F0269B"/>
    <w:rsid w:val="391E6849"/>
    <w:rsid w:val="39243934"/>
    <w:rsid w:val="39393F87"/>
    <w:rsid w:val="393A15D2"/>
    <w:rsid w:val="39685670"/>
    <w:rsid w:val="397523E2"/>
    <w:rsid w:val="39760439"/>
    <w:rsid w:val="398443D3"/>
    <w:rsid w:val="3988337B"/>
    <w:rsid w:val="399117AD"/>
    <w:rsid w:val="39A12598"/>
    <w:rsid w:val="39A55AE7"/>
    <w:rsid w:val="39A93E39"/>
    <w:rsid w:val="39AC2D9D"/>
    <w:rsid w:val="39B8361C"/>
    <w:rsid w:val="39D125AF"/>
    <w:rsid w:val="39F257E0"/>
    <w:rsid w:val="39F37A80"/>
    <w:rsid w:val="3A03179B"/>
    <w:rsid w:val="3A085004"/>
    <w:rsid w:val="3A127C30"/>
    <w:rsid w:val="3A186253"/>
    <w:rsid w:val="3A3758E9"/>
    <w:rsid w:val="3A3E5802"/>
    <w:rsid w:val="3A492034"/>
    <w:rsid w:val="3A56703E"/>
    <w:rsid w:val="3A5B443C"/>
    <w:rsid w:val="3A804602"/>
    <w:rsid w:val="3A956FF8"/>
    <w:rsid w:val="3A9A2986"/>
    <w:rsid w:val="3AC22322"/>
    <w:rsid w:val="3ACA050B"/>
    <w:rsid w:val="3AD13E07"/>
    <w:rsid w:val="3AF92B9E"/>
    <w:rsid w:val="3B0D4565"/>
    <w:rsid w:val="3B183BFA"/>
    <w:rsid w:val="3B2822CC"/>
    <w:rsid w:val="3B346269"/>
    <w:rsid w:val="3B3D0B12"/>
    <w:rsid w:val="3B5013F4"/>
    <w:rsid w:val="3B5F0B61"/>
    <w:rsid w:val="3B622409"/>
    <w:rsid w:val="3B943FBF"/>
    <w:rsid w:val="3B9A0E3F"/>
    <w:rsid w:val="3BAB2B1C"/>
    <w:rsid w:val="3BC545D7"/>
    <w:rsid w:val="3BCD02B3"/>
    <w:rsid w:val="3BE52F68"/>
    <w:rsid w:val="3BEC4C4F"/>
    <w:rsid w:val="3BF465BC"/>
    <w:rsid w:val="3C08753D"/>
    <w:rsid w:val="3C096E11"/>
    <w:rsid w:val="3C0A7DDD"/>
    <w:rsid w:val="3C0F73F8"/>
    <w:rsid w:val="3C126C99"/>
    <w:rsid w:val="3C1E28BD"/>
    <w:rsid w:val="3C2267C7"/>
    <w:rsid w:val="3C310BFC"/>
    <w:rsid w:val="3C4165AB"/>
    <w:rsid w:val="3C486B67"/>
    <w:rsid w:val="3C4E2E12"/>
    <w:rsid w:val="3C704DD7"/>
    <w:rsid w:val="3C71521C"/>
    <w:rsid w:val="3C7A2F47"/>
    <w:rsid w:val="3C803A5C"/>
    <w:rsid w:val="3C826B5F"/>
    <w:rsid w:val="3C854555"/>
    <w:rsid w:val="3C894B61"/>
    <w:rsid w:val="3C8A6A69"/>
    <w:rsid w:val="3CAA05F4"/>
    <w:rsid w:val="3CB60D47"/>
    <w:rsid w:val="3CC1149A"/>
    <w:rsid w:val="3CCB40C7"/>
    <w:rsid w:val="3CD13DD3"/>
    <w:rsid w:val="3CDA7265"/>
    <w:rsid w:val="3CEC4769"/>
    <w:rsid w:val="3CF00E91"/>
    <w:rsid w:val="3CF93857"/>
    <w:rsid w:val="3CFC354E"/>
    <w:rsid w:val="3D0221DE"/>
    <w:rsid w:val="3D032027"/>
    <w:rsid w:val="3D0B2FBA"/>
    <w:rsid w:val="3D167A38"/>
    <w:rsid w:val="3D1D29AE"/>
    <w:rsid w:val="3D1D4B08"/>
    <w:rsid w:val="3D2A78FE"/>
    <w:rsid w:val="3D3226CF"/>
    <w:rsid w:val="3D3372EE"/>
    <w:rsid w:val="3D373A52"/>
    <w:rsid w:val="3D3A3491"/>
    <w:rsid w:val="3D570F4D"/>
    <w:rsid w:val="3D603CE3"/>
    <w:rsid w:val="3D736C38"/>
    <w:rsid w:val="3D751344"/>
    <w:rsid w:val="3D7710AF"/>
    <w:rsid w:val="3D801355"/>
    <w:rsid w:val="3D830499"/>
    <w:rsid w:val="3D9848F1"/>
    <w:rsid w:val="3DD06F09"/>
    <w:rsid w:val="3DD376D7"/>
    <w:rsid w:val="3DE82642"/>
    <w:rsid w:val="3DE96EFA"/>
    <w:rsid w:val="3DFA297C"/>
    <w:rsid w:val="3E0755D2"/>
    <w:rsid w:val="3E09294E"/>
    <w:rsid w:val="3E297ECE"/>
    <w:rsid w:val="3E4325D3"/>
    <w:rsid w:val="3E483694"/>
    <w:rsid w:val="3E530817"/>
    <w:rsid w:val="3E6611A8"/>
    <w:rsid w:val="3E717E34"/>
    <w:rsid w:val="3E7755A6"/>
    <w:rsid w:val="3E873874"/>
    <w:rsid w:val="3E876B4B"/>
    <w:rsid w:val="3E943809"/>
    <w:rsid w:val="3EAD617A"/>
    <w:rsid w:val="3EAE527B"/>
    <w:rsid w:val="3EC139D3"/>
    <w:rsid w:val="3ED23E32"/>
    <w:rsid w:val="3EDA6843"/>
    <w:rsid w:val="3EF20030"/>
    <w:rsid w:val="3EFB0C93"/>
    <w:rsid w:val="3F073780"/>
    <w:rsid w:val="3F087C33"/>
    <w:rsid w:val="3F1D72F6"/>
    <w:rsid w:val="3F291B0E"/>
    <w:rsid w:val="3F2D0CFE"/>
    <w:rsid w:val="3F342FB6"/>
    <w:rsid w:val="3F447A3C"/>
    <w:rsid w:val="3F4E2744"/>
    <w:rsid w:val="3F6C1B91"/>
    <w:rsid w:val="3F874C1D"/>
    <w:rsid w:val="3F9A73A5"/>
    <w:rsid w:val="3FB12669"/>
    <w:rsid w:val="3FB928FC"/>
    <w:rsid w:val="3FBC5E34"/>
    <w:rsid w:val="3FCB6C9F"/>
    <w:rsid w:val="3FDC2155"/>
    <w:rsid w:val="3FE8035B"/>
    <w:rsid w:val="3FE87FB8"/>
    <w:rsid w:val="3FF8599E"/>
    <w:rsid w:val="400B75FC"/>
    <w:rsid w:val="400E4BF7"/>
    <w:rsid w:val="401A6A4A"/>
    <w:rsid w:val="40242C1E"/>
    <w:rsid w:val="404C1E1E"/>
    <w:rsid w:val="404C3770"/>
    <w:rsid w:val="40713AD5"/>
    <w:rsid w:val="408D016C"/>
    <w:rsid w:val="409E3497"/>
    <w:rsid w:val="40D03313"/>
    <w:rsid w:val="40D35582"/>
    <w:rsid w:val="40D80510"/>
    <w:rsid w:val="40DE261A"/>
    <w:rsid w:val="41195D48"/>
    <w:rsid w:val="411E335F"/>
    <w:rsid w:val="415E7BFF"/>
    <w:rsid w:val="41717932"/>
    <w:rsid w:val="417964A3"/>
    <w:rsid w:val="417C1E33"/>
    <w:rsid w:val="417D6156"/>
    <w:rsid w:val="41990130"/>
    <w:rsid w:val="41C07037"/>
    <w:rsid w:val="41C247B5"/>
    <w:rsid w:val="41C71300"/>
    <w:rsid w:val="41D13F2D"/>
    <w:rsid w:val="41D50F25"/>
    <w:rsid w:val="41FA05C7"/>
    <w:rsid w:val="420F4A55"/>
    <w:rsid w:val="421556B7"/>
    <w:rsid w:val="421A3B26"/>
    <w:rsid w:val="422A38E4"/>
    <w:rsid w:val="4233656D"/>
    <w:rsid w:val="42513AE4"/>
    <w:rsid w:val="425B09F8"/>
    <w:rsid w:val="427D6F5C"/>
    <w:rsid w:val="427E1D24"/>
    <w:rsid w:val="428E0070"/>
    <w:rsid w:val="42932D86"/>
    <w:rsid w:val="42BF022A"/>
    <w:rsid w:val="42BF0286"/>
    <w:rsid w:val="42F97322"/>
    <w:rsid w:val="431974DA"/>
    <w:rsid w:val="431C38CE"/>
    <w:rsid w:val="4339149F"/>
    <w:rsid w:val="43410E16"/>
    <w:rsid w:val="43476B9D"/>
    <w:rsid w:val="43502C04"/>
    <w:rsid w:val="435935F9"/>
    <w:rsid w:val="435A07F0"/>
    <w:rsid w:val="436A3FDD"/>
    <w:rsid w:val="437234EE"/>
    <w:rsid w:val="437525B5"/>
    <w:rsid w:val="43776313"/>
    <w:rsid w:val="43793B90"/>
    <w:rsid w:val="43880F63"/>
    <w:rsid w:val="43A16618"/>
    <w:rsid w:val="43A51B15"/>
    <w:rsid w:val="43B47990"/>
    <w:rsid w:val="43B514CD"/>
    <w:rsid w:val="43BB767B"/>
    <w:rsid w:val="43C014E4"/>
    <w:rsid w:val="43D86F56"/>
    <w:rsid w:val="43F108B7"/>
    <w:rsid w:val="43FB6581"/>
    <w:rsid w:val="440D4234"/>
    <w:rsid w:val="444C73B7"/>
    <w:rsid w:val="448259B3"/>
    <w:rsid w:val="448E3309"/>
    <w:rsid w:val="448E4DEC"/>
    <w:rsid w:val="44902E7E"/>
    <w:rsid w:val="44937BC0"/>
    <w:rsid w:val="44975885"/>
    <w:rsid w:val="44BD4C3D"/>
    <w:rsid w:val="44C05674"/>
    <w:rsid w:val="44C37DCB"/>
    <w:rsid w:val="44C91833"/>
    <w:rsid w:val="44D40789"/>
    <w:rsid w:val="44DA46CB"/>
    <w:rsid w:val="44E022BE"/>
    <w:rsid w:val="44E20FAD"/>
    <w:rsid w:val="44FF1C6B"/>
    <w:rsid w:val="45010FCD"/>
    <w:rsid w:val="451B7709"/>
    <w:rsid w:val="45253385"/>
    <w:rsid w:val="453A596E"/>
    <w:rsid w:val="45402449"/>
    <w:rsid w:val="455312B1"/>
    <w:rsid w:val="45541CEF"/>
    <w:rsid w:val="45592BB7"/>
    <w:rsid w:val="455A6965"/>
    <w:rsid w:val="455C4456"/>
    <w:rsid w:val="456502E2"/>
    <w:rsid w:val="4585575A"/>
    <w:rsid w:val="458F0387"/>
    <w:rsid w:val="45A51959"/>
    <w:rsid w:val="45B52C14"/>
    <w:rsid w:val="45BB1115"/>
    <w:rsid w:val="45D46B92"/>
    <w:rsid w:val="45D639C5"/>
    <w:rsid w:val="45D64B8B"/>
    <w:rsid w:val="45DE5523"/>
    <w:rsid w:val="461671D6"/>
    <w:rsid w:val="461B7E66"/>
    <w:rsid w:val="462E4CFC"/>
    <w:rsid w:val="462F05D4"/>
    <w:rsid w:val="46366582"/>
    <w:rsid w:val="46470C62"/>
    <w:rsid w:val="464D0599"/>
    <w:rsid w:val="46667D61"/>
    <w:rsid w:val="4670145A"/>
    <w:rsid w:val="467A3618"/>
    <w:rsid w:val="467F03FC"/>
    <w:rsid w:val="467F21AA"/>
    <w:rsid w:val="46845A12"/>
    <w:rsid w:val="46897D42"/>
    <w:rsid w:val="468E4AE3"/>
    <w:rsid w:val="46B63068"/>
    <w:rsid w:val="46C027C2"/>
    <w:rsid w:val="46C6514D"/>
    <w:rsid w:val="46DB511D"/>
    <w:rsid w:val="46E00EB3"/>
    <w:rsid w:val="46EE37D3"/>
    <w:rsid w:val="46FB7E03"/>
    <w:rsid w:val="46FF3309"/>
    <w:rsid w:val="47024C6C"/>
    <w:rsid w:val="471843AC"/>
    <w:rsid w:val="47264D1B"/>
    <w:rsid w:val="47302D46"/>
    <w:rsid w:val="47451335"/>
    <w:rsid w:val="474641F8"/>
    <w:rsid w:val="476D2579"/>
    <w:rsid w:val="477C0DDF"/>
    <w:rsid w:val="47B916EB"/>
    <w:rsid w:val="47BA7CFE"/>
    <w:rsid w:val="47C1678B"/>
    <w:rsid w:val="47F60B91"/>
    <w:rsid w:val="47F941DE"/>
    <w:rsid w:val="48117779"/>
    <w:rsid w:val="481A3989"/>
    <w:rsid w:val="48210818"/>
    <w:rsid w:val="482F0B1A"/>
    <w:rsid w:val="483077AC"/>
    <w:rsid w:val="4847319B"/>
    <w:rsid w:val="48533D15"/>
    <w:rsid w:val="4859672E"/>
    <w:rsid w:val="485E53BD"/>
    <w:rsid w:val="4860450F"/>
    <w:rsid w:val="48644F60"/>
    <w:rsid w:val="48700110"/>
    <w:rsid w:val="488506F0"/>
    <w:rsid w:val="488C5052"/>
    <w:rsid w:val="488F2964"/>
    <w:rsid w:val="48B77253"/>
    <w:rsid w:val="48B95AB7"/>
    <w:rsid w:val="48E14C28"/>
    <w:rsid w:val="48EC5AF0"/>
    <w:rsid w:val="48F16730"/>
    <w:rsid w:val="48F21359"/>
    <w:rsid w:val="48FB5D34"/>
    <w:rsid w:val="490723CD"/>
    <w:rsid w:val="4913061D"/>
    <w:rsid w:val="494476DB"/>
    <w:rsid w:val="494B6C5E"/>
    <w:rsid w:val="49543DC1"/>
    <w:rsid w:val="499046CE"/>
    <w:rsid w:val="499D1BE7"/>
    <w:rsid w:val="49CB04B5"/>
    <w:rsid w:val="49D22F38"/>
    <w:rsid w:val="49D62A28"/>
    <w:rsid w:val="49DE368B"/>
    <w:rsid w:val="49E06025"/>
    <w:rsid w:val="49E8139C"/>
    <w:rsid w:val="49E8450A"/>
    <w:rsid w:val="49FA79A2"/>
    <w:rsid w:val="49FE26D7"/>
    <w:rsid w:val="4A04223F"/>
    <w:rsid w:val="4A1734ED"/>
    <w:rsid w:val="4A245A22"/>
    <w:rsid w:val="4A302E79"/>
    <w:rsid w:val="4A4D25BF"/>
    <w:rsid w:val="4A575B10"/>
    <w:rsid w:val="4A6D4A0F"/>
    <w:rsid w:val="4A890FC1"/>
    <w:rsid w:val="4A8C335D"/>
    <w:rsid w:val="4A8F3B9D"/>
    <w:rsid w:val="4AAC3411"/>
    <w:rsid w:val="4AB1764C"/>
    <w:rsid w:val="4ABD1D3D"/>
    <w:rsid w:val="4AD917B0"/>
    <w:rsid w:val="4B272AFC"/>
    <w:rsid w:val="4B3D3B99"/>
    <w:rsid w:val="4B464016"/>
    <w:rsid w:val="4B4E2A92"/>
    <w:rsid w:val="4B5D2FAC"/>
    <w:rsid w:val="4B5F07FC"/>
    <w:rsid w:val="4B614574"/>
    <w:rsid w:val="4B647BC0"/>
    <w:rsid w:val="4B75001F"/>
    <w:rsid w:val="4B810772"/>
    <w:rsid w:val="4B881829"/>
    <w:rsid w:val="4B8D35BB"/>
    <w:rsid w:val="4B94152E"/>
    <w:rsid w:val="4BA15BE7"/>
    <w:rsid w:val="4BA43B9B"/>
    <w:rsid w:val="4BC52BF5"/>
    <w:rsid w:val="4BCC126B"/>
    <w:rsid w:val="4BCE0EFC"/>
    <w:rsid w:val="4BD27E7A"/>
    <w:rsid w:val="4BDE3E16"/>
    <w:rsid w:val="4BEF60FB"/>
    <w:rsid w:val="4C007878"/>
    <w:rsid w:val="4C1E06B7"/>
    <w:rsid w:val="4C257843"/>
    <w:rsid w:val="4C4774DE"/>
    <w:rsid w:val="4C5953F3"/>
    <w:rsid w:val="4C5B5467"/>
    <w:rsid w:val="4C687B84"/>
    <w:rsid w:val="4C6D6F48"/>
    <w:rsid w:val="4C6E7DEC"/>
    <w:rsid w:val="4C6F6E73"/>
    <w:rsid w:val="4C766BE1"/>
    <w:rsid w:val="4C7B78B7"/>
    <w:rsid w:val="4C7D7A0F"/>
    <w:rsid w:val="4C8D1CE3"/>
    <w:rsid w:val="4C8E4342"/>
    <w:rsid w:val="4CA45134"/>
    <w:rsid w:val="4CA92654"/>
    <w:rsid w:val="4CA95AF7"/>
    <w:rsid w:val="4CB415B0"/>
    <w:rsid w:val="4CB95D17"/>
    <w:rsid w:val="4CBB7CB4"/>
    <w:rsid w:val="4CC751E5"/>
    <w:rsid w:val="4CD91706"/>
    <w:rsid w:val="4CF257EA"/>
    <w:rsid w:val="4CFA69F4"/>
    <w:rsid w:val="4D062999"/>
    <w:rsid w:val="4D0F600E"/>
    <w:rsid w:val="4D130F05"/>
    <w:rsid w:val="4D217DD7"/>
    <w:rsid w:val="4D3123F7"/>
    <w:rsid w:val="4D447A09"/>
    <w:rsid w:val="4D4E179C"/>
    <w:rsid w:val="4D534390"/>
    <w:rsid w:val="4D5A15FB"/>
    <w:rsid w:val="4D5C0E4B"/>
    <w:rsid w:val="4D5F63E1"/>
    <w:rsid w:val="4D981DA3"/>
    <w:rsid w:val="4DA644C0"/>
    <w:rsid w:val="4DB5214A"/>
    <w:rsid w:val="4DB7631F"/>
    <w:rsid w:val="4DBA61BD"/>
    <w:rsid w:val="4DC808DA"/>
    <w:rsid w:val="4DC902C0"/>
    <w:rsid w:val="4DEA33FE"/>
    <w:rsid w:val="4DF9678E"/>
    <w:rsid w:val="4DFD5D33"/>
    <w:rsid w:val="4E016700"/>
    <w:rsid w:val="4E022932"/>
    <w:rsid w:val="4E185BEB"/>
    <w:rsid w:val="4E1C0C26"/>
    <w:rsid w:val="4E3B4485"/>
    <w:rsid w:val="4E5504D5"/>
    <w:rsid w:val="4E6246E4"/>
    <w:rsid w:val="4E6537CA"/>
    <w:rsid w:val="4E6A373F"/>
    <w:rsid w:val="4E6C7588"/>
    <w:rsid w:val="4E770D22"/>
    <w:rsid w:val="4E992277"/>
    <w:rsid w:val="4EA36C51"/>
    <w:rsid w:val="4EBA66B5"/>
    <w:rsid w:val="4EDE5703"/>
    <w:rsid w:val="4EEF0BA4"/>
    <w:rsid w:val="4EFC61EA"/>
    <w:rsid w:val="4F245FE4"/>
    <w:rsid w:val="4F2E5E48"/>
    <w:rsid w:val="4F302BDB"/>
    <w:rsid w:val="4F4C553B"/>
    <w:rsid w:val="4F5B7E05"/>
    <w:rsid w:val="4F5C0944"/>
    <w:rsid w:val="4F624D5E"/>
    <w:rsid w:val="4F63435A"/>
    <w:rsid w:val="4F681AF1"/>
    <w:rsid w:val="4F7B5B35"/>
    <w:rsid w:val="4F997907"/>
    <w:rsid w:val="4F9C11DA"/>
    <w:rsid w:val="4FB21842"/>
    <w:rsid w:val="4FBE24D4"/>
    <w:rsid w:val="4FD01CC8"/>
    <w:rsid w:val="4FD811D6"/>
    <w:rsid w:val="4FE50529"/>
    <w:rsid w:val="500C40DE"/>
    <w:rsid w:val="501E3C91"/>
    <w:rsid w:val="502C6AEA"/>
    <w:rsid w:val="5037430B"/>
    <w:rsid w:val="503C110B"/>
    <w:rsid w:val="503E607D"/>
    <w:rsid w:val="50566671"/>
    <w:rsid w:val="50724F2A"/>
    <w:rsid w:val="507F0456"/>
    <w:rsid w:val="50830AE8"/>
    <w:rsid w:val="50844F1D"/>
    <w:rsid w:val="508C5825"/>
    <w:rsid w:val="509C6FA3"/>
    <w:rsid w:val="50A32975"/>
    <w:rsid w:val="50A949C1"/>
    <w:rsid w:val="50CB5851"/>
    <w:rsid w:val="50D176D2"/>
    <w:rsid w:val="50F00D98"/>
    <w:rsid w:val="50F440B3"/>
    <w:rsid w:val="50F75681"/>
    <w:rsid w:val="510541E4"/>
    <w:rsid w:val="51085492"/>
    <w:rsid w:val="51121E6C"/>
    <w:rsid w:val="511D2CEB"/>
    <w:rsid w:val="511D538A"/>
    <w:rsid w:val="51360FC9"/>
    <w:rsid w:val="51597A9B"/>
    <w:rsid w:val="51627F77"/>
    <w:rsid w:val="516428F1"/>
    <w:rsid w:val="516D10FA"/>
    <w:rsid w:val="51711289"/>
    <w:rsid w:val="51825244"/>
    <w:rsid w:val="51840FBC"/>
    <w:rsid w:val="518C1CC6"/>
    <w:rsid w:val="519021ED"/>
    <w:rsid w:val="519A694D"/>
    <w:rsid w:val="51A27694"/>
    <w:rsid w:val="51AE6039"/>
    <w:rsid w:val="51BF4B8A"/>
    <w:rsid w:val="51C413B8"/>
    <w:rsid w:val="51D06BAC"/>
    <w:rsid w:val="51D73484"/>
    <w:rsid w:val="52127220"/>
    <w:rsid w:val="521E7500"/>
    <w:rsid w:val="52204E08"/>
    <w:rsid w:val="52336B70"/>
    <w:rsid w:val="52355EBF"/>
    <w:rsid w:val="52377DDC"/>
    <w:rsid w:val="523E560F"/>
    <w:rsid w:val="52484B09"/>
    <w:rsid w:val="525A79B9"/>
    <w:rsid w:val="52727066"/>
    <w:rsid w:val="52730EC7"/>
    <w:rsid w:val="5279200A"/>
    <w:rsid w:val="52797C57"/>
    <w:rsid w:val="527E1EAF"/>
    <w:rsid w:val="52877D0C"/>
    <w:rsid w:val="528944AB"/>
    <w:rsid w:val="52903990"/>
    <w:rsid w:val="52AA2E5B"/>
    <w:rsid w:val="52BE04FE"/>
    <w:rsid w:val="52C33D66"/>
    <w:rsid w:val="52CB1D9E"/>
    <w:rsid w:val="52E2243E"/>
    <w:rsid w:val="52E7421C"/>
    <w:rsid w:val="52FA020B"/>
    <w:rsid w:val="53130849"/>
    <w:rsid w:val="53180A1C"/>
    <w:rsid w:val="532C5467"/>
    <w:rsid w:val="53426210"/>
    <w:rsid w:val="53453F8B"/>
    <w:rsid w:val="53487DC7"/>
    <w:rsid w:val="53507CFB"/>
    <w:rsid w:val="539574B0"/>
    <w:rsid w:val="53AB0A82"/>
    <w:rsid w:val="53AF1641"/>
    <w:rsid w:val="53B10EFF"/>
    <w:rsid w:val="53B611D5"/>
    <w:rsid w:val="53C72E18"/>
    <w:rsid w:val="53DA3115"/>
    <w:rsid w:val="53EE096F"/>
    <w:rsid w:val="53EE0B9B"/>
    <w:rsid w:val="53F37D49"/>
    <w:rsid w:val="53F64DDE"/>
    <w:rsid w:val="54033C8E"/>
    <w:rsid w:val="54071A30"/>
    <w:rsid w:val="540F1211"/>
    <w:rsid w:val="541B31E7"/>
    <w:rsid w:val="542B759B"/>
    <w:rsid w:val="544339BE"/>
    <w:rsid w:val="545C3B2A"/>
    <w:rsid w:val="545F186C"/>
    <w:rsid w:val="54754BEC"/>
    <w:rsid w:val="54772A41"/>
    <w:rsid w:val="547F5A6B"/>
    <w:rsid w:val="54805F31"/>
    <w:rsid w:val="54851A06"/>
    <w:rsid w:val="54922FD8"/>
    <w:rsid w:val="54A86D6F"/>
    <w:rsid w:val="54B576DE"/>
    <w:rsid w:val="54B83F90"/>
    <w:rsid w:val="54C664C3"/>
    <w:rsid w:val="54C73D4E"/>
    <w:rsid w:val="54CA13DC"/>
    <w:rsid w:val="54CF51E7"/>
    <w:rsid w:val="54E93423"/>
    <w:rsid w:val="54FE6850"/>
    <w:rsid w:val="55263033"/>
    <w:rsid w:val="5529476D"/>
    <w:rsid w:val="552D3117"/>
    <w:rsid w:val="553C3F90"/>
    <w:rsid w:val="554967A4"/>
    <w:rsid w:val="554E44D2"/>
    <w:rsid w:val="554F3E2E"/>
    <w:rsid w:val="554F4E1B"/>
    <w:rsid w:val="555407D9"/>
    <w:rsid w:val="55564A1D"/>
    <w:rsid w:val="55572544"/>
    <w:rsid w:val="555B5BDA"/>
    <w:rsid w:val="5561436A"/>
    <w:rsid w:val="55A27C63"/>
    <w:rsid w:val="55BD684B"/>
    <w:rsid w:val="55C04E11"/>
    <w:rsid w:val="55DD65FC"/>
    <w:rsid w:val="55E010D4"/>
    <w:rsid w:val="55E92876"/>
    <w:rsid w:val="55FF0FDF"/>
    <w:rsid w:val="56034BF9"/>
    <w:rsid w:val="56095BC3"/>
    <w:rsid w:val="561843C9"/>
    <w:rsid w:val="56262D5D"/>
    <w:rsid w:val="562F45FB"/>
    <w:rsid w:val="5632548A"/>
    <w:rsid w:val="56356D58"/>
    <w:rsid w:val="564A3C42"/>
    <w:rsid w:val="5652729B"/>
    <w:rsid w:val="56576C9F"/>
    <w:rsid w:val="56586573"/>
    <w:rsid w:val="56586B46"/>
    <w:rsid w:val="56654034"/>
    <w:rsid w:val="56702E25"/>
    <w:rsid w:val="56786AAF"/>
    <w:rsid w:val="56927CD7"/>
    <w:rsid w:val="569F0646"/>
    <w:rsid w:val="56B37C4E"/>
    <w:rsid w:val="56C84414"/>
    <w:rsid w:val="56CD6F61"/>
    <w:rsid w:val="56D23E62"/>
    <w:rsid w:val="56F05944"/>
    <w:rsid w:val="57106E4E"/>
    <w:rsid w:val="57167097"/>
    <w:rsid w:val="572528F9"/>
    <w:rsid w:val="57323268"/>
    <w:rsid w:val="57327666"/>
    <w:rsid w:val="573967B5"/>
    <w:rsid w:val="57466801"/>
    <w:rsid w:val="57467FBB"/>
    <w:rsid w:val="57505339"/>
    <w:rsid w:val="57574EC0"/>
    <w:rsid w:val="57711F6F"/>
    <w:rsid w:val="57966C74"/>
    <w:rsid w:val="57992004"/>
    <w:rsid w:val="579B49DC"/>
    <w:rsid w:val="57AF48B9"/>
    <w:rsid w:val="57B27F05"/>
    <w:rsid w:val="57C935EE"/>
    <w:rsid w:val="57D53B36"/>
    <w:rsid w:val="57DB3900"/>
    <w:rsid w:val="57E44562"/>
    <w:rsid w:val="57EE3633"/>
    <w:rsid w:val="57F81DBC"/>
    <w:rsid w:val="57FA30DD"/>
    <w:rsid w:val="580A1290"/>
    <w:rsid w:val="58117322"/>
    <w:rsid w:val="581258AF"/>
    <w:rsid w:val="5818245E"/>
    <w:rsid w:val="58354DBE"/>
    <w:rsid w:val="584B3554"/>
    <w:rsid w:val="584D3AD4"/>
    <w:rsid w:val="5851771E"/>
    <w:rsid w:val="58584F50"/>
    <w:rsid w:val="586236D9"/>
    <w:rsid w:val="5866766D"/>
    <w:rsid w:val="588E349F"/>
    <w:rsid w:val="58947CEE"/>
    <w:rsid w:val="589F66DB"/>
    <w:rsid w:val="58B94155"/>
    <w:rsid w:val="58C6010C"/>
    <w:rsid w:val="590429E2"/>
    <w:rsid w:val="590D7AE9"/>
    <w:rsid w:val="590F3861"/>
    <w:rsid w:val="59110EAB"/>
    <w:rsid w:val="59236118"/>
    <w:rsid w:val="59442B2D"/>
    <w:rsid w:val="59503271"/>
    <w:rsid w:val="59605E6B"/>
    <w:rsid w:val="597B2CA5"/>
    <w:rsid w:val="597D58FD"/>
    <w:rsid w:val="59850B13"/>
    <w:rsid w:val="599035FD"/>
    <w:rsid w:val="59926240"/>
    <w:rsid w:val="5999137D"/>
    <w:rsid w:val="59B83784"/>
    <w:rsid w:val="59C363FA"/>
    <w:rsid w:val="59C56616"/>
    <w:rsid w:val="59C77C98"/>
    <w:rsid w:val="59CA7788"/>
    <w:rsid w:val="59CC1F72"/>
    <w:rsid w:val="59E170EA"/>
    <w:rsid w:val="59F532E8"/>
    <w:rsid w:val="5A15426C"/>
    <w:rsid w:val="5A3557BC"/>
    <w:rsid w:val="5A6A3685"/>
    <w:rsid w:val="5A7476F4"/>
    <w:rsid w:val="5A875679"/>
    <w:rsid w:val="5A8B5169"/>
    <w:rsid w:val="5A9658BC"/>
    <w:rsid w:val="5A9A28F5"/>
    <w:rsid w:val="5AA1498D"/>
    <w:rsid w:val="5AA75D1B"/>
    <w:rsid w:val="5AAF08EB"/>
    <w:rsid w:val="5ACC12DE"/>
    <w:rsid w:val="5AD42608"/>
    <w:rsid w:val="5ADC754F"/>
    <w:rsid w:val="5AFF2821"/>
    <w:rsid w:val="5B11266A"/>
    <w:rsid w:val="5B2353A2"/>
    <w:rsid w:val="5B4517BC"/>
    <w:rsid w:val="5B4A5024"/>
    <w:rsid w:val="5B55572A"/>
    <w:rsid w:val="5B5E160C"/>
    <w:rsid w:val="5B6065F6"/>
    <w:rsid w:val="5B6873FF"/>
    <w:rsid w:val="5B6A7475"/>
    <w:rsid w:val="5B7F6B46"/>
    <w:rsid w:val="5B81031A"/>
    <w:rsid w:val="5B9C30CD"/>
    <w:rsid w:val="5BC6294D"/>
    <w:rsid w:val="5BD76646"/>
    <w:rsid w:val="5BE014E5"/>
    <w:rsid w:val="5BE75FAA"/>
    <w:rsid w:val="5C1440AF"/>
    <w:rsid w:val="5C1A6133"/>
    <w:rsid w:val="5C221AFD"/>
    <w:rsid w:val="5C375C0D"/>
    <w:rsid w:val="5C384E7D"/>
    <w:rsid w:val="5C3B0095"/>
    <w:rsid w:val="5C4557EC"/>
    <w:rsid w:val="5C45759A"/>
    <w:rsid w:val="5C566FBE"/>
    <w:rsid w:val="5C671DA5"/>
    <w:rsid w:val="5C6D3D3E"/>
    <w:rsid w:val="5C6E7908"/>
    <w:rsid w:val="5C6F51D6"/>
    <w:rsid w:val="5C7C1C48"/>
    <w:rsid w:val="5CA01518"/>
    <w:rsid w:val="5CB36BF9"/>
    <w:rsid w:val="5CB62F39"/>
    <w:rsid w:val="5CC01E76"/>
    <w:rsid w:val="5CE172C2"/>
    <w:rsid w:val="5CE173E2"/>
    <w:rsid w:val="5CEC5C67"/>
    <w:rsid w:val="5CF76AE6"/>
    <w:rsid w:val="5D0A471E"/>
    <w:rsid w:val="5D284EF1"/>
    <w:rsid w:val="5D316B24"/>
    <w:rsid w:val="5D3856BD"/>
    <w:rsid w:val="5D3D64C3"/>
    <w:rsid w:val="5D425D58"/>
    <w:rsid w:val="5D506F37"/>
    <w:rsid w:val="5D5A66A9"/>
    <w:rsid w:val="5D645368"/>
    <w:rsid w:val="5D821D20"/>
    <w:rsid w:val="5D9A3915"/>
    <w:rsid w:val="5D9E315E"/>
    <w:rsid w:val="5DD519C7"/>
    <w:rsid w:val="5DD6481E"/>
    <w:rsid w:val="5DD95605"/>
    <w:rsid w:val="5DDC3F2E"/>
    <w:rsid w:val="5DEC57D0"/>
    <w:rsid w:val="5DF002D3"/>
    <w:rsid w:val="5DF43025"/>
    <w:rsid w:val="5DFB163D"/>
    <w:rsid w:val="5DFD3BA4"/>
    <w:rsid w:val="5E021BE6"/>
    <w:rsid w:val="5E056FE1"/>
    <w:rsid w:val="5E4C79CF"/>
    <w:rsid w:val="5E5D0BCB"/>
    <w:rsid w:val="5E6C312F"/>
    <w:rsid w:val="5E6D5E2A"/>
    <w:rsid w:val="5E856373"/>
    <w:rsid w:val="5E875C48"/>
    <w:rsid w:val="5EA71A29"/>
    <w:rsid w:val="5EB66C88"/>
    <w:rsid w:val="5EBB6B04"/>
    <w:rsid w:val="5EDC2437"/>
    <w:rsid w:val="5F5875E4"/>
    <w:rsid w:val="5F5A6BEC"/>
    <w:rsid w:val="5F7E65FC"/>
    <w:rsid w:val="5F95631A"/>
    <w:rsid w:val="5F9F5652"/>
    <w:rsid w:val="5FB75D25"/>
    <w:rsid w:val="5FCF4BAC"/>
    <w:rsid w:val="5FE80968"/>
    <w:rsid w:val="5FF25EC5"/>
    <w:rsid w:val="60066D32"/>
    <w:rsid w:val="600A2FD4"/>
    <w:rsid w:val="60230DB7"/>
    <w:rsid w:val="60274812"/>
    <w:rsid w:val="602C3436"/>
    <w:rsid w:val="605418A6"/>
    <w:rsid w:val="605F3F2D"/>
    <w:rsid w:val="60854409"/>
    <w:rsid w:val="60917251"/>
    <w:rsid w:val="60945816"/>
    <w:rsid w:val="60A07495"/>
    <w:rsid w:val="60A30D33"/>
    <w:rsid w:val="60A550F1"/>
    <w:rsid w:val="60A7370A"/>
    <w:rsid w:val="60B13546"/>
    <w:rsid w:val="60C74A21"/>
    <w:rsid w:val="60DA29A7"/>
    <w:rsid w:val="60DD2980"/>
    <w:rsid w:val="60E27AAD"/>
    <w:rsid w:val="60E472AF"/>
    <w:rsid w:val="60EB3BD8"/>
    <w:rsid w:val="60EF0AA9"/>
    <w:rsid w:val="60FF240D"/>
    <w:rsid w:val="61174828"/>
    <w:rsid w:val="61240A2F"/>
    <w:rsid w:val="61272163"/>
    <w:rsid w:val="61357BDD"/>
    <w:rsid w:val="61391AF7"/>
    <w:rsid w:val="616D7633"/>
    <w:rsid w:val="619B7EA7"/>
    <w:rsid w:val="61A637A4"/>
    <w:rsid w:val="61CF7E79"/>
    <w:rsid w:val="61F20D51"/>
    <w:rsid w:val="6200643D"/>
    <w:rsid w:val="62035677"/>
    <w:rsid w:val="6204326E"/>
    <w:rsid w:val="622104E9"/>
    <w:rsid w:val="62326812"/>
    <w:rsid w:val="624B7723"/>
    <w:rsid w:val="62514093"/>
    <w:rsid w:val="62673F64"/>
    <w:rsid w:val="626F711E"/>
    <w:rsid w:val="62A3501A"/>
    <w:rsid w:val="62AD76A8"/>
    <w:rsid w:val="62B33E1A"/>
    <w:rsid w:val="62B611F1"/>
    <w:rsid w:val="62B80AC5"/>
    <w:rsid w:val="62BD6B95"/>
    <w:rsid w:val="62CC27C3"/>
    <w:rsid w:val="62E47A37"/>
    <w:rsid w:val="62E62CA1"/>
    <w:rsid w:val="62F80B6C"/>
    <w:rsid w:val="630006BE"/>
    <w:rsid w:val="630A205C"/>
    <w:rsid w:val="631B7591"/>
    <w:rsid w:val="633176B2"/>
    <w:rsid w:val="63360237"/>
    <w:rsid w:val="634B149D"/>
    <w:rsid w:val="635269C6"/>
    <w:rsid w:val="6364795D"/>
    <w:rsid w:val="636F404A"/>
    <w:rsid w:val="637A0F67"/>
    <w:rsid w:val="637B3B2D"/>
    <w:rsid w:val="637B71B0"/>
    <w:rsid w:val="637C5F97"/>
    <w:rsid w:val="638258A8"/>
    <w:rsid w:val="639E7210"/>
    <w:rsid w:val="63A4104A"/>
    <w:rsid w:val="63B0240A"/>
    <w:rsid w:val="63D00091"/>
    <w:rsid w:val="63D81CD3"/>
    <w:rsid w:val="63DD4609"/>
    <w:rsid w:val="63DF6526"/>
    <w:rsid w:val="63E61662"/>
    <w:rsid w:val="63ED6FFD"/>
    <w:rsid w:val="642F684B"/>
    <w:rsid w:val="64340620"/>
    <w:rsid w:val="6464454E"/>
    <w:rsid w:val="6488118D"/>
    <w:rsid w:val="649D02C4"/>
    <w:rsid w:val="64A658E2"/>
    <w:rsid w:val="64B02E38"/>
    <w:rsid w:val="64B27B27"/>
    <w:rsid w:val="64BA612C"/>
    <w:rsid w:val="64BC5967"/>
    <w:rsid w:val="64C52205"/>
    <w:rsid w:val="64C94E2C"/>
    <w:rsid w:val="64CB151F"/>
    <w:rsid w:val="64CE1644"/>
    <w:rsid w:val="64D5192A"/>
    <w:rsid w:val="64DD2A65"/>
    <w:rsid w:val="64E631EE"/>
    <w:rsid w:val="64EA40C9"/>
    <w:rsid w:val="64FB698E"/>
    <w:rsid w:val="65000502"/>
    <w:rsid w:val="65014F88"/>
    <w:rsid w:val="650173B8"/>
    <w:rsid w:val="655F791E"/>
    <w:rsid w:val="65674A25"/>
    <w:rsid w:val="657333CA"/>
    <w:rsid w:val="65746F8E"/>
    <w:rsid w:val="657929D7"/>
    <w:rsid w:val="65801E50"/>
    <w:rsid w:val="658259D7"/>
    <w:rsid w:val="659543A1"/>
    <w:rsid w:val="65A7433F"/>
    <w:rsid w:val="65AF18AF"/>
    <w:rsid w:val="65B47DE6"/>
    <w:rsid w:val="65BE5CBA"/>
    <w:rsid w:val="65C31F8C"/>
    <w:rsid w:val="65D211D9"/>
    <w:rsid w:val="65FA56AB"/>
    <w:rsid w:val="660363A2"/>
    <w:rsid w:val="660E39B6"/>
    <w:rsid w:val="661365B5"/>
    <w:rsid w:val="66214029"/>
    <w:rsid w:val="663E6839"/>
    <w:rsid w:val="665A1E94"/>
    <w:rsid w:val="666C4A9F"/>
    <w:rsid w:val="668D4017"/>
    <w:rsid w:val="669E4476"/>
    <w:rsid w:val="66A55805"/>
    <w:rsid w:val="66AD46B9"/>
    <w:rsid w:val="66AE5A40"/>
    <w:rsid w:val="66B4663B"/>
    <w:rsid w:val="66C37A39"/>
    <w:rsid w:val="66D045C0"/>
    <w:rsid w:val="66D11AE0"/>
    <w:rsid w:val="66E024F0"/>
    <w:rsid w:val="67267860"/>
    <w:rsid w:val="673D3C8F"/>
    <w:rsid w:val="673F4FEB"/>
    <w:rsid w:val="67541089"/>
    <w:rsid w:val="6767537F"/>
    <w:rsid w:val="676E3E49"/>
    <w:rsid w:val="678418BE"/>
    <w:rsid w:val="678F3692"/>
    <w:rsid w:val="679D79C6"/>
    <w:rsid w:val="67BB55B2"/>
    <w:rsid w:val="67C021CA"/>
    <w:rsid w:val="67CA4DF7"/>
    <w:rsid w:val="67DA7730"/>
    <w:rsid w:val="67EE6DFC"/>
    <w:rsid w:val="68093B71"/>
    <w:rsid w:val="68112A26"/>
    <w:rsid w:val="6813679E"/>
    <w:rsid w:val="682063F4"/>
    <w:rsid w:val="68550B65"/>
    <w:rsid w:val="6858773F"/>
    <w:rsid w:val="685D1917"/>
    <w:rsid w:val="686D4100"/>
    <w:rsid w:val="686D7A2B"/>
    <w:rsid w:val="687F4A4A"/>
    <w:rsid w:val="68891373"/>
    <w:rsid w:val="688B69EA"/>
    <w:rsid w:val="68EF2D67"/>
    <w:rsid w:val="69076303"/>
    <w:rsid w:val="690C3919"/>
    <w:rsid w:val="69217422"/>
    <w:rsid w:val="692E55C1"/>
    <w:rsid w:val="69361846"/>
    <w:rsid w:val="69436B19"/>
    <w:rsid w:val="694877C2"/>
    <w:rsid w:val="694A016C"/>
    <w:rsid w:val="694F7CC5"/>
    <w:rsid w:val="69580091"/>
    <w:rsid w:val="69586FD5"/>
    <w:rsid w:val="69894F6A"/>
    <w:rsid w:val="69947AD4"/>
    <w:rsid w:val="69B4011F"/>
    <w:rsid w:val="69B940FF"/>
    <w:rsid w:val="69BB7EAF"/>
    <w:rsid w:val="69C33F31"/>
    <w:rsid w:val="69C76F31"/>
    <w:rsid w:val="69CA7330"/>
    <w:rsid w:val="69EE301F"/>
    <w:rsid w:val="69F02304"/>
    <w:rsid w:val="6A2045FB"/>
    <w:rsid w:val="6A246A40"/>
    <w:rsid w:val="6A2C5734"/>
    <w:rsid w:val="6A380393"/>
    <w:rsid w:val="6A3B727C"/>
    <w:rsid w:val="6A4533D4"/>
    <w:rsid w:val="6A5052F7"/>
    <w:rsid w:val="6A6923D4"/>
    <w:rsid w:val="6A793230"/>
    <w:rsid w:val="6A841BD5"/>
    <w:rsid w:val="6A9028D6"/>
    <w:rsid w:val="6AA46CD4"/>
    <w:rsid w:val="6AA70E9C"/>
    <w:rsid w:val="6AA975EF"/>
    <w:rsid w:val="6AC24D1D"/>
    <w:rsid w:val="6AF91C7B"/>
    <w:rsid w:val="6B1A50FE"/>
    <w:rsid w:val="6B3059C9"/>
    <w:rsid w:val="6B32518D"/>
    <w:rsid w:val="6B3A249E"/>
    <w:rsid w:val="6B593B73"/>
    <w:rsid w:val="6B721BC5"/>
    <w:rsid w:val="6B75742C"/>
    <w:rsid w:val="6B873380"/>
    <w:rsid w:val="6B9320D0"/>
    <w:rsid w:val="6BA449DA"/>
    <w:rsid w:val="6BAD4A8E"/>
    <w:rsid w:val="6BC172F1"/>
    <w:rsid w:val="6BD30581"/>
    <w:rsid w:val="6BD73784"/>
    <w:rsid w:val="6BE11B4A"/>
    <w:rsid w:val="6C0104AD"/>
    <w:rsid w:val="6C0924C8"/>
    <w:rsid w:val="6C476C5F"/>
    <w:rsid w:val="6C62680F"/>
    <w:rsid w:val="6C7C0DB6"/>
    <w:rsid w:val="6C880067"/>
    <w:rsid w:val="6C8A5EAD"/>
    <w:rsid w:val="6C9613CD"/>
    <w:rsid w:val="6C9F4AA4"/>
    <w:rsid w:val="6CBB02D5"/>
    <w:rsid w:val="6CC51C63"/>
    <w:rsid w:val="6CD604F3"/>
    <w:rsid w:val="6CE40709"/>
    <w:rsid w:val="6CED1CB3"/>
    <w:rsid w:val="6CF272CA"/>
    <w:rsid w:val="6CF92406"/>
    <w:rsid w:val="6D1C60F5"/>
    <w:rsid w:val="6D635AD2"/>
    <w:rsid w:val="6D6655C2"/>
    <w:rsid w:val="6D716441"/>
    <w:rsid w:val="6D806078"/>
    <w:rsid w:val="6D876160"/>
    <w:rsid w:val="6D923390"/>
    <w:rsid w:val="6D940381"/>
    <w:rsid w:val="6D9A2F35"/>
    <w:rsid w:val="6DA305C4"/>
    <w:rsid w:val="6DAA34D2"/>
    <w:rsid w:val="6DAD24E8"/>
    <w:rsid w:val="6DB868EA"/>
    <w:rsid w:val="6DCA6808"/>
    <w:rsid w:val="6DDB1EB2"/>
    <w:rsid w:val="6DE066F9"/>
    <w:rsid w:val="6DEE7A91"/>
    <w:rsid w:val="6DF332FA"/>
    <w:rsid w:val="6E034126"/>
    <w:rsid w:val="6E080427"/>
    <w:rsid w:val="6E160805"/>
    <w:rsid w:val="6E160D96"/>
    <w:rsid w:val="6E1719C5"/>
    <w:rsid w:val="6E1D27E4"/>
    <w:rsid w:val="6E3C5C00"/>
    <w:rsid w:val="6E4C2A0A"/>
    <w:rsid w:val="6E5C0E9F"/>
    <w:rsid w:val="6E7066F8"/>
    <w:rsid w:val="6E736953"/>
    <w:rsid w:val="6E760F53"/>
    <w:rsid w:val="6E7B6E4B"/>
    <w:rsid w:val="6EA83778"/>
    <w:rsid w:val="6EAC56B8"/>
    <w:rsid w:val="6EAE6153"/>
    <w:rsid w:val="6EBC3111"/>
    <w:rsid w:val="6EBF4F8A"/>
    <w:rsid w:val="6EC20EE5"/>
    <w:rsid w:val="6ED62F98"/>
    <w:rsid w:val="6ED87E72"/>
    <w:rsid w:val="6EDD4469"/>
    <w:rsid w:val="6EEB39A3"/>
    <w:rsid w:val="6EF1395B"/>
    <w:rsid w:val="6EF32B9E"/>
    <w:rsid w:val="6F1B260D"/>
    <w:rsid w:val="6F1E2926"/>
    <w:rsid w:val="6F1F462F"/>
    <w:rsid w:val="6F2A26C0"/>
    <w:rsid w:val="6F377216"/>
    <w:rsid w:val="6F470A77"/>
    <w:rsid w:val="6F5405F3"/>
    <w:rsid w:val="6F66186E"/>
    <w:rsid w:val="6F67199B"/>
    <w:rsid w:val="6F6A3147"/>
    <w:rsid w:val="6F6C5A54"/>
    <w:rsid w:val="6F6F1CDB"/>
    <w:rsid w:val="6F7B0D27"/>
    <w:rsid w:val="6FA26D85"/>
    <w:rsid w:val="6FB22D40"/>
    <w:rsid w:val="6FB62D05"/>
    <w:rsid w:val="6FD20CED"/>
    <w:rsid w:val="6FDD6E0A"/>
    <w:rsid w:val="6FDE3B35"/>
    <w:rsid w:val="6FE059CE"/>
    <w:rsid w:val="6FF203C3"/>
    <w:rsid w:val="70264895"/>
    <w:rsid w:val="705250FF"/>
    <w:rsid w:val="70531E2E"/>
    <w:rsid w:val="7055557F"/>
    <w:rsid w:val="705821AE"/>
    <w:rsid w:val="705C58C2"/>
    <w:rsid w:val="706551F1"/>
    <w:rsid w:val="706E39E7"/>
    <w:rsid w:val="70953991"/>
    <w:rsid w:val="70A22DB4"/>
    <w:rsid w:val="70A4157A"/>
    <w:rsid w:val="70A630C2"/>
    <w:rsid w:val="70A71A7C"/>
    <w:rsid w:val="70A93F18"/>
    <w:rsid w:val="70CA3CDB"/>
    <w:rsid w:val="70CB2605"/>
    <w:rsid w:val="70CC7D95"/>
    <w:rsid w:val="70DD78D4"/>
    <w:rsid w:val="70DD7E41"/>
    <w:rsid w:val="70DE78F6"/>
    <w:rsid w:val="70E37655"/>
    <w:rsid w:val="70E824E4"/>
    <w:rsid w:val="70F02E64"/>
    <w:rsid w:val="70F4004C"/>
    <w:rsid w:val="70FC2CF3"/>
    <w:rsid w:val="70FD7BBD"/>
    <w:rsid w:val="71077AAA"/>
    <w:rsid w:val="712832BA"/>
    <w:rsid w:val="712B6906"/>
    <w:rsid w:val="7137174F"/>
    <w:rsid w:val="714F371C"/>
    <w:rsid w:val="71550BD1"/>
    <w:rsid w:val="71777D9E"/>
    <w:rsid w:val="718412AA"/>
    <w:rsid w:val="7185070D"/>
    <w:rsid w:val="719C3BFC"/>
    <w:rsid w:val="719D68B5"/>
    <w:rsid w:val="719E1CC4"/>
    <w:rsid w:val="71AB7A47"/>
    <w:rsid w:val="71AC7DD2"/>
    <w:rsid w:val="71BE777B"/>
    <w:rsid w:val="71C85127"/>
    <w:rsid w:val="71D17AF0"/>
    <w:rsid w:val="71E56F95"/>
    <w:rsid w:val="71E9023A"/>
    <w:rsid w:val="71F65166"/>
    <w:rsid w:val="71F94A21"/>
    <w:rsid w:val="721528CF"/>
    <w:rsid w:val="721A5CAC"/>
    <w:rsid w:val="721B69B0"/>
    <w:rsid w:val="72233A82"/>
    <w:rsid w:val="72253C9E"/>
    <w:rsid w:val="72406B13"/>
    <w:rsid w:val="72536115"/>
    <w:rsid w:val="7279311D"/>
    <w:rsid w:val="727D609F"/>
    <w:rsid w:val="729270E5"/>
    <w:rsid w:val="72AD5040"/>
    <w:rsid w:val="72D27981"/>
    <w:rsid w:val="72EE5E3E"/>
    <w:rsid w:val="731A30D6"/>
    <w:rsid w:val="731F249B"/>
    <w:rsid w:val="73462C02"/>
    <w:rsid w:val="73506863"/>
    <w:rsid w:val="735C099F"/>
    <w:rsid w:val="73634A7D"/>
    <w:rsid w:val="73661E78"/>
    <w:rsid w:val="73781EF0"/>
    <w:rsid w:val="738F2F5B"/>
    <w:rsid w:val="73972979"/>
    <w:rsid w:val="739A3915"/>
    <w:rsid w:val="739C0C35"/>
    <w:rsid w:val="73A0182E"/>
    <w:rsid w:val="73A17491"/>
    <w:rsid w:val="73AD5CF9"/>
    <w:rsid w:val="73AF654E"/>
    <w:rsid w:val="73CA0659"/>
    <w:rsid w:val="73D02403"/>
    <w:rsid w:val="73DF4F68"/>
    <w:rsid w:val="73E01C2A"/>
    <w:rsid w:val="73E334C8"/>
    <w:rsid w:val="73EC4A73"/>
    <w:rsid w:val="73EF1131"/>
    <w:rsid w:val="73FE6554"/>
    <w:rsid w:val="740E089B"/>
    <w:rsid w:val="741B5358"/>
    <w:rsid w:val="741D0093"/>
    <w:rsid w:val="74325C46"/>
    <w:rsid w:val="743E21D9"/>
    <w:rsid w:val="7445677F"/>
    <w:rsid w:val="74534AF2"/>
    <w:rsid w:val="745D20BC"/>
    <w:rsid w:val="745F3497"/>
    <w:rsid w:val="7465798E"/>
    <w:rsid w:val="7477361A"/>
    <w:rsid w:val="74797355"/>
    <w:rsid w:val="748955AB"/>
    <w:rsid w:val="74982505"/>
    <w:rsid w:val="749A4017"/>
    <w:rsid w:val="74AB2A2E"/>
    <w:rsid w:val="74AB4236"/>
    <w:rsid w:val="74C01A5C"/>
    <w:rsid w:val="74C50E20"/>
    <w:rsid w:val="74CC73DF"/>
    <w:rsid w:val="74CF1C9F"/>
    <w:rsid w:val="74D12F97"/>
    <w:rsid w:val="74E57FDD"/>
    <w:rsid w:val="74F040EF"/>
    <w:rsid w:val="74F1363F"/>
    <w:rsid w:val="74FA6D1C"/>
    <w:rsid w:val="75167399"/>
    <w:rsid w:val="75297601"/>
    <w:rsid w:val="753541F8"/>
    <w:rsid w:val="75423F7C"/>
    <w:rsid w:val="75432FAA"/>
    <w:rsid w:val="754D324A"/>
    <w:rsid w:val="75633692"/>
    <w:rsid w:val="75783621"/>
    <w:rsid w:val="758522C1"/>
    <w:rsid w:val="7597644F"/>
    <w:rsid w:val="75AB4618"/>
    <w:rsid w:val="75B0387E"/>
    <w:rsid w:val="75C527A3"/>
    <w:rsid w:val="75C61618"/>
    <w:rsid w:val="75F0092C"/>
    <w:rsid w:val="75F14B1E"/>
    <w:rsid w:val="75FE283B"/>
    <w:rsid w:val="761F3589"/>
    <w:rsid w:val="76385C7A"/>
    <w:rsid w:val="7648357A"/>
    <w:rsid w:val="766A5DA2"/>
    <w:rsid w:val="767C19B2"/>
    <w:rsid w:val="76900054"/>
    <w:rsid w:val="76A50F09"/>
    <w:rsid w:val="76A55F2D"/>
    <w:rsid w:val="76C577FD"/>
    <w:rsid w:val="76C75323"/>
    <w:rsid w:val="76CA0970"/>
    <w:rsid w:val="76D348F8"/>
    <w:rsid w:val="76D9186E"/>
    <w:rsid w:val="76EE305C"/>
    <w:rsid w:val="76F040FD"/>
    <w:rsid w:val="76FE17F5"/>
    <w:rsid w:val="76FF4ABD"/>
    <w:rsid w:val="771B3E7E"/>
    <w:rsid w:val="771B741D"/>
    <w:rsid w:val="772846EE"/>
    <w:rsid w:val="772F2CBC"/>
    <w:rsid w:val="7746095F"/>
    <w:rsid w:val="77495D38"/>
    <w:rsid w:val="77547606"/>
    <w:rsid w:val="776E3D57"/>
    <w:rsid w:val="77A7263E"/>
    <w:rsid w:val="77D973B5"/>
    <w:rsid w:val="77DB6466"/>
    <w:rsid w:val="77EC5440"/>
    <w:rsid w:val="77FC0FFD"/>
    <w:rsid w:val="78006D3F"/>
    <w:rsid w:val="780F0D30"/>
    <w:rsid w:val="78105461"/>
    <w:rsid w:val="78142461"/>
    <w:rsid w:val="781A1483"/>
    <w:rsid w:val="782E7F5E"/>
    <w:rsid w:val="78656BA2"/>
    <w:rsid w:val="786C568C"/>
    <w:rsid w:val="787B511B"/>
    <w:rsid w:val="788D5C13"/>
    <w:rsid w:val="7890433D"/>
    <w:rsid w:val="78AD22F7"/>
    <w:rsid w:val="78AF0452"/>
    <w:rsid w:val="78AF2513"/>
    <w:rsid w:val="78C064CE"/>
    <w:rsid w:val="78C610EC"/>
    <w:rsid w:val="78CF4963"/>
    <w:rsid w:val="78E75809"/>
    <w:rsid w:val="78F17A35"/>
    <w:rsid w:val="78F87A16"/>
    <w:rsid w:val="7909498E"/>
    <w:rsid w:val="7909679A"/>
    <w:rsid w:val="790A7749"/>
    <w:rsid w:val="79110AD8"/>
    <w:rsid w:val="79461415"/>
    <w:rsid w:val="795135CA"/>
    <w:rsid w:val="797A59E3"/>
    <w:rsid w:val="799123B3"/>
    <w:rsid w:val="799264E3"/>
    <w:rsid w:val="799B65F3"/>
    <w:rsid w:val="79A53A99"/>
    <w:rsid w:val="79AB477C"/>
    <w:rsid w:val="79C21932"/>
    <w:rsid w:val="79DE4837"/>
    <w:rsid w:val="79E836B7"/>
    <w:rsid w:val="79FE72AE"/>
    <w:rsid w:val="7A0F3269"/>
    <w:rsid w:val="7A102B3D"/>
    <w:rsid w:val="7A150154"/>
    <w:rsid w:val="7A273ED6"/>
    <w:rsid w:val="7A2957CA"/>
    <w:rsid w:val="7A320374"/>
    <w:rsid w:val="7A3F1EE1"/>
    <w:rsid w:val="7A925C48"/>
    <w:rsid w:val="7AA02113"/>
    <w:rsid w:val="7AA718CF"/>
    <w:rsid w:val="7AAF05A8"/>
    <w:rsid w:val="7AB93BC7"/>
    <w:rsid w:val="7AC728AE"/>
    <w:rsid w:val="7ACC1F20"/>
    <w:rsid w:val="7AD05D04"/>
    <w:rsid w:val="7AD517DA"/>
    <w:rsid w:val="7AD90BF5"/>
    <w:rsid w:val="7ADB71B2"/>
    <w:rsid w:val="7AED5432"/>
    <w:rsid w:val="7AF64429"/>
    <w:rsid w:val="7B150FC2"/>
    <w:rsid w:val="7B160627"/>
    <w:rsid w:val="7B370FE9"/>
    <w:rsid w:val="7B3B008E"/>
    <w:rsid w:val="7B5F59A0"/>
    <w:rsid w:val="7B85670A"/>
    <w:rsid w:val="7B8B4B71"/>
    <w:rsid w:val="7B9A5587"/>
    <w:rsid w:val="7BCB5462"/>
    <w:rsid w:val="7BCE4A5E"/>
    <w:rsid w:val="7BDE5E89"/>
    <w:rsid w:val="7C084414"/>
    <w:rsid w:val="7C0B7DB2"/>
    <w:rsid w:val="7C2E06BF"/>
    <w:rsid w:val="7C38035E"/>
    <w:rsid w:val="7C451CFE"/>
    <w:rsid w:val="7C665564"/>
    <w:rsid w:val="7C6F5B94"/>
    <w:rsid w:val="7C817D22"/>
    <w:rsid w:val="7C8415C1"/>
    <w:rsid w:val="7C8E51D3"/>
    <w:rsid w:val="7C8F67B8"/>
    <w:rsid w:val="7C961A20"/>
    <w:rsid w:val="7C9E590D"/>
    <w:rsid w:val="7CB57CD2"/>
    <w:rsid w:val="7CD442F6"/>
    <w:rsid w:val="7CE47FFC"/>
    <w:rsid w:val="7CFE5482"/>
    <w:rsid w:val="7D0E04CD"/>
    <w:rsid w:val="7D19642F"/>
    <w:rsid w:val="7D3D00ED"/>
    <w:rsid w:val="7D40373A"/>
    <w:rsid w:val="7D496A92"/>
    <w:rsid w:val="7D4A7B52"/>
    <w:rsid w:val="7D6A0FFA"/>
    <w:rsid w:val="7D747887"/>
    <w:rsid w:val="7D915097"/>
    <w:rsid w:val="7D9975BB"/>
    <w:rsid w:val="7D9F4904"/>
    <w:rsid w:val="7DB73333"/>
    <w:rsid w:val="7DD345AE"/>
    <w:rsid w:val="7DEE3196"/>
    <w:rsid w:val="7DF61C76"/>
    <w:rsid w:val="7DF75DF5"/>
    <w:rsid w:val="7DFD382C"/>
    <w:rsid w:val="7DFE066D"/>
    <w:rsid w:val="7E085F15"/>
    <w:rsid w:val="7E0E0427"/>
    <w:rsid w:val="7E200482"/>
    <w:rsid w:val="7E205D0D"/>
    <w:rsid w:val="7E35231F"/>
    <w:rsid w:val="7E5001CF"/>
    <w:rsid w:val="7E83676A"/>
    <w:rsid w:val="7E851D4C"/>
    <w:rsid w:val="7E8835EA"/>
    <w:rsid w:val="7EB42546"/>
    <w:rsid w:val="7EB9700E"/>
    <w:rsid w:val="7EC76FC8"/>
    <w:rsid w:val="7EDE5E10"/>
    <w:rsid w:val="7EE02088"/>
    <w:rsid w:val="7F187B45"/>
    <w:rsid w:val="7F1F4BEA"/>
    <w:rsid w:val="7F29456C"/>
    <w:rsid w:val="7F422A25"/>
    <w:rsid w:val="7F49660A"/>
    <w:rsid w:val="7F4D37E4"/>
    <w:rsid w:val="7F632F9F"/>
    <w:rsid w:val="7F6D6326"/>
    <w:rsid w:val="7F741DC0"/>
    <w:rsid w:val="7F7A10A4"/>
    <w:rsid w:val="7F893FE5"/>
    <w:rsid w:val="7F8B606D"/>
    <w:rsid w:val="7F922307"/>
    <w:rsid w:val="7FA466F2"/>
    <w:rsid w:val="7FAE0E2E"/>
    <w:rsid w:val="7FC70975"/>
    <w:rsid w:val="7FF076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topLinePunct/>
      <w:jc w:val="both"/>
    </w:pPr>
    <w:rPr>
      <w:rFonts w:ascii="宋体" w:hAnsi="宋体" w:eastAsia="宋体" w:cs="宋体"/>
      <w:kern w:val="2"/>
      <w:sz w:val="24"/>
      <w:szCs w:val="21"/>
      <w:lang w:val="en-US" w:eastAsia="zh-CN" w:bidi="ar-SA"/>
    </w:rPr>
  </w:style>
  <w:style w:type="paragraph" w:styleId="2">
    <w:name w:val="heading 1"/>
    <w:basedOn w:val="1"/>
    <w:next w:val="1"/>
    <w:link w:val="65"/>
    <w:qFormat/>
    <w:uiPriority w:val="0"/>
    <w:pPr>
      <w:keepNext/>
      <w:keepLines/>
      <w:spacing w:line="360" w:lineRule="auto"/>
      <w:jc w:val="center"/>
      <w:outlineLvl w:val="0"/>
    </w:pPr>
    <w:rPr>
      <w:b/>
      <w:bCs/>
      <w:kern w:val="44"/>
      <w:sz w:val="32"/>
      <w:szCs w:val="44"/>
    </w:rPr>
  </w:style>
  <w:style w:type="paragraph" w:styleId="3">
    <w:name w:val="heading 2"/>
    <w:basedOn w:val="1"/>
    <w:next w:val="1"/>
    <w:link w:val="66"/>
    <w:qFormat/>
    <w:uiPriority w:val="0"/>
    <w:pPr>
      <w:keepNext/>
      <w:keepLines/>
      <w:spacing w:before="50" w:beforeLines="50" w:after="50" w:afterLines="50" w:line="416" w:lineRule="auto"/>
      <w:jc w:val="center"/>
      <w:outlineLvl w:val="1"/>
    </w:pPr>
    <w:rPr>
      <w:b/>
      <w:bCs/>
      <w:sz w:val="28"/>
    </w:rPr>
  </w:style>
  <w:style w:type="paragraph" w:styleId="4">
    <w:name w:val="heading 3"/>
    <w:basedOn w:val="1"/>
    <w:next w:val="1"/>
    <w:link w:val="67"/>
    <w:qFormat/>
    <w:uiPriority w:val="0"/>
    <w:pPr>
      <w:keepNext/>
      <w:keepLines/>
      <w:spacing w:line="360" w:lineRule="auto"/>
      <w:ind w:firstLine="0" w:firstLineChars="0"/>
      <w:outlineLvl w:val="2"/>
    </w:pPr>
    <w:rPr>
      <w:b/>
      <w:bCs/>
      <w:sz w:val="28"/>
    </w:rPr>
  </w:style>
  <w:style w:type="paragraph" w:styleId="5">
    <w:name w:val="heading 4"/>
    <w:basedOn w:val="1"/>
    <w:next w:val="1"/>
    <w:link w:val="68"/>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link w:val="69"/>
    <w:qFormat/>
    <w:uiPriority w:val="0"/>
    <w:pPr>
      <w:keepNext/>
      <w:keepLines/>
      <w:spacing w:before="280" w:after="290" w:line="372" w:lineRule="auto"/>
      <w:outlineLvl w:val="4"/>
    </w:pPr>
    <w:rPr>
      <w:rFonts w:ascii="Calibri" w:hAnsi="Calibri"/>
      <w:b/>
      <w:bCs/>
      <w:sz w:val="28"/>
      <w:szCs w:val="28"/>
    </w:rPr>
  </w:style>
  <w:style w:type="paragraph" w:styleId="7">
    <w:name w:val="heading 6"/>
    <w:basedOn w:val="1"/>
    <w:next w:val="1"/>
    <w:link w:val="70"/>
    <w:qFormat/>
    <w:uiPriority w:val="0"/>
    <w:pPr>
      <w:keepNext/>
      <w:keepLines/>
      <w:spacing w:before="240" w:after="64" w:line="317" w:lineRule="auto"/>
      <w:outlineLvl w:val="5"/>
    </w:pPr>
    <w:rPr>
      <w:rFonts w:ascii="Cambria" w:hAnsi="Cambria"/>
      <w:b/>
      <w:bCs/>
      <w:sz w:val="24"/>
    </w:rPr>
  </w:style>
  <w:style w:type="paragraph" w:styleId="8">
    <w:name w:val="heading 7"/>
    <w:basedOn w:val="1"/>
    <w:next w:val="1"/>
    <w:link w:val="71"/>
    <w:qFormat/>
    <w:uiPriority w:val="0"/>
    <w:pPr>
      <w:keepNext/>
      <w:keepLines/>
      <w:spacing w:before="240" w:after="64" w:line="317" w:lineRule="auto"/>
      <w:outlineLvl w:val="6"/>
    </w:pPr>
    <w:rPr>
      <w:rFonts w:ascii="Calibri" w:hAnsi="Calibri"/>
      <w:b/>
      <w:bCs/>
      <w:sz w:val="24"/>
    </w:rPr>
  </w:style>
  <w:style w:type="paragraph" w:styleId="9">
    <w:name w:val="heading 8"/>
    <w:basedOn w:val="1"/>
    <w:next w:val="1"/>
    <w:link w:val="72"/>
    <w:qFormat/>
    <w:uiPriority w:val="0"/>
    <w:pPr>
      <w:keepNext/>
      <w:keepLines/>
      <w:spacing w:before="240" w:after="64" w:line="317" w:lineRule="auto"/>
      <w:outlineLvl w:val="7"/>
    </w:pPr>
    <w:rPr>
      <w:rFonts w:ascii="Cambria" w:hAnsi="Cambria"/>
      <w:sz w:val="24"/>
    </w:rPr>
  </w:style>
  <w:style w:type="paragraph" w:styleId="10">
    <w:name w:val="heading 9"/>
    <w:basedOn w:val="1"/>
    <w:next w:val="1"/>
    <w:link w:val="73"/>
    <w:qFormat/>
    <w:uiPriority w:val="0"/>
    <w:pPr>
      <w:keepNext/>
      <w:keepLines/>
      <w:spacing w:before="240" w:after="64" w:line="317" w:lineRule="auto"/>
      <w:outlineLvl w:val="8"/>
    </w:pPr>
    <w:rPr>
      <w:rFonts w:ascii="Cambria" w:hAnsi="Cambria"/>
      <w:szCs w:val="21"/>
    </w:rPr>
  </w:style>
  <w:style w:type="character" w:default="1" w:styleId="50">
    <w:name w:val="Default Paragraph Font"/>
    <w:semiHidden/>
    <w:qFormat/>
    <w:uiPriority w:val="0"/>
  </w:style>
  <w:style w:type="table" w:default="1" w:styleId="48">
    <w:name w:val="Normal Table"/>
    <w:semiHidden/>
    <w:qFormat/>
    <w:uiPriority w:val="0"/>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Calibri" w:hAnsi="Calibri"/>
      <w:szCs w:val="22"/>
    </w:rPr>
  </w:style>
  <w:style w:type="paragraph" w:styleId="12">
    <w:name w:val="Normal Indent"/>
    <w:basedOn w:val="1"/>
    <w:qFormat/>
    <w:uiPriority w:val="99"/>
    <w:pPr>
      <w:ind w:firstLine="420" w:firstLineChars="200"/>
    </w:pPr>
    <w:rPr>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74"/>
    <w:qFormat/>
    <w:uiPriority w:val="0"/>
    <w:pPr>
      <w:shd w:val="clear" w:color="auto" w:fill="000080"/>
    </w:pPr>
  </w:style>
  <w:style w:type="paragraph" w:styleId="15">
    <w:name w:val="toa heading"/>
    <w:basedOn w:val="1"/>
    <w:next w:val="1"/>
    <w:qFormat/>
    <w:uiPriority w:val="0"/>
    <w:pPr>
      <w:spacing w:before="120"/>
    </w:pPr>
    <w:rPr>
      <w:rFonts w:ascii="Arial" w:hAnsi="Arial" w:cs="Arial"/>
      <w:sz w:val="24"/>
    </w:rPr>
  </w:style>
  <w:style w:type="paragraph" w:styleId="16">
    <w:name w:val="annotation text"/>
    <w:basedOn w:val="1"/>
    <w:link w:val="75"/>
    <w:qFormat/>
    <w:uiPriority w:val="0"/>
    <w:pPr>
      <w:jc w:val="left"/>
    </w:pPr>
  </w:style>
  <w:style w:type="paragraph" w:styleId="17">
    <w:name w:val="Body Text 3"/>
    <w:basedOn w:val="1"/>
    <w:link w:val="76"/>
    <w:qFormat/>
    <w:uiPriority w:val="0"/>
    <w:pPr>
      <w:spacing w:after="120"/>
    </w:pPr>
    <w:rPr>
      <w:sz w:val="16"/>
      <w:szCs w:val="16"/>
    </w:rPr>
  </w:style>
  <w:style w:type="paragraph" w:styleId="18">
    <w:name w:val="Body Text"/>
    <w:basedOn w:val="1"/>
    <w:next w:val="19"/>
    <w:link w:val="77"/>
    <w:qFormat/>
    <w:uiPriority w:val="0"/>
    <w:pPr>
      <w:adjustRightInd w:val="0"/>
      <w:spacing w:after="60" w:line="360" w:lineRule="atLeast"/>
      <w:ind w:left="72" w:leftChars="30" w:right="30" w:rightChars="30"/>
      <w:jc w:val="center"/>
      <w:textAlignment w:val="baseline"/>
    </w:pPr>
    <w:rPr>
      <w:kern w:val="0"/>
      <w:sz w:val="20"/>
      <w:szCs w:val="20"/>
    </w:rPr>
  </w:style>
  <w:style w:type="paragraph" w:styleId="19">
    <w:name w:val="Body Text 2"/>
    <w:basedOn w:val="1"/>
    <w:next w:val="20"/>
    <w:link w:val="78"/>
    <w:qFormat/>
    <w:uiPriority w:val="0"/>
    <w:pPr>
      <w:widowControl/>
      <w:spacing w:before="100" w:beforeAutospacing="1" w:after="100" w:afterAutospacing="1"/>
      <w:jc w:val="left"/>
    </w:pPr>
    <w:rPr>
      <w:rFonts w:ascii="宋体" w:hAnsi="宋体" w:cs="宋体"/>
      <w:kern w:val="0"/>
      <w:sz w:val="24"/>
    </w:rPr>
  </w:style>
  <w:style w:type="paragraph" w:styleId="20">
    <w:name w:val="Plain Text"/>
    <w:basedOn w:val="1"/>
    <w:link w:val="79"/>
    <w:qFormat/>
    <w:uiPriority w:val="0"/>
    <w:rPr>
      <w:rFonts w:ascii="宋体" w:hAnsi="Courier New" w:cs="Courier New"/>
      <w:szCs w:val="21"/>
    </w:rPr>
  </w:style>
  <w:style w:type="paragraph" w:styleId="21">
    <w:name w:val="Body Text Indent"/>
    <w:basedOn w:val="1"/>
    <w:next w:val="22"/>
    <w:link w:val="80"/>
    <w:qFormat/>
    <w:uiPriority w:val="0"/>
    <w:pPr>
      <w:spacing w:after="120"/>
      <w:ind w:left="420" w:leftChars="200"/>
    </w:pPr>
  </w:style>
  <w:style w:type="paragraph" w:customStyle="1" w:styleId="22">
    <w:name w:val="Default"/>
    <w:next w:val="1"/>
    <w:qFormat/>
    <w:uiPriority w:val="0"/>
    <w:pPr>
      <w:widowControl w:val="0"/>
      <w:autoSpaceDE w:val="0"/>
      <w:autoSpaceDN w:val="0"/>
      <w:adjustRightInd w:val="0"/>
    </w:pPr>
    <w:rPr>
      <w:rFonts w:ascii="宋体" w:hAnsi="宋体" w:eastAsia="宋体" w:cs="宋体"/>
      <w:color w:val="000000"/>
      <w:sz w:val="21"/>
      <w:szCs w:val="24"/>
      <w:lang w:val="en-US" w:eastAsia="zh-CN" w:bidi="ar-SA"/>
    </w:rPr>
  </w:style>
  <w:style w:type="paragraph" w:styleId="23">
    <w:name w:val="List 2"/>
    <w:basedOn w:val="1"/>
    <w:qFormat/>
    <w:uiPriority w:val="0"/>
    <w:pPr>
      <w:ind w:left="100" w:leftChars="200" w:hanging="200" w:hangingChars="200"/>
    </w:pPr>
  </w:style>
  <w:style w:type="paragraph" w:styleId="24">
    <w:name w:val="List Continue"/>
    <w:basedOn w:val="1"/>
    <w:qFormat/>
    <w:uiPriority w:val="0"/>
    <w:pPr>
      <w:widowControl/>
      <w:spacing w:before="100" w:beforeAutospacing="1" w:after="100" w:afterAutospacing="1"/>
      <w:jc w:val="left"/>
    </w:pPr>
    <w:rPr>
      <w:rFonts w:ascii="宋体" w:hAnsi="宋体"/>
      <w:kern w:val="0"/>
      <w:sz w:val="24"/>
    </w:rPr>
  </w:style>
  <w:style w:type="paragraph" w:styleId="25">
    <w:name w:val="index 4"/>
    <w:basedOn w:val="1"/>
    <w:next w:val="1"/>
    <w:qFormat/>
    <w:uiPriority w:val="0"/>
    <w:pPr>
      <w:ind w:left="600" w:leftChars="600"/>
    </w:pPr>
  </w:style>
  <w:style w:type="paragraph" w:styleId="26">
    <w:name w:val="toc 5"/>
    <w:basedOn w:val="1"/>
    <w:next w:val="1"/>
    <w:qFormat/>
    <w:uiPriority w:val="39"/>
    <w:pPr>
      <w:tabs>
        <w:tab w:val="right" w:leader="dot" w:pos="8296"/>
      </w:tabs>
      <w:ind w:left="1050" w:leftChars="500"/>
    </w:pPr>
    <w:rPr>
      <w:rFonts w:ascii="Calibri" w:hAnsi="Calibri"/>
      <w:szCs w:val="22"/>
    </w:rPr>
  </w:style>
  <w:style w:type="paragraph" w:styleId="27">
    <w:name w:val="toc 3"/>
    <w:basedOn w:val="1"/>
    <w:next w:val="1"/>
    <w:qFormat/>
    <w:uiPriority w:val="39"/>
    <w:pPr>
      <w:ind w:left="840" w:leftChars="400"/>
    </w:pPr>
  </w:style>
  <w:style w:type="paragraph" w:styleId="28">
    <w:name w:val="toc 8"/>
    <w:basedOn w:val="1"/>
    <w:next w:val="1"/>
    <w:qFormat/>
    <w:uiPriority w:val="39"/>
    <w:pPr>
      <w:ind w:left="2940" w:leftChars="1400"/>
    </w:pPr>
    <w:rPr>
      <w:rFonts w:ascii="Calibri" w:hAnsi="Calibri"/>
      <w:szCs w:val="22"/>
    </w:rPr>
  </w:style>
  <w:style w:type="paragraph" w:styleId="29">
    <w:name w:val="Date"/>
    <w:basedOn w:val="1"/>
    <w:next w:val="1"/>
    <w:link w:val="81"/>
    <w:qFormat/>
    <w:uiPriority w:val="0"/>
    <w:pPr>
      <w:ind w:left="100" w:leftChars="2500"/>
    </w:pPr>
  </w:style>
  <w:style w:type="paragraph" w:styleId="30">
    <w:name w:val="Body Text Indent 2"/>
    <w:basedOn w:val="1"/>
    <w:link w:val="82"/>
    <w:qFormat/>
    <w:uiPriority w:val="0"/>
    <w:pPr>
      <w:ind w:firstLine="538" w:firstLineChars="192"/>
    </w:pPr>
    <w:rPr>
      <w:sz w:val="28"/>
      <w:szCs w:val="20"/>
    </w:rPr>
  </w:style>
  <w:style w:type="paragraph" w:styleId="31">
    <w:name w:val="Balloon Text"/>
    <w:basedOn w:val="1"/>
    <w:link w:val="83"/>
    <w:qFormat/>
    <w:uiPriority w:val="0"/>
    <w:rPr>
      <w:sz w:val="18"/>
      <w:szCs w:val="18"/>
    </w:rPr>
  </w:style>
  <w:style w:type="paragraph" w:styleId="32">
    <w:name w:val="footer"/>
    <w:basedOn w:val="1"/>
    <w:link w:val="84"/>
    <w:qFormat/>
    <w:uiPriority w:val="0"/>
    <w:pPr>
      <w:tabs>
        <w:tab w:val="center" w:pos="4153"/>
        <w:tab w:val="right" w:pos="8306"/>
      </w:tabs>
      <w:snapToGrid w:val="0"/>
      <w:jc w:val="left"/>
    </w:pPr>
    <w:rPr>
      <w:sz w:val="18"/>
      <w:szCs w:val="18"/>
    </w:rPr>
  </w:style>
  <w:style w:type="paragraph" w:styleId="33">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napToGrid w:val="0"/>
      <w:spacing w:line="360" w:lineRule="auto"/>
    </w:pPr>
    <w:rPr>
      <w:sz w:val="28"/>
    </w:rPr>
  </w:style>
  <w:style w:type="paragraph" w:styleId="35">
    <w:name w:val="toc 4"/>
    <w:basedOn w:val="1"/>
    <w:next w:val="1"/>
    <w:qFormat/>
    <w:uiPriority w:val="39"/>
    <w:pPr>
      <w:tabs>
        <w:tab w:val="left" w:pos="1890"/>
        <w:tab w:val="right" w:leader="dot" w:pos="8296"/>
      </w:tabs>
      <w:ind w:left="630" w:leftChars="300"/>
    </w:pPr>
    <w:rPr>
      <w:rFonts w:ascii="Calibri" w:hAnsi="Calibri"/>
      <w:szCs w:val="22"/>
    </w:rPr>
  </w:style>
  <w:style w:type="paragraph" w:styleId="36">
    <w:name w:val="Subtitle"/>
    <w:basedOn w:val="1"/>
    <w:next w:val="1"/>
    <w:link w:val="86"/>
    <w:qFormat/>
    <w:uiPriority w:val="0"/>
    <w:pPr>
      <w:spacing w:before="240" w:after="60" w:line="312" w:lineRule="auto"/>
      <w:jc w:val="center"/>
      <w:outlineLvl w:val="1"/>
    </w:pPr>
    <w:rPr>
      <w:rFonts w:ascii="Cambria" w:hAnsi="Cambria"/>
      <w:b/>
      <w:bCs/>
      <w:kern w:val="28"/>
      <w:sz w:val="32"/>
      <w:szCs w:val="32"/>
    </w:rPr>
  </w:style>
  <w:style w:type="paragraph" w:styleId="37">
    <w:name w:val="List"/>
    <w:basedOn w:val="1"/>
    <w:qFormat/>
    <w:uiPriority w:val="0"/>
    <w:pPr>
      <w:ind w:left="420" w:hanging="420"/>
    </w:pPr>
    <w:rPr>
      <w:rFonts w:eastAsia="楷体_GB2312"/>
      <w:sz w:val="32"/>
      <w:szCs w:val="20"/>
    </w:rPr>
  </w:style>
  <w:style w:type="paragraph" w:styleId="38">
    <w:name w:val="footnote text"/>
    <w:basedOn w:val="1"/>
    <w:qFormat/>
    <w:uiPriority w:val="99"/>
    <w:rPr>
      <w:sz w:val="20"/>
      <w:szCs w:val="20"/>
    </w:rPr>
  </w:style>
  <w:style w:type="paragraph" w:styleId="39">
    <w:name w:val="toc 6"/>
    <w:basedOn w:val="1"/>
    <w:next w:val="1"/>
    <w:qFormat/>
    <w:uiPriority w:val="39"/>
    <w:pPr>
      <w:ind w:left="1050"/>
      <w:jc w:val="left"/>
    </w:pPr>
    <w:rPr>
      <w:sz w:val="20"/>
      <w:szCs w:val="20"/>
    </w:rPr>
  </w:style>
  <w:style w:type="paragraph" w:styleId="40">
    <w:name w:val="Body Text Indent 3"/>
    <w:basedOn w:val="1"/>
    <w:link w:val="87"/>
    <w:qFormat/>
    <w:uiPriority w:val="0"/>
    <w:pPr>
      <w:spacing w:after="120"/>
      <w:ind w:left="420" w:leftChars="200"/>
    </w:pPr>
    <w:rPr>
      <w:sz w:val="16"/>
      <w:szCs w:val="16"/>
    </w:rPr>
  </w:style>
  <w:style w:type="paragraph" w:styleId="41">
    <w:name w:val="toc 2"/>
    <w:basedOn w:val="1"/>
    <w:next w:val="1"/>
    <w:qFormat/>
    <w:uiPriority w:val="39"/>
    <w:pPr>
      <w:tabs>
        <w:tab w:val="left" w:pos="840"/>
        <w:tab w:val="right" w:leader="dot" w:pos="9061"/>
      </w:tabs>
      <w:ind w:left="420" w:leftChars="200"/>
    </w:pPr>
  </w:style>
  <w:style w:type="paragraph" w:styleId="42">
    <w:name w:val="toc 9"/>
    <w:basedOn w:val="1"/>
    <w:next w:val="1"/>
    <w:qFormat/>
    <w:uiPriority w:val="39"/>
    <w:pPr>
      <w:ind w:left="3360" w:leftChars="1600"/>
    </w:pPr>
    <w:rPr>
      <w:rFonts w:ascii="Calibri" w:hAnsi="Calibri"/>
      <w:szCs w:val="22"/>
    </w:rPr>
  </w:style>
  <w:style w:type="paragraph" w:styleId="43">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44">
    <w:name w:val="Title"/>
    <w:basedOn w:val="1"/>
    <w:link w:val="88"/>
    <w:qFormat/>
    <w:uiPriority w:val="0"/>
    <w:pPr>
      <w:spacing w:before="240" w:after="60"/>
      <w:jc w:val="center"/>
      <w:outlineLvl w:val="0"/>
    </w:pPr>
    <w:rPr>
      <w:rFonts w:ascii="Arial" w:hAnsi="Arial" w:cs="Arial"/>
      <w:b/>
      <w:bCs/>
      <w:sz w:val="32"/>
      <w:szCs w:val="32"/>
    </w:rPr>
  </w:style>
  <w:style w:type="paragraph" w:styleId="45">
    <w:name w:val="annotation subject"/>
    <w:basedOn w:val="16"/>
    <w:next w:val="16"/>
    <w:link w:val="89"/>
    <w:qFormat/>
    <w:uiPriority w:val="0"/>
    <w:rPr>
      <w:rFonts w:ascii="宋体"/>
      <w:b/>
      <w:bCs/>
      <w:kern w:val="0"/>
      <w:sz w:val="28"/>
      <w:szCs w:val="20"/>
    </w:rPr>
  </w:style>
  <w:style w:type="paragraph" w:styleId="46">
    <w:name w:val="Body Text First Indent"/>
    <w:basedOn w:val="1"/>
    <w:next w:val="47"/>
    <w:qFormat/>
    <w:uiPriority w:val="0"/>
    <w:pPr>
      <w:ind w:firstLine="420"/>
    </w:pPr>
    <w:rPr>
      <w:rFonts w:eastAsia="楷体_GB2312"/>
      <w:sz w:val="32"/>
      <w:szCs w:val="20"/>
    </w:rPr>
  </w:style>
  <w:style w:type="paragraph" w:styleId="47">
    <w:name w:val="Body Text First Indent 2"/>
    <w:basedOn w:val="21"/>
    <w:next w:val="1"/>
    <w:link w:val="90"/>
    <w:qFormat/>
    <w:uiPriority w:val="0"/>
    <w:pPr>
      <w:ind w:firstLine="420" w:firstLineChars="200"/>
    </w:pPr>
    <w:rPr>
      <w:rFonts w:eastAsia="宋体"/>
    </w:r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basedOn w:val="50"/>
    <w:qFormat/>
    <w:uiPriority w:val="0"/>
    <w:rPr>
      <w:color w:val="800080"/>
      <w:u w:val="none"/>
    </w:rPr>
  </w:style>
  <w:style w:type="character" w:styleId="54">
    <w:name w:val="Emphasis"/>
    <w:qFormat/>
    <w:uiPriority w:val="0"/>
    <w:rPr>
      <w:i/>
      <w:iCs/>
    </w:rPr>
  </w:style>
  <w:style w:type="character" w:styleId="55">
    <w:name w:val="HTML Definition"/>
    <w:basedOn w:val="50"/>
    <w:qFormat/>
    <w:uiPriority w:val="0"/>
  </w:style>
  <w:style w:type="character" w:styleId="56">
    <w:name w:val="HTML Typewriter"/>
    <w:basedOn w:val="50"/>
    <w:qFormat/>
    <w:uiPriority w:val="0"/>
    <w:rPr>
      <w:rFonts w:ascii="monospace" w:hAnsi="monospace" w:eastAsia="monospace" w:cs="monospace"/>
      <w:sz w:val="20"/>
    </w:rPr>
  </w:style>
  <w:style w:type="character" w:styleId="57">
    <w:name w:val="HTML Acronym"/>
    <w:basedOn w:val="50"/>
    <w:qFormat/>
    <w:uiPriority w:val="0"/>
  </w:style>
  <w:style w:type="character" w:styleId="58">
    <w:name w:val="HTML Variable"/>
    <w:basedOn w:val="50"/>
    <w:qFormat/>
    <w:uiPriority w:val="0"/>
  </w:style>
  <w:style w:type="character" w:styleId="59">
    <w:name w:val="Hyperlink"/>
    <w:basedOn w:val="50"/>
    <w:qFormat/>
    <w:uiPriority w:val="99"/>
    <w:rPr>
      <w:color w:val="0000FF"/>
      <w:u w:val="none"/>
    </w:rPr>
  </w:style>
  <w:style w:type="character" w:styleId="60">
    <w:name w:val="HTML Code"/>
    <w:basedOn w:val="50"/>
    <w:qFormat/>
    <w:uiPriority w:val="0"/>
    <w:rPr>
      <w:rFonts w:hint="default" w:ascii="monospace" w:hAnsi="monospace" w:eastAsia="monospace" w:cs="monospace"/>
      <w:sz w:val="20"/>
    </w:rPr>
  </w:style>
  <w:style w:type="character" w:styleId="61">
    <w:name w:val="annotation reference"/>
    <w:qFormat/>
    <w:uiPriority w:val="0"/>
    <w:rPr>
      <w:rFonts w:cs="Times New Roman"/>
      <w:sz w:val="21"/>
      <w:szCs w:val="21"/>
    </w:rPr>
  </w:style>
  <w:style w:type="character" w:styleId="62">
    <w:name w:val="HTML Cite"/>
    <w:basedOn w:val="50"/>
    <w:qFormat/>
    <w:uiPriority w:val="0"/>
  </w:style>
  <w:style w:type="character" w:styleId="63">
    <w:name w:val="HTML Keyboard"/>
    <w:basedOn w:val="50"/>
    <w:qFormat/>
    <w:uiPriority w:val="0"/>
    <w:rPr>
      <w:rFonts w:hint="default" w:ascii="monospace" w:hAnsi="monospace" w:eastAsia="monospace" w:cs="monospace"/>
      <w:sz w:val="20"/>
    </w:rPr>
  </w:style>
  <w:style w:type="character" w:styleId="64">
    <w:name w:val="HTML Sample"/>
    <w:basedOn w:val="50"/>
    <w:qFormat/>
    <w:uiPriority w:val="0"/>
    <w:rPr>
      <w:rFonts w:hint="default" w:ascii="monospace" w:hAnsi="monospace" w:eastAsia="monospace" w:cs="monospace"/>
    </w:rPr>
  </w:style>
  <w:style w:type="character" w:customStyle="1" w:styleId="65">
    <w:name w:val="标题 1 Char"/>
    <w:basedOn w:val="50"/>
    <w:link w:val="2"/>
    <w:qFormat/>
    <w:uiPriority w:val="0"/>
    <w:rPr>
      <w:rFonts w:eastAsia="宋体"/>
      <w:b/>
      <w:bCs/>
      <w:kern w:val="44"/>
      <w:sz w:val="32"/>
      <w:szCs w:val="44"/>
    </w:rPr>
  </w:style>
  <w:style w:type="character" w:customStyle="1" w:styleId="66">
    <w:name w:val="标题 2 Char"/>
    <w:basedOn w:val="50"/>
    <w:link w:val="3"/>
    <w:qFormat/>
    <w:uiPriority w:val="0"/>
    <w:rPr>
      <w:rFonts w:ascii="宋体" w:hAnsi="宋体" w:eastAsia="宋体" w:cs="宋体"/>
      <w:b/>
      <w:bCs/>
      <w:kern w:val="2"/>
      <w:sz w:val="28"/>
      <w:szCs w:val="24"/>
    </w:rPr>
  </w:style>
  <w:style w:type="character" w:customStyle="1" w:styleId="67">
    <w:name w:val="标题 3 Char"/>
    <w:link w:val="4"/>
    <w:qFormat/>
    <w:uiPriority w:val="0"/>
    <w:rPr>
      <w:rFonts w:ascii="宋体" w:hAnsi="宋体" w:eastAsia="宋体" w:cs="宋体"/>
      <w:b/>
      <w:bCs/>
      <w:kern w:val="2"/>
      <w:sz w:val="28"/>
      <w:szCs w:val="21"/>
    </w:rPr>
  </w:style>
  <w:style w:type="character" w:customStyle="1" w:styleId="68">
    <w:name w:val="标题 4 Char"/>
    <w:basedOn w:val="50"/>
    <w:link w:val="5"/>
    <w:qFormat/>
    <w:uiPriority w:val="0"/>
    <w:rPr>
      <w:rFonts w:ascii="Cambria" w:hAnsi="Cambria" w:eastAsia="宋体" w:cs="Times New Roman"/>
      <w:b/>
      <w:bCs/>
      <w:kern w:val="2"/>
      <w:sz w:val="28"/>
      <w:szCs w:val="28"/>
    </w:rPr>
  </w:style>
  <w:style w:type="character" w:customStyle="1" w:styleId="69">
    <w:name w:val="标题 5 Char"/>
    <w:basedOn w:val="50"/>
    <w:link w:val="6"/>
    <w:qFormat/>
    <w:uiPriority w:val="0"/>
    <w:rPr>
      <w:rFonts w:ascii="Calibri" w:hAnsi="Calibri"/>
      <w:b/>
      <w:bCs/>
      <w:kern w:val="2"/>
      <w:sz w:val="28"/>
      <w:szCs w:val="28"/>
    </w:rPr>
  </w:style>
  <w:style w:type="character" w:customStyle="1" w:styleId="70">
    <w:name w:val="标题 6 Char"/>
    <w:basedOn w:val="50"/>
    <w:link w:val="7"/>
    <w:qFormat/>
    <w:uiPriority w:val="0"/>
    <w:rPr>
      <w:rFonts w:ascii="Cambria" w:hAnsi="Cambria"/>
      <w:b/>
      <w:bCs/>
      <w:kern w:val="2"/>
      <w:sz w:val="24"/>
      <w:szCs w:val="24"/>
    </w:rPr>
  </w:style>
  <w:style w:type="character" w:customStyle="1" w:styleId="71">
    <w:name w:val="标题 7 Char"/>
    <w:basedOn w:val="50"/>
    <w:link w:val="8"/>
    <w:qFormat/>
    <w:uiPriority w:val="0"/>
    <w:rPr>
      <w:rFonts w:ascii="Calibri" w:hAnsi="Calibri"/>
      <w:b/>
      <w:bCs/>
      <w:kern w:val="2"/>
      <w:sz w:val="24"/>
      <w:szCs w:val="24"/>
    </w:rPr>
  </w:style>
  <w:style w:type="character" w:customStyle="1" w:styleId="72">
    <w:name w:val="标题 8 Char"/>
    <w:basedOn w:val="50"/>
    <w:link w:val="9"/>
    <w:qFormat/>
    <w:uiPriority w:val="0"/>
    <w:rPr>
      <w:rFonts w:ascii="Cambria" w:hAnsi="Cambria"/>
      <w:kern w:val="2"/>
      <w:sz w:val="24"/>
      <w:szCs w:val="24"/>
    </w:rPr>
  </w:style>
  <w:style w:type="character" w:customStyle="1" w:styleId="73">
    <w:name w:val="标题 9 Char"/>
    <w:basedOn w:val="50"/>
    <w:link w:val="10"/>
    <w:qFormat/>
    <w:uiPriority w:val="0"/>
    <w:rPr>
      <w:rFonts w:ascii="Cambria" w:hAnsi="Cambria"/>
      <w:kern w:val="2"/>
      <w:sz w:val="21"/>
      <w:szCs w:val="21"/>
    </w:rPr>
  </w:style>
  <w:style w:type="character" w:customStyle="1" w:styleId="74">
    <w:name w:val="文档结构图 Char"/>
    <w:link w:val="14"/>
    <w:qFormat/>
    <w:uiPriority w:val="0"/>
    <w:rPr>
      <w:rFonts w:eastAsia="宋体"/>
      <w:kern w:val="2"/>
      <w:sz w:val="21"/>
      <w:szCs w:val="24"/>
      <w:lang w:val="en-US" w:eastAsia="zh-CN" w:bidi="ar-SA"/>
    </w:rPr>
  </w:style>
  <w:style w:type="character" w:customStyle="1" w:styleId="75">
    <w:name w:val="批注文字 Char"/>
    <w:link w:val="16"/>
    <w:qFormat/>
    <w:uiPriority w:val="0"/>
    <w:rPr>
      <w:kern w:val="2"/>
      <w:sz w:val="21"/>
      <w:szCs w:val="24"/>
    </w:rPr>
  </w:style>
  <w:style w:type="character" w:customStyle="1" w:styleId="76">
    <w:name w:val="正文文本 3 Char"/>
    <w:basedOn w:val="50"/>
    <w:link w:val="17"/>
    <w:qFormat/>
    <w:uiPriority w:val="0"/>
    <w:rPr>
      <w:kern w:val="2"/>
      <w:sz w:val="16"/>
      <w:szCs w:val="16"/>
    </w:rPr>
  </w:style>
  <w:style w:type="character" w:customStyle="1" w:styleId="77">
    <w:name w:val="正文文本 Char"/>
    <w:link w:val="18"/>
    <w:qFormat/>
    <w:uiPriority w:val="0"/>
  </w:style>
  <w:style w:type="character" w:customStyle="1" w:styleId="78">
    <w:name w:val="正文文本 2 Char"/>
    <w:basedOn w:val="50"/>
    <w:link w:val="19"/>
    <w:qFormat/>
    <w:uiPriority w:val="0"/>
    <w:rPr>
      <w:rFonts w:ascii="宋体" w:hAnsi="宋体" w:cs="宋体"/>
      <w:sz w:val="24"/>
      <w:szCs w:val="24"/>
    </w:rPr>
  </w:style>
  <w:style w:type="character" w:customStyle="1" w:styleId="79">
    <w:name w:val="纯文本 Char"/>
    <w:basedOn w:val="50"/>
    <w:link w:val="20"/>
    <w:qFormat/>
    <w:uiPriority w:val="0"/>
    <w:rPr>
      <w:rFonts w:ascii="宋体" w:hAnsi="Courier New" w:cs="Courier New"/>
      <w:kern w:val="2"/>
      <w:sz w:val="21"/>
      <w:szCs w:val="21"/>
    </w:rPr>
  </w:style>
  <w:style w:type="character" w:customStyle="1" w:styleId="80">
    <w:name w:val="正文文本缩进 Char"/>
    <w:basedOn w:val="50"/>
    <w:link w:val="21"/>
    <w:qFormat/>
    <w:uiPriority w:val="0"/>
    <w:rPr>
      <w:kern w:val="2"/>
      <w:sz w:val="21"/>
      <w:szCs w:val="24"/>
    </w:rPr>
  </w:style>
  <w:style w:type="character" w:customStyle="1" w:styleId="81">
    <w:name w:val="日期 Char"/>
    <w:link w:val="29"/>
    <w:qFormat/>
    <w:uiPriority w:val="0"/>
    <w:rPr>
      <w:kern w:val="2"/>
      <w:sz w:val="21"/>
      <w:szCs w:val="24"/>
    </w:rPr>
  </w:style>
  <w:style w:type="character" w:customStyle="1" w:styleId="82">
    <w:name w:val="正文文本缩进 2 Char"/>
    <w:basedOn w:val="50"/>
    <w:link w:val="30"/>
    <w:qFormat/>
    <w:uiPriority w:val="0"/>
    <w:rPr>
      <w:kern w:val="2"/>
      <w:sz w:val="28"/>
    </w:rPr>
  </w:style>
  <w:style w:type="character" w:customStyle="1" w:styleId="83">
    <w:name w:val="批注框文本 Char"/>
    <w:link w:val="31"/>
    <w:qFormat/>
    <w:uiPriority w:val="0"/>
    <w:rPr>
      <w:kern w:val="2"/>
      <w:sz w:val="18"/>
      <w:szCs w:val="18"/>
    </w:rPr>
  </w:style>
  <w:style w:type="character" w:customStyle="1" w:styleId="84">
    <w:name w:val="页脚 Char"/>
    <w:link w:val="32"/>
    <w:qFormat/>
    <w:uiPriority w:val="0"/>
    <w:rPr>
      <w:kern w:val="2"/>
      <w:sz w:val="18"/>
      <w:szCs w:val="18"/>
    </w:rPr>
  </w:style>
  <w:style w:type="character" w:customStyle="1" w:styleId="85">
    <w:name w:val="页眉 Char"/>
    <w:link w:val="33"/>
    <w:qFormat/>
    <w:uiPriority w:val="0"/>
    <w:rPr>
      <w:kern w:val="2"/>
      <w:sz w:val="18"/>
      <w:szCs w:val="18"/>
    </w:rPr>
  </w:style>
  <w:style w:type="character" w:customStyle="1" w:styleId="86">
    <w:name w:val="副标题 Char"/>
    <w:link w:val="36"/>
    <w:qFormat/>
    <w:uiPriority w:val="0"/>
    <w:rPr>
      <w:rFonts w:ascii="Cambria" w:hAnsi="Cambria"/>
      <w:b/>
      <w:bCs/>
      <w:kern w:val="28"/>
      <w:sz w:val="32"/>
      <w:szCs w:val="32"/>
    </w:rPr>
  </w:style>
  <w:style w:type="character" w:customStyle="1" w:styleId="87">
    <w:name w:val="正文文本缩进 3 Char"/>
    <w:basedOn w:val="50"/>
    <w:link w:val="40"/>
    <w:qFormat/>
    <w:uiPriority w:val="0"/>
    <w:rPr>
      <w:kern w:val="2"/>
      <w:sz w:val="16"/>
      <w:szCs w:val="16"/>
    </w:rPr>
  </w:style>
  <w:style w:type="character" w:customStyle="1" w:styleId="88">
    <w:name w:val="标题 Char"/>
    <w:basedOn w:val="50"/>
    <w:link w:val="44"/>
    <w:qFormat/>
    <w:uiPriority w:val="0"/>
    <w:rPr>
      <w:rFonts w:ascii="Arial" w:hAnsi="Arial" w:cs="Arial"/>
      <w:b/>
      <w:bCs/>
      <w:kern w:val="2"/>
      <w:sz w:val="32"/>
      <w:szCs w:val="32"/>
    </w:rPr>
  </w:style>
  <w:style w:type="character" w:customStyle="1" w:styleId="89">
    <w:name w:val="批注主题 Char"/>
    <w:link w:val="45"/>
    <w:qFormat/>
    <w:uiPriority w:val="0"/>
    <w:rPr>
      <w:rFonts w:ascii="宋体"/>
      <w:b/>
      <w:bCs/>
      <w:sz w:val="28"/>
    </w:rPr>
  </w:style>
  <w:style w:type="character" w:customStyle="1" w:styleId="90">
    <w:name w:val="正文首行缩进 2 Char"/>
    <w:basedOn w:val="80"/>
    <w:link w:val="47"/>
    <w:qFormat/>
    <w:uiPriority w:val="0"/>
    <w:rPr>
      <w:rFonts w:eastAsia="宋体"/>
    </w:rPr>
  </w:style>
  <w:style w:type="paragraph" w:customStyle="1" w:styleId="91">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92">
    <w:name w:val="无间隔1"/>
    <w:next w:val="13"/>
    <w:qFormat/>
    <w:uiPriority w:val="0"/>
    <w:pPr>
      <w:widowControl w:val="0"/>
      <w:jc w:val="both"/>
    </w:pPr>
    <w:rPr>
      <w:rFonts w:ascii="Calibri" w:hAnsi="Calibri" w:eastAsia="宋体" w:cs="Times New Roman"/>
      <w:kern w:val="2"/>
      <w:sz w:val="21"/>
      <w:szCs w:val="22"/>
      <w:lang w:val="en-US" w:eastAsia="zh-CN" w:bidi="ar-SA"/>
    </w:rPr>
  </w:style>
  <w:style w:type="character" w:customStyle="1" w:styleId="93">
    <w:name w:val="明显引用 Char"/>
    <w:link w:val="94"/>
    <w:qFormat/>
    <w:uiPriority w:val="0"/>
    <w:rPr>
      <w:b/>
      <w:bCs/>
      <w:i/>
      <w:iCs/>
      <w:color w:val="4F81BD"/>
      <w:kern w:val="2"/>
      <w:sz w:val="21"/>
      <w:szCs w:val="22"/>
    </w:rPr>
  </w:style>
  <w:style w:type="paragraph" w:styleId="94">
    <w:name w:val="Intense Quote"/>
    <w:basedOn w:val="1"/>
    <w:next w:val="1"/>
    <w:link w:val="93"/>
    <w:qFormat/>
    <w:uiPriority w:val="0"/>
    <w:pPr>
      <w:pBdr>
        <w:bottom w:val="single" w:color="4F81BD" w:sz="4" w:space="4"/>
      </w:pBdr>
      <w:spacing w:before="200" w:after="280"/>
      <w:ind w:left="936" w:right="936"/>
    </w:pPr>
    <w:rPr>
      <w:b/>
      <w:bCs/>
      <w:i/>
      <w:iCs/>
      <w:color w:val="4F81BD"/>
      <w:szCs w:val="22"/>
    </w:rPr>
  </w:style>
  <w:style w:type="character" w:customStyle="1" w:styleId="95">
    <w:name w:val="副标题 Char1"/>
    <w:basedOn w:val="50"/>
    <w:qFormat/>
    <w:uiPriority w:val="11"/>
    <w:rPr>
      <w:rFonts w:ascii="Cambria" w:hAnsi="Cambria" w:cs="Times New Roman"/>
      <w:b/>
      <w:bCs/>
      <w:kern w:val="28"/>
      <w:sz w:val="32"/>
      <w:szCs w:val="32"/>
    </w:rPr>
  </w:style>
  <w:style w:type="character" w:customStyle="1" w:styleId="96">
    <w:name w:val="页眉 Char1"/>
    <w:basedOn w:val="50"/>
    <w:semiHidden/>
    <w:qFormat/>
    <w:uiPriority w:val="99"/>
    <w:rPr>
      <w:kern w:val="2"/>
      <w:sz w:val="18"/>
      <w:szCs w:val="18"/>
    </w:rPr>
  </w:style>
  <w:style w:type="character" w:customStyle="1" w:styleId="97">
    <w:name w:val=" Char Char17"/>
    <w:qFormat/>
    <w:uiPriority w:val="0"/>
    <w:rPr>
      <w:rFonts w:ascii="Cambria" w:hAnsi="Cambria" w:eastAsia="宋体"/>
      <w:b/>
      <w:bCs/>
      <w:kern w:val="2"/>
      <w:sz w:val="32"/>
      <w:szCs w:val="32"/>
      <w:lang w:val="en-US" w:eastAsia="zh-CN" w:bidi="ar-SA"/>
    </w:rPr>
  </w:style>
  <w:style w:type="character" w:customStyle="1" w:styleId="98">
    <w:name w:val="批注框文本 Char2"/>
    <w:basedOn w:val="50"/>
    <w:qFormat/>
    <w:uiPriority w:val="99"/>
    <w:rPr>
      <w:kern w:val="2"/>
      <w:sz w:val="18"/>
      <w:szCs w:val="18"/>
    </w:rPr>
  </w:style>
  <w:style w:type="character" w:customStyle="1" w:styleId="99">
    <w:name w:val="font161"/>
    <w:basedOn w:val="50"/>
    <w:qFormat/>
    <w:uiPriority w:val="0"/>
    <w:rPr>
      <w:b/>
      <w:bCs/>
      <w:sz w:val="32"/>
      <w:szCs w:val="32"/>
    </w:rPr>
  </w:style>
  <w:style w:type="character" w:customStyle="1" w:styleId="100">
    <w:name w:val="日期 Char2"/>
    <w:basedOn w:val="50"/>
    <w:semiHidden/>
    <w:qFormat/>
    <w:uiPriority w:val="99"/>
    <w:rPr>
      <w:kern w:val="2"/>
      <w:sz w:val="21"/>
      <w:szCs w:val="22"/>
    </w:rPr>
  </w:style>
  <w:style w:type="character" w:customStyle="1" w:styleId="101">
    <w:name w:val="_Style 100"/>
    <w:qFormat/>
    <w:uiPriority w:val="0"/>
    <w:rPr>
      <w:b/>
      <w:bCs/>
      <w:i/>
      <w:iCs/>
      <w:color w:val="4F81BD"/>
    </w:rPr>
  </w:style>
  <w:style w:type="character" w:customStyle="1" w:styleId="102">
    <w:name w:val="正文文本 3 Char1"/>
    <w:basedOn w:val="50"/>
    <w:qFormat/>
    <w:uiPriority w:val="0"/>
    <w:rPr>
      <w:kern w:val="2"/>
      <w:sz w:val="16"/>
      <w:szCs w:val="16"/>
    </w:rPr>
  </w:style>
  <w:style w:type="character" w:customStyle="1" w:styleId="103">
    <w:name w:val="标题5 Char Char"/>
    <w:link w:val="104"/>
    <w:qFormat/>
    <w:uiPriority w:val="0"/>
    <w:rPr>
      <w:rFonts w:ascii="Arial" w:hAnsi="Arial"/>
      <w:b/>
      <w:bCs/>
      <w:sz w:val="24"/>
      <w:szCs w:val="32"/>
    </w:rPr>
  </w:style>
  <w:style w:type="paragraph" w:customStyle="1" w:styleId="104">
    <w:name w:val="标题5"/>
    <w:basedOn w:val="4"/>
    <w:link w:val="103"/>
    <w:qFormat/>
    <w:uiPriority w:val="0"/>
    <w:pPr>
      <w:spacing w:line="413" w:lineRule="auto"/>
    </w:pPr>
    <w:rPr>
      <w:rFonts w:ascii="Arial" w:hAnsi="Arial"/>
      <w:kern w:val="0"/>
      <w:sz w:val="24"/>
    </w:rPr>
  </w:style>
  <w:style w:type="character" w:customStyle="1" w:styleId="105">
    <w:name w:val="textcontents"/>
    <w:qFormat/>
    <w:uiPriority w:val="0"/>
    <w:rPr>
      <w:rFonts w:cs="Times New Roman"/>
    </w:rPr>
  </w:style>
  <w:style w:type="character" w:customStyle="1" w:styleId="106">
    <w:name w:val="日期 Char1"/>
    <w:qFormat/>
    <w:uiPriority w:val="0"/>
    <w:rPr>
      <w:kern w:val="2"/>
      <w:sz w:val="21"/>
      <w:szCs w:val="22"/>
    </w:rPr>
  </w:style>
  <w:style w:type="character" w:customStyle="1" w:styleId="107">
    <w:name w:val="明显引用 Char1"/>
    <w:basedOn w:val="50"/>
    <w:qFormat/>
    <w:uiPriority w:val="30"/>
    <w:rPr>
      <w:b/>
      <w:bCs/>
      <w:i/>
      <w:iCs/>
      <w:color w:val="4F81BD"/>
      <w:kern w:val="2"/>
      <w:sz w:val="21"/>
      <w:szCs w:val="24"/>
    </w:rPr>
  </w:style>
  <w:style w:type="character" w:customStyle="1" w:styleId="108">
    <w:name w:val="普通文字 Char"/>
    <w:basedOn w:val="50"/>
    <w:qFormat/>
    <w:uiPriority w:val="0"/>
    <w:rPr>
      <w:rFonts w:ascii="宋体" w:hAnsi="Courier New" w:eastAsia="幼圆"/>
      <w:kern w:val="2"/>
      <w:sz w:val="21"/>
      <w:lang w:val="en-US" w:eastAsia="zh-CN" w:bidi="ar-SA"/>
    </w:rPr>
  </w:style>
  <w:style w:type="character" w:customStyle="1" w:styleId="109">
    <w:name w:val="正文文本 Char2"/>
    <w:basedOn w:val="50"/>
    <w:qFormat/>
    <w:uiPriority w:val="99"/>
    <w:rPr>
      <w:kern w:val="2"/>
      <w:sz w:val="21"/>
      <w:szCs w:val="24"/>
    </w:rPr>
  </w:style>
  <w:style w:type="character" w:customStyle="1" w:styleId="110">
    <w:name w:val="引用 Char1"/>
    <w:basedOn w:val="50"/>
    <w:qFormat/>
    <w:uiPriority w:val="29"/>
    <w:rPr>
      <w:i/>
      <w:iCs/>
      <w:color w:val="000000"/>
      <w:kern w:val="2"/>
      <w:sz w:val="21"/>
      <w:szCs w:val="24"/>
    </w:rPr>
  </w:style>
  <w:style w:type="character" w:customStyle="1" w:styleId="111">
    <w:name w:val="_Style 110"/>
    <w:qFormat/>
    <w:uiPriority w:val="0"/>
    <w:rPr>
      <w:b/>
      <w:bCs/>
      <w:smallCaps/>
      <w:spacing w:val="5"/>
    </w:rPr>
  </w:style>
  <w:style w:type="character" w:customStyle="1" w:styleId="112">
    <w:name w:val="文档结构图 Char1"/>
    <w:qFormat/>
    <w:uiPriority w:val="0"/>
    <w:rPr>
      <w:rFonts w:ascii="宋体"/>
      <w:kern w:val="2"/>
      <w:sz w:val="18"/>
      <w:szCs w:val="18"/>
    </w:rPr>
  </w:style>
  <w:style w:type="character" w:customStyle="1" w:styleId="113">
    <w:name w:val="文档结构图 Char2"/>
    <w:basedOn w:val="50"/>
    <w:semiHidden/>
    <w:qFormat/>
    <w:uiPriority w:val="99"/>
    <w:rPr>
      <w:rFonts w:ascii="宋体"/>
      <w:kern w:val="2"/>
      <w:sz w:val="18"/>
      <w:szCs w:val="18"/>
    </w:rPr>
  </w:style>
  <w:style w:type="character" w:customStyle="1" w:styleId="114">
    <w:name w:val="批注主题 Char1"/>
    <w:qFormat/>
    <w:uiPriority w:val="0"/>
    <w:rPr>
      <w:b/>
      <w:bCs/>
      <w:kern w:val="2"/>
      <w:sz w:val="21"/>
      <w:szCs w:val="22"/>
    </w:rPr>
  </w:style>
  <w:style w:type="character" w:customStyle="1" w:styleId="115">
    <w:name w:val="font41"/>
    <w:basedOn w:val="50"/>
    <w:qFormat/>
    <w:uiPriority w:val="0"/>
    <w:rPr>
      <w:rFonts w:hint="eastAsia" w:ascii="宋体" w:hAnsi="宋体" w:eastAsia="宋体" w:cs="宋体"/>
      <w:b/>
      <w:color w:val="000000"/>
      <w:sz w:val="20"/>
      <w:szCs w:val="20"/>
      <w:u w:val="none"/>
    </w:rPr>
  </w:style>
  <w:style w:type="character" w:customStyle="1" w:styleId="116">
    <w:name w:val=" Char Char18"/>
    <w:qFormat/>
    <w:uiPriority w:val="0"/>
    <w:rPr>
      <w:rFonts w:ascii="Calibri" w:hAnsi="Calibri" w:eastAsia="宋体"/>
      <w:b/>
      <w:bCs/>
      <w:kern w:val="44"/>
      <w:sz w:val="44"/>
      <w:szCs w:val="44"/>
      <w:lang w:val="en-US" w:eastAsia="zh-CN" w:bidi="ar-SA"/>
    </w:rPr>
  </w:style>
  <w:style w:type="character" w:customStyle="1" w:styleId="117">
    <w:name w:val="批注框文本 Char1"/>
    <w:qFormat/>
    <w:uiPriority w:val="0"/>
    <w:rPr>
      <w:kern w:val="2"/>
      <w:sz w:val="18"/>
      <w:szCs w:val="18"/>
    </w:rPr>
  </w:style>
  <w:style w:type="character" w:customStyle="1" w:styleId="118">
    <w:name w:val="页脚 Char1"/>
    <w:basedOn w:val="50"/>
    <w:semiHidden/>
    <w:qFormat/>
    <w:uiPriority w:val="99"/>
    <w:rPr>
      <w:kern w:val="2"/>
      <w:sz w:val="18"/>
      <w:szCs w:val="18"/>
    </w:rPr>
  </w:style>
  <w:style w:type="character" w:customStyle="1" w:styleId="119">
    <w:name w:val="标题 Char1"/>
    <w:basedOn w:val="50"/>
    <w:qFormat/>
    <w:uiPriority w:val="10"/>
    <w:rPr>
      <w:rFonts w:ascii="Cambria" w:hAnsi="Cambria" w:cs="Times New Roman"/>
      <w:b/>
      <w:bCs/>
      <w:kern w:val="2"/>
      <w:sz w:val="32"/>
      <w:szCs w:val="32"/>
    </w:rPr>
  </w:style>
  <w:style w:type="character" w:customStyle="1" w:styleId="120">
    <w:name w:val="_Style 119"/>
    <w:qFormat/>
    <w:uiPriority w:val="0"/>
    <w:rPr>
      <w:b/>
      <w:bCs/>
      <w:smallCaps/>
      <w:color w:val="C0504D"/>
      <w:spacing w:val="5"/>
      <w:u w:val="single"/>
    </w:rPr>
  </w:style>
  <w:style w:type="character" w:customStyle="1" w:styleId="121">
    <w:name w:val="标题4 Char Char"/>
    <w:link w:val="122"/>
    <w:qFormat/>
    <w:uiPriority w:val="0"/>
    <w:rPr>
      <w:rFonts w:ascii="Arial" w:hAnsi="Arial"/>
      <w:b/>
      <w:bCs/>
      <w:sz w:val="24"/>
      <w:szCs w:val="32"/>
    </w:rPr>
  </w:style>
  <w:style w:type="paragraph" w:customStyle="1" w:styleId="122">
    <w:name w:val="标题4"/>
    <w:basedOn w:val="3"/>
    <w:next w:val="25"/>
    <w:link w:val="121"/>
    <w:qFormat/>
    <w:uiPriority w:val="0"/>
    <w:pPr>
      <w:spacing w:line="413" w:lineRule="auto"/>
    </w:pPr>
    <w:rPr>
      <w:rFonts w:eastAsia="宋体"/>
      <w:kern w:val="0"/>
      <w:sz w:val="24"/>
    </w:rPr>
  </w:style>
  <w:style w:type="character" w:customStyle="1" w:styleId="123">
    <w:name w:val="引用 Char"/>
    <w:link w:val="124"/>
    <w:qFormat/>
    <w:uiPriority w:val="0"/>
    <w:rPr>
      <w:i/>
      <w:iCs/>
      <w:color w:val="000000"/>
      <w:kern w:val="2"/>
      <w:sz w:val="21"/>
      <w:szCs w:val="22"/>
    </w:rPr>
  </w:style>
  <w:style w:type="paragraph" w:styleId="124">
    <w:name w:val="Quote"/>
    <w:basedOn w:val="1"/>
    <w:next w:val="1"/>
    <w:link w:val="123"/>
    <w:qFormat/>
    <w:uiPriority w:val="0"/>
    <w:rPr>
      <w:i/>
      <w:iCs/>
      <w:color w:val="000000"/>
      <w:szCs w:val="22"/>
    </w:rPr>
  </w:style>
  <w:style w:type="character" w:customStyle="1" w:styleId="125">
    <w:name w:val="批注文字 Char Char"/>
    <w:qFormat/>
    <w:uiPriority w:val="0"/>
    <w:rPr>
      <w:rFonts w:ascii="宋体" w:hAnsi="Times New Roman" w:eastAsia="宋体" w:cs="Times New Roman"/>
      <w:sz w:val="28"/>
      <w:szCs w:val="20"/>
    </w:rPr>
  </w:style>
  <w:style w:type="character" w:customStyle="1" w:styleId="126">
    <w:name w:val="_Style 125"/>
    <w:qFormat/>
    <w:uiPriority w:val="0"/>
    <w:rPr>
      <w:smallCaps/>
      <w:color w:val="C0504D"/>
      <w:u w:val="single"/>
    </w:rPr>
  </w:style>
  <w:style w:type="character" w:customStyle="1" w:styleId="127">
    <w:name w:val="_Style 126"/>
    <w:qFormat/>
    <w:uiPriority w:val="0"/>
    <w:rPr>
      <w:i/>
      <w:iCs/>
      <w:color w:val="808080"/>
    </w:rPr>
  </w:style>
  <w:style w:type="character" w:customStyle="1" w:styleId="128">
    <w:name w:val="批注主题 Char2"/>
    <w:basedOn w:val="129"/>
    <w:qFormat/>
    <w:uiPriority w:val="99"/>
    <w:rPr>
      <w:b/>
      <w:bCs/>
    </w:rPr>
  </w:style>
  <w:style w:type="character" w:customStyle="1" w:styleId="129">
    <w:name w:val="批注文字 Char1"/>
    <w:basedOn w:val="50"/>
    <w:qFormat/>
    <w:uiPriority w:val="99"/>
    <w:rPr>
      <w:kern w:val="2"/>
      <w:sz w:val="21"/>
      <w:szCs w:val="24"/>
    </w:rPr>
  </w:style>
  <w:style w:type="character" w:customStyle="1" w:styleId="130">
    <w:name w:val="正文文本 Char1"/>
    <w:qFormat/>
    <w:uiPriority w:val="0"/>
    <w:rPr>
      <w:kern w:val="2"/>
      <w:sz w:val="21"/>
      <w:szCs w:val="22"/>
    </w:rPr>
  </w:style>
  <w:style w:type="paragraph" w:customStyle="1" w:styleId="131">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kern w:val="0"/>
      <w:sz w:val="28"/>
      <w:szCs w:val="20"/>
    </w:rPr>
  </w:style>
  <w:style w:type="paragraph" w:customStyle="1" w:styleId="132">
    <w:name w:val="xl26"/>
    <w:basedOn w:val="1"/>
    <w:qFormat/>
    <w:uiPriority w:val="0"/>
    <w:pPr>
      <w:widowControl/>
      <w:spacing w:before="100" w:beforeAutospacing="1" w:after="100" w:afterAutospacing="1"/>
      <w:jc w:val="left"/>
    </w:pPr>
    <w:rPr>
      <w:rFonts w:hint="eastAsia" w:ascii="仿宋_GB2312" w:hAnsi="宋体" w:eastAsia="仿宋_GB2312"/>
      <w:kern w:val="0"/>
      <w:sz w:val="32"/>
      <w:szCs w:val="32"/>
    </w:rPr>
  </w:style>
  <w:style w:type="paragraph" w:customStyle="1" w:styleId="133">
    <w:name w:val="列出段落1"/>
    <w:basedOn w:val="1"/>
    <w:qFormat/>
    <w:uiPriority w:val="0"/>
    <w:pPr>
      <w:ind w:firstLine="420" w:firstLineChars="200"/>
    </w:pPr>
    <w:rPr>
      <w:rFonts w:ascii="Calibri" w:hAnsi="Calibri" w:cs="黑体"/>
      <w:szCs w:val="21"/>
    </w:rPr>
  </w:style>
  <w:style w:type="paragraph" w:customStyle="1" w:styleId="134">
    <w:name w:val="默认段落字体 Para Char Char Char Char"/>
    <w:basedOn w:val="1"/>
    <w:qFormat/>
    <w:uiPriority w:val="0"/>
  </w:style>
  <w:style w:type="paragraph" w:styleId="135">
    <w:name w:val="List Paragraph"/>
    <w:basedOn w:val="1"/>
    <w:qFormat/>
    <w:uiPriority w:val="99"/>
    <w:pPr>
      <w:ind w:firstLine="420" w:firstLineChars="200"/>
    </w:pPr>
    <w:rPr>
      <w:rFonts w:ascii="Calibri" w:hAnsi="Calibri"/>
      <w:szCs w:val="22"/>
    </w:rPr>
  </w:style>
  <w:style w:type="paragraph" w:customStyle="1" w:styleId="136">
    <w:name w:val="_Style 135"/>
    <w:basedOn w:val="2"/>
    <w:next w:val="1"/>
    <w:qFormat/>
    <w:uiPriority w:val="0"/>
    <w:pPr>
      <w:spacing w:before="340" w:after="330" w:line="576" w:lineRule="auto"/>
      <w:outlineLvl w:val="9"/>
    </w:pPr>
    <w:rPr>
      <w:rFonts w:ascii="Calibri" w:hAnsi="Calibri"/>
      <w:sz w:val="44"/>
    </w:rPr>
  </w:style>
  <w:style w:type="paragraph" w:styleId="137">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139">
    <w:name w:val="外网"/>
    <w:basedOn w:val="2"/>
    <w:qFormat/>
    <w:uiPriority w:val="0"/>
    <w:pPr>
      <w:spacing w:beforeLines="50" w:afterLines="50" w:line="520" w:lineRule="exact"/>
      <w:ind w:firstLine="200" w:firstLineChars="200"/>
    </w:pPr>
    <w:rPr>
      <w:rFonts w:eastAsia="黑体"/>
      <w:b w:val="0"/>
      <w:sz w:val="32"/>
    </w:rPr>
  </w:style>
  <w:style w:type="paragraph" w:customStyle="1" w:styleId="140">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Cs w:val="20"/>
      <w:lang w:val="en-US" w:eastAsia="zh-CN"/>
    </w:rPr>
  </w:style>
  <w:style w:type="paragraph" w:customStyle="1" w:styleId="141">
    <w:name w:val="表格字体-靠左"/>
    <w:basedOn w:val="142"/>
    <w:next w:val="1"/>
    <w:qFormat/>
    <w:uiPriority w:val="0"/>
    <w:pPr>
      <w:ind w:firstLine="280" w:firstLineChars="100"/>
      <w:jc w:val="left"/>
    </w:pPr>
  </w:style>
  <w:style w:type="paragraph" w:customStyle="1" w:styleId="142">
    <w:name w:val="表格字体-居中"/>
    <w:basedOn w:val="1"/>
    <w:next w:val="1"/>
    <w:qFormat/>
    <w:uiPriority w:val="0"/>
    <w:pPr>
      <w:spacing w:line="240" w:lineRule="auto"/>
      <w:ind w:firstLine="0" w:firstLineChars="0"/>
      <w:jc w:val="center"/>
    </w:pPr>
  </w:style>
  <w:style w:type="paragraph" w:customStyle="1" w:styleId="143">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44">
    <w:name w:val="dash6b63_65871"/>
    <w:basedOn w:val="1"/>
    <w:qFormat/>
    <w:uiPriority w:val="0"/>
    <w:pPr>
      <w:widowControl/>
    </w:pPr>
    <w:rPr>
      <w:rFonts w:ascii="Calibri" w:hAnsi="Calibri" w:cs="Calibri"/>
      <w:kern w:val="0"/>
      <w:sz w:val="20"/>
      <w:szCs w:val="20"/>
    </w:rPr>
  </w:style>
  <w:style w:type="paragraph" w:customStyle="1" w:styleId="145">
    <w:name w:val="表格文字"/>
    <w:basedOn w:val="1"/>
    <w:qFormat/>
    <w:uiPriority w:val="0"/>
    <w:pPr>
      <w:adjustRightInd w:val="0"/>
      <w:spacing w:line="420" w:lineRule="atLeast"/>
      <w:jc w:val="left"/>
      <w:textAlignment w:val="baseline"/>
    </w:pPr>
    <w:rPr>
      <w:kern w:val="0"/>
      <w:szCs w:val="20"/>
    </w:rPr>
  </w:style>
  <w:style w:type="paragraph" w:customStyle="1" w:styleId="146">
    <w:name w:val=" Char Char Char Char"/>
    <w:basedOn w:val="14"/>
    <w:qFormat/>
    <w:uiPriority w:val="0"/>
    <w:rPr>
      <w:szCs w:val="20"/>
    </w:rPr>
  </w:style>
  <w:style w:type="paragraph" w:customStyle="1" w:styleId="147">
    <w:name w:val="外网二级标题"/>
    <w:basedOn w:val="3"/>
    <w:next w:val="139"/>
    <w:qFormat/>
    <w:uiPriority w:val="0"/>
    <w:pPr>
      <w:spacing w:before="0" w:after="0" w:line="520" w:lineRule="exact"/>
      <w:ind w:firstLine="200" w:firstLineChars="200"/>
    </w:pPr>
    <w:rPr>
      <w:rFonts w:ascii="Arial" w:hAnsi="Arial" w:eastAsia="楷体" w:cs="Times New Roman"/>
      <w:b w:val="0"/>
    </w:rPr>
  </w:style>
  <w:style w:type="paragraph" w:customStyle="1" w:styleId="148">
    <w:name w:val="大纲一"/>
    <w:basedOn w:val="1"/>
    <w:qFormat/>
    <w:uiPriority w:val="99"/>
    <w:pPr>
      <w:numPr>
        <w:ilvl w:val="0"/>
        <w:numId w:val="1"/>
      </w:numPr>
      <w:spacing w:beforeLines="50" w:line="360" w:lineRule="auto"/>
      <w:outlineLvl w:val="0"/>
    </w:pPr>
    <w:rPr>
      <w:rFonts w:ascii="微软雅黑" w:hAnsi="微软雅黑" w:eastAsia="微软雅黑"/>
      <w:b/>
      <w:sz w:val="32"/>
      <w:szCs w:val="22"/>
    </w:rPr>
  </w:style>
  <w:style w:type="paragraph" w:customStyle="1" w:styleId="149">
    <w:name w:val="大纲二"/>
    <w:basedOn w:val="1"/>
    <w:qFormat/>
    <w:uiPriority w:val="99"/>
    <w:pPr>
      <w:numPr>
        <w:ilvl w:val="1"/>
        <w:numId w:val="1"/>
      </w:numPr>
      <w:tabs>
        <w:tab w:val="left" w:pos="432"/>
      </w:tabs>
      <w:spacing w:beforeLines="50" w:line="360" w:lineRule="auto"/>
      <w:outlineLvl w:val="1"/>
    </w:pPr>
    <w:rPr>
      <w:rFonts w:ascii="微软雅黑" w:hAnsi="微软雅黑" w:eastAsia="微软雅黑"/>
      <w:b/>
      <w:sz w:val="28"/>
      <w:szCs w:val="30"/>
    </w:rPr>
  </w:style>
  <w:style w:type="paragraph" w:customStyle="1" w:styleId="150">
    <w:name w:val="1"/>
    <w:basedOn w:val="1"/>
    <w:qFormat/>
    <w:uiPriority w:val="0"/>
  </w:style>
  <w:style w:type="paragraph" w:customStyle="1" w:styleId="151">
    <w:name w:val="正文2"/>
    <w:basedOn w:val="1"/>
    <w:qFormat/>
    <w:uiPriority w:val="0"/>
    <w:pPr>
      <w:widowControl/>
      <w:spacing w:after="160" w:line="360" w:lineRule="auto"/>
      <w:ind w:firstLine="200" w:firstLineChars="200"/>
      <w:jc w:val="left"/>
    </w:pPr>
    <w:rPr>
      <w:szCs w:val="20"/>
    </w:rPr>
  </w:style>
  <w:style w:type="paragraph" w:customStyle="1" w:styleId="152">
    <w:name w:val=" Char Char10 Char Char Char Char"/>
    <w:basedOn w:val="1"/>
    <w:qFormat/>
    <w:uiPriority w:val="0"/>
  </w:style>
  <w:style w:type="paragraph" w:customStyle="1" w:styleId="153">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4">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55">
    <w:name w:val="_Style 1"/>
    <w:basedOn w:val="1"/>
    <w:qFormat/>
    <w:uiPriority w:val="34"/>
    <w:pPr>
      <w:ind w:firstLine="420" w:firstLineChars="200"/>
    </w:pPr>
  </w:style>
  <w:style w:type="paragraph" w:customStyle="1" w:styleId="156">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57">
    <w:name w:val="表格"/>
    <w:basedOn w:val="1"/>
    <w:qFormat/>
    <w:uiPriority w:val="0"/>
    <w:pPr>
      <w:jc w:val="center"/>
      <w:textAlignment w:val="center"/>
    </w:pPr>
    <w:rPr>
      <w:rFonts w:ascii="华文细黑" w:hAnsi="华文细黑"/>
      <w:kern w:val="0"/>
      <w:szCs w:val="20"/>
    </w:rPr>
  </w:style>
  <w:style w:type="paragraph" w:customStyle="1" w:styleId="158">
    <w:name w:val=" Char"/>
    <w:basedOn w:val="1"/>
    <w:qFormat/>
    <w:uiPriority w:val="0"/>
  </w:style>
  <w:style w:type="paragraph" w:customStyle="1" w:styleId="159">
    <w:name w:val=" Char2 Char Char Char Char Char Char"/>
    <w:basedOn w:val="1"/>
    <w:qFormat/>
    <w:uiPriority w:val="0"/>
    <w:rPr>
      <w:rFonts w:ascii="仿宋_GB2312"/>
      <w:b/>
      <w:sz w:val="30"/>
      <w:szCs w:val="32"/>
    </w:rPr>
  </w:style>
  <w:style w:type="paragraph" w:customStyle="1" w:styleId="160">
    <w:name w:val="Char1"/>
    <w:basedOn w:val="1"/>
    <w:qFormat/>
    <w:uiPriority w:val="0"/>
    <w:rPr>
      <w:rFonts w:ascii="Tahoma" w:hAnsi="Tahoma"/>
      <w:sz w:val="24"/>
      <w:szCs w:val="20"/>
    </w:rPr>
  </w:style>
  <w:style w:type="paragraph" w:customStyle="1" w:styleId="161">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62">
    <w:name w:val="_Style 161"/>
    <w:qFormat/>
    <w:uiPriority w:val="0"/>
    <w:rPr>
      <w:rFonts w:ascii="Times New Roman" w:hAnsi="Times New Roman" w:eastAsia="宋体" w:cs="Times New Roman"/>
      <w:kern w:val="2"/>
      <w:sz w:val="21"/>
      <w:szCs w:val="24"/>
      <w:lang w:val="en-US" w:eastAsia="zh-CN" w:bidi="ar-SA"/>
    </w:rPr>
  </w:style>
  <w:style w:type="table" w:customStyle="1" w:styleId="163">
    <w:name w:val="Table Normal"/>
    <w:unhideWhenUsed/>
    <w:qFormat/>
    <w:uiPriority w:val="0"/>
    <w:tblPr>
      <w:tblCellMar>
        <w:top w:w="0" w:type="dxa"/>
        <w:left w:w="0" w:type="dxa"/>
        <w:bottom w:w="0" w:type="dxa"/>
        <w:right w:w="0" w:type="dxa"/>
      </w:tblCellMar>
    </w:tblPr>
  </w:style>
  <w:style w:type="paragraph" w:customStyle="1" w:styleId="164">
    <w:name w:val="Table Paragraph"/>
    <w:basedOn w:val="1"/>
    <w:qFormat/>
    <w:uiPriority w:val="1"/>
    <w:pPr>
      <w:autoSpaceDE w:val="0"/>
      <w:autoSpaceDN w:val="0"/>
      <w:jc w:val="left"/>
    </w:pPr>
    <w:rPr>
      <w:rFonts w:ascii="宋体" w:hAnsi="宋体" w:cs="宋体"/>
      <w:kern w:val="0"/>
      <w:sz w:val="22"/>
      <w:lang w:val="zh-CN" w:bidi="zh-CN"/>
    </w:rPr>
  </w:style>
  <w:style w:type="character" w:customStyle="1" w:styleId="165">
    <w:name w:val="first-child"/>
    <w:basedOn w:val="50"/>
    <w:qFormat/>
    <w:uiPriority w:val="0"/>
  </w:style>
  <w:style w:type="character" w:customStyle="1" w:styleId="166">
    <w:name w:val="layui-layer-tabnow"/>
    <w:basedOn w:val="50"/>
    <w:qFormat/>
    <w:uiPriority w:val="0"/>
    <w:rPr>
      <w:bdr w:val="single" w:color="CCCCCC" w:sz="6" w:space="0"/>
      <w:shd w:val="clear" w:color="auto" w:fill="FFFFFF"/>
    </w:rPr>
  </w:style>
  <w:style w:type="character" w:customStyle="1" w:styleId="167">
    <w:name w:val="hover"/>
    <w:basedOn w:val="50"/>
    <w:qFormat/>
    <w:uiPriority w:val="0"/>
    <w:rPr>
      <w:color w:val="2590EB"/>
    </w:rPr>
  </w:style>
  <w:style w:type="character" w:customStyle="1" w:styleId="168">
    <w:name w:val="hover1"/>
    <w:basedOn w:val="50"/>
    <w:qFormat/>
    <w:uiPriority w:val="0"/>
    <w:rPr>
      <w:color w:val="2590EB"/>
    </w:rPr>
  </w:style>
  <w:style w:type="character" w:customStyle="1" w:styleId="169">
    <w:name w:val="hover2"/>
    <w:basedOn w:val="50"/>
    <w:qFormat/>
    <w:uiPriority w:val="0"/>
  </w:style>
  <w:style w:type="character" w:customStyle="1" w:styleId="170">
    <w:name w:val="mini-outputtext1"/>
    <w:basedOn w:val="50"/>
    <w:qFormat/>
    <w:uiPriority w:val="0"/>
  </w:style>
  <w:style w:type="paragraph" w:customStyle="1" w:styleId="171">
    <w:name w:val="List Paragraph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115</Pages>
  <Words>15379</Words>
  <Characters>16561</Characters>
  <Lines>339</Lines>
  <Paragraphs>95</Paragraphs>
  <TotalTime>8</TotalTime>
  <ScaleCrop>false</ScaleCrop>
  <LinksUpToDate>false</LinksUpToDate>
  <CharactersWithSpaces>16648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2015-08-26T01:40:00Z</dcterms:created>
  <dc:creator>微软用户</dc:creator>
  <cp:lastModifiedBy>Administrator</cp:lastModifiedBy>
  <cp:lastPrinted>2025-09-18T06:17:00Z</cp:lastPrinted>
  <dcterms:modified xsi:type="dcterms:W3CDTF">2025-09-18T08:05:13Z</dcterms:modified>
  <dc:title>附件1：招标评分办法</dc:title>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579F704809D84364BE8D2EA4E048D03C_13</vt:lpwstr>
  </property>
  <property fmtid="{D5CDD505-2E9C-101B-9397-08002B2CF9AE}" pid="4" name="KSOTemplateDocerSaveRecord">
    <vt:lpwstr>eyJoZGlkIjoiZjllY2Y4ZWU1ODhlNmI1ZjFhNjQ3NDBmNDY2NTc4ZDIiLCJ1c2VySWQiOiIzMjg5MjQ2ODkifQ==</vt:lpwstr>
  </property>
</Properties>
</file>