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D7C826">
      <w:pPr>
        <w:keepNext w:val="0"/>
        <w:keepLines w:val="0"/>
        <w:pageBreakBefore w:val="0"/>
        <w:widowControl w:val="0"/>
        <w:kinsoku/>
        <w:wordWrap w:val="0"/>
        <w:overflowPunct/>
        <w:topLinePunct w:val="0"/>
        <w:autoSpaceDE w:val="0"/>
        <w:autoSpaceDN w:val="0"/>
        <w:bidi w:val="0"/>
        <w:adjustRightInd/>
        <w:snapToGrid/>
        <w:spacing w:before="268"/>
        <w:jc w:val="center"/>
        <w:textAlignment w:val="auto"/>
        <w:outlineLvl w:val="0"/>
        <w:rPr>
          <w:rFonts w:hint="default"/>
          <w:b/>
          <w:bCs w:val="0"/>
          <w:color w:val="auto"/>
          <w:sz w:val="48"/>
          <w:szCs w:val="48"/>
          <w:lang w:val="en-US" w:eastAsia="zh-CN"/>
        </w:rPr>
      </w:pPr>
      <w:bookmarkStart w:id="0" w:name="_Toc10036"/>
      <w:r>
        <w:rPr>
          <w:rFonts w:hint="eastAsia"/>
          <w:b/>
          <w:bCs w:val="0"/>
          <w:color w:val="auto"/>
          <w:sz w:val="48"/>
          <w:szCs w:val="48"/>
          <w:lang w:val="en-US" w:eastAsia="zh-CN"/>
        </w:rPr>
        <w:t>丹江口库区上游老灌河流域卢氏县水环境综合治理及生态修复项目设计服务</w:t>
      </w:r>
    </w:p>
    <w:p w14:paraId="3956490E">
      <w:pPr>
        <w:wordWrap w:val="0"/>
        <w:spacing w:before="268"/>
        <w:ind w:left="2245"/>
        <w:outlineLvl w:val="0"/>
        <w:rPr>
          <w:b w:val="0"/>
          <w:bCs/>
          <w:color w:val="auto"/>
          <w:sz w:val="72"/>
          <w:szCs w:val="21"/>
        </w:rPr>
      </w:pPr>
      <w:bookmarkStart w:id="375" w:name="_GoBack"/>
      <w:bookmarkEnd w:id="375"/>
      <w:r>
        <w:rPr>
          <w:b/>
          <w:color w:val="auto"/>
          <w:sz w:val="72"/>
          <w:szCs w:val="21"/>
        </w:rPr>
        <w:t>竞争性磋商文件</w:t>
      </w:r>
      <w:bookmarkEnd w:id="0"/>
    </w:p>
    <w:p w14:paraId="0AE54E27">
      <w:pPr>
        <w:pStyle w:val="8"/>
        <w:wordWrap w:val="0"/>
        <w:spacing w:before="6"/>
        <w:ind w:left="0"/>
        <w:jc w:val="center"/>
        <w:rPr>
          <w:rFonts w:hint="eastAsia"/>
          <w:b/>
          <w:color w:val="auto"/>
          <w:sz w:val="32"/>
          <w:szCs w:val="15"/>
          <w:lang w:val="en-US"/>
        </w:rPr>
      </w:pPr>
    </w:p>
    <w:p w14:paraId="3427309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jc w:val="center"/>
        <w:rPr>
          <w:rFonts w:hint="eastAsia" w:ascii="宋体" w:hAnsi="宋体" w:eastAsia="宋体" w:cs="宋体"/>
          <w:b/>
          <w:color w:val="auto"/>
          <w:sz w:val="28"/>
          <w:szCs w:val="21"/>
          <w:lang w:val="en-US" w:eastAsia="zh-CN"/>
        </w:rPr>
      </w:pPr>
    </w:p>
    <w:p w14:paraId="23C92F8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jc w:val="center"/>
        <w:rPr>
          <w:rFonts w:ascii="微软雅黑" w:hAnsi="微软雅黑" w:eastAsia="微软雅黑" w:cs="微软雅黑"/>
          <w:color w:val="3D4B64"/>
          <w:sz w:val="21"/>
          <w:szCs w:val="21"/>
        </w:rPr>
      </w:pPr>
      <w:r>
        <w:rPr>
          <w:rFonts w:hint="eastAsia" w:ascii="宋体" w:hAnsi="宋体" w:eastAsia="宋体" w:cs="宋体"/>
          <w:b/>
          <w:color w:val="auto"/>
          <w:sz w:val="28"/>
          <w:szCs w:val="21"/>
          <w:lang w:val="en-US" w:eastAsia="zh-CN"/>
        </w:rPr>
        <w:t>项目编号：三卢竞磋采购-2025-</w:t>
      </w:r>
      <w:r>
        <w:rPr>
          <w:rFonts w:hint="eastAsia" w:cs="宋体"/>
          <w:b/>
          <w:color w:val="auto"/>
          <w:sz w:val="28"/>
          <w:szCs w:val="21"/>
          <w:lang w:val="en-US" w:eastAsia="zh-CN"/>
        </w:rPr>
        <w:t>95</w:t>
      </w:r>
      <w:r>
        <w:rPr>
          <w:rFonts w:hint="eastAsia" w:ascii="宋体" w:hAnsi="宋体" w:eastAsia="宋体" w:cs="宋体"/>
          <w:b/>
          <w:color w:val="auto"/>
          <w:sz w:val="28"/>
          <w:szCs w:val="21"/>
          <w:lang w:val="en-US" w:eastAsia="zh-CN"/>
        </w:rPr>
        <w:t>、LSGZ[2025]234-ZC160</w:t>
      </w:r>
      <w:r>
        <w:rPr>
          <w:rFonts w:hint="eastAsia" w:cs="宋体"/>
          <w:b/>
          <w:color w:val="auto"/>
          <w:sz w:val="28"/>
          <w:szCs w:val="21"/>
          <w:lang w:val="en-US" w:eastAsia="zh-CN"/>
        </w:rPr>
        <w:t xml:space="preserve"> </w:t>
      </w:r>
    </w:p>
    <w:p w14:paraId="14B3E9A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jc w:val="center"/>
        <w:rPr>
          <w:rFonts w:hint="default" w:ascii="宋体" w:hAnsi="宋体" w:eastAsia="宋体" w:cs="宋体"/>
          <w:b/>
          <w:color w:val="FF0000"/>
          <w:sz w:val="28"/>
          <w:szCs w:val="21"/>
          <w:lang w:val="en-US" w:eastAsia="zh-CN"/>
        </w:rPr>
      </w:pPr>
    </w:p>
    <w:p w14:paraId="6B8DEF19">
      <w:pPr>
        <w:keepNext w:val="0"/>
        <w:keepLines w:val="0"/>
        <w:pageBreakBefore w:val="0"/>
        <w:widowControl w:val="0"/>
        <w:tabs>
          <w:tab w:val="left" w:pos="2090"/>
          <w:tab w:val="left" w:pos="3555"/>
          <w:tab w:val="left" w:pos="9072"/>
        </w:tabs>
        <w:kinsoku/>
        <w:wordWrap w:val="0"/>
        <w:overflowPunct/>
        <w:topLinePunct w:val="0"/>
        <w:autoSpaceDE w:val="0"/>
        <w:autoSpaceDN w:val="0"/>
        <w:bidi w:val="0"/>
        <w:adjustRightInd/>
        <w:snapToGrid/>
        <w:spacing w:line="480" w:lineRule="auto"/>
        <w:ind w:right="612" w:rightChars="0"/>
        <w:jc w:val="center"/>
        <w:textAlignment w:val="auto"/>
        <w:rPr>
          <w:rFonts w:hint="eastAsia" w:ascii="宋体" w:hAnsi="宋体" w:eastAsia="宋体" w:cs="宋体"/>
          <w:b/>
          <w:color w:val="auto"/>
          <w:sz w:val="32"/>
          <w:lang w:eastAsia="zh-CN"/>
        </w:rPr>
      </w:pPr>
    </w:p>
    <w:p w14:paraId="65DB90B2">
      <w:pPr>
        <w:widowControl/>
        <w:shd w:val="clear" w:color="auto" w:fill="FFFFFF"/>
        <w:spacing w:line="390" w:lineRule="atLeast"/>
        <w:jc w:val="center"/>
        <w:rPr>
          <w:rFonts w:hint="eastAsia" w:ascii="微软雅黑" w:cs="微软雅黑"/>
          <w:color w:val="auto"/>
          <w:sz w:val="21"/>
          <w:szCs w:val="21"/>
          <w:lang w:bidi="ar-SA"/>
        </w:rPr>
      </w:pPr>
    </w:p>
    <w:p w14:paraId="09CD084C">
      <w:pPr>
        <w:pStyle w:val="19"/>
        <w:ind w:left="440" w:firstLine="420"/>
        <w:rPr>
          <w:rFonts w:hint="eastAsia"/>
          <w:color w:val="auto"/>
        </w:rPr>
      </w:pPr>
    </w:p>
    <w:p w14:paraId="52FA2E00">
      <w:pPr>
        <w:pStyle w:val="8"/>
        <w:wordWrap w:val="0"/>
        <w:ind w:left="0"/>
        <w:jc w:val="center"/>
        <w:rPr>
          <w:b/>
          <w:color w:val="auto"/>
          <w:sz w:val="32"/>
          <w:szCs w:val="32"/>
          <w:lang w:val="en-US"/>
        </w:rPr>
      </w:pPr>
    </w:p>
    <w:p w14:paraId="4A44052F">
      <w:pPr>
        <w:tabs>
          <w:tab w:val="left" w:pos="2090"/>
          <w:tab w:val="left" w:pos="3555"/>
          <w:tab w:val="left" w:pos="9072"/>
        </w:tabs>
        <w:wordWrap w:val="0"/>
        <w:spacing w:line="360" w:lineRule="auto"/>
        <w:ind w:right="610" w:rightChars="0"/>
        <w:jc w:val="both"/>
        <w:rPr>
          <w:b/>
          <w:color w:val="auto"/>
          <w:sz w:val="32"/>
        </w:rPr>
      </w:pPr>
    </w:p>
    <w:p w14:paraId="1A9E6D7A">
      <w:pPr>
        <w:tabs>
          <w:tab w:val="left" w:pos="2090"/>
          <w:tab w:val="left" w:pos="3555"/>
          <w:tab w:val="left" w:pos="9072"/>
        </w:tabs>
        <w:wordWrap w:val="0"/>
        <w:spacing w:line="360" w:lineRule="auto"/>
        <w:ind w:right="610" w:rightChars="0"/>
        <w:jc w:val="both"/>
        <w:rPr>
          <w:b/>
          <w:color w:val="auto"/>
          <w:sz w:val="32"/>
        </w:rPr>
      </w:pPr>
    </w:p>
    <w:p w14:paraId="6F195043">
      <w:pPr>
        <w:tabs>
          <w:tab w:val="left" w:pos="2090"/>
          <w:tab w:val="left" w:pos="3555"/>
          <w:tab w:val="left" w:pos="9072"/>
        </w:tabs>
        <w:wordWrap w:val="0"/>
        <w:spacing w:line="360" w:lineRule="auto"/>
        <w:ind w:right="610" w:rightChars="0"/>
        <w:jc w:val="both"/>
        <w:rPr>
          <w:b/>
          <w:color w:val="auto"/>
          <w:sz w:val="32"/>
        </w:rPr>
      </w:pPr>
    </w:p>
    <w:p w14:paraId="0B357025">
      <w:pPr>
        <w:tabs>
          <w:tab w:val="left" w:pos="2090"/>
          <w:tab w:val="left" w:pos="3555"/>
          <w:tab w:val="left" w:pos="9072"/>
        </w:tabs>
        <w:wordWrap w:val="0"/>
        <w:spacing w:line="360" w:lineRule="auto"/>
        <w:ind w:right="610" w:rightChars="0"/>
        <w:jc w:val="both"/>
        <w:rPr>
          <w:b/>
          <w:color w:val="auto"/>
          <w:sz w:val="32"/>
        </w:rPr>
      </w:pPr>
    </w:p>
    <w:p w14:paraId="20A914C2">
      <w:pPr>
        <w:tabs>
          <w:tab w:val="left" w:pos="2090"/>
          <w:tab w:val="left" w:pos="3555"/>
          <w:tab w:val="left" w:pos="9072"/>
        </w:tabs>
        <w:wordWrap w:val="0"/>
        <w:spacing w:line="360" w:lineRule="auto"/>
        <w:ind w:right="610" w:rightChars="0"/>
        <w:jc w:val="both"/>
        <w:rPr>
          <w:b/>
          <w:color w:val="auto"/>
          <w:sz w:val="32"/>
        </w:rPr>
      </w:pPr>
    </w:p>
    <w:p w14:paraId="3CB4E7DD">
      <w:pPr>
        <w:pStyle w:val="3"/>
        <w:outlineLvl w:val="9"/>
        <w:rPr>
          <w:color w:val="auto"/>
        </w:rPr>
      </w:pPr>
    </w:p>
    <w:p w14:paraId="100E6570">
      <w:pPr>
        <w:keepNext w:val="0"/>
        <w:keepLines w:val="0"/>
        <w:pageBreakBefore w:val="0"/>
        <w:widowControl w:val="0"/>
        <w:tabs>
          <w:tab w:val="left" w:pos="2090"/>
          <w:tab w:val="left" w:pos="3555"/>
          <w:tab w:val="left" w:pos="9072"/>
        </w:tabs>
        <w:kinsoku/>
        <w:wordWrap w:val="0"/>
        <w:overflowPunct/>
        <w:topLinePunct w:val="0"/>
        <w:autoSpaceDE w:val="0"/>
        <w:autoSpaceDN w:val="0"/>
        <w:bidi w:val="0"/>
        <w:adjustRightInd/>
        <w:snapToGrid/>
        <w:spacing w:line="480" w:lineRule="auto"/>
        <w:ind w:right="612" w:rightChars="0"/>
        <w:jc w:val="both"/>
        <w:textAlignment w:val="auto"/>
        <w:rPr>
          <w:b/>
          <w:color w:val="auto"/>
          <w:sz w:val="32"/>
        </w:rPr>
      </w:pPr>
    </w:p>
    <w:p w14:paraId="27CFFD53">
      <w:pPr>
        <w:keepNext w:val="0"/>
        <w:keepLines w:val="0"/>
        <w:pageBreakBefore w:val="0"/>
        <w:widowControl w:val="0"/>
        <w:tabs>
          <w:tab w:val="left" w:pos="2090"/>
          <w:tab w:val="left" w:pos="3555"/>
          <w:tab w:val="left" w:pos="9072"/>
        </w:tabs>
        <w:kinsoku/>
        <w:wordWrap w:val="0"/>
        <w:overflowPunct/>
        <w:topLinePunct w:val="0"/>
        <w:autoSpaceDE w:val="0"/>
        <w:autoSpaceDN w:val="0"/>
        <w:bidi w:val="0"/>
        <w:adjustRightInd/>
        <w:snapToGrid/>
        <w:spacing w:line="480" w:lineRule="auto"/>
        <w:ind w:right="612" w:rightChars="0"/>
        <w:jc w:val="center"/>
        <w:textAlignment w:val="auto"/>
        <w:outlineLvl w:val="0"/>
        <w:rPr>
          <w:b/>
          <w:color w:val="auto"/>
          <w:sz w:val="32"/>
        </w:rPr>
      </w:pPr>
      <w:bookmarkStart w:id="1" w:name="_Toc13937"/>
    </w:p>
    <w:p w14:paraId="1CB3CCA1">
      <w:pPr>
        <w:keepNext w:val="0"/>
        <w:keepLines w:val="0"/>
        <w:pageBreakBefore w:val="0"/>
        <w:widowControl w:val="0"/>
        <w:tabs>
          <w:tab w:val="left" w:pos="2090"/>
          <w:tab w:val="left" w:pos="3555"/>
          <w:tab w:val="left" w:pos="9072"/>
        </w:tabs>
        <w:kinsoku/>
        <w:wordWrap w:val="0"/>
        <w:overflowPunct/>
        <w:topLinePunct w:val="0"/>
        <w:autoSpaceDE w:val="0"/>
        <w:autoSpaceDN w:val="0"/>
        <w:bidi w:val="0"/>
        <w:adjustRightInd/>
        <w:snapToGrid/>
        <w:spacing w:line="480" w:lineRule="auto"/>
        <w:ind w:right="612" w:rightChars="0"/>
        <w:jc w:val="center"/>
        <w:textAlignment w:val="auto"/>
        <w:outlineLvl w:val="0"/>
        <w:rPr>
          <w:rFonts w:hint="default" w:eastAsia="宋体"/>
          <w:b/>
          <w:color w:val="auto"/>
          <w:sz w:val="32"/>
          <w:lang w:val="en-US" w:eastAsia="zh-CN"/>
        </w:rPr>
      </w:pPr>
      <w:r>
        <w:rPr>
          <w:b/>
          <w:color w:val="auto"/>
          <w:sz w:val="32"/>
        </w:rPr>
        <w:t>采购人:</w:t>
      </w:r>
      <w:bookmarkEnd w:id="1"/>
      <w:r>
        <w:rPr>
          <w:rFonts w:hint="eastAsia"/>
          <w:b/>
          <w:color w:val="auto"/>
          <w:sz w:val="32"/>
          <w:lang w:val="en-US" w:eastAsia="zh-CN"/>
        </w:rPr>
        <w:t>卢氏县汤河乡人民政府</w:t>
      </w:r>
    </w:p>
    <w:p w14:paraId="7282A954">
      <w:pPr>
        <w:keepNext w:val="0"/>
        <w:keepLines w:val="0"/>
        <w:pageBreakBefore w:val="0"/>
        <w:widowControl w:val="0"/>
        <w:tabs>
          <w:tab w:val="left" w:pos="2090"/>
          <w:tab w:val="left" w:pos="3555"/>
          <w:tab w:val="left" w:pos="9072"/>
        </w:tabs>
        <w:kinsoku/>
        <w:wordWrap w:val="0"/>
        <w:overflowPunct/>
        <w:topLinePunct w:val="0"/>
        <w:autoSpaceDE w:val="0"/>
        <w:autoSpaceDN w:val="0"/>
        <w:bidi w:val="0"/>
        <w:adjustRightInd/>
        <w:snapToGrid/>
        <w:spacing w:line="480" w:lineRule="auto"/>
        <w:ind w:right="612" w:rightChars="0"/>
        <w:jc w:val="center"/>
        <w:textAlignment w:val="auto"/>
        <w:outlineLvl w:val="0"/>
        <w:rPr>
          <w:rFonts w:hint="eastAsia"/>
          <w:b/>
          <w:color w:val="auto"/>
          <w:sz w:val="32"/>
          <w:lang w:eastAsia="zh-CN"/>
        </w:rPr>
      </w:pPr>
      <w:r>
        <w:rPr>
          <w:rFonts w:hint="eastAsia"/>
          <w:b/>
          <w:color w:val="auto"/>
          <w:sz w:val="32"/>
          <w:lang w:val="en-US" w:eastAsia="zh-CN"/>
        </w:rPr>
        <w:t xml:space="preserve">  </w:t>
      </w:r>
      <w:bookmarkStart w:id="2" w:name="_Toc29437"/>
      <w:r>
        <w:rPr>
          <w:b/>
          <w:color w:val="auto"/>
          <w:sz w:val="32"/>
        </w:rPr>
        <w:t>代理机构：</w:t>
      </w:r>
      <w:bookmarkEnd w:id="2"/>
      <w:r>
        <w:rPr>
          <w:rFonts w:hint="eastAsia"/>
          <w:b/>
          <w:color w:val="auto"/>
          <w:sz w:val="32"/>
          <w:lang w:eastAsia="zh-CN"/>
        </w:rPr>
        <w:t>大业信息技术（河南）有限公司</w:t>
      </w:r>
    </w:p>
    <w:p w14:paraId="50BAA7F2">
      <w:pPr>
        <w:keepNext w:val="0"/>
        <w:keepLines w:val="0"/>
        <w:pageBreakBefore w:val="0"/>
        <w:widowControl w:val="0"/>
        <w:tabs>
          <w:tab w:val="left" w:pos="2090"/>
          <w:tab w:val="left" w:pos="3555"/>
          <w:tab w:val="left" w:pos="9072"/>
        </w:tabs>
        <w:kinsoku/>
        <w:wordWrap w:val="0"/>
        <w:overflowPunct/>
        <w:topLinePunct w:val="0"/>
        <w:autoSpaceDE w:val="0"/>
        <w:autoSpaceDN w:val="0"/>
        <w:bidi w:val="0"/>
        <w:adjustRightInd/>
        <w:snapToGrid/>
        <w:spacing w:line="480" w:lineRule="auto"/>
        <w:ind w:right="612" w:rightChars="0"/>
        <w:jc w:val="center"/>
        <w:textAlignment w:val="auto"/>
        <w:outlineLvl w:val="0"/>
        <w:rPr>
          <w:b/>
          <w:color w:val="auto"/>
          <w:sz w:val="32"/>
        </w:rPr>
      </w:pPr>
      <w:bookmarkStart w:id="3" w:name="_Toc15102"/>
      <w:r>
        <w:rPr>
          <w:rFonts w:hint="eastAsia"/>
          <w:b/>
          <w:color w:val="auto"/>
          <w:sz w:val="32"/>
          <w:lang w:eastAsia="zh-CN"/>
        </w:rPr>
        <w:t>日</w:t>
      </w:r>
      <w:r>
        <w:rPr>
          <w:b/>
          <w:color w:val="auto"/>
          <w:sz w:val="32"/>
        </w:rPr>
        <w:t>期：二</w:t>
      </w:r>
      <w:r>
        <w:rPr>
          <w:rFonts w:hint="eastAsia"/>
          <w:b/>
          <w:color w:val="auto"/>
          <w:sz w:val="32"/>
          <w:lang w:val="en-US" w:eastAsia="zh-CN"/>
        </w:rPr>
        <w:t>〇</w:t>
      </w:r>
      <w:r>
        <w:rPr>
          <w:b/>
          <w:color w:val="auto"/>
          <w:sz w:val="32"/>
        </w:rPr>
        <w:t>二</w:t>
      </w:r>
      <w:r>
        <w:rPr>
          <w:rFonts w:hint="eastAsia"/>
          <w:b/>
          <w:color w:val="auto"/>
          <w:sz w:val="32"/>
          <w:lang w:val="en-US" w:eastAsia="zh-CN"/>
        </w:rPr>
        <w:t>五</w:t>
      </w:r>
      <w:r>
        <w:rPr>
          <w:b/>
          <w:color w:val="auto"/>
          <w:sz w:val="32"/>
        </w:rPr>
        <w:t>年</w:t>
      </w:r>
      <w:r>
        <w:rPr>
          <w:rFonts w:hint="eastAsia"/>
          <w:b/>
          <w:color w:val="auto"/>
          <w:sz w:val="32"/>
          <w:lang w:val="en-US" w:eastAsia="zh-CN"/>
        </w:rPr>
        <w:t>九</w:t>
      </w:r>
      <w:r>
        <w:rPr>
          <w:b/>
          <w:color w:val="auto"/>
          <w:sz w:val="32"/>
        </w:rPr>
        <w:t>月</w:t>
      </w:r>
      <w:bookmarkEnd w:id="3"/>
    </w:p>
    <w:p w14:paraId="1C8A2B4B">
      <w:pPr>
        <w:wordWrap w:val="0"/>
        <w:spacing w:line="364" w:lineRule="auto"/>
        <w:jc w:val="center"/>
        <w:rPr>
          <w:color w:val="auto"/>
          <w:sz w:val="32"/>
        </w:rPr>
        <w:sectPr>
          <w:footerReference r:id="rId3" w:type="default"/>
          <w:pgSz w:w="11910" w:h="16840"/>
          <w:pgMar w:top="1440" w:right="1800" w:bottom="1440" w:left="1800" w:header="720" w:footer="640" w:gutter="0"/>
          <w:pgNumType w:start="1"/>
          <w:cols w:space="720" w:num="1"/>
          <w:docGrid w:linePitch="299" w:charSpace="0"/>
        </w:sectPr>
      </w:pPr>
    </w:p>
    <w:sdt>
      <w:sdtPr>
        <w:rPr>
          <w:rFonts w:ascii="宋体" w:hAnsi="宋体" w:eastAsia="宋体" w:cs="宋体"/>
          <w:color w:val="auto"/>
          <w:sz w:val="18"/>
          <w:szCs w:val="20"/>
          <w:lang w:val="zh-CN" w:eastAsia="zh-CN" w:bidi="zh-CN"/>
        </w:rPr>
        <w:id w:val="147483583"/>
        <w15:color w:val="DBDBDB"/>
        <w:docPartObj>
          <w:docPartGallery w:val="Table of Contents"/>
          <w:docPartUnique/>
        </w:docPartObj>
      </w:sdtPr>
      <w:sdtEndPr>
        <w:rPr>
          <w:rFonts w:ascii="宋体" w:hAnsi="宋体" w:eastAsia="宋体" w:cs="宋体"/>
          <w:color w:val="auto"/>
          <w:sz w:val="21"/>
          <w:szCs w:val="22"/>
          <w:lang w:val="zh-CN" w:eastAsia="zh-CN" w:bidi="zh-CN"/>
        </w:rPr>
      </w:sdtEndPr>
      <w:sdtContent>
        <w:p w14:paraId="176CB0DA">
          <w:pPr>
            <w:spacing w:before="0" w:beforeLines="0" w:after="0" w:afterLines="0" w:line="360" w:lineRule="auto"/>
            <w:ind w:left="0" w:leftChars="0" w:right="0" w:rightChars="0" w:firstLine="0" w:firstLineChars="0"/>
            <w:jc w:val="center"/>
            <w:rPr>
              <w:rFonts w:hint="eastAsia" w:ascii="宋体" w:hAnsi="宋体" w:eastAsia="宋体" w:cs="宋体"/>
              <w:color w:val="auto"/>
              <w:sz w:val="40"/>
              <w:szCs w:val="40"/>
            </w:rPr>
          </w:pPr>
          <w:bookmarkStart w:id="4" w:name="_Toc22569_WPSOffice_Level1"/>
          <w:r>
            <w:rPr>
              <w:rFonts w:hint="eastAsia" w:ascii="宋体" w:hAnsi="宋体" w:eastAsia="宋体" w:cs="宋体"/>
              <w:color w:val="auto"/>
              <w:sz w:val="36"/>
              <w:szCs w:val="40"/>
            </w:rPr>
            <w:t>目</w:t>
          </w:r>
          <w:r>
            <w:rPr>
              <w:rFonts w:hint="eastAsia" w:ascii="宋体" w:hAnsi="宋体" w:eastAsia="宋体" w:cs="宋体"/>
              <w:color w:val="auto"/>
              <w:sz w:val="36"/>
              <w:szCs w:val="40"/>
              <w:lang w:val="en-US" w:eastAsia="zh-CN"/>
            </w:rPr>
            <w:t xml:space="preserve"> </w:t>
          </w:r>
          <w:r>
            <w:rPr>
              <w:rFonts w:hint="eastAsia" w:ascii="宋体" w:hAnsi="宋体" w:eastAsia="宋体" w:cs="宋体"/>
              <w:color w:val="auto"/>
              <w:sz w:val="36"/>
              <w:szCs w:val="40"/>
            </w:rPr>
            <w:t>录</w:t>
          </w:r>
        </w:p>
        <w:p w14:paraId="4DD04977">
          <w:pPr>
            <w:pStyle w:val="35"/>
            <w:tabs>
              <w:tab w:val="right" w:leader="dot" w:pos="9850"/>
            </w:tabs>
            <w:spacing w:line="360" w:lineRule="auto"/>
            <w:rPr>
              <w:rFonts w:hint="eastAsia" w:ascii="宋体" w:hAnsi="宋体" w:eastAsia="宋体" w:cs="宋体"/>
              <w:color w:val="auto"/>
              <w:sz w:val="32"/>
              <w:szCs w:val="32"/>
            </w:rPr>
          </w:pPr>
          <w:r>
            <w:rPr>
              <w:rFonts w:hint="eastAsia" w:ascii="宋体" w:hAnsi="宋体" w:eastAsia="宋体" w:cs="宋体"/>
              <w:color w:val="auto"/>
              <w:sz w:val="32"/>
              <w:szCs w:val="32"/>
            </w:rPr>
            <w:fldChar w:fldCharType="begin"/>
          </w:r>
          <w:r>
            <w:rPr>
              <w:rFonts w:hint="eastAsia" w:ascii="宋体" w:hAnsi="宋体" w:eastAsia="宋体" w:cs="宋体"/>
              <w:color w:val="auto"/>
              <w:sz w:val="32"/>
              <w:szCs w:val="32"/>
            </w:rPr>
            <w:instrText xml:space="preserve">TOC \o "1-1" \h \u </w:instrText>
          </w:r>
          <w:r>
            <w:rPr>
              <w:rFonts w:hint="eastAsia" w:ascii="宋体" w:hAnsi="宋体" w:eastAsia="宋体" w:cs="宋体"/>
              <w:color w:val="auto"/>
              <w:sz w:val="32"/>
              <w:szCs w:val="32"/>
            </w:rPr>
            <w:fldChar w:fldCharType="separate"/>
          </w:r>
          <w:r>
            <w:rPr>
              <w:rFonts w:hint="eastAsia" w:ascii="宋体" w:hAnsi="宋体" w:eastAsia="宋体" w:cs="宋体"/>
              <w:color w:val="auto"/>
              <w:sz w:val="32"/>
              <w:szCs w:val="32"/>
            </w:rPr>
            <w:fldChar w:fldCharType="begin"/>
          </w:r>
          <w:r>
            <w:rPr>
              <w:rFonts w:hint="eastAsia" w:ascii="宋体" w:hAnsi="宋体" w:eastAsia="宋体" w:cs="宋体"/>
              <w:color w:val="auto"/>
              <w:sz w:val="32"/>
              <w:szCs w:val="32"/>
            </w:rPr>
            <w:instrText xml:space="preserve"> HYPERLINK \l _Toc29890 </w:instrText>
          </w:r>
          <w:r>
            <w:rPr>
              <w:rFonts w:hint="eastAsia" w:ascii="宋体" w:hAnsi="宋体" w:eastAsia="宋体" w:cs="宋体"/>
              <w:color w:val="auto"/>
              <w:sz w:val="32"/>
              <w:szCs w:val="32"/>
            </w:rPr>
            <w:fldChar w:fldCharType="separate"/>
          </w:r>
          <w:r>
            <w:rPr>
              <w:rFonts w:hint="eastAsia" w:ascii="宋体" w:hAnsi="宋体" w:eastAsia="宋体" w:cs="宋体"/>
              <w:bCs/>
              <w:color w:val="auto"/>
              <w:sz w:val="32"/>
              <w:szCs w:val="48"/>
            </w:rPr>
            <w:t>第一章 竞争性磋商公告</w:t>
          </w:r>
          <w:r>
            <w:rPr>
              <w:rFonts w:hint="eastAsia" w:ascii="宋体" w:hAnsi="宋体" w:eastAsia="宋体" w:cs="宋体"/>
              <w:color w:val="auto"/>
              <w:sz w:val="32"/>
              <w:szCs w:val="32"/>
            </w:rPr>
            <w:tab/>
          </w:r>
          <w:r>
            <w:rPr>
              <w:rFonts w:hint="eastAsia" w:ascii="宋体" w:hAnsi="宋体" w:eastAsia="宋体" w:cs="宋体"/>
              <w:color w:val="auto"/>
              <w:sz w:val="32"/>
              <w:szCs w:val="32"/>
            </w:rPr>
            <w:fldChar w:fldCharType="begin"/>
          </w:r>
          <w:r>
            <w:rPr>
              <w:rFonts w:hint="eastAsia" w:ascii="宋体" w:hAnsi="宋体" w:eastAsia="宋体" w:cs="宋体"/>
              <w:color w:val="auto"/>
              <w:sz w:val="32"/>
              <w:szCs w:val="32"/>
            </w:rPr>
            <w:instrText xml:space="preserve"> PAGEREF _Toc29890 \h </w:instrText>
          </w:r>
          <w:r>
            <w:rPr>
              <w:rFonts w:hint="eastAsia" w:ascii="宋体" w:hAnsi="宋体" w:eastAsia="宋体" w:cs="宋体"/>
              <w:color w:val="auto"/>
              <w:sz w:val="32"/>
              <w:szCs w:val="32"/>
            </w:rPr>
            <w:fldChar w:fldCharType="separate"/>
          </w:r>
          <w:r>
            <w:rPr>
              <w:rFonts w:hint="eastAsia" w:ascii="宋体" w:hAnsi="宋体" w:eastAsia="宋体" w:cs="宋体"/>
              <w:color w:val="auto"/>
              <w:sz w:val="32"/>
              <w:szCs w:val="32"/>
            </w:rPr>
            <w:t>1</w:t>
          </w:r>
          <w:r>
            <w:rPr>
              <w:rFonts w:hint="eastAsia" w:ascii="宋体" w:hAnsi="宋体" w:eastAsia="宋体" w:cs="宋体"/>
              <w:color w:val="auto"/>
              <w:sz w:val="32"/>
              <w:szCs w:val="32"/>
            </w:rPr>
            <w:fldChar w:fldCharType="end"/>
          </w:r>
          <w:r>
            <w:rPr>
              <w:rFonts w:hint="eastAsia" w:ascii="宋体" w:hAnsi="宋体" w:eastAsia="宋体" w:cs="宋体"/>
              <w:color w:val="auto"/>
              <w:sz w:val="32"/>
              <w:szCs w:val="32"/>
            </w:rPr>
            <w:fldChar w:fldCharType="end"/>
          </w:r>
        </w:p>
        <w:p w14:paraId="64609B10">
          <w:pPr>
            <w:pStyle w:val="35"/>
            <w:tabs>
              <w:tab w:val="right" w:leader="dot" w:pos="9850"/>
            </w:tabs>
            <w:spacing w:line="360" w:lineRule="auto"/>
            <w:rPr>
              <w:rFonts w:hint="eastAsia" w:ascii="宋体" w:hAnsi="宋体" w:eastAsia="宋体" w:cs="宋体"/>
              <w:color w:val="auto"/>
              <w:sz w:val="32"/>
              <w:szCs w:val="32"/>
            </w:rPr>
          </w:pPr>
          <w:r>
            <w:rPr>
              <w:rFonts w:hint="eastAsia" w:ascii="宋体" w:hAnsi="宋体" w:eastAsia="宋体" w:cs="宋体"/>
              <w:color w:val="auto"/>
              <w:sz w:val="32"/>
              <w:szCs w:val="32"/>
            </w:rPr>
            <w:fldChar w:fldCharType="begin"/>
          </w:r>
          <w:r>
            <w:rPr>
              <w:rFonts w:hint="eastAsia" w:ascii="宋体" w:hAnsi="宋体" w:eastAsia="宋体" w:cs="宋体"/>
              <w:color w:val="auto"/>
              <w:sz w:val="32"/>
              <w:szCs w:val="32"/>
            </w:rPr>
            <w:instrText xml:space="preserve"> HYPERLINK \l _Toc12815 </w:instrText>
          </w:r>
          <w:r>
            <w:rPr>
              <w:rFonts w:hint="eastAsia" w:ascii="宋体" w:hAnsi="宋体" w:eastAsia="宋体" w:cs="宋体"/>
              <w:color w:val="auto"/>
              <w:sz w:val="32"/>
              <w:szCs w:val="32"/>
            </w:rPr>
            <w:fldChar w:fldCharType="separate"/>
          </w:r>
          <w:r>
            <w:rPr>
              <w:rFonts w:hint="eastAsia" w:ascii="宋体" w:hAnsi="宋体" w:eastAsia="宋体" w:cs="宋体"/>
              <w:color w:val="auto"/>
              <w:sz w:val="32"/>
              <w:szCs w:val="44"/>
            </w:rPr>
            <w:t>第二章 供应商须知</w:t>
          </w:r>
          <w:r>
            <w:rPr>
              <w:rFonts w:hint="eastAsia" w:ascii="宋体" w:hAnsi="宋体" w:eastAsia="宋体" w:cs="宋体"/>
              <w:color w:val="auto"/>
              <w:sz w:val="32"/>
              <w:szCs w:val="32"/>
            </w:rPr>
            <w:tab/>
          </w:r>
          <w:r>
            <w:rPr>
              <w:rFonts w:hint="eastAsia" w:ascii="宋体" w:hAnsi="宋体" w:eastAsia="宋体" w:cs="宋体"/>
              <w:color w:val="auto"/>
              <w:sz w:val="32"/>
              <w:szCs w:val="32"/>
            </w:rPr>
            <w:fldChar w:fldCharType="begin"/>
          </w:r>
          <w:r>
            <w:rPr>
              <w:rFonts w:hint="eastAsia" w:ascii="宋体" w:hAnsi="宋体" w:eastAsia="宋体" w:cs="宋体"/>
              <w:color w:val="auto"/>
              <w:sz w:val="32"/>
              <w:szCs w:val="32"/>
            </w:rPr>
            <w:instrText xml:space="preserve"> PAGEREF _Toc12815 \h </w:instrText>
          </w:r>
          <w:r>
            <w:rPr>
              <w:rFonts w:hint="eastAsia" w:ascii="宋体" w:hAnsi="宋体" w:eastAsia="宋体" w:cs="宋体"/>
              <w:color w:val="auto"/>
              <w:sz w:val="32"/>
              <w:szCs w:val="32"/>
            </w:rPr>
            <w:fldChar w:fldCharType="separate"/>
          </w:r>
          <w:r>
            <w:rPr>
              <w:rFonts w:hint="eastAsia" w:ascii="宋体" w:hAnsi="宋体" w:eastAsia="宋体" w:cs="宋体"/>
              <w:color w:val="auto"/>
              <w:sz w:val="32"/>
              <w:szCs w:val="32"/>
            </w:rPr>
            <w:t>7</w:t>
          </w:r>
          <w:r>
            <w:rPr>
              <w:rFonts w:hint="eastAsia" w:ascii="宋体" w:hAnsi="宋体" w:eastAsia="宋体" w:cs="宋体"/>
              <w:color w:val="auto"/>
              <w:sz w:val="32"/>
              <w:szCs w:val="32"/>
            </w:rPr>
            <w:fldChar w:fldCharType="end"/>
          </w:r>
          <w:r>
            <w:rPr>
              <w:rFonts w:hint="eastAsia" w:ascii="宋体" w:hAnsi="宋体" w:eastAsia="宋体" w:cs="宋体"/>
              <w:color w:val="auto"/>
              <w:sz w:val="32"/>
              <w:szCs w:val="32"/>
            </w:rPr>
            <w:fldChar w:fldCharType="end"/>
          </w:r>
        </w:p>
        <w:p w14:paraId="588C9CB1">
          <w:pPr>
            <w:pStyle w:val="35"/>
            <w:tabs>
              <w:tab w:val="right" w:leader="dot" w:pos="9850"/>
            </w:tabs>
            <w:spacing w:line="360" w:lineRule="auto"/>
            <w:rPr>
              <w:rFonts w:hint="eastAsia" w:ascii="宋体" w:hAnsi="宋体" w:eastAsia="宋体" w:cs="宋体"/>
              <w:color w:val="auto"/>
              <w:sz w:val="32"/>
              <w:szCs w:val="32"/>
            </w:rPr>
          </w:pPr>
          <w:r>
            <w:rPr>
              <w:rFonts w:hint="eastAsia" w:ascii="宋体" w:hAnsi="宋体" w:eastAsia="宋体" w:cs="宋体"/>
              <w:color w:val="auto"/>
              <w:sz w:val="32"/>
              <w:szCs w:val="32"/>
            </w:rPr>
            <w:fldChar w:fldCharType="begin"/>
          </w:r>
          <w:r>
            <w:rPr>
              <w:rFonts w:hint="eastAsia" w:ascii="宋体" w:hAnsi="宋体" w:eastAsia="宋体" w:cs="宋体"/>
              <w:color w:val="auto"/>
              <w:sz w:val="32"/>
              <w:szCs w:val="32"/>
            </w:rPr>
            <w:instrText xml:space="preserve"> HYPERLINK \l _Toc29960 </w:instrText>
          </w:r>
          <w:r>
            <w:rPr>
              <w:rFonts w:hint="eastAsia" w:ascii="宋体" w:hAnsi="宋体" w:eastAsia="宋体" w:cs="宋体"/>
              <w:color w:val="auto"/>
              <w:sz w:val="32"/>
              <w:szCs w:val="32"/>
            </w:rPr>
            <w:fldChar w:fldCharType="separate"/>
          </w:r>
          <w:r>
            <w:rPr>
              <w:rFonts w:hint="eastAsia" w:ascii="宋体" w:hAnsi="宋体" w:eastAsia="宋体" w:cs="宋体"/>
              <w:bCs/>
              <w:color w:val="auto"/>
              <w:sz w:val="32"/>
              <w:szCs w:val="32"/>
              <w:lang w:val="en-US" w:eastAsia="zh-CN"/>
            </w:rPr>
            <w:t>第三章 服务需求</w:t>
          </w:r>
          <w:r>
            <w:rPr>
              <w:rFonts w:hint="eastAsia" w:ascii="宋体" w:hAnsi="宋体" w:eastAsia="宋体" w:cs="宋体"/>
              <w:color w:val="auto"/>
              <w:sz w:val="32"/>
              <w:szCs w:val="32"/>
            </w:rPr>
            <w:tab/>
          </w:r>
          <w:r>
            <w:rPr>
              <w:rFonts w:hint="eastAsia" w:ascii="宋体" w:hAnsi="宋体" w:eastAsia="宋体" w:cs="宋体"/>
              <w:color w:val="auto"/>
              <w:sz w:val="32"/>
              <w:szCs w:val="32"/>
            </w:rPr>
            <w:fldChar w:fldCharType="begin"/>
          </w:r>
          <w:r>
            <w:rPr>
              <w:rFonts w:hint="eastAsia" w:ascii="宋体" w:hAnsi="宋体" w:eastAsia="宋体" w:cs="宋体"/>
              <w:color w:val="auto"/>
              <w:sz w:val="32"/>
              <w:szCs w:val="32"/>
            </w:rPr>
            <w:instrText xml:space="preserve"> PAGEREF _Toc29960 \h </w:instrText>
          </w:r>
          <w:r>
            <w:rPr>
              <w:rFonts w:hint="eastAsia" w:ascii="宋体" w:hAnsi="宋体" w:eastAsia="宋体" w:cs="宋体"/>
              <w:color w:val="auto"/>
              <w:sz w:val="32"/>
              <w:szCs w:val="32"/>
            </w:rPr>
            <w:fldChar w:fldCharType="separate"/>
          </w:r>
          <w:r>
            <w:rPr>
              <w:rFonts w:hint="eastAsia" w:ascii="宋体" w:hAnsi="宋体" w:eastAsia="宋体" w:cs="宋体"/>
              <w:color w:val="auto"/>
              <w:sz w:val="32"/>
              <w:szCs w:val="32"/>
            </w:rPr>
            <w:t>27</w:t>
          </w:r>
          <w:r>
            <w:rPr>
              <w:rFonts w:hint="eastAsia" w:ascii="宋体" w:hAnsi="宋体" w:eastAsia="宋体" w:cs="宋体"/>
              <w:color w:val="auto"/>
              <w:sz w:val="32"/>
              <w:szCs w:val="32"/>
            </w:rPr>
            <w:fldChar w:fldCharType="end"/>
          </w:r>
          <w:r>
            <w:rPr>
              <w:rFonts w:hint="eastAsia" w:ascii="宋体" w:hAnsi="宋体" w:eastAsia="宋体" w:cs="宋体"/>
              <w:color w:val="auto"/>
              <w:sz w:val="32"/>
              <w:szCs w:val="32"/>
            </w:rPr>
            <w:fldChar w:fldCharType="end"/>
          </w:r>
        </w:p>
        <w:p w14:paraId="13560638">
          <w:pPr>
            <w:pStyle w:val="35"/>
            <w:tabs>
              <w:tab w:val="right" w:leader="dot" w:pos="9850"/>
            </w:tabs>
            <w:spacing w:line="360" w:lineRule="auto"/>
            <w:rPr>
              <w:rFonts w:hint="eastAsia" w:ascii="宋体" w:hAnsi="宋体" w:eastAsia="宋体" w:cs="宋体"/>
              <w:color w:val="auto"/>
              <w:sz w:val="32"/>
              <w:szCs w:val="32"/>
            </w:rPr>
          </w:pPr>
          <w:r>
            <w:rPr>
              <w:rFonts w:hint="eastAsia" w:ascii="宋体" w:hAnsi="宋体" w:eastAsia="宋体" w:cs="宋体"/>
              <w:color w:val="auto"/>
              <w:sz w:val="32"/>
              <w:szCs w:val="32"/>
            </w:rPr>
            <w:fldChar w:fldCharType="begin"/>
          </w:r>
          <w:r>
            <w:rPr>
              <w:rFonts w:hint="eastAsia" w:ascii="宋体" w:hAnsi="宋体" w:eastAsia="宋体" w:cs="宋体"/>
              <w:color w:val="auto"/>
              <w:sz w:val="32"/>
              <w:szCs w:val="32"/>
            </w:rPr>
            <w:instrText xml:space="preserve"> HYPERLINK \l _Toc22448 </w:instrText>
          </w:r>
          <w:r>
            <w:rPr>
              <w:rFonts w:hint="eastAsia" w:ascii="宋体" w:hAnsi="宋体" w:eastAsia="宋体" w:cs="宋体"/>
              <w:color w:val="auto"/>
              <w:sz w:val="32"/>
              <w:szCs w:val="32"/>
            </w:rPr>
            <w:fldChar w:fldCharType="separate"/>
          </w:r>
          <w:r>
            <w:rPr>
              <w:rFonts w:hint="eastAsia" w:ascii="宋体" w:hAnsi="宋体" w:eastAsia="宋体" w:cs="宋体"/>
              <w:bCs/>
              <w:color w:val="auto"/>
              <w:sz w:val="32"/>
              <w:szCs w:val="32"/>
            </w:rPr>
            <w:t>第四章</w:t>
          </w:r>
          <w:r>
            <w:rPr>
              <w:rFonts w:hint="eastAsia" w:ascii="宋体" w:hAnsi="宋体" w:eastAsia="宋体" w:cs="宋体"/>
              <w:bCs/>
              <w:color w:val="auto"/>
              <w:sz w:val="32"/>
              <w:szCs w:val="32"/>
              <w:lang w:val="en-US" w:eastAsia="zh-CN"/>
            </w:rPr>
            <w:t xml:space="preserve"> </w:t>
          </w:r>
          <w:r>
            <w:rPr>
              <w:rFonts w:hint="eastAsia" w:ascii="宋体" w:hAnsi="宋体" w:eastAsia="宋体" w:cs="宋体"/>
              <w:bCs/>
              <w:color w:val="auto"/>
              <w:sz w:val="32"/>
              <w:szCs w:val="32"/>
            </w:rPr>
            <w:t>评审办法</w:t>
          </w:r>
          <w:r>
            <w:rPr>
              <w:rFonts w:hint="eastAsia" w:ascii="宋体" w:hAnsi="宋体" w:eastAsia="宋体" w:cs="宋体"/>
              <w:color w:val="auto"/>
              <w:sz w:val="32"/>
              <w:szCs w:val="32"/>
            </w:rPr>
            <w:tab/>
          </w:r>
          <w:r>
            <w:rPr>
              <w:rFonts w:hint="eastAsia" w:ascii="宋体" w:hAnsi="宋体" w:eastAsia="宋体" w:cs="宋体"/>
              <w:color w:val="auto"/>
              <w:sz w:val="32"/>
              <w:szCs w:val="32"/>
            </w:rPr>
            <w:fldChar w:fldCharType="begin"/>
          </w:r>
          <w:r>
            <w:rPr>
              <w:rFonts w:hint="eastAsia" w:ascii="宋体" w:hAnsi="宋体" w:eastAsia="宋体" w:cs="宋体"/>
              <w:color w:val="auto"/>
              <w:sz w:val="32"/>
              <w:szCs w:val="32"/>
            </w:rPr>
            <w:instrText xml:space="preserve"> PAGEREF _Toc22448 \h </w:instrText>
          </w:r>
          <w:r>
            <w:rPr>
              <w:rFonts w:hint="eastAsia" w:ascii="宋体" w:hAnsi="宋体" w:eastAsia="宋体" w:cs="宋体"/>
              <w:color w:val="auto"/>
              <w:sz w:val="32"/>
              <w:szCs w:val="32"/>
            </w:rPr>
            <w:fldChar w:fldCharType="separate"/>
          </w:r>
          <w:r>
            <w:rPr>
              <w:rFonts w:hint="eastAsia" w:ascii="宋体" w:hAnsi="宋体" w:eastAsia="宋体" w:cs="宋体"/>
              <w:color w:val="auto"/>
              <w:sz w:val="32"/>
              <w:szCs w:val="32"/>
            </w:rPr>
            <w:t>31</w:t>
          </w:r>
          <w:r>
            <w:rPr>
              <w:rFonts w:hint="eastAsia" w:ascii="宋体" w:hAnsi="宋体" w:eastAsia="宋体" w:cs="宋体"/>
              <w:color w:val="auto"/>
              <w:sz w:val="32"/>
              <w:szCs w:val="32"/>
            </w:rPr>
            <w:fldChar w:fldCharType="end"/>
          </w:r>
          <w:r>
            <w:rPr>
              <w:rFonts w:hint="eastAsia" w:ascii="宋体" w:hAnsi="宋体" w:eastAsia="宋体" w:cs="宋体"/>
              <w:color w:val="auto"/>
              <w:sz w:val="32"/>
              <w:szCs w:val="32"/>
            </w:rPr>
            <w:fldChar w:fldCharType="end"/>
          </w:r>
        </w:p>
        <w:p w14:paraId="5808AD63">
          <w:pPr>
            <w:pStyle w:val="35"/>
            <w:tabs>
              <w:tab w:val="right" w:leader="dot" w:pos="9850"/>
            </w:tabs>
            <w:spacing w:line="360" w:lineRule="auto"/>
            <w:rPr>
              <w:rFonts w:hint="eastAsia" w:ascii="宋体" w:hAnsi="宋体" w:eastAsia="宋体" w:cs="宋体"/>
              <w:color w:val="auto"/>
              <w:sz w:val="32"/>
              <w:szCs w:val="32"/>
            </w:rPr>
          </w:pPr>
          <w:r>
            <w:rPr>
              <w:rFonts w:hint="eastAsia" w:ascii="宋体" w:hAnsi="宋体" w:eastAsia="宋体" w:cs="宋体"/>
              <w:color w:val="auto"/>
              <w:sz w:val="32"/>
              <w:szCs w:val="32"/>
            </w:rPr>
            <w:fldChar w:fldCharType="begin"/>
          </w:r>
          <w:r>
            <w:rPr>
              <w:rFonts w:hint="eastAsia" w:ascii="宋体" w:hAnsi="宋体" w:eastAsia="宋体" w:cs="宋体"/>
              <w:color w:val="auto"/>
              <w:sz w:val="32"/>
              <w:szCs w:val="32"/>
            </w:rPr>
            <w:instrText xml:space="preserve"> HYPERLINK \l _Toc22577 </w:instrText>
          </w:r>
          <w:r>
            <w:rPr>
              <w:rFonts w:hint="eastAsia" w:ascii="宋体" w:hAnsi="宋体" w:eastAsia="宋体" w:cs="宋体"/>
              <w:color w:val="auto"/>
              <w:sz w:val="32"/>
              <w:szCs w:val="32"/>
            </w:rPr>
            <w:fldChar w:fldCharType="separate"/>
          </w:r>
          <w:r>
            <w:rPr>
              <w:rFonts w:hint="eastAsia" w:ascii="宋体" w:hAnsi="宋体" w:eastAsia="宋体" w:cs="宋体"/>
              <w:bCs/>
              <w:color w:val="auto"/>
              <w:sz w:val="32"/>
              <w:szCs w:val="32"/>
            </w:rPr>
            <w:t>第五章 合同主要条款及格式</w:t>
          </w:r>
          <w:r>
            <w:rPr>
              <w:rFonts w:hint="eastAsia" w:ascii="宋体" w:hAnsi="宋体" w:eastAsia="宋体" w:cs="宋体"/>
              <w:color w:val="auto"/>
              <w:sz w:val="32"/>
              <w:szCs w:val="32"/>
            </w:rPr>
            <w:tab/>
          </w:r>
          <w:r>
            <w:rPr>
              <w:rFonts w:hint="eastAsia" w:ascii="宋体" w:hAnsi="宋体" w:eastAsia="宋体" w:cs="宋体"/>
              <w:color w:val="auto"/>
              <w:sz w:val="32"/>
              <w:szCs w:val="32"/>
            </w:rPr>
            <w:fldChar w:fldCharType="begin"/>
          </w:r>
          <w:r>
            <w:rPr>
              <w:rFonts w:hint="eastAsia" w:ascii="宋体" w:hAnsi="宋体" w:eastAsia="宋体" w:cs="宋体"/>
              <w:color w:val="auto"/>
              <w:sz w:val="32"/>
              <w:szCs w:val="32"/>
            </w:rPr>
            <w:instrText xml:space="preserve"> PAGEREF _Toc22577 \h </w:instrText>
          </w:r>
          <w:r>
            <w:rPr>
              <w:rFonts w:hint="eastAsia" w:ascii="宋体" w:hAnsi="宋体" w:eastAsia="宋体" w:cs="宋体"/>
              <w:color w:val="auto"/>
              <w:sz w:val="32"/>
              <w:szCs w:val="32"/>
            </w:rPr>
            <w:fldChar w:fldCharType="separate"/>
          </w:r>
          <w:r>
            <w:rPr>
              <w:rFonts w:hint="eastAsia" w:ascii="宋体" w:hAnsi="宋体" w:eastAsia="宋体" w:cs="宋体"/>
              <w:color w:val="auto"/>
              <w:sz w:val="32"/>
              <w:szCs w:val="32"/>
            </w:rPr>
            <w:t>39</w:t>
          </w:r>
          <w:r>
            <w:rPr>
              <w:rFonts w:hint="eastAsia" w:ascii="宋体" w:hAnsi="宋体" w:eastAsia="宋体" w:cs="宋体"/>
              <w:color w:val="auto"/>
              <w:sz w:val="32"/>
              <w:szCs w:val="32"/>
            </w:rPr>
            <w:fldChar w:fldCharType="end"/>
          </w:r>
          <w:r>
            <w:rPr>
              <w:rFonts w:hint="eastAsia" w:ascii="宋体" w:hAnsi="宋体" w:eastAsia="宋体" w:cs="宋体"/>
              <w:color w:val="auto"/>
              <w:sz w:val="32"/>
              <w:szCs w:val="32"/>
            </w:rPr>
            <w:fldChar w:fldCharType="end"/>
          </w:r>
        </w:p>
        <w:p w14:paraId="48A923C8">
          <w:pPr>
            <w:pStyle w:val="35"/>
            <w:tabs>
              <w:tab w:val="right" w:leader="dot" w:pos="9850"/>
            </w:tabs>
            <w:spacing w:line="360" w:lineRule="auto"/>
            <w:rPr>
              <w:rFonts w:hint="eastAsia" w:ascii="宋体" w:hAnsi="宋体" w:eastAsia="宋体" w:cs="宋体"/>
              <w:color w:val="auto"/>
              <w:sz w:val="32"/>
              <w:szCs w:val="32"/>
            </w:rPr>
          </w:pPr>
          <w:r>
            <w:rPr>
              <w:rFonts w:hint="eastAsia" w:ascii="宋体" w:hAnsi="宋体" w:eastAsia="宋体" w:cs="宋体"/>
              <w:color w:val="auto"/>
              <w:sz w:val="32"/>
              <w:szCs w:val="32"/>
            </w:rPr>
            <w:fldChar w:fldCharType="begin"/>
          </w:r>
          <w:r>
            <w:rPr>
              <w:rFonts w:hint="eastAsia" w:ascii="宋体" w:hAnsi="宋体" w:eastAsia="宋体" w:cs="宋体"/>
              <w:color w:val="auto"/>
              <w:sz w:val="32"/>
              <w:szCs w:val="32"/>
            </w:rPr>
            <w:instrText xml:space="preserve"> HYPERLINK \l _Toc9875 </w:instrText>
          </w:r>
          <w:r>
            <w:rPr>
              <w:rFonts w:hint="eastAsia" w:ascii="宋体" w:hAnsi="宋体" w:eastAsia="宋体" w:cs="宋体"/>
              <w:color w:val="auto"/>
              <w:sz w:val="32"/>
              <w:szCs w:val="32"/>
            </w:rPr>
            <w:fldChar w:fldCharType="separate"/>
          </w:r>
          <w:r>
            <w:rPr>
              <w:rFonts w:hint="eastAsia" w:ascii="宋体" w:hAnsi="宋体" w:eastAsia="宋体" w:cs="宋体"/>
              <w:bCs/>
              <w:color w:val="auto"/>
              <w:sz w:val="32"/>
              <w:szCs w:val="32"/>
            </w:rPr>
            <w:t>第六章</w:t>
          </w:r>
          <w:r>
            <w:rPr>
              <w:rFonts w:hint="eastAsia" w:ascii="宋体" w:hAnsi="宋体" w:eastAsia="宋体" w:cs="宋体"/>
              <w:bCs/>
              <w:color w:val="auto"/>
              <w:sz w:val="32"/>
              <w:szCs w:val="32"/>
              <w:lang w:val="en-US" w:eastAsia="zh-CN"/>
            </w:rPr>
            <w:t xml:space="preserve"> </w:t>
          </w:r>
          <w:r>
            <w:rPr>
              <w:rFonts w:hint="eastAsia" w:ascii="宋体" w:hAnsi="宋体" w:eastAsia="宋体" w:cs="宋体"/>
              <w:bCs/>
              <w:color w:val="auto"/>
              <w:sz w:val="32"/>
              <w:szCs w:val="32"/>
            </w:rPr>
            <w:t>响应文件内容及格式</w:t>
          </w:r>
          <w:r>
            <w:rPr>
              <w:rFonts w:hint="eastAsia" w:ascii="宋体" w:hAnsi="宋体" w:eastAsia="宋体" w:cs="宋体"/>
              <w:color w:val="auto"/>
              <w:sz w:val="32"/>
              <w:szCs w:val="32"/>
            </w:rPr>
            <w:tab/>
          </w:r>
          <w:r>
            <w:rPr>
              <w:rFonts w:hint="eastAsia" w:ascii="宋体" w:hAnsi="宋体" w:eastAsia="宋体" w:cs="宋体"/>
              <w:color w:val="auto"/>
              <w:sz w:val="32"/>
              <w:szCs w:val="32"/>
            </w:rPr>
            <w:fldChar w:fldCharType="begin"/>
          </w:r>
          <w:r>
            <w:rPr>
              <w:rFonts w:hint="eastAsia" w:ascii="宋体" w:hAnsi="宋体" w:eastAsia="宋体" w:cs="宋体"/>
              <w:color w:val="auto"/>
              <w:sz w:val="32"/>
              <w:szCs w:val="32"/>
            </w:rPr>
            <w:instrText xml:space="preserve"> PAGEREF _Toc9875 \h </w:instrText>
          </w:r>
          <w:r>
            <w:rPr>
              <w:rFonts w:hint="eastAsia" w:ascii="宋体" w:hAnsi="宋体" w:eastAsia="宋体" w:cs="宋体"/>
              <w:color w:val="auto"/>
              <w:sz w:val="32"/>
              <w:szCs w:val="32"/>
            </w:rPr>
            <w:fldChar w:fldCharType="separate"/>
          </w:r>
          <w:r>
            <w:rPr>
              <w:rFonts w:hint="eastAsia" w:ascii="宋体" w:hAnsi="宋体" w:eastAsia="宋体" w:cs="宋体"/>
              <w:color w:val="auto"/>
              <w:sz w:val="32"/>
              <w:szCs w:val="32"/>
            </w:rPr>
            <w:t>42</w:t>
          </w:r>
          <w:r>
            <w:rPr>
              <w:rFonts w:hint="eastAsia" w:ascii="宋体" w:hAnsi="宋体" w:eastAsia="宋体" w:cs="宋体"/>
              <w:color w:val="auto"/>
              <w:sz w:val="32"/>
              <w:szCs w:val="32"/>
            </w:rPr>
            <w:fldChar w:fldCharType="end"/>
          </w:r>
          <w:r>
            <w:rPr>
              <w:rFonts w:hint="eastAsia" w:ascii="宋体" w:hAnsi="宋体" w:eastAsia="宋体" w:cs="宋体"/>
              <w:color w:val="auto"/>
              <w:sz w:val="32"/>
              <w:szCs w:val="32"/>
            </w:rPr>
            <w:fldChar w:fldCharType="end"/>
          </w:r>
        </w:p>
        <w:p w14:paraId="642E871D">
          <w:pPr>
            <w:pStyle w:val="35"/>
            <w:tabs>
              <w:tab w:val="right" w:leader="dot" w:pos="9850"/>
            </w:tabs>
            <w:spacing w:line="360" w:lineRule="auto"/>
            <w:rPr>
              <w:rFonts w:hint="eastAsia" w:ascii="宋体" w:hAnsi="宋体" w:eastAsia="宋体" w:cs="宋体"/>
              <w:color w:val="auto"/>
              <w:sz w:val="32"/>
              <w:szCs w:val="32"/>
            </w:rPr>
          </w:pPr>
        </w:p>
        <w:p w14:paraId="406029BA">
          <w:pPr>
            <w:spacing w:line="360" w:lineRule="auto"/>
            <w:rPr>
              <w:color w:val="auto"/>
            </w:rPr>
          </w:pPr>
          <w:r>
            <w:rPr>
              <w:rFonts w:hint="eastAsia" w:ascii="宋体" w:hAnsi="宋体" w:eastAsia="宋体" w:cs="宋体"/>
              <w:color w:val="auto"/>
              <w:sz w:val="32"/>
              <w:szCs w:val="32"/>
            </w:rPr>
            <w:fldChar w:fldCharType="end"/>
          </w:r>
        </w:p>
      </w:sdtContent>
    </w:sdt>
    <w:p w14:paraId="59092311">
      <w:pPr>
        <w:rPr>
          <w:color w:val="auto"/>
        </w:rPr>
      </w:pPr>
    </w:p>
    <w:p w14:paraId="0D033DBD">
      <w:pPr>
        <w:wordWrap w:val="0"/>
        <w:rPr>
          <w:color w:val="auto"/>
        </w:rPr>
      </w:pPr>
    </w:p>
    <w:p w14:paraId="0960A2C4">
      <w:pPr>
        <w:pStyle w:val="2"/>
        <w:keepNext w:val="0"/>
        <w:keepLines w:val="0"/>
        <w:pageBreakBefore w:val="0"/>
        <w:widowControl w:val="0"/>
        <w:kinsoku/>
        <w:wordWrap w:val="0"/>
        <w:overflowPunct/>
        <w:topLinePunct w:val="0"/>
        <w:autoSpaceDE w:val="0"/>
        <w:autoSpaceDN w:val="0"/>
        <w:bidi w:val="0"/>
        <w:adjustRightInd/>
        <w:snapToGrid/>
        <w:spacing w:line="540" w:lineRule="exact"/>
        <w:ind w:left="0"/>
        <w:textAlignment w:val="auto"/>
        <w:outlineLvl w:val="9"/>
        <w:rPr>
          <w:rFonts w:hint="eastAsia"/>
          <w:b/>
          <w:bCs/>
          <w:color w:val="auto"/>
          <w:sz w:val="36"/>
          <w:szCs w:val="28"/>
        </w:rPr>
        <w:sectPr>
          <w:footerReference r:id="rId4" w:type="default"/>
          <w:pgSz w:w="11910" w:h="16840"/>
          <w:pgMar w:top="1440" w:right="1080" w:bottom="1440" w:left="1080" w:header="0" w:footer="640" w:gutter="0"/>
          <w:pgNumType w:start="1"/>
          <w:cols w:space="720" w:num="1"/>
        </w:sectPr>
      </w:pPr>
      <w:bookmarkStart w:id="5" w:name="_Toc15183"/>
    </w:p>
    <w:p w14:paraId="09ACBFA4">
      <w:pPr>
        <w:pStyle w:val="2"/>
        <w:keepNext w:val="0"/>
        <w:keepLines w:val="0"/>
        <w:pageBreakBefore w:val="0"/>
        <w:widowControl w:val="0"/>
        <w:kinsoku/>
        <w:wordWrap w:val="0"/>
        <w:overflowPunct/>
        <w:topLinePunct w:val="0"/>
        <w:autoSpaceDE w:val="0"/>
        <w:autoSpaceDN w:val="0"/>
        <w:bidi w:val="0"/>
        <w:adjustRightInd/>
        <w:snapToGrid/>
        <w:spacing w:line="540" w:lineRule="exact"/>
        <w:ind w:left="0"/>
        <w:textAlignment w:val="auto"/>
        <w:rPr>
          <w:color w:val="auto"/>
        </w:rPr>
      </w:pPr>
      <w:bookmarkStart w:id="6" w:name="_Toc29890"/>
      <w:r>
        <w:rPr>
          <w:rFonts w:hint="eastAsia"/>
          <w:b/>
          <w:bCs/>
          <w:color w:val="auto"/>
          <w:sz w:val="36"/>
          <w:szCs w:val="28"/>
        </w:rPr>
        <w:t xml:space="preserve">第一章   </w:t>
      </w:r>
      <w:r>
        <w:rPr>
          <w:b/>
          <w:bCs/>
          <w:color w:val="auto"/>
          <w:sz w:val="36"/>
          <w:szCs w:val="28"/>
        </w:rPr>
        <w:t>竞争性磋商公告</w:t>
      </w:r>
      <w:bookmarkEnd w:id="4"/>
      <w:bookmarkEnd w:id="5"/>
      <w:bookmarkEnd w:id="6"/>
    </w:p>
    <w:p w14:paraId="757ED831">
      <w:pPr>
        <w:pStyle w:val="8"/>
        <w:keepNext w:val="0"/>
        <w:keepLines w:val="0"/>
        <w:pageBreakBefore w:val="0"/>
        <w:widowControl w:val="0"/>
        <w:numPr>
          <w:ilvl w:val="0"/>
          <w:numId w:val="0"/>
        </w:numPr>
        <w:kinsoku/>
        <w:wordWrap w:val="0"/>
        <w:overflowPunct/>
        <w:topLinePunct w:val="0"/>
        <w:autoSpaceDE w:val="0"/>
        <w:autoSpaceDN w:val="0"/>
        <w:bidi w:val="0"/>
        <w:adjustRightInd/>
        <w:snapToGrid/>
        <w:spacing w:line="650" w:lineRule="exact"/>
        <w:ind w:firstLine="560" w:firstLineChars="200"/>
        <w:textAlignment w:val="auto"/>
        <w:rPr>
          <w:rFonts w:hint="eastAsia" w:ascii="宋体" w:hAnsi="宋体" w:eastAsia="宋体" w:cs="宋体"/>
          <w:color w:val="auto"/>
          <w:sz w:val="28"/>
          <w:szCs w:val="28"/>
        </w:rPr>
      </w:pPr>
      <w:bookmarkStart w:id="7" w:name="_Hlk536538549"/>
      <w:r>
        <w:rPr>
          <w:rFonts w:hint="eastAsia" w:ascii="宋体" w:hAnsi="宋体" w:cs="宋体"/>
          <w:color w:val="auto"/>
          <w:sz w:val="28"/>
          <w:szCs w:val="28"/>
          <w:lang w:val="en-US" w:eastAsia="zh-CN"/>
        </w:rPr>
        <w:t>大业信息技术（河南）有限公司</w:t>
      </w:r>
      <w:r>
        <w:rPr>
          <w:rFonts w:hint="eastAsia" w:ascii="宋体" w:hAnsi="宋体" w:eastAsia="宋体" w:cs="宋体"/>
          <w:color w:val="auto"/>
          <w:sz w:val="28"/>
          <w:szCs w:val="28"/>
          <w:lang w:val="en-US"/>
        </w:rPr>
        <w:t>受</w:t>
      </w:r>
      <w:r>
        <w:rPr>
          <w:rFonts w:hint="eastAsia" w:ascii="宋体" w:hAnsi="宋体" w:cs="宋体"/>
          <w:color w:val="auto"/>
          <w:sz w:val="28"/>
          <w:szCs w:val="28"/>
          <w:lang w:val="en-US" w:eastAsia="zh-CN"/>
        </w:rPr>
        <w:t>卢氏县汤河乡人民政府</w:t>
      </w:r>
      <w:r>
        <w:rPr>
          <w:rFonts w:hint="eastAsia" w:ascii="宋体" w:hAnsi="宋体" w:eastAsia="宋体" w:cs="宋体"/>
          <w:color w:val="auto"/>
          <w:sz w:val="28"/>
          <w:szCs w:val="28"/>
          <w:lang w:val="en-US"/>
        </w:rPr>
        <w:t>的委托，就</w:t>
      </w:r>
      <w:r>
        <w:rPr>
          <w:rFonts w:hint="eastAsia" w:ascii="宋体" w:hAnsi="宋体" w:cs="宋体"/>
          <w:color w:val="auto"/>
          <w:sz w:val="28"/>
          <w:szCs w:val="28"/>
          <w:lang w:val="en-US" w:eastAsia="zh-CN"/>
        </w:rPr>
        <w:t>丹江口库区上游老灌河流域卢氏县水环境综合治理及生态修复项目设计服务</w:t>
      </w:r>
      <w:r>
        <w:rPr>
          <w:rFonts w:hint="eastAsia" w:ascii="宋体" w:hAnsi="宋体" w:eastAsia="宋体" w:cs="宋体"/>
          <w:color w:val="auto"/>
          <w:sz w:val="28"/>
          <w:szCs w:val="28"/>
        </w:rPr>
        <w:t>进行竞争性磋商，欢迎符合资格条件的供应商参加磋商。</w:t>
      </w:r>
    </w:p>
    <w:p w14:paraId="7F8C850C">
      <w:pPr>
        <w:pStyle w:val="8"/>
        <w:keepNext w:val="0"/>
        <w:keepLines w:val="0"/>
        <w:pageBreakBefore w:val="0"/>
        <w:widowControl w:val="0"/>
        <w:numPr>
          <w:ilvl w:val="0"/>
          <w:numId w:val="0"/>
        </w:numPr>
        <w:kinsoku/>
        <w:wordWrap w:val="0"/>
        <w:overflowPunct/>
        <w:topLinePunct w:val="0"/>
        <w:autoSpaceDE w:val="0"/>
        <w:autoSpaceDN w:val="0"/>
        <w:bidi w:val="0"/>
        <w:adjustRightInd/>
        <w:snapToGrid/>
        <w:spacing w:line="65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一、项目概况与</w:t>
      </w:r>
      <w:r>
        <w:rPr>
          <w:rFonts w:hint="eastAsia" w:ascii="宋体" w:hAnsi="宋体" w:cs="宋体"/>
          <w:color w:val="auto"/>
          <w:sz w:val="28"/>
          <w:szCs w:val="28"/>
          <w:lang w:val="en-US" w:eastAsia="zh-CN"/>
        </w:rPr>
        <w:t>磋商</w:t>
      </w:r>
      <w:r>
        <w:rPr>
          <w:rFonts w:hint="eastAsia" w:ascii="宋体" w:hAnsi="宋体" w:eastAsia="宋体" w:cs="宋体"/>
          <w:color w:val="auto"/>
          <w:sz w:val="28"/>
          <w:szCs w:val="28"/>
          <w:lang w:val="en-US" w:eastAsia="zh-CN"/>
        </w:rPr>
        <w:t>范围</w:t>
      </w:r>
    </w:p>
    <w:p w14:paraId="1A9E7449">
      <w:pPr>
        <w:pStyle w:val="8"/>
        <w:keepNext w:val="0"/>
        <w:keepLines w:val="0"/>
        <w:pageBreakBefore w:val="0"/>
        <w:widowControl w:val="0"/>
        <w:numPr>
          <w:ilvl w:val="0"/>
          <w:numId w:val="0"/>
        </w:numPr>
        <w:kinsoku/>
        <w:wordWrap w:val="0"/>
        <w:overflowPunct/>
        <w:topLinePunct w:val="0"/>
        <w:autoSpaceDE w:val="0"/>
        <w:autoSpaceDN w:val="0"/>
        <w:bidi w:val="0"/>
        <w:adjustRightInd/>
        <w:snapToGrid/>
        <w:spacing w:line="650" w:lineRule="exact"/>
        <w:ind w:firstLine="560" w:firstLineChars="200"/>
        <w:textAlignment w:val="auto"/>
        <w:rPr>
          <w:rFonts w:hint="eastAsia" w:ascii="宋体" w:hAnsi="宋体" w:cs="宋体"/>
          <w:color w:val="auto"/>
          <w:sz w:val="28"/>
          <w:szCs w:val="28"/>
          <w:lang w:val="en-US" w:eastAsia="zh-CN"/>
        </w:rPr>
      </w:pPr>
      <w:bookmarkStart w:id="8" w:name="OLE_LINK1"/>
      <w:r>
        <w:rPr>
          <w:rFonts w:hint="eastAsia" w:ascii="宋体" w:hAnsi="宋体" w:eastAsia="宋体" w:cs="宋体"/>
          <w:color w:val="auto"/>
          <w:sz w:val="28"/>
          <w:szCs w:val="28"/>
          <w:lang w:val="en-US" w:eastAsia="zh-CN"/>
        </w:rPr>
        <w:t>1、采购人：</w:t>
      </w:r>
      <w:r>
        <w:rPr>
          <w:rFonts w:hint="eastAsia" w:ascii="宋体" w:hAnsi="宋体" w:cs="宋体"/>
          <w:color w:val="auto"/>
          <w:sz w:val="28"/>
          <w:szCs w:val="28"/>
          <w:lang w:val="en-US" w:eastAsia="zh-CN"/>
        </w:rPr>
        <w:t>卢氏县汤河乡人民政府</w:t>
      </w:r>
    </w:p>
    <w:p w14:paraId="6C246241">
      <w:pPr>
        <w:pStyle w:val="8"/>
        <w:keepNext w:val="0"/>
        <w:keepLines w:val="0"/>
        <w:pageBreakBefore w:val="0"/>
        <w:widowControl w:val="0"/>
        <w:numPr>
          <w:ilvl w:val="0"/>
          <w:numId w:val="0"/>
        </w:numPr>
        <w:kinsoku/>
        <w:wordWrap w:val="0"/>
        <w:overflowPunct/>
        <w:topLinePunct w:val="0"/>
        <w:autoSpaceDE w:val="0"/>
        <w:autoSpaceDN w:val="0"/>
        <w:bidi w:val="0"/>
        <w:adjustRightInd/>
        <w:snapToGrid/>
        <w:spacing w:line="65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2、项目名称：</w:t>
      </w:r>
      <w:r>
        <w:rPr>
          <w:rFonts w:hint="eastAsia" w:ascii="宋体" w:hAnsi="宋体" w:cs="宋体"/>
          <w:color w:val="auto"/>
          <w:sz w:val="28"/>
          <w:szCs w:val="28"/>
          <w:lang w:val="en-US" w:eastAsia="zh-CN"/>
        </w:rPr>
        <w:t>丹江口库区上游老灌河流域卢氏县水环境综合治理及生态修复项目设计服务</w:t>
      </w:r>
    </w:p>
    <w:p w14:paraId="5B68C39C">
      <w:pPr>
        <w:pStyle w:val="8"/>
        <w:keepNext w:val="0"/>
        <w:keepLines w:val="0"/>
        <w:pageBreakBefore w:val="0"/>
        <w:widowControl w:val="0"/>
        <w:numPr>
          <w:ilvl w:val="0"/>
          <w:numId w:val="0"/>
        </w:numPr>
        <w:kinsoku/>
        <w:wordWrap w:val="0"/>
        <w:overflowPunct/>
        <w:topLinePunct w:val="0"/>
        <w:autoSpaceDE w:val="0"/>
        <w:autoSpaceDN w:val="0"/>
        <w:bidi w:val="0"/>
        <w:adjustRightInd/>
        <w:snapToGrid/>
        <w:spacing w:line="650" w:lineRule="exact"/>
        <w:ind w:firstLine="560" w:firstLineChars="200"/>
        <w:textAlignment w:val="auto"/>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3、项目编号：三卢竞磋采购-2025-95、LSGZ[2025]234-ZC160 </w:t>
      </w:r>
      <w:r>
        <w:rPr>
          <w:rFonts w:hint="eastAsia" w:ascii="宋体" w:hAnsi="宋体" w:cs="宋体"/>
          <w:color w:val="auto"/>
          <w:sz w:val="28"/>
          <w:szCs w:val="28"/>
          <w:lang w:val="en-US" w:eastAsia="zh-CN"/>
        </w:rPr>
        <w:t xml:space="preserve"> </w:t>
      </w:r>
    </w:p>
    <w:p w14:paraId="19DBC789">
      <w:pPr>
        <w:pStyle w:val="8"/>
        <w:keepNext w:val="0"/>
        <w:keepLines w:val="0"/>
        <w:pageBreakBefore w:val="0"/>
        <w:widowControl w:val="0"/>
        <w:numPr>
          <w:ilvl w:val="0"/>
          <w:numId w:val="0"/>
        </w:numPr>
        <w:kinsoku/>
        <w:wordWrap w:val="0"/>
        <w:overflowPunct/>
        <w:topLinePunct w:val="0"/>
        <w:autoSpaceDE w:val="0"/>
        <w:autoSpaceDN w:val="0"/>
        <w:bidi w:val="0"/>
        <w:adjustRightInd/>
        <w:snapToGrid/>
        <w:spacing w:line="650" w:lineRule="atLeast"/>
        <w:ind w:firstLine="560" w:firstLineChars="200"/>
        <w:textAlignment w:val="auto"/>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4、项目预算金额：</w:t>
      </w:r>
      <w:r>
        <w:rPr>
          <w:rFonts w:hint="default" w:ascii="宋体" w:hAnsi="宋体" w:eastAsia="宋体" w:cs="宋体"/>
          <w:color w:val="auto"/>
          <w:sz w:val="28"/>
          <w:szCs w:val="28"/>
          <w:lang w:val="en-US" w:eastAsia="zh-CN"/>
        </w:rPr>
        <w:t>¥</w:t>
      </w:r>
      <w:r>
        <w:rPr>
          <w:rFonts w:hint="eastAsia" w:ascii="宋体" w:hAnsi="宋体" w:cs="宋体"/>
          <w:color w:val="auto"/>
          <w:sz w:val="28"/>
          <w:szCs w:val="28"/>
          <w:lang w:val="en-US" w:eastAsia="zh-CN"/>
        </w:rPr>
        <w:t>912600.00元</w:t>
      </w:r>
    </w:p>
    <w:p w14:paraId="417A96E8">
      <w:pPr>
        <w:pStyle w:val="8"/>
        <w:keepNext w:val="0"/>
        <w:keepLines w:val="0"/>
        <w:pageBreakBefore w:val="0"/>
        <w:widowControl w:val="0"/>
        <w:numPr>
          <w:ilvl w:val="0"/>
          <w:numId w:val="0"/>
        </w:numPr>
        <w:kinsoku/>
        <w:wordWrap w:val="0"/>
        <w:overflowPunct/>
        <w:topLinePunct w:val="0"/>
        <w:autoSpaceDE w:val="0"/>
        <w:autoSpaceDN w:val="0"/>
        <w:bidi w:val="0"/>
        <w:adjustRightInd/>
        <w:snapToGrid/>
        <w:spacing w:line="65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cs="宋体"/>
          <w:color w:val="auto"/>
          <w:sz w:val="28"/>
          <w:szCs w:val="28"/>
          <w:lang w:val="en-US" w:eastAsia="zh-CN"/>
        </w:rPr>
        <w:t>5</w:t>
      </w:r>
      <w:r>
        <w:rPr>
          <w:rFonts w:hint="eastAsia" w:ascii="宋体" w:hAnsi="宋体" w:eastAsia="宋体" w:cs="宋体"/>
          <w:color w:val="auto"/>
          <w:sz w:val="28"/>
          <w:szCs w:val="28"/>
          <w:lang w:val="en-US" w:eastAsia="zh-CN"/>
        </w:rPr>
        <w:t>、</w:t>
      </w:r>
      <w:r>
        <w:rPr>
          <w:rFonts w:hint="eastAsia" w:cs="宋体"/>
          <w:color w:val="auto"/>
          <w:sz w:val="28"/>
          <w:szCs w:val="28"/>
          <w:lang w:val="en-US" w:eastAsia="zh-CN"/>
        </w:rPr>
        <w:t>项目规模</w:t>
      </w:r>
      <w:r>
        <w:rPr>
          <w:rFonts w:hint="eastAsia" w:ascii="宋体" w:hAnsi="宋体" w:eastAsia="宋体" w:cs="宋体"/>
          <w:color w:val="auto"/>
          <w:sz w:val="28"/>
          <w:szCs w:val="28"/>
          <w:lang w:val="en-US" w:eastAsia="zh-CN"/>
        </w:rPr>
        <w:t>：对老灌河流域的河岸两侧进行生态步道建设，生态隔离带种植，生态护岸防护，生态湿地建设，沿线相关村庄铺设污水管网等基础设施建设。</w:t>
      </w:r>
    </w:p>
    <w:p w14:paraId="35779442">
      <w:pPr>
        <w:pStyle w:val="8"/>
        <w:keepNext w:val="0"/>
        <w:keepLines w:val="0"/>
        <w:pageBreakBefore w:val="0"/>
        <w:widowControl w:val="0"/>
        <w:numPr>
          <w:ilvl w:val="0"/>
          <w:numId w:val="0"/>
        </w:numPr>
        <w:kinsoku/>
        <w:wordWrap w:val="0"/>
        <w:overflowPunct/>
        <w:topLinePunct w:val="0"/>
        <w:autoSpaceDE w:val="0"/>
        <w:autoSpaceDN w:val="0"/>
        <w:bidi w:val="0"/>
        <w:adjustRightInd/>
        <w:snapToGrid/>
        <w:spacing w:line="650" w:lineRule="exact"/>
        <w:ind w:firstLine="560" w:firstLineChars="200"/>
        <w:textAlignment w:val="auto"/>
        <w:rPr>
          <w:rFonts w:hint="eastAsia" w:asciiTheme="minorEastAsia" w:hAnsiTheme="minorEastAsia" w:cstheme="minorEastAsia"/>
          <w:sz w:val="28"/>
          <w:szCs w:val="28"/>
          <w:lang w:eastAsia="zh-CN"/>
        </w:rPr>
      </w:pPr>
      <w:r>
        <w:rPr>
          <w:rFonts w:hint="eastAsia" w:ascii="宋体" w:hAnsi="宋体" w:cs="宋体"/>
          <w:color w:val="auto"/>
          <w:sz w:val="28"/>
          <w:szCs w:val="28"/>
          <w:lang w:val="en-US" w:eastAsia="zh-CN"/>
        </w:rPr>
        <w:t>6、</w:t>
      </w:r>
      <w:r>
        <w:rPr>
          <w:rFonts w:hint="eastAsia" w:asciiTheme="minorEastAsia" w:hAnsiTheme="minorEastAsia" w:cstheme="minorEastAsia"/>
          <w:sz w:val="28"/>
          <w:szCs w:val="28"/>
          <w:lang w:val="en-US" w:eastAsia="zh-CN"/>
        </w:rPr>
        <w:t>服务内容：主要包含该项目的工程测绘、工程设计、工程预算等</w:t>
      </w:r>
    </w:p>
    <w:p w14:paraId="7A178193">
      <w:pPr>
        <w:pStyle w:val="8"/>
        <w:keepNext w:val="0"/>
        <w:keepLines w:val="0"/>
        <w:pageBreakBefore w:val="0"/>
        <w:widowControl w:val="0"/>
        <w:numPr>
          <w:ilvl w:val="0"/>
          <w:numId w:val="0"/>
        </w:numPr>
        <w:kinsoku/>
        <w:wordWrap w:val="0"/>
        <w:overflowPunct/>
        <w:topLinePunct w:val="0"/>
        <w:autoSpaceDE w:val="0"/>
        <w:autoSpaceDN w:val="0"/>
        <w:bidi w:val="0"/>
        <w:adjustRightInd/>
        <w:snapToGrid/>
        <w:spacing w:line="65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cs="宋体"/>
          <w:color w:val="auto"/>
          <w:sz w:val="28"/>
          <w:szCs w:val="28"/>
          <w:lang w:val="en-US" w:eastAsia="zh-CN"/>
        </w:rPr>
        <w:t>7</w:t>
      </w:r>
      <w:r>
        <w:rPr>
          <w:rFonts w:hint="eastAsia" w:ascii="宋体" w:hAnsi="宋体" w:eastAsia="宋体" w:cs="宋体"/>
          <w:color w:val="auto"/>
          <w:sz w:val="28"/>
          <w:szCs w:val="28"/>
          <w:lang w:val="en-US" w:eastAsia="zh-CN"/>
        </w:rPr>
        <w:t>、标段划分：本项目共分1个标段</w:t>
      </w:r>
      <w:r>
        <w:rPr>
          <w:rFonts w:hint="eastAsia" w:ascii="宋体" w:hAnsi="宋体" w:cs="宋体"/>
          <w:color w:val="auto"/>
          <w:sz w:val="28"/>
          <w:szCs w:val="28"/>
          <w:lang w:val="en-US" w:eastAsia="zh-CN"/>
        </w:rPr>
        <w:t>：</w:t>
      </w:r>
    </w:p>
    <w:p w14:paraId="3B7BE89D">
      <w:pPr>
        <w:pStyle w:val="8"/>
        <w:keepNext w:val="0"/>
        <w:keepLines w:val="0"/>
        <w:pageBreakBefore w:val="0"/>
        <w:widowControl w:val="0"/>
        <w:numPr>
          <w:ilvl w:val="0"/>
          <w:numId w:val="0"/>
        </w:numPr>
        <w:kinsoku/>
        <w:wordWrap w:val="0"/>
        <w:overflowPunct/>
        <w:topLinePunct w:val="0"/>
        <w:autoSpaceDE w:val="0"/>
        <w:autoSpaceDN w:val="0"/>
        <w:bidi w:val="0"/>
        <w:adjustRightInd/>
        <w:snapToGrid/>
        <w:spacing w:line="650" w:lineRule="exact"/>
        <w:ind w:firstLine="560" w:firstLineChars="200"/>
        <w:textAlignment w:val="auto"/>
        <w:rPr>
          <w:rFonts w:hint="eastAsia" w:ascii="宋体" w:hAnsi="宋体" w:cs="宋体"/>
          <w:color w:val="auto"/>
          <w:sz w:val="28"/>
          <w:szCs w:val="28"/>
          <w:lang w:val="en-US" w:eastAsia="zh-CN"/>
        </w:rPr>
      </w:pPr>
      <w:r>
        <w:rPr>
          <w:rFonts w:hint="eastAsia" w:ascii="宋体" w:hAnsi="宋体" w:eastAsia="宋体" w:cs="宋体"/>
          <w:color w:val="auto"/>
          <w:sz w:val="28"/>
          <w:szCs w:val="28"/>
          <w:lang w:val="en-US" w:eastAsia="zh-CN"/>
        </w:rPr>
        <w:t>8、资金来源：财政资金</w:t>
      </w:r>
    </w:p>
    <w:p w14:paraId="1325A3EA">
      <w:pPr>
        <w:pStyle w:val="8"/>
        <w:keepNext w:val="0"/>
        <w:keepLines w:val="0"/>
        <w:pageBreakBefore w:val="0"/>
        <w:widowControl w:val="0"/>
        <w:numPr>
          <w:ilvl w:val="0"/>
          <w:numId w:val="0"/>
        </w:numPr>
        <w:kinsoku/>
        <w:wordWrap w:val="0"/>
        <w:overflowPunct/>
        <w:topLinePunct w:val="0"/>
        <w:autoSpaceDE w:val="0"/>
        <w:autoSpaceDN w:val="0"/>
        <w:bidi w:val="0"/>
        <w:adjustRightInd/>
        <w:snapToGrid/>
        <w:spacing w:line="65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9、设计周期：合同签订后10日历天完成</w:t>
      </w:r>
    </w:p>
    <w:p w14:paraId="0955AE60">
      <w:pPr>
        <w:pStyle w:val="8"/>
        <w:keepNext w:val="0"/>
        <w:keepLines w:val="0"/>
        <w:pageBreakBefore w:val="0"/>
        <w:widowControl w:val="0"/>
        <w:numPr>
          <w:ilvl w:val="0"/>
          <w:numId w:val="0"/>
        </w:numPr>
        <w:kinsoku/>
        <w:wordWrap w:val="0"/>
        <w:overflowPunct/>
        <w:topLinePunct w:val="0"/>
        <w:autoSpaceDE w:val="0"/>
        <w:autoSpaceDN w:val="0"/>
        <w:bidi w:val="0"/>
        <w:adjustRightInd/>
        <w:snapToGrid/>
        <w:spacing w:line="65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10、质量要求：符合国家现行规范和标准，并满足采购人要求</w:t>
      </w:r>
    </w:p>
    <w:bookmarkEnd w:id="8"/>
    <w:p w14:paraId="3B71D2D5">
      <w:pPr>
        <w:pStyle w:val="8"/>
        <w:keepNext w:val="0"/>
        <w:keepLines w:val="0"/>
        <w:pageBreakBefore w:val="0"/>
        <w:widowControl w:val="0"/>
        <w:numPr>
          <w:ilvl w:val="0"/>
          <w:numId w:val="0"/>
        </w:numPr>
        <w:kinsoku/>
        <w:wordWrap w:val="0"/>
        <w:overflowPunct/>
        <w:topLinePunct w:val="0"/>
        <w:autoSpaceDE w:val="0"/>
        <w:autoSpaceDN w:val="0"/>
        <w:bidi w:val="0"/>
        <w:adjustRightInd/>
        <w:snapToGrid/>
        <w:spacing w:line="650" w:lineRule="exact"/>
        <w:ind w:firstLine="560" w:firstLineChars="200"/>
        <w:textAlignment w:val="auto"/>
        <w:rPr>
          <w:rFonts w:hint="eastAsia" w:ascii="宋体" w:hAnsi="宋体" w:eastAsia="宋体" w:cs="宋体"/>
          <w:color w:val="auto"/>
          <w:sz w:val="28"/>
          <w:szCs w:val="28"/>
          <w:lang w:val="en-US"/>
        </w:rPr>
      </w:pPr>
      <w:r>
        <w:rPr>
          <w:rFonts w:hint="eastAsia" w:ascii="宋体" w:hAnsi="宋体" w:eastAsia="宋体" w:cs="宋体"/>
          <w:color w:val="auto"/>
          <w:sz w:val="28"/>
          <w:szCs w:val="28"/>
          <w:lang w:val="en-US"/>
        </w:rPr>
        <w:t>二、供应商资格要求</w:t>
      </w:r>
    </w:p>
    <w:bookmarkEnd w:id="7"/>
    <w:p w14:paraId="6A968CC0">
      <w:pPr>
        <w:pStyle w:val="8"/>
        <w:keepNext w:val="0"/>
        <w:keepLines w:val="0"/>
        <w:pageBreakBefore w:val="0"/>
        <w:widowControl w:val="0"/>
        <w:numPr>
          <w:ilvl w:val="0"/>
          <w:numId w:val="0"/>
        </w:numPr>
        <w:kinsoku/>
        <w:wordWrap w:val="0"/>
        <w:overflowPunct/>
        <w:topLinePunct w:val="0"/>
        <w:autoSpaceDE w:val="0"/>
        <w:autoSpaceDN w:val="0"/>
        <w:bidi w:val="0"/>
        <w:adjustRightInd/>
        <w:snapToGrid/>
        <w:spacing w:line="65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（一）</w:t>
      </w:r>
      <w:r>
        <w:rPr>
          <w:rFonts w:hint="eastAsia" w:ascii="宋体" w:hAnsi="宋体" w:eastAsia="宋体" w:cs="宋体"/>
          <w:color w:val="auto"/>
          <w:sz w:val="28"/>
          <w:szCs w:val="28"/>
        </w:rPr>
        <w:t>落实政府采购政策满足的资格要求：</w:t>
      </w:r>
      <w:bookmarkStart w:id="9" w:name="OLE_LINK5"/>
      <w:bookmarkStart w:id="10" w:name="OLE_LINK2"/>
      <w:r>
        <w:rPr>
          <w:rFonts w:hint="eastAsia" w:ascii="宋体" w:hAnsi="宋体" w:eastAsia="宋体" w:cs="宋体"/>
          <w:color w:val="auto"/>
          <w:sz w:val="28"/>
          <w:szCs w:val="28"/>
        </w:rPr>
        <w:t>根据《政府采购促进中小企业发展管理办法》（财库〔2020〕46号）规定，本项目专门面向中小企业采购；同时投标供应商须提供《中小企业声明函》。</w:t>
      </w:r>
      <w:bookmarkEnd w:id="9"/>
    </w:p>
    <w:bookmarkEnd w:id="10"/>
    <w:p w14:paraId="7F3B4ACD">
      <w:pPr>
        <w:pStyle w:val="8"/>
        <w:keepNext w:val="0"/>
        <w:keepLines w:val="0"/>
        <w:pageBreakBefore w:val="0"/>
        <w:widowControl w:val="0"/>
        <w:numPr>
          <w:ilvl w:val="0"/>
          <w:numId w:val="0"/>
        </w:numPr>
        <w:kinsoku/>
        <w:wordWrap w:val="0"/>
        <w:overflowPunct/>
        <w:topLinePunct w:val="0"/>
        <w:autoSpaceDE w:val="0"/>
        <w:autoSpaceDN w:val="0"/>
        <w:bidi w:val="0"/>
        <w:adjustRightInd/>
        <w:snapToGrid/>
        <w:spacing w:line="65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（二）符合《中华人民共和国政府采购法》第二十二条规定并同时具备下列条件：</w:t>
      </w:r>
    </w:p>
    <w:p w14:paraId="33592480">
      <w:pPr>
        <w:pStyle w:val="8"/>
        <w:keepNext w:val="0"/>
        <w:keepLines w:val="0"/>
        <w:pageBreakBefore w:val="0"/>
        <w:widowControl w:val="0"/>
        <w:numPr>
          <w:ilvl w:val="0"/>
          <w:numId w:val="0"/>
        </w:numPr>
        <w:kinsoku/>
        <w:wordWrap w:val="0"/>
        <w:overflowPunct/>
        <w:topLinePunct w:val="0"/>
        <w:autoSpaceDE w:val="0"/>
        <w:autoSpaceDN w:val="0"/>
        <w:bidi w:val="0"/>
        <w:adjustRightInd/>
        <w:snapToGrid/>
        <w:spacing w:line="650" w:lineRule="exact"/>
        <w:ind w:left="0" w:leftChars="0" w:firstLine="560" w:firstLineChars="200"/>
        <w:textAlignment w:val="auto"/>
        <w:rPr>
          <w:rFonts w:hint="eastAsia" w:ascii="宋体" w:hAnsi="宋体" w:eastAsia="宋体" w:cs="宋体"/>
          <w:bCs/>
          <w:color w:val="auto"/>
          <w:sz w:val="28"/>
          <w:szCs w:val="28"/>
          <w:lang w:val="en-US"/>
        </w:rPr>
      </w:pPr>
      <w:bookmarkStart w:id="11" w:name="OLE_LINK3"/>
      <w:r>
        <w:rPr>
          <w:rFonts w:hint="eastAsia" w:ascii="宋体" w:hAnsi="宋体" w:eastAsia="宋体" w:cs="宋体"/>
          <w:bCs/>
          <w:color w:val="auto"/>
          <w:sz w:val="28"/>
          <w:szCs w:val="28"/>
          <w:lang w:val="en-US" w:eastAsia="zh-CN"/>
        </w:rPr>
        <w:t>1、</w:t>
      </w:r>
      <w:r>
        <w:rPr>
          <w:rFonts w:hint="eastAsia" w:ascii="宋体" w:hAnsi="宋体" w:eastAsia="宋体" w:cs="宋体"/>
          <w:bCs/>
          <w:color w:val="auto"/>
          <w:sz w:val="28"/>
          <w:szCs w:val="28"/>
          <w:lang w:val="en-US"/>
        </w:rPr>
        <w:t>须具有有效的营业执照、税务登记证、组织机构代码证（或有效的统一社会信用代码三证合一营业执照）</w:t>
      </w:r>
      <w:r>
        <w:rPr>
          <w:rFonts w:hint="eastAsia" w:ascii="宋体" w:hAnsi="宋体" w:eastAsia="宋体" w:cs="宋体"/>
          <w:bCs/>
          <w:color w:val="auto"/>
          <w:sz w:val="28"/>
          <w:szCs w:val="28"/>
          <w:lang w:val="en-US" w:eastAsia="zh-CN"/>
        </w:rPr>
        <w:t>或事业单位法人证书</w:t>
      </w:r>
      <w:r>
        <w:rPr>
          <w:rFonts w:hint="eastAsia" w:ascii="宋体" w:hAnsi="宋体" w:eastAsia="宋体" w:cs="宋体"/>
          <w:bCs/>
          <w:color w:val="auto"/>
          <w:sz w:val="28"/>
          <w:szCs w:val="28"/>
          <w:lang w:val="en-US"/>
        </w:rPr>
        <w:t>；</w:t>
      </w:r>
    </w:p>
    <w:p w14:paraId="5E7ABDE5">
      <w:pPr>
        <w:pStyle w:val="8"/>
        <w:keepNext w:val="0"/>
        <w:keepLines w:val="0"/>
        <w:pageBreakBefore w:val="0"/>
        <w:widowControl w:val="0"/>
        <w:numPr>
          <w:ilvl w:val="0"/>
          <w:numId w:val="0"/>
        </w:numPr>
        <w:kinsoku/>
        <w:wordWrap w:val="0"/>
        <w:overflowPunct/>
        <w:topLinePunct w:val="0"/>
        <w:autoSpaceDE w:val="0"/>
        <w:autoSpaceDN w:val="0"/>
        <w:bidi w:val="0"/>
        <w:adjustRightInd/>
        <w:snapToGrid/>
        <w:spacing w:line="650" w:lineRule="exact"/>
        <w:ind w:left="0" w:leftChars="0" w:firstLine="560" w:firstLineChars="200"/>
        <w:textAlignment w:val="auto"/>
        <w:rPr>
          <w:rFonts w:hint="eastAsia" w:ascii="宋体" w:hAnsi="宋体" w:eastAsia="宋体" w:cs="宋体"/>
          <w:bCs/>
          <w:color w:val="000000" w:themeColor="text1"/>
          <w:sz w:val="28"/>
          <w:szCs w:val="28"/>
          <w:highlight w:val="none"/>
          <w:lang w:val="en-US" w:eastAsia="zh-CN"/>
          <w14:textFill>
            <w14:solidFill>
              <w14:schemeClr w14:val="tx1"/>
            </w14:solidFill>
          </w14:textFill>
        </w:rPr>
      </w:pPr>
      <w:r>
        <w:rPr>
          <w:rFonts w:hint="eastAsia" w:ascii="宋体" w:hAnsi="宋体" w:eastAsia="宋体" w:cs="宋体"/>
          <w:bCs/>
          <w:color w:val="auto"/>
          <w:sz w:val="28"/>
          <w:szCs w:val="28"/>
          <w:highlight w:val="none"/>
          <w:lang w:val="en-US" w:eastAsia="zh-CN"/>
        </w:rPr>
        <w:t>2</w:t>
      </w:r>
      <w:r>
        <w:rPr>
          <w:rFonts w:hint="eastAsia" w:ascii="宋体" w:hAnsi="宋体" w:eastAsia="宋体" w:cs="宋体"/>
          <w:bCs/>
          <w:color w:val="000000" w:themeColor="text1"/>
          <w:sz w:val="28"/>
          <w:szCs w:val="28"/>
          <w:highlight w:val="none"/>
          <w:lang w:val="en-US" w:eastAsia="zh-CN"/>
          <w14:textFill>
            <w14:solidFill>
              <w14:schemeClr w14:val="tx1"/>
            </w14:solidFill>
          </w14:textFill>
        </w:rPr>
        <w:t>、投标供应商</w:t>
      </w:r>
      <w:r>
        <w:rPr>
          <w:rFonts w:hint="eastAsia" w:ascii="宋体" w:hAnsi="宋体" w:eastAsia="宋体" w:cs="宋体"/>
          <w:bCs/>
          <w:color w:val="auto"/>
          <w:sz w:val="28"/>
          <w:szCs w:val="28"/>
          <w:lang w:val="en-US" w:eastAsia="zh-CN"/>
        </w:rPr>
        <w:t>须具有水利行业设计乙级及以</w:t>
      </w:r>
      <w:r>
        <w:rPr>
          <w:rFonts w:hint="eastAsia" w:ascii="宋体" w:hAnsi="宋体" w:eastAsia="宋体" w:cs="宋体"/>
          <w:bCs/>
          <w:color w:val="000000" w:themeColor="text1"/>
          <w:sz w:val="28"/>
          <w:szCs w:val="28"/>
          <w:highlight w:val="none"/>
          <w:lang w:val="en-US" w:eastAsia="zh-CN"/>
          <w14:textFill>
            <w14:solidFill>
              <w14:schemeClr w14:val="tx1"/>
            </w14:solidFill>
          </w14:textFill>
        </w:rPr>
        <w:t>上资质；</w:t>
      </w:r>
    </w:p>
    <w:p w14:paraId="21199365">
      <w:pPr>
        <w:pStyle w:val="8"/>
        <w:keepNext w:val="0"/>
        <w:keepLines w:val="0"/>
        <w:pageBreakBefore w:val="0"/>
        <w:widowControl w:val="0"/>
        <w:numPr>
          <w:ilvl w:val="0"/>
          <w:numId w:val="0"/>
        </w:numPr>
        <w:kinsoku/>
        <w:wordWrap w:val="0"/>
        <w:overflowPunct/>
        <w:topLinePunct w:val="0"/>
        <w:autoSpaceDE w:val="0"/>
        <w:autoSpaceDN w:val="0"/>
        <w:bidi w:val="0"/>
        <w:adjustRightInd/>
        <w:snapToGrid/>
        <w:spacing w:line="650" w:lineRule="exact"/>
        <w:ind w:left="0" w:leftChars="0" w:firstLine="560" w:firstLineChars="200"/>
        <w:textAlignment w:val="auto"/>
        <w:rPr>
          <w:rFonts w:hint="eastAsia" w:ascii="宋体" w:hAnsi="宋体" w:eastAsia="宋体" w:cs="宋体"/>
          <w:bCs/>
          <w:color w:val="000000" w:themeColor="text1"/>
          <w:sz w:val="28"/>
          <w:szCs w:val="28"/>
          <w:highlight w:val="none"/>
          <w:lang w:val="en-US" w:eastAsia="zh-CN"/>
          <w14:textFill>
            <w14:solidFill>
              <w14:schemeClr w14:val="tx1"/>
            </w14:solidFill>
          </w14:textFill>
        </w:rPr>
      </w:pPr>
      <w:r>
        <w:rPr>
          <w:rFonts w:hint="eastAsia" w:ascii="宋体" w:hAnsi="宋体" w:eastAsia="宋体" w:cs="宋体"/>
          <w:bCs/>
          <w:color w:val="000000" w:themeColor="text1"/>
          <w:sz w:val="28"/>
          <w:szCs w:val="28"/>
          <w:highlight w:val="none"/>
          <w:lang w:val="en-US" w:eastAsia="zh-CN"/>
          <w14:textFill>
            <w14:solidFill>
              <w14:schemeClr w14:val="tx1"/>
            </w14:solidFill>
          </w14:textFill>
        </w:rPr>
        <w:t>3、投标供应商拟派项目负责人须具备</w:t>
      </w:r>
      <w:r>
        <w:rPr>
          <w:rFonts w:hint="eastAsia" w:ascii="宋体" w:hAnsi="宋体" w:cs="宋体"/>
          <w:bCs/>
          <w:color w:val="000000" w:themeColor="text1"/>
          <w:sz w:val="28"/>
          <w:szCs w:val="28"/>
          <w:highlight w:val="none"/>
          <w:lang w:val="en-US" w:eastAsia="zh-CN"/>
          <w14:textFill>
            <w14:solidFill>
              <w14:schemeClr w14:val="tx1"/>
            </w14:solidFill>
          </w14:textFill>
        </w:rPr>
        <w:t>水利水电</w:t>
      </w:r>
      <w:r>
        <w:rPr>
          <w:rFonts w:hint="eastAsia" w:ascii="宋体" w:hAnsi="宋体" w:eastAsia="宋体" w:cs="宋体"/>
          <w:bCs/>
          <w:color w:val="000000" w:themeColor="text1"/>
          <w:sz w:val="28"/>
          <w:szCs w:val="28"/>
          <w:highlight w:val="none"/>
          <w:lang w:val="en-US" w:eastAsia="zh-CN"/>
          <w14:textFill>
            <w14:solidFill>
              <w14:schemeClr w14:val="tx1"/>
            </w14:solidFill>
          </w14:textFill>
        </w:rPr>
        <w:t>专业高级</w:t>
      </w:r>
      <w:r>
        <w:rPr>
          <w:rFonts w:hint="eastAsia" w:ascii="宋体" w:hAnsi="宋体" w:cs="宋体"/>
          <w:bCs/>
          <w:color w:val="000000" w:themeColor="text1"/>
          <w:sz w:val="28"/>
          <w:szCs w:val="28"/>
          <w:highlight w:val="none"/>
          <w:lang w:val="en-US" w:eastAsia="zh-CN"/>
          <w14:textFill>
            <w14:solidFill>
              <w14:schemeClr w14:val="tx1"/>
            </w14:solidFill>
          </w14:textFill>
        </w:rPr>
        <w:t>及以上</w:t>
      </w:r>
      <w:r>
        <w:rPr>
          <w:rFonts w:hint="eastAsia" w:ascii="宋体" w:hAnsi="宋体" w:eastAsia="宋体" w:cs="宋体"/>
          <w:bCs/>
          <w:color w:val="000000" w:themeColor="text1"/>
          <w:sz w:val="28"/>
          <w:szCs w:val="28"/>
          <w:highlight w:val="none"/>
          <w:lang w:val="en-US" w:eastAsia="zh-CN"/>
          <w14:textFill>
            <w14:solidFill>
              <w14:schemeClr w14:val="tx1"/>
            </w14:solidFill>
          </w14:textFill>
        </w:rPr>
        <w:t>职称，为本单位员工且已缴纳社保（提供劳动合同</w:t>
      </w:r>
      <w:r>
        <w:rPr>
          <w:rFonts w:hint="eastAsia" w:ascii="宋体" w:hAnsi="宋体" w:cs="宋体"/>
          <w:bCs/>
          <w:color w:val="000000" w:themeColor="text1"/>
          <w:sz w:val="28"/>
          <w:szCs w:val="28"/>
          <w:highlight w:val="none"/>
          <w:lang w:val="en-US" w:eastAsia="zh-CN"/>
          <w14:textFill>
            <w14:solidFill>
              <w14:schemeClr w14:val="tx1"/>
            </w14:solidFill>
          </w14:textFill>
        </w:rPr>
        <w:t>及个人社保权益单</w:t>
      </w:r>
      <w:r>
        <w:rPr>
          <w:rFonts w:hint="eastAsia" w:ascii="宋体" w:hAnsi="宋体" w:eastAsia="宋体" w:cs="宋体"/>
          <w:bCs/>
          <w:color w:val="000000" w:themeColor="text1"/>
          <w:sz w:val="28"/>
          <w:szCs w:val="28"/>
          <w:highlight w:val="none"/>
          <w:lang w:val="en-US" w:eastAsia="zh-CN"/>
          <w14:textFill>
            <w14:solidFill>
              <w14:schemeClr w14:val="tx1"/>
            </w14:solidFill>
          </w14:textFill>
        </w:rPr>
        <w:t>）；</w:t>
      </w:r>
    </w:p>
    <w:p w14:paraId="497A0BA4">
      <w:pPr>
        <w:pStyle w:val="8"/>
        <w:keepNext w:val="0"/>
        <w:keepLines w:val="0"/>
        <w:pageBreakBefore w:val="0"/>
        <w:widowControl w:val="0"/>
        <w:numPr>
          <w:ilvl w:val="0"/>
          <w:numId w:val="0"/>
        </w:numPr>
        <w:kinsoku/>
        <w:wordWrap w:val="0"/>
        <w:overflowPunct/>
        <w:topLinePunct w:val="0"/>
        <w:autoSpaceDE w:val="0"/>
        <w:autoSpaceDN w:val="0"/>
        <w:bidi w:val="0"/>
        <w:adjustRightInd/>
        <w:snapToGrid/>
        <w:spacing w:line="650" w:lineRule="exact"/>
        <w:ind w:left="0" w:leftChars="0" w:firstLine="560" w:firstLineChars="200"/>
        <w:textAlignment w:val="auto"/>
        <w:rPr>
          <w:rFonts w:hint="eastAsia" w:ascii="宋体" w:hAnsi="宋体" w:eastAsia="宋体" w:cs="宋体"/>
          <w:bCs/>
          <w:color w:val="auto"/>
          <w:sz w:val="28"/>
          <w:szCs w:val="28"/>
          <w:lang w:val="en-US"/>
        </w:rPr>
      </w:pPr>
      <w:r>
        <w:rPr>
          <w:rFonts w:hint="eastAsia" w:ascii="宋体" w:hAnsi="宋体" w:eastAsia="宋体" w:cs="宋体"/>
          <w:bCs/>
          <w:color w:val="auto"/>
          <w:sz w:val="28"/>
          <w:szCs w:val="28"/>
          <w:highlight w:val="none"/>
          <w:lang w:val="en-US" w:eastAsia="zh-CN"/>
        </w:rPr>
        <w:t>4、须提供企业近半年任意连续三个月依法缴纳税</w:t>
      </w:r>
      <w:r>
        <w:rPr>
          <w:rFonts w:hint="eastAsia" w:ascii="宋体" w:hAnsi="宋体" w:eastAsia="宋体" w:cs="宋体"/>
          <w:bCs/>
          <w:color w:val="auto"/>
          <w:sz w:val="28"/>
          <w:szCs w:val="28"/>
          <w:highlight w:val="none"/>
          <w:lang w:val="en-US"/>
        </w:rPr>
        <w:t>收的证明资料</w:t>
      </w:r>
      <w:r>
        <w:rPr>
          <w:rFonts w:hint="eastAsia" w:ascii="宋体" w:hAnsi="宋体" w:eastAsia="宋体" w:cs="宋体"/>
          <w:bCs/>
          <w:color w:val="auto"/>
          <w:sz w:val="28"/>
          <w:szCs w:val="28"/>
          <w:lang w:val="en-US"/>
        </w:rPr>
        <w:t>（新成立的企业从成立之日起计算）</w:t>
      </w:r>
      <w:r>
        <w:rPr>
          <w:rFonts w:hint="eastAsia" w:ascii="宋体" w:hAnsi="宋体" w:eastAsia="宋体" w:cs="宋体"/>
          <w:bCs/>
          <w:color w:val="auto"/>
          <w:sz w:val="28"/>
          <w:szCs w:val="28"/>
          <w:lang w:val="en-US" w:eastAsia="zh-CN"/>
        </w:rPr>
        <w:t xml:space="preserve"> </w:t>
      </w:r>
      <w:r>
        <w:rPr>
          <w:rFonts w:hint="eastAsia" w:ascii="宋体" w:hAnsi="宋体" w:eastAsia="宋体" w:cs="宋体"/>
          <w:bCs/>
          <w:color w:val="auto"/>
          <w:sz w:val="28"/>
          <w:szCs w:val="28"/>
          <w:lang w:val="en-US"/>
        </w:rPr>
        <w:t>主要是指缴纳增值税或企业所得税或企业附加税的缴费证明，依法免税的投标响应人，应提供相应文件证明其依法免税；</w:t>
      </w:r>
    </w:p>
    <w:p w14:paraId="74CA0F63">
      <w:pPr>
        <w:pStyle w:val="8"/>
        <w:keepNext w:val="0"/>
        <w:keepLines w:val="0"/>
        <w:pageBreakBefore w:val="0"/>
        <w:widowControl w:val="0"/>
        <w:numPr>
          <w:ilvl w:val="0"/>
          <w:numId w:val="0"/>
        </w:numPr>
        <w:kinsoku/>
        <w:wordWrap w:val="0"/>
        <w:overflowPunct/>
        <w:topLinePunct w:val="0"/>
        <w:autoSpaceDE w:val="0"/>
        <w:autoSpaceDN w:val="0"/>
        <w:bidi w:val="0"/>
        <w:adjustRightInd/>
        <w:snapToGrid/>
        <w:spacing w:line="650" w:lineRule="exact"/>
        <w:ind w:left="0" w:leftChars="0" w:firstLine="560" w:firstLineChars="200"/>
        <w:textAlignment w:val="auto"/>
        <w:rPr>
          <w:rFonts w:hint="eastAsia" w:ascii="宋体" w:hAnsi="宋体" w:eastAsia="宋体" w:cs="宋体"/>
          <w:bCs/>
          <w:color w:val="auto"/>
          <w:sz w:val="28"/>
          <w:szCs w:val="28"/>
          <w:lang w:val="en-US"/>
        </w:rPr>
      </w:pPr>
      <w:r>
        <w:rPr>
          <w:rFonts w:hint="eastAsia" w:ascii="宋体" w:hAnsi="宋体" w:cs="宋体"/>
          <w:bCs/>
          <w:color w:val="auto"/>
          <w:sz w:val="28"/>
          <w:szCs w:val="28"/>
          <w:lang w:val="en-US" w:eastAsia="zh-CN" w:bidi="ar-SA"/>
        </w:rPr>
        <w:t>5</w:t>
      </w:r>
      <w:r>
        <w:rPr>
          <w:rFonts w:hint="eastAsia" w:ascii="宋体" w:hAnsi="宋体" w:eastAsia="宋体" w:cs="宋体"/>
          <w:bCs/>
          <w:color w:val="auto"/>
          <w:sz w:val="28"/>
          <w:szCs w:val="28"/>
          <w:lang w:val="en-US" w:eastAsia="zh-CN" w:bidi="ar-SA"/>
        </w:rPr>
        <w:t>、</w:t>
      </w:r>
      <w:r>
        <w:rPr>
          <w:rFonts w:hint="eastAsia" w:ascii="宋体" w:hAnsi="宋体" w:eastAsia="宋体" w:cs="宋体"/>
          <w:bCs/>
          <w:color w:val="auto"/>
          <w:sz w:val="28"/>
          <w:szCs w:val="28"/>
          <w:lang w:val="en-US"/>
        </w:rPr>
        <w:t>参加政府采购活动前3年内无行贿犯罪记录、商业贿赂、不正当竞争行为、骗取中标、严重违约等问题；供应商出具无行贿犯罪记录在中国裁判文书网自行查询或自行承诺（查询对象：企业、法定代表人）；</w:t>
      </w:r>
    </w:p>
    <w:p w14:paraId="4FDF7C0E">
      <w:pPr>
        <w:pStyle w:val="8"/>
        <w:keepNext w:val="0"/>
        <w:keepLines w:val="0"/>
        <w:pageBreakBefore w:val="0"/>
        <w:widowControl w:val="0"/>
        <w:numPr>
          <w:ilvl w:val="0"/>
          <w:numId w:val="0"/>
        </w:numPr>
        <w:kinsoku/>
        <w:wordWrap w:val="0"/>
        <w:overflowPunct/>
        <w:topLinePunct w:val="0"/>
        <w:autoSpaceDE w:val="0"/>
        <w:autoSpaceDN w:val="0"/>
        <w:bidi w:val="0"/>
        <w:adjustRightInd/>
        <w:snapToGrid/>
        <w:spacing w:line="650" w:lineRule="exact"/>
        <w:ind w:left="0" w:leftChars="0" w:firstLine="560" w:firstLineChars="200"/>
        <w:textAlignment w:val="auto"/>
        <w:rPr>
          <w:rFonts w:hint="eastAsia" w:ascii="宋体" w:hAnsi="宋体" w:eastAsia="宋体" w:cs="宋体"/>
          <w:bCs/>
          <w:color w:val="auto"/>
          <w:sz w:val="28"/>
          <w:szCs w:val="28"/>
          <w:lang w:val="en-US"/>
        </w:rPr>
      </w:pPr>
      <w:r>
        <w:rPr>
          <w:rFonts w:hint="eastAsia" w:ascii="宋体" w:hAnsi="宋体" w:cs="宋体"/>
          <w:bCs/>
          <w:color w:val="auto"/>
          <w:sz w:val="28"/>
          <w:szCs w:val="28"/>
          <w:lang w:val="en-US" w:eastAsia="zh-CN" w:bidi="ar-SA"/>
        </w:rPr>
        <w:t>6</w:t>
      </w:r>
      <w:r>
        <w:rPr>
          <w:rFonts w:hint="eastAsia" w:ascii="宋体" w:hAnsi="宋体" w:eastAsia="宋体" w:cs="宋体"/>
          <w:bCs/>
          <w:color w:val="auto"/>
          <w:sz w:val="28"/>
          <w:szCs w:val="28"/>
          <w:lang w:val="en-US" w:eastAsia="zh-CN" w:bidi="ar-SA"/>
        </w:rPr>
        <w:t>、</w:t>
      </w:r>
      <w:r>
        <w:rPr>
          <w:rFonts w:hint="eastAsia" w:ascii="宋体" w:hAnsi="宋体" w:eastAsia="宋体" w:cs="宋体"/>
          <w:bCs/>
          <w:color w:val="auto"/>
          <w:sz w:val="28"/>
          <w:szCs w:val="28"/>
          <w:lang w:val="en-US"/>
        </w:rPr>
        <w:t>提供企业注册地工商管理部门出具的无商业贿赂和不正当竞争行为的查询证明（若当地工商管理部门不办理此项业务，供应商须自行出具本企业无商业贿赂和不正当竞争行为承诺书）；</w:t>
      </w:r>
    </w:p>
    <w:p w14:paraId="2247BF07">
      <w:pPr>
        <w:pStyle w:val="8"/>
        <w:keepNext w:val="0"/>
        <w:keepLines w:val="0"/>
        <w:pageBreakBefore w:val="0"/>
        <w:widowControl w:val="0"/>
        <w:numPr>
          <w:ilvl w:val="0"/>
          <w:numId w:val="0"/>
        </w:numPr>
        <w:kinsoku/>
        <w:wordWrap w:val="0"/>
        <w:overflowPunct/>
        <w:topLinePunct w:val="0"/>
        <w:autoSpaceDE w:val="0"/>
        <w:autoSpaceDN w:val="0"/>
        <w:bidi w:val="0"/>
        <w:adjustRightInd/>
        <w:snapToGrid/>
        <w:spacing w:line="650" w:lineRule="exact"/>
        <w:ind w:left="0" w:leftChars="0" w:firstLine="560" w:firstLineChars="200"/>
        <w:textAlignment w:val="auto"/>
        <w:rPr>
          <w:rFonts w:hint="eastAsia" w:ascii="宋体" w:hAnsi="宋体" w:eastAsia="宋体" w:cs="宋体"/>
          <w:bCs/>
          <w:color w:val="auto"/>
          <w:sz w:val="28"/>
          <w:szCs w:val="28"/>
          <w:lang w:val="en-US"/>
        </w:rPr>
      </w:pPr>
      <w:r>
        <w:rPr>
          <w:rFonts w:hint="eastAsia" w:ascii="宋体" w:hAnsi="宋体" w:cs="宋体"/>
          <w:bCs/>
          <w:color w:val="auto"/>
          <w:sz w:val="28"/>
          <w:szCs w:val="28"/>
          <w:lang w:val="en-US" w:eastAsia="zh-CN" w:bidi="ar-SA"/>
        </w:rPr>
        <w:t>7</w:t>
      </w:r>
      <w:r>
        <w:rPr>
          <w:rFonts w:hint="eastAsia" w:ascii="宋体" w:hAnsi="宋体" w:eastAsia="宋体" w:cs="宋体"/>
          <w:bCs/>
          <w:color w:val="auto"/>
          <w:sz w:val="28"/>
          <w:szCs w:val="28"/>
          <w:lang w:val="en-US" w:eastAsia="zh-CN" w:bidi="ar-SA"/>
        </w:rPr>
        <w:t>、</w:t>
      </w:r>
      <w:r>
        <w:rPr>
          <w:rFonts w:hint="eastAsia" w:ascii="宋体" w:hAnsi="宋体" w:eastAsia="宋体" w:cs="宋体"/>
          <w:bCs/>
          <w:color w:val="auto"/>
          <w:sz w:val="28"/>
          <w:szCs w:val="28"/>
          <w:lang w:val="en-US"/>
        </w:rPr>
        <w:t>据《关于在政府采购活动中查询及使用信用记录有关问题的通知》(财库[2016]125号)和豫财购【2016】15号的规定，企业没有被列入“信用中国”网站的“失信被执行人”、“重大税收违法失信主体”、“政府采购严重违法失信行为记录名单”及“中国政府采购网”网站的“政府采购严重违法失信行为信息记录”的响应人；（查询渠道：“信用中国”网站（www.creditchina.gov.cn）、中国政府采购网（www.ccgp.gov.cn）；提供网站的查询信息截图；(注：査询时间必须是磋商公告发布以后开标时间以前并提供网站查询网页截图，查询结果清晰可见)；</w:t>
      </w:r>
    </w:p>
    <w:p w14:paraId="660B2630">
      <w:pPr>
        <w:pStyle w:val="8"/>
        <w:keepNext w:val="0"/>
        <w:keepLines w:val="0"/>
        <w:pageBreakBefore w:val="0"/>
        <w:widowControl w:val="0"/>
        <w:numPr>
          <w:ilvl w:val="0"/>
          <w:numId w:val="0"/>
        </w:numPr>
        <w:kinsoku/>
        <w:wordWrap w:val="0"/>
        <w:overflowPunct/>
        <w:topLinePunct w:val="0"/>
        <w:autoSpaceDE w:val="0"/>
        <w:autoSpaceDN w:val="0"/>
        <w:bidi w:val="0"/>
        <w:adjustRightInd/>
        <w:snapToGrid/>
        <w:spacing w:line="650" w:lineRule="exact"/>
        <w:ind w:left="0" w:leftChars="0" w:firstLine="560" w:firstLineChars="200"/>
        <w:textAlignment w:val="auto"/>
        <w:rPr>
          <w:rFonts w:hint="eastAsia" w:ascii="宋体" w:hAnsi="宋体" w:cs="宋体"/>
          <w:bCs/>
          <w:color w:val="auto"/>
          <w:sz w:val="28"/>
          <w:szCs w:val="28"/>
          <w:lang w:val="en-US" w:eastAsia="zh-CN" w:bidi="ar-SA"/>
        </w:rPr>
      </w:pPr>
      <w:r>
        <w:rPr>
          <w:rFonts w:hint="eastAsia" w:ascii="宋体" w:hAnsi="宋体" w:cs="宋体"/>
          <w:bCs/>
          <w:color w:val="auto"/>
          <w:sz w:val="28"/>
          <w:szCs w:val="28"/>
          <w:lang w:val="en-US" w:eastAsia="zh-CN" w:bidi="ar-SA"/>
        </w:rPr>
        <w:t>8</w:t>
      </w:r>
      <w:r>
        <w:rPr>
          <w:rFonts w:hint="eastAsia" w:ascii="宋体" w:hAnsi="宋体" w:eastAsia="宋体" w:cs="宋体"/>
          <w:bCs/>
          <w:color w:val="auto"/>
          <w:sz w:val="28"/>
          <w:szCs w:val="28"/>
          <w:lang w:val="zh-CN" w:eastAsia="zh-CN" w:bidi="ar-SA"/>
        </w:rPr>
        <w:t>、</w:t>
      </w:r>
      <w:r>
        <w:rPr>
          <w:rFonts w:hint="eastAsia" w:ascii="宋体" w:hAnsi="宋体" w:cs="宋体"/>
          <w:bCs/>
          <w:color w:val="auto"/>
          <w:sz w:val="28"/>
          <w:szCs w:val="28"/>
          <w:lang w:val="en-US" w:eastAsia="zh-CN" w:bidi="ar-SA"/>
        </w:rPr>
        <w:t>本项目不接受联合体投标；</w:t>
      </w:r>
    </w:p>
    <w:p w14:paraId="254A6D62">
      <w:pPr>
        <w:pStyle w:val="8"/>
        <w:keepNext w:val="0"/>
        <w:keepLines w:val="0"/>
        <w:pageBreakBefore w:val="0"/>
        <w:widowControl w:val="0"/>
        <w:numPr>
          <w:ilvl w:val="0"/>
          <w:numId w:val="0"/>
        </w:numPr>
        <w:kinsoku/>
        <w:wordWrap w:val="0"/>
        <w:overflowPunct/>
        <w:topLinePunct w:val="0"/>
        <w:autoSpaceDE w:val="0"/>
        <w:autoSpaceDN w:val="0"/>
        <w:bidi w:val="0"/>
        <w:adjustRightInd/>
        <w:snapToGrid/>
        <w:spacing w:line="650" w:lineRule="exact"/>
        <w:ind w:left="0" w:leftChars="0" w:firstLine="560" w:firstLineChars="200"/>
        <w:textAlignment w:val="auto"/>
        <w:rPr>
          <w:rFonts w:hint="eastAsia" w:ascii="宋体" w:hAnsi="宋体" w:eastAsia="宋体" w:cs="宋体"/>
          <w:bCs/>
          <w:color w:val="auto"/>
          <w:sz w:val="28"/>
          <w:szCs w:val="28"/>
        </w:rPr>
      </w:pPr>
      <w:r>
        <w:rPr>
          <w:rFonts w:hint="eastAsia" w:ascii="宋体" w:hAnsi="宋体" w:cs="宋体"/>
          <w:bCs/>
          <w:color w:val="auto"/>
          <w:sz w:val="28"/>
          <w:szCs w:val="28"/>
          <w:lang w:val="en-US" w:eastAsia="zh-CN" w:bidi="ar-SA"/>
        </w:rPr>
        <w:t>9、</w:t>
      </w:r>
      <w:r>
        <w:rPr>
          <w:rFonts w:hint="eastAsia" w:ascii="宋体" w:hAnsi="宋体" w:eastAsia="宋体" w:cs="宋体"/>
          <w:bCs/>
          <w:color w:val="auto"/>
          <w:sz w:val="28"/>
          <w:szCs w:val="28"/>
        </w:rPr>
        <w:t>本次磋商实行资格后审。</w:t>
      </w:r>
    </w:p>
    <w:bookmarkEnd w:id="11"/>
    <w:p w14:paraId="60964AE3">
      <w:pPr>
        <w:pStyle w:val="8"/>
        <w:keepNext w:val="0"/>
        <w:keepLines w:val="0"/>
        <w:pageBreakBefore w:val="0"/>
        <w:widowControl w:val="0"/>
        <w:numPr>
          <w:ilvl w:val="0"/>
          <w:numId w:val="0"/>
        </w:numPr>
        <w:kinsoku/>
        <w:wordWrap w:val="0"/>
        <w:overflowPunct/>
        <w:topLinePunct w:val="0"/>
        <w:autoSpaceDE w:val="0"/>
        <w:autoSpaceDN w:val="0"/>
        <w:bidi w:val="0"/>
        <w:adjustRightInd/>
        <w:snapToGrid/>
        <w:spacing w:line="650" w:lineRule="exact"/>
        <w:ind w:firstLine="560" w:firstLineChars="200"/>
        <w:textAlignment w:val="auto"/>
        <w:rPr>
          <w:rFonts w:hint="eastAsia" w:ascii="宋体" w:hAnsi="宋体" w:eastAsia="宋体" w:cs="宋体"/>
          <w:bCs/>
          <w:color w:val="auto"/>
          <w:sz w:val="28"/>
          <w:szCs w:val="28"/>
        </w:rPr>
      </w:pPr>
      <w:r>
        <w:rPr>
          <w:rFonts w:hint="eastAsia" w:ascii="宋体" w:hAnsi="宋体" w:eastAsia="宋体" w:cs="宋体"/>
          <w:bCs/>
          <w:color w:val="auto"/>
          <w:sz w:val="28"/>
          <w:szCs w:val="28"/>
          <w:lang w:val="en-US" w:eastAsia="zh-CN"/>
        </w:rPr>
        <w:t>注：</w:t>
      </w:r>
      <w:r>
        <w:rPr>
          <w:rFonts w:hint="eastAsia" w:ascii="宋体" w:hAnsi="宋体" w:eastAsia="宋体" w:cs="宋体"/>
          <w:bCs/>
          <w:color w:val="auto"/>
          <w:sz w:val="28"/>
          <w:szCs w:val="28"/>
        </w:rPr>
        <w:t>被列入失信被执行人及重大税收违法失信主体的企业做无效标处理。采购人或采购代理机构有权对供应商信用记录进行甄别和复查。</w:t>
      </w:r>
    </w:p>
    <w:p w14:paraId="3DDD1179">
      <w:pPr>
        <w:pStyle w:val="8"/>
        <w:keepNext w:val="0"/>
        <w:keepLines w:val="0"/>
        <w:pageBreakBefore w:val="0"/>
        <w:widowControl w:val="0"/>
        <w:kinsoku/>
        <w:wordWrap w:val="0"/>
        <w:overflowPunct/>
        <w:topLinePunct w:val="0"/>
        <w:autoSpaceDE w:val="0"/>
        <w:autoSpaceDN w:val="0"/>
        <w:bidi w:val="0"/>
        <w:adjustRightInd/>
        <w:snapToGrid/>
        <w:spacing w:line="650" w:lineRule="exact"/>
        <w:ind w:left="0" w:leftChars="0" w:firstLine="560" w:firstLineChars="200"/>
        <w:textAlignment w:val="auto"/>
        <w:rPr>
          <w:rFonts w:hint="eastAsia" w:ascii="宋体" w:hAnsi="宋体" w:eastAsia="宋体" w:cs="宋体"/>
          <w:bCs/>
          <w:color w:val="auto"/>
          <w:sz w:val="28"/>
          <w:szCs w:val="28"/>
          <w:lang w:val="en-US"/>
        </w:rPr>
      </w:pPr>
      <w:r>
        <w:rPr>
          <w:rFonts w:hint="eastAsia" w:ascii="宋体" w:hAnsi="宋体" w:eastAsia="宋体" w:cs="宋体"/>
          <w:bCs/>
          <w:color w:val="auto"/>
          <w:sz w:val="28"/>
          <w:szCs w:val="28"/>
          <w:lang w:val="en-US" w:eastAsia="zh-CN"/>
        </w:rPr>
        <w:t>三、磋商文件的获取</w:t>
      </w:r>
    </w:p>
    <w:p w14:paraId="39CAF520">
      <w:pPr>
        <w:pStyle w:val="8"/>
        <w:keepNext w:val="0"/>
        <w:keepLines w:val="0"/>
        <w:pageBreakBefore w:val="0"/>
        <w:widowControl w:val="0"/>
        <w:numPr>
          <w:ilvl w:val="0"/>
          <w:numId w:val="0"/>
        </w:numPr>
        <w:kinsoku/>
        <w:wordWrap w:val="0"/>
        <w:overflowPunct/>
        <w:topLinePunct w:val="0"/>
        <w:autoSpaceDE w:val="0"/>
        <w:autoSpaceDN w:val="0"/>
        <w:bidi w:val="0"/>
        <w:adjustRightInd/>
        <w:snapToGrid/>
        <w:spacing w:line="650" w:lineRule="exact"/>
        <w:ind w:firstLine="560" w:firstLineChars="200"/>
        <w:textAlignment w:val="auto"/>
        <w:rPr>
          <w:rFonts w:hint="default" w:ascii="宋体" w:hAnsi="宋体" w:eastAsia="宋体" w:cs="宋体"/>
          <w:bCs/>
          <w:color w:val="auto"/>
          <w:sz w:val="28"/>
          <w:szCs w:val="28"/>
          <w:lang w:val="en-US"/>
        </w:rPr>
      </w:pPr>
      <w:r>
        <w:rPr>
          <w:rFonts w:hint="eastAsia" w:ascii="宋体" w:hAnsi="宋体" w:eastAsia="宋体" w:cs="宋体"/>
          <w:bCs/>
          <w:color w:val="auto"/>
          <w:sz w:val="28"/>
          <w:szCs w:val="28"/>
        </w:rPr>
        <w:t>1</w:t>
      </w:r>
      <w:r>
        <w:rPr>
          <w:rFonts w:hint="eastAsia" w:ascii="宋体" w:hAnsi="宋体" w:eastAsia="宋体" w:cs="宋体"/>
          <w:bCs/>
          <w:color w:val="auto"/>
          <w:sz w:val="28"/>
          <w:szCs w:val="28"/>
          <w:lang w:val="en-US" w:eastAsia="zh-CN"/>
        </w:rPr>
        <w:t>、磋商文件下载时间：2025年9月10日08时00分至2025年9月23  日09时10分</w:t>
      </w:r>
    </w:p>
    <w:p w14:paraId="0D5BAC93">
      <w:pPr>
        <w:pStyle w:val="8"/>
        <w:keepNext w:val="0"/>
        <w:keepLines w:val="0"/>
        <w:pageBreakBefore w:val="0"/>
        <w:widowControl w:val="0"/>
        <w:kinsoku/>
        <w:wordWrap w:val="0"/>
        <w:overflowPunct/>
        <w:topLinePunct w:val="0"/>
        <w:autoSpaceDE w:val="0"/>
        <w:autoSpaceDN w:val="0"/>
        <w:bidi w:val="0"/>
        <w:adjustRightInd/>
        <w:snapToGrid/>
        <w:spacing w:line="650" w:lineRule="exact"/>
        <w:ind w:left="0" w:leftChars="0" w:firstLine="560" w:firstLineChars="200"/>
        <w:textAlignment w:val="auto"/>
        <w:rPr>
          <w:rFonts w:hint="eastAsia" w:ascii="宋体" w:hAnsi="宋体" w:eastAsia="宋体" w:cs="宋体"/>
          <w:bCs/>
          <w:color w:val="auto"/>
          <w:sz w:val="28"/>
          <w:szCs w:val="28"/>
          <w:lang w:val="en-US"/>
        </w:rPr>
      </w:pPr>
      <w:r>
        <w:rPr>
          <w:rFonts w:hint="eastAsia" w:ascii="宋体" w:hAnsi="宋体" w:eastAsia="宋体" w:cs="宋体"/>
          <w:bCs/>
          <w:color w:val="auto"/>
          <w:sz w:val="28"/>
          <w:szCs w:val="28"/>
          <w:lang w:val="en-US" w:eastAsia="zh-CN"/>
        </w:rPr>
        <w:t>2、</w:t>
      </w:r>
      <w:bookmarkStart w:id="12" w:name="OLE_LINK7"/>
      <w:r>
        <w:rPr>
          <w:rFonts w:hint="eastAsia" w:ascii="宋体" w:hAnsi="宋体" w:eastAsia="宋体" w:cs="宋体"/>
          <w:bCs/>
          <w:color w:val="auto"/>
          <w:sz w:val="28"/>
          <w:szCs w:val="28"/>
          <w:lang w:val="en-US" w:eastAsia="zh-CN"/>
        </w:rPr>
        <w:t>本项目没有报名环节，供应商凭CA数字证书通过</w:t>
      </w:r>
      <w:bookmarkStart w:id="13" w:name="OLE_LINK6"/>
      <w:r>
        <w:rPr>
          <w:rFonts w:hint="eastAsia" w:ascii="宋体" w:hAnsi="宋体" w:eastAsia="宋体" w:cs="宋体"/>
          <w:bCs/>
          <w:color w:val="auto"/>
          <w:sz w:val="28"/>
          <w:szCs w:val="28"/>
          <w:lang w:val="en-US" w:eastAsia="zh-CN"/>
        </w:rPr>
        <w:t>三门峡市公共资源交易中心网（网址：http://gzjy.smx.gov.cn/）</w:t>
      </w:r>
      <w:bookmarkEnd w:id="13"/>
      <w:r>
        <w:rPr>
          <w:rFonts w:hint="eastAsia" w:ascii="宋体" w:hAnsi="宋体" w:eastAsia="宋体" w:cs="宋体"/>
          <w:bCs/>
          <w:color w:val="auto"/>
          <w:sz w:val="28"/>
          <w:szCs w:val="28"/>
          <w:lang w:val="en-US" w:eastAsia="zh-CN"/>
        </w:rPr>
        <w:t>，点击交易平台选择“交易主体登录”，在所参与项目右侧点击参与投标，即可直接下载本项目磋商文件及其相关资料</w:t>
      </w:r>
      <w:bookmarkEnd w:id="12"/>
      <w:r>
        <w:rPr>
          <w:rFonts w:hint="eastAsia" w:ascii="宋体" w:hAnsi="宋体" w:eastAsia="宋体" w:cs="宋体"/>
          <w:bCs/>
          <w:color w:val="auto"/>
          <w:sz w:val="28"/>
          <w:szCs w:val="28"/>
          <w:lang w:val="en-US" w:eastAsia="zh-CN"/>
        </w:rPr>
        <w:t>；</w:t>
      </w:r>
    </w:p>
    <w:p w14:paraId="156AEDDB">
      <w:pPr>
        <w:pStyle w:val="8"/>
        <w:keepNext w:val="0"/>
        <w:keepLines w:val="0"/>
        <w:pageBreakBefore w:val="0"/>
        <w:widowControl w:val="0"/>
        <w:kinsoku/>
        <w:wordWrap w:val="0"/>
        <w:overflowPunct/>
        <w:topLinePunct w:val="0"/>
        <w:autoSpaceDE w:val="0"/>
        <w:autoSpaceDN w:val="0"/>
        <w:bidi w:val="0"/>
        <w:adjustRightInd/>
        <w:snapToGrid/>
        <w:spacing w:line="650" w:lineRule="exact"/>
        <w:ind w:left="0" w:leftChars="0" w:firstLine="560" w:firstLineChars="200"/>
        <w:textAlignment w:val="auto"/>
        <w:rPr>
          <w:rFonts w:hint="eastAsia" w:ascii="宋体" w:hAnsi="宋体" w:eastAsia="宋体" w:cs="宋体"/>
          <w:bCs/>
          <w:color w:val="auto"/>
          <w:sz w:val="28"/>
          <w:szCs w:val="28"/>
          <w:lang w:val="en-US" w:eastAsia="zh-CN"/>
        </w:rPr>
      </w:pPr>
      <w:r>
        <w:rPr>
          <w:rFonts w:hint="eastAsia" w:ascii="宋体" w:hAnsi="宋体" w:eastAsia="宋体" w:cs="宋体"/>
          <w:bCs/>
          <w:color w:val="auto"/>
          <w:sz w:val="28"/>
          <w:szCs w:val="28"/>
          <w:lang w:val="en-US" w:eastAsia="zh-CN"/>
        </w:rPr>
        <w:t>办理CA证书：</w:t>
      </w:r>
      <w:r>
        <w:rPr>
          <w:rFonts w:hint="eastAsia" w:ascii="宋体" w:hAnsi="宋体" w:eastAsia="宋体" w:cs="宋体"/>
          <w:bCs/>
          <w:color w:val="auto"/>
          <w:sz w:val="28"/>
          <w:szCs w:val="28"/>
          <w:lang w:val="en-US" w:eastAsia="zh-CN"/>
        </w:rPr>
        <w:fldChar w:fldCharType="begin"/>
      </w:r>
      <w:r>
        <w:rPr>
          <w:rFonts w:hint="eastAsia" w:ascii="宋体" w:hAnsi="宋体" w:eastAsia="宋体" w:cs="宋体"/>
          <w:bCs/>
          <w:color w:val="auto"/>
          <w:sz w:val="28"/>
          <w:szCs w:val="28"/>
          <w:lang w:val="en-US" w:eastAsia="zh-CN"/>
        </w:rPr>
        <w:instrText xml:space="preserve"> HYPERLINK "http://gzjy.smx.gov.cn/bzzx/008001/20231102/4defc9b5-408e-47f2-9e9f-1f376a06ee1f.html" </w:instrText>
      </w:r>
      <w:r>
        <w:rPr>
          <w:rFonts w:hint="eastAsia" w:ascii="宋体" w:hAnsi="宋体" w:eastAsia="宋体" w:cs="宋体"/>
          <w:bCs/>
          <w:color w:val="auto"/>
          <w:sz w:val="28"/>
          <w:szCs w:val="28"/>
          <w:lang w:val="en-US" w:eastAsia="zh-CN"/>
        </w:rPr>
        <w:fldChar w:fldCharType="separate"/>
      </w:r>
      <w:r>
        <w:rPr>
          <w:rFonts w:hint="eastAsia" w:ascii="宋体" w:hAnsi="宋体" w:eastAsia="宋体" w:cs="宋体"/>
          <w:bCs/>
          <w:color w:val="auto"/>
          <w:sz w:val="28"/>
          <w:szCs w:val="28"/>
          <w:lang w:val="en-US" w:eastAsia="zh-CN"/>
        </w:rPr>
        <w:t>http://gzjy.smx.gov.cn/bzzx/008001/20231102/4defc9b5-408e-47f2-9e9f-1f376a06ee1f.html</w:t>
      </w:r>
      <w:r>
        <w:rPr>
          <w:rFonts w:hint="eastAsia" w:ascii="宋体" w:hAnsi="宋体" w:eastAsia="宋体" w:cs="宋体"/>
          <w:bCs/>
          <w:color w:val="auto"/>
          <w:sz w:val="28"/>
          <w:szCs w:val="28"/>
          <w:lang w:val="en-US" w:eastAsia="zh-CN"/>
        </w:rPr>
        <w:fldChar w:fldCharType="end"/>
      </w:r>
    </w:p>
    <w:p w14:paraId="07DBF3BD">
      <w:pPr>
        <w:pStyle w:val="8"/>
        <w:keepNext w:val="0"/>
        <w:keepLines w:val="0"/>
        <w:pageBreakBefore w:val="0"/>
        <w:widowControl w:val="0"/>
        <w:kinsoku/>
        <w:wordWrap w:val="0"/>
        <w:overflowPunct/>
        <w:topLinePunct w:val="0"/>
        <w:autoSpaceDE w:val="0"/>
        <w:autoSpaceDN w:val="0"/>
        <w:bidi w:val="0"/>
        <w:adjustRightInd/>
        <w:snapToGrid/>
        <w:spacing w:line="650" w:lineRule="exact"/>
        <w:ind w:left="0" w:leftChars="0" w:firstLine="560" w:firstLineChars="200"/>
        <w:textAlignment w:val="auto"/>
        <w:rPr>
          <w:rFonts w:hint="eastAsia" w:ascii="宋体" w:hAnsi="宋体" w:eastAsia="宋体" w:cs="宋体"/>
          <w:bCs/>
          <w:color w:val="auto"/>
          <w:sz w:val="28"/>
          <w:szCs w:val="28"/>
          <w:lang w:val="en-US"/>
        </w:rPr>
      </w:pPr>
      <w:r>
        <w:rPr>
          <w:rFonts w:hint="eastAsia" w:ascii="宋体" w:hAnsi="宋体" w:eastAsia="宋体" w:cs="宋体"/>
          <w:bCs/>
          <w:color w:val="auto"/>
          <w:sz w:val="28"/>
          <w:szCs w:val="28"/>
          <w:lang w:val="en-US" w:eastAsia="zh-CN"/>
        </w:rPr>
        <w:t>3、本项目采用全电子化招标，不再收取竞争性磋商文件费。</w:t>
      </w:r>
    </w:p>
    <w:p w14:paraId="2074B444">
      <w:pPr>
        <w:pStyle w:val="8"/>
        <w:keepNext w:val="0"/>
        <w:keepLines w:val="0"/>
        <w:pageBreakBefore w:val="0"/>
        <w:widowControl w:val="0"/>
        <w:kinsoku/>
        <w:wordWrap w:val="0"/>
        <w:overflowPunct/>
        <w:topLinePunct w:val="0"/>
        <w:autoSpaceDE w:val="0"/>
        <w:autoSpaceDN w:val="0"/>
        <w:bidi w:val="0"/>
        <w:adjustRightInd/>
        <w:snapToGrid/>
        <w:spacing w:line="650" w:lineRule="exact"/>
        <w:ind w:left="0" w:leftChars="0" w:firstLine="560" w:firstLineChars="200"/>
        <w:textAlignment w:val="auto"/>
        <w:rPr>
          <w:rFonts w:hint="eastAsia" w:ascii="宋体" w:hAnsi="宋体" w:eastAsia="宋体" w:cs="宋体"/>
          <w:bCs/>
          <w:color w:val="auto"/>
          <w:sz w:val="28"/>
          <w:szCs w:val="28"/>
          <w:lang w:val="en-US"/>
        </w:rPr>
      </w:pPr>
      <w:r>
        <w:rPr>
          <w:rFonts w:hint="eastAsia" w:ascii="宋体" w:hAnsi="宋体" w:eastAsia="宋体" w:cs="宋体"/>
          <w:bCs/>
          <w:color w:val="auto"/>
          <w:sz w:val="28"/>
          <w:szCs w:val="28"/>
          <w:lang w:val="en-US" w:eastAsia="zh-CN"/>
        </w:rPr>
        <w:t>注：本项目为不见面开标项目，开标当日，响应人无需到开标现场参加开标会议，响应人应当在投标截止时间前，登陆不见面开标大厅选择登陆三门峡市公共资源电子招投标系统进行登陆（网址为http://120.194.249.36:10094/BidOpening/bidopeninghallaction/hall/login））,在线准时参加开标活动并进行响应文件解密等。每位响应人的解密时间为开标时间起30分钟内完成。因响应人原因未能解密、解密失败或解密超时的将被拒绝。</w:t>
      </w:r>
    </w:p>
    <w:p w14:paraId="28BE0928">
      <w:pPr>
        <w:pStyle w:val="8"/>
        <w:keepNext w:val="0"/>
        <w:keepLines w:val="0"/>
        <w:pageBreakBefore w:val="0"/>
        <w:widowControl w:val="0"/>
        <w:kinsoku/>
        <w:wordWrap w:val="0"/>
        <w:overflowPunct/>
        <w:topLinePunct w:val="0"/>
        <w:autoSpaceDE w:val="0"/>
        <w:autoSpaceDN w:val="0"/>
        <w:bidi w:val="0"/>
        <w:adjustRightInd/>
        <w:snapToGrid/>
        <w:spacing w:line="650" w:lineRule="exact"/>
        <w:ind w:left="0" w:leftChars="0" w:firstLine="560" w:firstLineChars="200"/>
        <w:textAlignment w:val="auto"/>
        <w:rPr>
          <w:rFonts w:hint="eastAsia" w:ascii="宋体" w:hAnsi="宋体" w:eastAsia="宋体" w:cs="宋体"/>
          <w:bCs/>
          <w:color w:val="auto"/>
          <w:sz w:val="28"/>
          <w:szCs w:val="28"/>
          <w:lang w:val="en-US"/>
        </w:rPr>
      </w:pPr>
      <w:r>
        <w:rPr>
          <w:rFonts w:hint="eastAsia" w:ascii="宋体" w:hAnsi="宋体" w:eastAsia="宋体" w:cs="宋体"/>
          <w:bCs/>
          <w:color w:val="auto"/>
          <w:sz w:val="28"/>
          <w:szCs w:val="28"/>
          <w:lang w:val="en-US" w:eastAsia="zh-CN"/>
        </w:rPr>
        <w:t>四、供应商资料的提交</w:t>
      </w:r>
    </w:p>
    <w:p w14:paraId="481735BD">
      <w:pPr>
        <w:pStyle w:val="8"/>
        <w:keepNext w:val="0"/>
        <w:keepLines w:val="0"/>
        <w:pageBreakBefore w:val="0"/>
        <w:widowControl w:val="0"/>
        <w:kinsoku/>
        <w:wordWrap w:val="0"/>
        <w:overflowPunct/>
        <w:topLinePunct w:val="0"/>
        <w:autoSpaceDE w:val="0"/>
        <w:autoSpaceDN w:val="0"/>
        <w:bidi w:val="0"/>
        <w:adjustRightInd/>
        <w:snapToGrid/>
        <w:spacing w:line="650" w:lineRule="exact"/>
        <w:ind w:left="0" w:leftChars="0" w:firstLine="560" w:firstLineChars="200"/>
        <w:textAlignment w:val="auto"/>
        <w:rPr>
          <w:rFonts w:hint="eastAsia" w:ascii="宋体" w:hAnsi="宋体" w:eastAsia="宋体" w:cs="宋体"/>
          <w:bCs/>
          <w:color w:val="auto"/>
          <w:sz w:val="28"/>
          <w:szCs w:val="28"/>
          <w:lang w:val="en-US" w:eastAsia="zh-CN"/>
        </w:rPr>
      </w:pPr>
      <w:bookmarkStart w:id="14" w:name="OLE_LINK10"/>
      <w:r>
        <w:rPr>
          <w:rFonts w:hint="eastAsia" w:ascii="宋体" w:hAnsi="宋体" w:eastAsia="宋体" w:cs="宋体"/>
          <w:bCs/>
          <w:color w:val="auto"/>
          <w:sz w:val="28"/>
          <w:szCs w:val="28"/>
          <w:lang w:val="en-US" w:eastAsia="zh-CN"/>
        </w:rPr>
        <w:t>本项目实行资格后审，审查内容以投标截止时间前在三门峡市公共资源交易系统上传的响应文件的信息为准。其上传资料真实性由供应商自行承担，同时供应商需要完善主体库信息。否则，由此造成应得分而未得分或资格审查不合格等情况的，由供应商承担责任。</w:t>
      </w:r>
    </w:p>
    <w:p w14:paraId="235BF7DC">
      <w:pPr>
        <w:pStyle w:val="8"/>
        <w:keepNext w:val="0"/>
        <w:keepLines w:val="0"/>
        <w:pageBreakBefore w:val="0"/>
        <w:widowControl w:val="0"/>
        <w:kinsoku/>
        <w:wordWrap w:val="0"/>
        <w:overflowPunct/>
        <w:topLinePunct w:val="0"/>
        <w:autoSpaceDE w:val="0"/>
        <w:autoSpaceDN w:val="0"/>
        <w:bidi w:val="0"/>
        <w:adjustRightInd/>
        <w:snapToGrid/>
        <w:spacing w:line="650" w:lineRule="exact"/>
        <w:ind w:left="0" w:leftChars="0" w:firstLine="560" w:firstLineChars="200"/>
        <w:textAlignment w:val="auto"/>
        <w:rPr>
          <w:rFonts w:hint="eastAsia" w:ascii="宋体" w:hAnsi="宋体" w:eastAsia="宋体" w:cs="宋体"/>
          <w:bCs/>
          <w:color w:val="auto"/>
          <w:sz w:val="28"/>
          <w:szCs w:val="28"/>
          <w:lang w:val="en-US"/>
        </w:rPr>
      </w:pPr>
      <w:r>
        <w:rPr>
          <w:rFonts w:hint="eastAsia" w:ascii="宋体" w:hAnsi="宋体" w:eastAsia="宋体" w:cs="宋体"/>
          <w:bCs/>
          <w:color w:val="auto"/>
          <w:sz w:val="28"/>
          <w:szCs w:val="28"/>
          <w:lang w:val="en-US" w:eastAsia="zh-CN"/>
        </w:rPr>
        <w:t>五、磋商保证金</w:t>
      </w:r>
    </w:p>
    <w:p w14:paraId="441AE312">
      <w:pPr>
        <w:pStyle w:val="8"/>
        <w:keepNext w:val="0"/>
        <w:keepLines w:val="0"/>
        <w:pageBreakBefore w:val="0"/>
        <w:widowControl w:val="0"/>
        <w:kinsoku/>
        <w:wordWrap w:val="0"/>
        <w:overflowPunct/>
        <w:topLinePunct w:val="0"/>
        <w:autoSpaceDE w:val="0"/>
        <w:autoSpaceDN w:val="0"/>
        <w:bidi w:val="0"/>
        <w:adjustRightInd/>
        <w:snapToGrid/>
        <w:spacing w:line="650" w:lineRule="exact"/>
        <w:ind w:left="0" w:leftChars="0" w:firstLine="560" w:firstLineChars="200"/>
        <w:textAlignment w:val="auto"/>
        <w:rPr>
          <w:rFonts w:hint="eastAsia" w:ascii="宋体" w:hAnsi="宋体" w:eastAsia="宋体" w:cs="宋体"/>
          <w:bCs/>
          <w:color w:val="auto"/>
          <w:sz w:val="28"/>
          <w:szCs w:val="28"/>
          <w:lang w:val="en-US"/>
        </w:rPr>
      </w:pPr>
      <w:r>
        <w:rPr>
          <w:rFonts w:hint="eastAsia" w:ascii="宋体" w:hAnsi="宋体" w:eastAsia="宋体" w:cs="宋体"/>
          <w:bCs/>
          <w:color w:val="auto"/>
          <w:sz w:val="28"/>
          <w:szCs w:val="28"/>
          <w:lang w:val="en-US" w:eastAsia="zh-CN"/>
        </w:rPr>
        <w:t>按照《河南省财政厅关于优化政府采购营商环境有关问题的通知》（豫财购[2019]4号文）的要求本项目不再收取磋商保证金。</w:t>
      </w:r>
    </w:p>
    <w:bookmarkEnd w:id="14"/>
    <w:p w14:paraId="0F038F97">
      <w:pPr>
        <w:pStyle w:val="8"/>
        <w:keepNext w:val="0"/>
        <w:keepLines w:val="0"/>
        <w:pageBreakBefore w:val="0"/>
        <w:widowControl w:val="0"/>
        <w:kinsoku/>
        <w:wordWrap w:val="0"/>
        <w:overflowPunct/>
        <w:topLinePunct w:val="0"/>
        <w:autoSpaceDE w:val="0"/>
        <w:autoSpaceDN w:val="0"/>
        <w:bidi w:val="0"/>
        <w:adjustRightInd/>
        <w:snapToGrid/>
        <w:spacing w:line="650" w:lineRule="exact"/>
        <w:ind w:left="0" w:leftChars="0" w:firstLine="560" w:firstLineChars="200"/>
        <w:textAlignment w:val="auto"/>
        <w:rPr>
          <w:rFonts w:hint="eastAsia" w:ascii="宋体" w:hAnsi="宋体" w:eastAsia="宋体" w:cs="宋体"/>
          <w:bCs/>
          <w:color w:val="auto"/>
          <w:sz w:val="28"/>
          <w:szCs w:val="28"/>
          <w:lang w:val="en-US" w:eastAsia="zh-CN"/>
        </w:rPr>
      </w:pPr>
      <w:r>
        <w:rPr>
          <w:rFonts w:hint="eastAsia" w:ascii="宋体" w:hAnsi="宋体" w:eastAsia="宋体" w:cs="宋体"/>
          <w:bCs/>
          <w:color w:val="auto"/>
          <w:sz w:val="28"/>
          <w:szCs w:val="28"/>
          <w:lang w:val="en-US" w:eastAsia="zh-CN"/>
        </w:rPr>
        <w:t>六、响应文件的递交截止时间及开评标地点</w:t>
      </w:r>
    </w:p>
    <w:p w14:paraId="622FCD0F">
      <w:pPr>
        <w:pStyle w:val="8"/>
        <w:keepNext w:val="0"/>
        <w:keepLines w:val="0"/>
        <w:pageBreakBefore w:val="0"/>
        <w:widowControl w:val="0"/>
        <w:kinsoku/>
        <w:wordWrap w:val="0"/>
        <w:overflowPunct/>
        <w:topLinePunct w:val="0"/>
        <w:autoSpaceDE w:val="0"/>
        <w:autoSpaceDN w:val="0"/>
        <w:bidi w:val="0"/>
        <w:adjustRightInd/>
        <w:snapToGrid/>
        <w:spacing w:line="650" w:lineRule="exact"/>
        <w:ind w:left="0" w:leftChars="0" w:firstLine="560" w:firstLineChars="200"/>
        <w:textAlignment w:val="auto"/>
        <w:rPr>
          <w:rFonts w:hint="eastAsia" w:ascii="宋体" w:hAnsi="宋体" w:eastAsia="宋体" w:cs="宋体"/>
          <w:bCs/>
          <w:color w:val="auto"/>
          <w:sz w:val="28"/>
          <w:szCs w:val="28"/>
          <w:lang w:val="en-US" w:eastAsia="zh-CN"/>
        </w:rPr>
      </w:pPr>
      <w:r>
        <w:rPr>
          <w:rFonts w:hint="eastAsia" w:ascii="宋体" w:hAnsi="宋体" w:eastAsia="宋体" w:cs="宋体"/>
          <w:bCs/>
          <w:color w:val="auto"/>
          <w:sz w:val="28"/>
          <w:szCs w:val="28"/>
          <w:lang w:val="en-US" w:eastAsia="zh-CN"/>
        </w:rPr>
        <w:t>1、响应文件递交的截止时间（开标时间）：</w:t>
      </w:r>
      <w:r>
        <w:rPr>
          <w:rFonts w:hint="eastAsia" w:ascii="宋体" w:hAnsi="宋体" w:cs="宋体"/>
          <w:bCs/>
          <w:color w:val="auto"/>
          <w:sz w:val="28"/>
          <w:szCs w:val="28"/>
          <w:lang w:val="en-US" w:eastAsia="zh-CN"/>
        </w:rPr>
        <w:t>2025年9月23日09时10分</w:t>
      </w:r>
      <w:r>
        <w:rPr>
          <w:rFonts w:hint="eastAsia" w:ascii="宋体" w:hAnsi="宋体" w:eastAsia="宋体" w:cs="宋体"/>
          <w:bCs/>
          <w:color w:val="auto"/>
          <w:sz w:val="28"/>
          <w:szCs w:val="28"/>
          <w:lang w:val="en-US" w:eastAsia="zh-CN"/>
        </w:rPr>
        <w:t>；</w:t>
      </w:r>
    </w:p>
    <w:p w14:paraId="7F9413AB">
      <w:pPr>
        <w:pStyle w:val="8"/>
        <w:keepNext w:val="0"/>
        <w:keepLines w:val="0"/>
        <w:pageBreakBefore w:val="0"/>
        <w:widowControl w:val="0"/>
        <w:kinsoku/>
        <w:wordWrap w:val="0"/>
        <w:overflowPunct/>
        <w:topLinePunct w:val="0"/>
        <w:autoSpaceDE w:val="0"/>
        <w:autoSpaceDN w:val="0"/>
        <w:bidi w:val="0"/>
        <w:adjustRightInd/>
        <w:snapToGrid/>
        <w:spacing w:line="650" w:lineRule="exact"/>
        <w:ind w:left="0" w:leftChars="0" w:firstLine="560" w:firstLineChars="200"/>
        <w:textAlignment w:val="auto"/>
        <w:rPr>
          <w:rFonts w:hint="eastAsia" w:ascii="宋体" w:hAnsi="宋体" w:eastAsia="宋体" w:cs="宋体"/>
          <w:bCs/>
          <w:color w:val="auto"/>
          <w:sz w:val="28"/>
          <w:szCs w:val="28"/>
          <w:lang w:val="en-US" w:eastAsia="zh-CN"/>
        </w:rPr>
      </w:pPr>
      <w:r>
        <w:rPr>
          <w:rFonts w:hint="eastAsia" w:ascii="宋体" w:hAnsi="宋体" w:eastAsia="宋体" w:cs="宋体"/>
          <w:bCs/>
          <w:color w:val="auto"/>
          <w:sz w:val="28"/>
          <w:szCs w:val="28"/>
          <w:lang w:val="en-US" w:eastAsia="zh-CN"/>
        </w:rPr>
        <w:t>2、开标地点：</w:t>
      </w:r>
      <w:bookmarkStart w:id="15" w:name="OLE_LINK8"/>
      <w:r>
        <w:rPr>
          <w:rFonts w:hint="eastAsia" w:ascii="宋体" w:hAnsi="宋体" w:eastAsia="宋体" w:cs="宋体"/>
          <w:bCs/>
          <w:color w:val="auto"/>
          <w:sz w:val="28"/>
          <w:szCs w:val="28"/>
          <w:lang w:val="en-US" w:eastAsia="zh-CN"/>
        </w:rPr>
        <w:t>卢氏县公共资源交易中心四楼第</w:t>
      </w:r>
      <w:r>
        <w:rPr>
          <w:rFonts w:hint="eastAsia" w:ascii="宋体" w:hAnsi="宋体" w:cs="宋体"/>
          <w:bCs/>
          <w:color w:val="auto"/>
          <w:sz w:val="28"/>
          <w:szCs w:val="28"/>
          <w:lang w:val="en-US" w:eastAsia="zh-CN"/>
        </w:rPr>
        <w:t>一</w:t>
      </w:r>
      <w:r>
        <w:rPr>
          <w:rFonts w:hint="eastAsia" w:ascii="宋体" w:hAnsi="宋体" w:eastAsia="宋体" w:cs="宋体"/>
          <w:bCs/>
          <w:color w:val="auto"/>
          <w:sz w:val="28"/>
          <w:szCs w:val="28"/>
          <w:lang w:val="en-US" w:eastAsia="zh-CN"/>
        </w:rPr>
        <w:t>开标室</w:t>
      </w:r>
      <w:bookmarkEnd w:id="15"/>
      <w:r>
        <w:rPr>
          <w:rFonts w:hint="eastAsia" w:ascii="宋体" w:hAnsi="宋体" w:eastAsia="宋体" w:cs="宋体"/>
          <w:bCs/>
          <w:color w:val="auto"/>
          <w:sz w:val="28"/>
          <w:szCs w:val="28"/>
          <w:lang w:val="en-US" w:eastAsia="zh-CN"/>
        </w:rPr>
        <w:t>；</w:t>
      </w:r>
    </w:p>
    <w:p w14:paraId="2AAC9BE5">
      <w:pPr>
        <w:pStyle w:val="8"/>
        <w:keepNext w:val="0"/>
        <w:keepLines w:val="0"/>
        <w:pageBreakBefore w:val="0"/>
        <w:widowControl w:val="0"/>
        <w:kinsoku/>
        <w:wordWrap w:val="0"/>
        <w:overflowPunct/>
        <w:topLinePunct w:val="0"/>
        <w:autoSpaceDE w:val="0"/>
        <w:autoSpaceDN w:val="0"/>
        <w:bidi w:val="0"/>
        <w:adjustRightInd/>
        <w:snapToGrid/>
        <w:spacing w:line="650" w:lineRule="exact"/>
        <w:ind w:left="0" w:leftChars="0" w:firstLine="560" w:firstLineChars="200"/>
        <w:textAlignment w:val="auto"/>
        <w:rPr>
          <w:rFonts w:hint="eastAsia" w:ascii="宋体" w:hAnsi="宋体" w:eastAsia="宋体" w:cs="宋体"/>
          <w:bCs/>
          <w:color w:val="auto"/>
          <w:sz w:val="28"/>
          <w:szCs w:val="28"/>
          <w:lang w:val="en-US" w:eastAsia="zh-CN"/>
        </w:rPr>
      </w:pPr>
      <w:r>
        <w:rPr>
          <w:rFonts w:hint="eastAsia" w:ascii="宋体" w:hAnsi="宋体" w:eastAsia="宋体" w:cs="宋体"/>
          <w:bCs/>
          <w:color w:val="auto"/>
          <w:sz w:val="28"/>
          <w:szCs w:val="28"/>
          <w:lang w:val="en-US" w:eastAsia="zh-CN"/>
        </w:rPr>
        <w:t>3、评标地点：卢氏县公共资源交易中心二楼第</w:t>
      </w:r>
      <w:r>
        <w:rPr>
          <w:rFonts w:hint="eastAsia" w:ascii="宋体" w:hAnsi="宋体" w:cs="宋体"/>
          <w:bCs/>
          <w:color w:val="auto"/>
          <w:sz w:val="28"/>
          <w:szCs w:val="28"/>
          <w:lang w:val="en-US" w:eastAsia="zh-CN"/>
        </w:rPr>
        <w:t>三</w:t>
      </w:r>
      <w:r>
        <w:rPr>
          <w:rFonts w:hint="eastAsia" w:ascii="宋体" w:hAnsi="宋体" w:eastAsia="宋体" w:cs="宋体"/>
          <w:bCs/>
          <w:color w:val="auto"/>
          <w:sz w:val="28"/>
          <w:szCs w:val="28"/>
          <w:lang w:val="en-US" w:eastAsia="zh-CN"/>
        </w:rPr>
        <w:t>评标室；</w:t>
      </w:r>
    </w:p>
    <w:p w14:paraId="1B747D8A">
      <w:pPr>
        <w:pStyle w:val="8"/>
        <w:keepNext w:val="0"/>
        <w:keepLines w:val="0"/>
        <w:pageBreakBefore w:val="0"/>
        <w:widowControl w:val="0"/>
        <w:kinsoku/>
        <w:wordWrap w:val="0"/>
        <w:overflowPunct/>
        <w:topLinePunct w:val="0"/>
        <w:autoSpaceDE w:val="0"/>
        <w:autoSpaceDN w:val="0"/>
        <w:bidi w:val="0"/>
        <w:adjustRightInd/>
        <w:snapToGrid/>
        <w:spacing w:line="650" w:lineRule="exact"/>
        <w:ind w:left="0" w:leftChars="0" w:firstLine="560" w:firstLineChars="200"/>
        <w:textAlignment w:val="auto"/>
        <w:rPr>
          <w:rFonts w:hint="eastAsia" w:ascii="宋体" w:hAnsi="宋体" w:eastAsia="宋体" w:cs="宋体"/>
          <w:bCs/>
          <w:color w:val="auto"/>
          <w:sz w:val="28"/>
          <w:szCs w:val="28"/>
          <w:lang w:val="en-US" w:eastAsia="zh-CN"/>
        </w:rPr>
      </w:pPr>
      <w:r>
        <w:rPr>
          <w:rFonts w:hint="eastAsia" w:ascii="宋体" w:hAnsi="宋体" w:eastAsia="宋体" w:cs="宋体"/>
          <w:bCs/>
          <w:color w:val="auto"/>
          <w:sz w:val="28"/>
          <w:szCs w:val="28"/>
          <w:lang w:val="en-US" w:eastAsia="zh-CN"/>
        </w:rPr>
        <w:t>七、其他事项</w:t>
      </w:r>
    </w:p>
    <w:p w14:paraId="528D9CB9">
      <w:pPr>
        <w:pStyle w:val="8"/>
        <w:keepNext w:val="0"/>
        <w:keepLines w:val="0"/>
        <w:pageBreakBefore w:val="0"/>
        <w:widowControl w:val="0"/>
        <w:kinsoku/>
        <w:wordWrap w:val="0"/>
        <w:overflowPunct/>
        <w:topLinePunct w:val="0"/>
        <w:autoSpaceDE w:val="0"/>
        <w:autoSpaceDN w:val="0"/>
        <w:bidi w:val="0"/>
        <w:adjustRightInd/>
        <w:snapToGrid/>
        <w:spacing w:line="650" w:lineRule="exact"/>
        <w:ind w:left="0" w:leftChars="0" w:firstLine="560" w:firstLineChars="200"/>
        <w:textAlignment w:val="auto"/>
        <w:rPr>
          <w:rFonts w:hint="eastAsia" w:ascii="宋体" w:hAnsi="宋体" w:eastAsia="宋体" w:cs="宋体"/>
          <w:bCs/>
          <w:color w:val="auto"/>
          <w:sz w:val="28"/>
          <w:szCs w:val="28"/>
          <w:lang w:val="en-US"/>
        </w:rPr>
      </w:pPr>
      <w:bookmarkStart w:id="16" w:name="OLE_LINK11"/>
      <w:r>
        <w:rPr>
          <w:rFonts w:hint="eastAsia" w:ascii="宋体" w:hAnsi="宋体" w:eastAsia="宋体" w:cs="宋体"/>
          <w:bCs/>
          <w:color w:val="auto"/>
          <w:sz w:val="28"/>
          <w:szCs w:val="28"/>
          <w:lang w:val="en-US" w:eastAsia="zh-CN"/>
        </w:rPr>
        <w:t>1、响应人应仔细阅读操作手册，在本公告中要求的截止时间前完成磋商文件下载工作。因响应人操作不当问题造成的无法下载磋商文件等一切后果，由响应人自行承担。</w:t>
      </w:r>
    </w:p>
    <w:p w14:paraId="208DFE4D">
      <w:pPr>
        <w:pStyle w:val="8"/>
        <w:keepNext w:val="0"/>
        <w:keepLines w:val="0"/>
        <w:pageBreakBefore w:val="0"/>
        <w:widowControl w:val="0"/>
        <w:kinsoku/>
        <w:wordWrap w:val="0"/>
        <w:overflowPunct/>
        <w:topLinePunct w:val="0"/>
        <w:autoSpaceDE w:val="0"/>
        <w:autoSpaceDN w:val="0"/>
        <w:bidi w:val="0"/>
        <w:adjustRightInd/>
        <w:snapToGrid/>
        <w:spacing w:line="650" w:lineRule="exact"/>
        <w:ind w:left="0" w:leftChars="0" w:firstLine="560" w:firstLineChars="200"/>
        <w:textAlignment w:val="auto"/>
        <w:rPr>
          <w:rFonts w:hint="eastAsia" w:ascii="宋体" w:hAnsi="宋体" w:eastAsia="宋体" w:cs="宋体"/>
          <w:bCs/>
          <w:color w:val="auto"/>
          <w:sz w:val="28"/>
          <w:szCs w:val="28"/>
          <w:lang w:val="en-US"/>
        </w:rPr>
      </w:pPr>
      <w:r>
        <w:rPr>
          <w:rFonts w:hint="eastAsia" w:ascii="宋体" w:hAnsi="宋体" w:eastAsia="宋体" w:cs="宋体"/>
          <w:bCs/>
          <w:color w:val="auto"/>
          <w:sz w:val="28"/>
          <w:szCs w:val="28"/>
          <w:lang w:val="en-US" w:eastAsia="zh-CN"/>
        </w:rPr>
        <w:t>2、响应人递交的响应文件不论中标与否均不予退还。</w:t>
      </w:r>
    </w:p>
    <w:p w14:paraId="7A45A83C">
      <w:pPr>
        <w:pStyle w:val="8"/>
        <w:keepNext w:val="0"/>
        <w:keepLines w:val="0"/>
        <w:pageBreakBefore w:val="0"/>
        <w:widowControl w:val="0"/>
        <w:kinsoku/>
        <w:wordWrap w:val="0"/>
        <w:overflowPunct/>
        <w:topLinePunct w:val="0"/>
        <w:autoSpaceDE w:val="0"/>
        <w:autoSpaceDN w:val="0"/>
        <w:bidi w:val="0"/>
        <w:adjustRightInd/>
        <w:snapToGrid/>
        <w:spacing w:line="650" w:lineRule="exact"/>
        <w:ind w:left="0" w:leftChars="0" w:firstLine="560" w:firstLineChars="200"/>
        <w:textAlignment w:val="auto"/>
        <w:rPr>
          <w:rFonts w:hint="eastAsia" w:ascii="宋体" w:hAnsi="宋体" w:eastAsia="宋体" w:cs="宋体"/>
          <w:bCs/>
          <w:color w:val="auto"/>
          <w:sz w:val="28"/>
          <w:szCs w:val="28"/>
          <w:lang w:val="en-US" w:eastAsia="zh-CN"/>
        </w:rPr>
      </w:pPr>
      <w:r>
        <w:rPr>
          <w:rFonts w:hint="eastAsia" w:ascii="宋体" w:hAnsi="宋体" w:eastAsia="宋体" w:cs="宋体"/>
          <w:bCs/>
          <w:color w:val="auto"/>
          <w:sz w:val="28"/>
          <w:szCs w:val="28"/>
          <w:lang w:val="en-US" w:eastAsia="zh-CN"/>
        </w:rPr>
        <w:t>3、采购人不组织投标单位踏勘现场。</w:t>
      </w:r>
    </w:p>
    <w:bookmarkEnd w:id="16"/>
    <w:p w14:paraId="4CAB26CD">
      <w:pPr>
        <w:pStyle w:val="8"/>
        <w:keepNext w:val="0"/>
        <w:keepLines w:val="0"/>
        <w:pageBreakBefore w:val="0"/>
        <w:widowControl w:val="0"/>
        <w:kinsoku/>
        <w:wordWrap w:val="0"/>
        <w:overflowPunct/>
        <w:topLinePunct w:val="0"/>
        <w:autoSpaceDE w:val="0"/>
        <w:autoSpaceDN w:val="0"/>
        <w:bidi w:val="0"/>
        <w:adjustRightInd/>
        <w:snapToGrid/>
        <w:spacing w:line="650" w:lineRule="exact"/>
        <w:ind w:left="0" w:leftChars="0" w:firstLine="560" w:firstLineChars="200"/>
        <w:textAlignment w:val="auto"/>
        <w:rPr>
          <w:rFonts w:hint="eastAsia" w:ascii="宋体" w:hAnsi="宋体" w:eastAsia="宋体" w:cs="宋体"/>
          <w:bCs/>
          <w:color w:val="auto"/>
          <w:sz w:val="28"/>
          <w:szCs w:val="28"/>
          <w:lang w:val="en-US"/>
        </w:rPr>
      </w:pPr>
      <w:r>
        <w:rPr>
          <w:rFonts w:hint="eastAsia" w:ascii="宋体" w:hAnsi="宋体" w:eastAsia="宋体" w:cs="宋体"/>
          <w:bCs/>
          <w:color w:val="auto"/>
          <w:sz w:val="28"/>
          <w:szCs w:val="28"/>
          <w:lang w:val="en-US" w:eastAsia="zh-CN"/>
        </w:rPr>
        <w:t>八、发布公告的媒介</w:t>
      </w:r>
    </w:p>
    <w:p w14:paraId="68A14B38">
      <w:pPr>
        <w:pStyle w:val="8"/>
        <w:keepNext w:val="0"/>
        <w:keepLines w:val="0"/>
        <w:pageBreakBefore w:val="0"/>
        <w:widowControl w:val="0"/>
        <w:kinsoku/>
        <w:wordWrap w:val="0"/>
        <w:overflowPunct/>
        <w:topLinePunct w:val="0"/>
        <w:autoSpaceDE w:val="0"/>
        <w:autoSpaceDN w:val="0"/>
        <w:bidi w:val="0"/>
        <w:adjustRightInd/>
        <w:snapToGrid/>
        <w:spacing w:line="650" w:lineRule="exact"/>
        <w:ind w:left="0" w:leftChars="0" w:firstLine="560" w:firstLineChars="200"/>
        <w:textAlignment w:val="auto"/>
        <w:rPr>
          <w:rFonts w:hint="eastAsia" w:ascii="宋体" w:hAnsi="宋体" w:eastAsia="宋体" w:cs="宋体"/>
          <w:bCs/>
          <w:color w:val="auto"/>
          <w:sz w:val="28"/>
          <w:szCs w:val="28"/>
          <w:lang w:val="en-US" w:eastAsia="zh-CN"/>
        </w:rPr>
      </w:pPr>
      <w:r>
        <w:rPr>
          <w:rFonts w:hint="eastAsia" w:ascii="宋体" w:hAnsi="宋体" w:eastAsia="宋体" w:cs="宋体"/>
          <w:bCs/>
          <w:color w:val="auto"/>
          <w:sz w:val="28"/>
          <w:szCs w:val="28"/>
          <w:lang w:val="en-US" w:eastAsia="zh-CN"/>
        </w:rPr>
        <w:t>本次公告在</w:t>
      </w:r>
      <w:bookmarkStart w:id="17" w:name="OLE_LINK9"/>
      <w:r>
        <w:rPr>
          <w:rFonts w:hint="eastAsia" w:ascii="宋体" w:hAnsi="宋体" w:eastAsia="宋体" w:cs="宋体"/>
          <w:bCs/>
          <w:color w:val="auto"/>
          <w:sz w:val="28"/>
          <w:szCs w:val="28"/>
          <w:lang w:val="en-US" w:eastAsia="zh-CN"/>
        </w:rPr>
        <w:t>《中国招标投标公共服务平台》、《三门峡市公共资源交易中心网》</w:t>
      </w:r>
      <w:bookmarkEnd w:id="17"/>
      <w:r>
        <w:rPr>
          <w:rFonts w:hint="eastAsia" w:ascii="宋体" w:hAnsi="宋体" w:eastAsia="宋体" w:cs="宋体"/>
          <w:bCs/>
          <w:color w:val="auto"/>
          <w:sz w:val="28"/>
          <w:szCs w:val="28"/>
          <w:lang w:val="en-US" w:eastAsia="zh-CN"/>
        </w:rPr>
        <w:t>、《河南省政府采购网》同时发布。</w:t>
      </w:r>
    </w:p>
    <w:p w14:paraId="73B7C466">
      <w:pPr>
        <w:pStyle w:val="8"/>
        <w:keepNext w:val="0"/>
        <w:keepLines w:val="0"/>
        <w:pageBreakBefore w:val="0"/>
        <w:widowControl w:val="0"/>
        <w:kinsoku/>
        <w:wordWrap w:val="0"/>
        <w:overflowPunct/>
        <w:topLinePunct w:val="0"/>
        <w:autoSpaceDE w:val="0"/>
        <w:autoSpaceDN w:val="0"/>
        <w:bidi w:val="0"/>
        <w:adjustRightInd/>
        <w:snapToGrid/>
        <w:spacing w:line="650" w:lineRule="exact"/>
        <w:ind w:left="0" w:leftChars="0" w:firstLine="560" w:firstLineChars="200"/>
        <w:textAlignment w:val="auto"/>
        <w:rPr>
          <w:rFonts w:hint="eastAsia" w:ascii="宋体" w:hAnsi="宋体" w:eastAsia="宋体" w:cs="宋体"/>
          <w:bCs/>
          <w:color w:val="FF0000"/>
          <w:sz w:val="28"/>
          <w:szCs w:val="28"/>
          <w:lang w:val="en-US" w:eastAsia="zh-CN"/>
        </w:rPr>
      </w:pPr>
      <w:r>
        <w:rPr>
          <w:rFonts w:hint="eastAsia" w:ascii="宋体" w:hAnsi="宋体" w:eastAsia="宋体" w:cs="宋体"/>
          <w:bCs/>
          <w:color w:val="000000" w:themeColor="text1"/>
          <w:sz w:val="28"/>
          <w:szCs w:val="28"/>
          <w:lang w:val="en-US" w:eastAsia="zh-CN"/>
          <w14:textFill>
            <w14:solidFill>
              <w14:schemeClr w14:val="tx1"/>
            </w14:solidFill>
          </w14:textFill>
        </w:rPr>
        <w:t>九、联系方式</w:t>
      </w:r>
    </w:p>
    <w:p w14:paraId="1702719A">
      <w:pPr>
        <w:keepNext w:val="0"/>
        <w:keepLines w:val="0"/>
        <w:pageBreakBefore w:val="0"/>
        <w:widowControl w:val="0"/>
        <w:kinsoku/>
        <w:wordWrap w:val="0"/>
        <w:overflowPunct/>
        <w:topLinePunct w:val="0"/>
        <w:autoSpaceDE/>
        <w:autoSpaceDN/>
        <w:bidi w:val="0"/>
        <w:adjustRightInd/>
        <w:snapToGrid/>
        <w:spacing w:line="660" w:lineRule="exact"/>
        <w:ind w:firstLine="560" w:firstLineChars="200"/>
        <w:jc w:val="left"/>
        <w:textAlignment w:val="auto"/>
        <w:rPr>
          <w:rFonts w:hint="eastAsia" w:ascii="宋体" w:hAnsi="宋体" w:eastAsia="宋体" w:cs="宋体"/>
          <w:bCs/>
          <w:color w:val="auto"/>
          <w:sz w:val="28"/>
          <w:szCs w:val="28"/>
          <w:lang w:val="en-US" w:eastAsia="zh-CN" w:bidi="ar-SA"/>
        </w:rPr>
      </w:pPr>
      <w:bookmarkStart w:id="18" w:name="_Toc19177"/>
      <w:r>
        <w:rPr>
          <w:rFonts w:hint="eastAsia" w:ascii="宋体" w:hAnsi="宋体" w:eastAsia="宋体" w:cs="宋体"/>
          <w:bCs/>
          <w:color w:val="auto"/>
          <w:sz w:val="28"/>
          <w:szCs w:val="28"/>
          <w:lang w:val="en-US" w:eastAsia="zh-CN" w:bidi="ar-SA"/>
        </w:rPr>
        <w:t>监督单位：卢氏县政府采购办公室</w:t>
      </w:r>
    </w:p>
    <w:p w14:paraId="7939BDAE">
      <w:pPr>
        <w:keepNext w:val="0"/>
        <w:keepLines w:val="0"/>
        <w:pageBreakBefore w:val="0"/>
        <w:widowControl w:val="0"/>
        <w:kinsoku/>
        <w:wordWrap w:val="0"/>
        <w:overflowPunct/>
        <w:topLinePunct w:val="0"/>
        <w:autoSpaceDE/>
        <w:autoSpaceDN/>
        <w:bidi w:val="0"/>
        <w:adjustRightInd/>
        <w:snapToGrid/>
        <w:spacing w:line="660" w:lineRule="exact"/>
        <w:ind w:firstLine="560" w:firstLineChars="200"/>
        <w:jc w:val="left"/>
        <w:textAlignment w:val="auto"/>
        <w:rPr>
          <w:rFonts w:hint="eastAsia" w:ascii="宋体" w:hAnsi="宋体" w:eastAsia="宋体" w:cs="宋体"/>
          <w:bCs/>
          <w:color w:val="auto"/>
          <w:sz w:val="28"/>
          <w:szCs w:val="28"/>
          <w:lang w:val="en-US" w:eastAsia="zh-CN" w:bidi="ar-SA"/>
        </w:rPr>
      </w:pPr>
      <w:r>
        <w:rPr>
          <w:rFonts w:hint="eastAsia" w:ascii="宋体" w:hAnsi="宋体" w:eastAsia="宋体" w:cs="宋体"/>
          <w:bCs/>
          <w:color w:val="auto"/>
          <w:sz w:val="28"/>
          <w:szCs w:val="28"/>
          <w:lang w:val="en-US" w:eastAsia="zh-CN" w:bidi="ar-SA"/>
        </w:rPr>
        <w:t>联系人：郭伟静</w:t>
      </w:r>
    </w:p>
    <w:p w14:paraId="05C9FE9D">
      <w:pPr>
        <w:keepNext w:val="0"/>
        <w:keepLines w:val="0"/>
        <w:pageBreakBefore w:val="0"/>
        <w:widowControl w:val="0"/>
        <w:kinsoku/>
        <w:wordWrap w:val="0"/>
        <w:overflowPunct/>
        <w:topLinePunct w:val="0"/>
        <w:autoSpaceDE/>
        <w:autoSpaceDN/>
        <w:bidi w:val="0"/>
        <w:adjustRightInd/>
        <w:snapToGrid/>
        <w:spacing w:line="660" w:lineRule="exact"/>
        <w:ind w:firstLine="560" w:firstLineChars="200"/>
        <w:jc w:val="left"/>
        <w:textAlignment w:val="auto"/>
        <w:rPr>
          <w:rFonts w:hint="eastAsia" w:ascii="宋体" w:hAnsi="宋体" w:eastAsia="宋体" w:cs="宋体"/>
          <w:bCs/>
          <w:color w:val="auto"/>
          <w:sz w:val="28"/>
          <w:szCs w:val="28"/>
          <w:lang w:val="en-US" w:eastAsia="zh-CN" w:bidi="ar-SA"/>
        </w:rPr>
      </w:pPr>
      <w:r>
        <w:rPr>
          <w:rFonts w:hint="eastAsia" w:ascii="宋体" w:hAnsi="宋体" w:eastAsia="宋体" w:cs="宋体"/>
          <w:bCs/>
          <w:color w:val="auto"/>
          <w:sz w:val="28"/>
          <w:szCs w:val="28"/>
          <w:lang w:val="en-US" w:eastAsia="zh-CN" w:bidi="ar-SA"/>
        </w:rPr>
        <w:t>电话：0398-7863556</w:t>
      </w:r>
    </w:p>
    <w:p w14:paraId="4DDA0B1F">
      <w:pPr>
        <w:keepNext w:val="0"/>
        <w:keepLines w:val="0"/>
        <w:pageBreakBefore w:val="0"/>
        <w:widowControl w:val="0"/>
        <w:kinsoku/>
        <w:wordWrap w:val="0"/>
        <w:overflowPunct/>
        <w:topLinePunct w:val="0"/>
        <w:autoSpaceDE/>
        <w:autoSpaceDN/>
        <w:bidi w:val="0"/>
        <w:adjustRightInd/>
        <w:snapToGrid/>
        <w:spacing w:line="660" w:lineRule="exact"/>
        <w:ind w:firstLine="560" w:firstLineChars="200"/>
        <w:jc w:val="left"/>
        <w:textAlignment w:val="auto"/>
        <w:rPr>
          <w:rFonts w:hint="eastAsia" w:ascii="宋体" w:hAnsi="宋体" w:eastAsia="宋体" w:cs="宋体"/>
          <w:bCs/>
          <w:color w:val="auto"/>
          <w:sz w:val="28"/>
          <w:szCs w:val="28"/>
          <w:lang w:val="en-US" w:eastAsia="zh-CN" w:bidi="ar-SA"/>
        </w:rPr>
      </w:pPr>
      <w:r>
        <w:rPr>
          <w:rFonts w:hint="eastAsia" w:ascii="宋体" w:hAnsi="宋体" w:eastAsia="宋体" w:cs="宋体"/>
          <w:bCs/>
          <w:color w:val="auto"/>
          <w:sz w:val="28"/>
          <w:szCs w:val="28"/>
          <w:lang w:val="en-US" w:eastAsia="zh-CN" w:bidi="ar-SA"/>
        </w:rPr>
        <w:t>地址：卢氏县城关镇解放路中段</w:t>
      </w:r>
    </w:p>
    <w:p w14:paraId="031E19C6">
      <w:pPr>
        <w:keepNext w:val="0"/>
        <w:keepLines w:val="0"/>
        <w:pageBreakBefore w:val="0"/>
        <w:widowControl w:val="0"/>
        <w:kinsoku/>
        <w:wordWrap w:val="0"/>
        <w:overflowPunct/>
        <w:topLinePunct w:val="0"/>
        <w:autoSpaceDE/>
        <w:autoSpaceDN/>
        <w:bidi w:val="0"/>
        <w:adjustRightInd/>
        <w:snapToGrid/>
        <w:spacing w:line="660" w:lineRule="exact"/>
        <w:ind w:firstLine="560" w:firstLineChars="200"/>
        <w:jc w:val="left"/>
        <w:textAlignment w:val="auto"/>
        <w:rPr>
          <w:rFonts w:hint="eastAsia" w:ascii="宋体" w:hAnsi="宋体" w:eastAsia="宋体" w:cs="宋体"/>
          <w:bCs/>
          <w:color w:val="auto"/>
          <w:sz w:val="28"/>
          <w:szCs w:val="28"/>
          <w:lang w:val="en-US" w:eastAsia="zh-CN" w:bidi="ar-SA"/>
        </w:rPr>
      </w:pPr>
      <w:r>
        <w:rPr>
          <w:rFonts w:hint="eastAsia" w:ascii="宋体" w:hAnsi="宋体" w:eastAsia="宋体" w:cs="宋体"/>
          <w:bCs/>
          <w:color w:val="auto"/>
          <w:sz w:val="28"/>
          <w:szCs w:val="28"/>
          <w:lang w:val="en-US" w:eastAsia="zh-CN" w:bidi="ar-SA"/>
        </w:rPr>
        <w:t xml:space="preserve">监督单位：卢氏县水利局 </w:t>
      </w:r>
    </w:p>
    <w:p w14:paraId="2943854E">
      <w:pPr>
        <w:keepNext w:val="0"/>
        <w:keepLines w:val="0"/>
        <w:pageBreakBefore w:val="0"/>
        <w:widowControl w:val="0"/>
        <w:kinsoku/>
        <w:wordWrap w:val="0"/>
        <w:overflowPunct/>
        <w:topLinePunct w:val="0"/>
        <w:autoSpaceDE/>
        <w:autoSpaceDN/>
        <w:bidi w:val="0"/>
        <w:adjustRightInd/>
        <w:snapToGrid/>
        <w:spacing w:line="660" w:lineRule="exact"/>
        <w:ind w:firstLine="560" w:firstLineChars="200"/>
        <w:jc w:val="left"/>
        <w:textAlignment w:val="auto"/>
        <w:rPr>
          <w:rFonts w:hint="eastAsia" w:ascii="宋体" w:hAnsi="宋体" w:eastAsia="宋体" w:cs="宋体"/>
          <w:bCs/>
          <w:color w:val="auto"/>
          <w:sz w:val="28"/>
          <w:szCs w:val="28"/>
          <w:lang w:val="en-US" w:eastAsia="zh-CN" w:bidi="ar-SA"/>
        </w:rPr>
      </w:pPr>
      <w:r>
        <w:rPr>
          <w:rFonts w:hint="eastAsia" w:ascii="宋体" w:hAnsi="宋体" w:eastAsia="宋体" w:cs="宋体"/>
          <w:bCs/>
          <w:color w:val="auto"/>
          <w:sz w:val="28"/>
          <w:szCs w:val="28"/>
          <w:lang w:val="en-US" w:eastAsia="zh-CN" w:bidi="ar-SA"/>
        </w:rPr>
        <w:t>联系人： 肖琰</w:t>
      </w:r>
    </w:p>
    <w:p w14:paraId="1E476ED3">
      <w:pPr>
        <w:keepNext w:val="0"/>
        <w:keepLines w:val="0"/>
        <w:pageBreakBefore w:val="0"/>
        <w:widowControl w:val="0"/>
        <w:kinsoku/>
        <w:wordWrap w:val="0"/>
        <w:overflowPunct/>
        <w:topLinePunct w:val="0"/>
        <w:autoSpaceDE/>
        <w:autoSpaceDN/>
        <w:bidi w:val="0"/>
        <w:adjustRightInd/>
        <w:snapToGrid/>
        <w:spacing w:line="660" w:lineRule="exact"/>
        <w:ind w:firstLine="560" w:firstLineChars="200"/>
        <w:jc w:val="left"/>
        <w:textAlignment w:val="auto"/>
        <w:rPr>
          <w:rFonts w:hint="default" w:ascii="宋体" w:hAnsi="宋体" w:eastAsia="宋体" w:cs="宋体"/>
          <w:bCs/>
          <w:color w:val="auto"/>
          <w:sz w:val="28"/>
          <w:szCs w:val="28"/>
          <w:lang w:val="en-US" w:eastAsia="zh-CN" w:bidi="ar-SA"/>
        </w:rPr>
      </w:pPr>
      <w:r>
        <w:rPr>
          <w:rFonts w:hint="eastAsia" w:ascii="宋体" w:hAnsi="宋体" w:eastAsia="宋体" w:cs="宋体"/>
          <w:bCs/>
          <w:color w:val="auto"/>
          <w:sz w:val="28"/>
          <w:szCs w:val="28"/>
          <w:lang w:val="en-US" w:eastAsia="zh-CN" w:bidi="ar-SA"/>
        </w:rPr>
        <w:t>电话： 15639871977</w:t>
      </w:r>
      <w:r>
        <w:rPr>
          <w:rFonts w:hint="eastAsia" w:cs="宋体"/>
          <w:bCs/>
          <w:color w:val="auto"/>
          <w:sz w:val="28"/>
          <w:szCs w:val="28"/>
          <w:lang w:val="en-US" w:eastAsia="zh-CN" w:bidi="ar-SA"/>
        </w:rPr>
        <w:t>、0398-2157726</w:t>
      </w:r>
    </w:p>
    <w:p w14:paraId="61771F5F">
      <w:pPr>
        <w:keepNext w:val="0"/>
        <w:keepLines w:val="0"/>
        <w:pageBreakBefore w:val="0"/>
        <w:widowControl w:val="0"/>
        <w:kinsoku/>
        <w:wordWrap w:val="0"/>
        <w:overflowPunct/>
        <w:topLinePunct w:val="0"/>
        <w:autoSpaceDE/>
        <w:autoSpaceDN/>
        <w:bidi w:val="0"/>
        <w:adjustRightInd/>
        <w:snapToGrid/>
        <w:spacing w:line="660" w:lineRule="exact"/>
        <w:ind w:firstLine="560" w:firstLineChars="200"/>
        <w:jc w:val="left"/>
        <w:textAlignment w:val="auto"/>
        <w:rPr>
          <w:rFonts w:hint="eastAsia" w:ascii="宋体" w:hAnsi="宋体" w:eastAsia="宋体" w:cs="宋体"/>
          <w:bCs/>
          <w:color w:val="auto"/>
          <w:sz w:val="28"/>
          <w:szCs w:val="28"/>
          <w:lang w:val="en-US" w:eastAsia="zh-CN" w:bidi="ar-SA"/>
        </w:rPr>
      </w:pPr>
      <w:r>
        <w:rPr>
          <w:rFonts w:hint="eastAsia" w:ascii="宋体" w:hAnsi="宋体" w:eastAsia="宋体" w:cs="宋体"/>
          <w:bCs/>
          <w:color w:val="auto"/>
          <w:sz w:val="28"/>
          <w:szCs w:val="28"/>
          <w:lang w:val="en-US" w:eastAsia="zh-CN" w:bidi="ar-SA"/>
        </w:rPr>
        <w:t xml:space="preserve">地址：卢氏县中兴路中段 </w:t>
      </w:r>
    </w:p>
    <w:p w14:paraId="5C9F70EA">
      <w:pPr>
        <w:keepNext w:val="0"/>
        <w:keepLines w:val="0"/>
        <w:pageBreakBefore w:val="0"/>
        <w:widowControl w:val="0"/>
        <w:kinsoku/>
        <w:wordWrap w:val="0"/>
        <w:overflowPunct/>
        <w:topLinePunct w:val="0"/>
        <w:autoSpaceDE/>
        <w:autoSpaceDN/>
        <w:bidi w:val="0"/>
        <w:adjustRightInd/>
        <w:snapToGrid/>
        <w:spacing w:line="660" w:lineRule="exact"/>
        <w:ind w:firstLine="560" w:firstLineChars="200"/>
        <w:jc w:val="left"/>
        <w:textAlignment w:val="auto"/>
        <w:rPr>
          <w:rFonts w:hint="eastAsia" w:ascii="宋体" w:hAnsi="宋体" w:eastAsia="宋体" w:cs="宋体"/>
          <w:bCs/>
          <w:color w:val="auto"/>
          <w:sz w:val="28"/>
          <w:szCs w:val="28"/>
          <w:lang w:val="en-US" w:eastAsia="zh-CN" w:bidi="ar-SA"/>
        </w:rPr>
      </w:pPr>
      <w:r>
        <w:rPr>
          <w:rFonts w:hint="eastAsia" w:cs="宋体"/>
          <w:bCs/>
          <w:color w:val="auto"/>
          <w:sz w:val="28"/>
          <w:szCs w:val="28"/>
          <w:lang w:val="en-US" w:eastAsia="zh-CN" w:bidi="ar-SA"/>
        </w:rPr>
        <w:t>采购人</w:t>
      </w:r>
      <w:r>
        <w:rPr>
          <w:rFonts w:hint="eastAsia" w:ascii="宋体" w:hAnsi="宋体" w:eastAsia="宋体" w:cs="宋体"/>
          <w:bCs/>
          <w:color w:val="auto"/>
          <w:sz w:val="28"/>
          <w:szCs w:val="28"/>
          <w:lang w:val="en-US" w:eastAsia="zh-CN" w:bidi="ar-SA"/>
        </w:rPr>
        <w:t>：</w:t>
      </w:r>
      <w:r>
        <w:rPr>
          <w:rFonts w:hint="eastAsia" w:cs="宋体"/>
          <w:bCs/>
          <w:color w:val="auto"/>
          <w:sz w:val="28"/>
          <w:szCs w:val="28"/>
          <w:lang w:val="en-US" w:eastAsia="zh-CN" w:bidi="ar-SA"/>
        </w:rPr>
        <w:t>卢氏县汤河乡人民政府</w:t>
      </w:r>
    </w:p>
    <w:p w14:paraId="5362976B">
      <w:pPr>
        <w:keepNext w:val="0"/>
        <w:keepLines w:val="0"/>
        <w:pageBreakBefore w:val="0"/>
        <w:widowControl w:val="0"/>
        <w:kinsoku/>
        <w:wordWrap w:val="0"/>
        <w:overflowPunct/>
        <w:topLinePunct w:val="0"/>
        <w:autoSpaceDE/>
        <w:autoSpaceDN/>
        <w:bidi w:val="0"/>
        <w:adjustRightInd/>
        <w:snapToGrid/>
        <w:spacing w:line="660" w:lineRule="exact"/>
        <w:ind w:firstLine="560" w:firstLineChars="200"/>
        <w:jc w:val="left"/>
        <w:textAlignment w:val="auto"/>
        <w:rPr>
          <w:rFonts w:hint="default" w:ascii="宋体" w:hAnsi="宋体" w:eastAsia="宋体" w:cs="宋体"/>
          <w:bCs/>
          <w:color w:val="auto"/>
          <w:sz w:val="28"/>
          <w:szCs w:val="28"/>
          <w:lang w:val="en-US" w:eastAsia="zh-CN" w:bidi="ar-SA"/>
        </w:rPr>
      </w:pPr>
      <w:r>
        <w:rPr>
          <w:rFonts w:hint="eastAsia" w:ascii="宋体" w:hAnsi="宋体" w:eastAsia="宋体" w:cs="宋体"/>
          <w:bCs/>
          <w:color w:val="auto"/>
          <w:sz w:val="28"/>
          <w:szCs w:val="28"/>
          <w:lang w:val="en-US" w:eastAsia="zh-CN" w:bidi="ar-SA"/>
        </w:rPr>
        <w:t xml:space="preserve">联系人：雷迎鑫 </w:t>
      </w:r>
      <w:r>
        <w:rPr>
          <w:rFonts w:hint="eastAsia" w:cs="宋体"/>
          <w:bCs/>
          <w:color w:val="auto"/>
          <w:sz w:val="28"/>
          <w:szCs w:val="28"/>
          <w:lang w:val="en-US" w:eastAsia="zh-CN" w:bidi="ar-SA"/>
        </w:rPr>
        <w:t xml:space="preserve">  </w:t>
      </w:r>
    </w:p>
    <w:p w14:paraId="5F1489E3">
      <w:pPr>
        <w:keepNext w:val="0"/>
        <w:keepLines w:val="0"/>
        <w:pageBreakBefore w:val="0"/>
        <w:widowControl w:val="0"/>
        <w:kinsoku/>
        <w:wordWrap w:val="0"/>
        <w:overflowPunct/>
        <w:topLinePunct w:val="0"/>
        <w:autoSpaceDE/>
        <w:autoSpaceDN/>
        <w:bidi w:val="0"/>
        <w:adjustRightInd/>
        <w:snapToGrid/>
        <w:spacing w:line="660" w:lineRule="exact"/>
        <w:ind w:firstLine="560" w:firstLineChars="200"/>
        <w:jc w:val="left"/>
        <w:textAlignment w:val="auto"/>
        <w:rPr>
          <w:rFonts w:hint="default" w:ascii="宋体" w:hAnsi="宋体" w:eastAsia="宋体" w:cs="宋体"/>
          <w:bCs/>
          <w:color w:val="auto"/>
          <w:sz w:val="28"/>
          <w:szCs w:val="28"/>
          <w:lang w:val="en-US" w:eastAsia="zh-CN" w:bidi="ar-SA"/>
        </w:rPr>
      </w:pPr>
      <w:r>
        <w:rPr>
          <w:rFonts w:hint="eastAsia" w:cs="宋体"/>
          <w:bCs/>
          <w:color w:val="auto"/>
          <w:sz w:val="28"/>
          <w:szCs w:val="28"/>
          <w:lang w:val="en-US" w:eastAsia="zh-CN" w:bidi="ar-SA"/>
        </w:rPr>
        <w:t>电话：18639896659</w:t>
      </w:r>
    </w:p>
    <w:p w14:paraId="7C434150">
      <w:pPr>
        <w:keepNext w:val="0"/>
        <w:keepLines w:val="0"/>
        <w:pageBreakBefore w:val="0"/>
        <w:widowControl w:val="0"/>
        <w:kinsoku/>
        <w:wordWrap w:val="0"/>
        <w:overflowPunct/>
        <w:topLinePunct w:val="0"/>
        <w:autoSpaceDE/>
        <w:autoSpaceDN/>
        <w:bidi w:val="0"/>
        <w:adjustRightInd/>
        <w:snapToGrid/>
        <w:spacing w:line="660" w:lineRule="exact"/>
        <w:ind w:firstLine="560" w:firstLineChars="200"/>
        <w:jc w:val="left"/>
        <w:textAlignment w:val="auto"/>
        <w:rPr>
          <w:rFonts w:hint="eastAsia" w:ascii="宋体" w:hAnsi="宋体" w:eastAsia="宋体" w:cs="宋体"/>
          <w:bCs/>
          <w:color w:val="auto"/>
          <w:sz w:val="28"/>
          <w:szCs w:val="28"/>
          <w:lang w:val="en-US" w:eastAsia="zh-CN" w:bidi="ar-SA"/>
        </w:rPr>
      </w:pPr>
      <w:r>
        <w:rPr>
          <w:rFonts w:hint="eastAsia" w:ascii="宋体" w:hAnsi="宋体" w:eastAsia="宋体" w:cs="宋体"/>
          <w:bCs/>
          <w:color w:val="auto"/>
          <w:sz w:val="28"/>
          <w:szCs w:val="28"/>
          <w:lang w:val="en-US" w:eastAsia="zh-CN" w:bidi="ar-SA"/>
        </w:rPr>
        <w:t xml:space="preserve">地址：卢氏县汤河乡汤河街 </w:t>
      </w:r>
    </w:p>
    <w:p w14:paraId="4252D9C8">
      <w:pPr>
        <w:keepNext w:val="0"/>
        <w:keepLines w:val="0"/>
        <w:pageBreakBefore w:val="0"/>
        <w:widowControl w:val="0"/>
        <w:kinsoku/>
        <w:wordWrap w:val="0"/>
        <w:overflowPunct/>
        <w:topLinePunct w:val="0"/>
        <w:autoSpaceDE/>
        <w:autoSpaceDN/>
        <w:bidi w:val="0"/>
        <w:adjustRightInd/>
        <w:snapToGrid/>
        <w:spacing w:line="660" w:lineRule="exact"/>
        <w:ind w:firstLine="560" w:firstLineChars="200"/>
        <w:jc w:val="left"/>
        <w:textAlignment w:val="auto"/>
        <w:rPr>
          <w:rFonts w:hint="eastAsia" w:ascii="宋体" w:hAnsi="宋体" w:eastAsia="宋体" w:cs="宋体"/>
          <w:bCs/>
          <w:color w:val="auto"/>
          <w:sz w:val="28"/>
          <w:szCs w:val="28"/>
          <w:lang w:val="en-US" w:eastAsia="zh-CN" w:bidi="ar-SA"/>
        </w:rPr>
      </w:pPr>
      <w:r>
        <w:rPr>
          <w:rFonts w:hint="eastAsia" w:ascii="宋体" w:hAnsi="宋体" w:eastAsia="宋体" w:cs="宋体"/>
          <w:bCs/>
          <w:color w:val="auto"/>
          <w:sz w:val="28"/>
          <w:szCs w:val="28"/>
          <w:lang w:val="en-US" w:eastAsia="zh-CN" w:bidi="ar-SA"/>
        </w:rPr>
        <w:t>代理机构：</w:t>
      </w:r>
      <w:r>
        <w:rPr>
          <w:rFonts w:hint="eastAsia" w:cs="宋体"/>
          <w:bCs/>
          <w:color w:val="auto"/>
          <w:sz w:val="28"/>
          <w:szCs w:val="28"/>
          <w:lang w:val="en-US" w:eastAsia="zh-CN" w:bidi="ar-SA"/>
        </w:rPr>
        <w:t>大业信息技术（河南）有限公司</w:t>
      </w:r>
    </w:p>
    <w:p w14:paraId="373A32D6">
      <w:pPr>
        <w:keepNext w:val="0"/>
        <w:keepLines w:val="0"/>
        <w:pageBreakBefore w:val="0"/>
        <w:widowControl w:val="0"/>
        <w:kinsoku/>
        <w:wordWrap w:val="0"/>
        <w:overflowPunct/>
        <w:topLinePunct w:val="0"/>
        <w:autoSpaceDE/>
        <w:autoSpaceDN/>
        <w:bidi w:val="0"/>
        <w:adjustRightInd/>
        <w:snapToGrid/>
        <w:spacing w:line="660" w:lineRule="exact"/>
        <w:ind w:firstLine="560" w:firstLineChars="200"/>
        <w:jc w:val="left"/>
        <w:textAlignment w:val="auto"/>
        <w:rPr>
          <w:rFonts w:hint="eastAsia" w:ascii="宋体" w:hAnsi="宋体" w:eastAsia="宋体" w:cs="宋体"/>
          <w:bCs/>
          <w:color w:val="auto"/>
          <w:sz w:val="28"/>
          <w:szCs w:val="28"/>
          <w:lang w:val="en-US" w:eastAsia="zh-CN" w:bidi="ar-SA"/>
        </w:rPr>
      </w:pPr>
      <w:r>
        <w:rPr>
          <w:rFonts w:hint="eastAsia" w:ascii="宋体" w:hAnsi="宋体" w:eastAsia="宋体" w:cs="宋体"/>
          <w:bCs/>
          <w:color w:val="auto"/>
          <w:sz w:val="28"/>
          <w:szCs w:val="28"/>
          <w:lang w:val="en-US" w:eastAsia="zh-CN" w:bidi="ar-SA"/>
        </w:rPr>
        <w:t>联系人：</w:t>
      </w:r>
      <w:r>
        <w:rPr>
          <w:rFonts w:hint="eastAsia" w:cs="宋体"/>
          <w:bCs/>
          <w:color w:val="auto"/>
          <w:sz w:val="28"/>
          <w:szCs w:val="28"/>
          <w:lang w:val="en-US" w:eastAsia="zh-CN" w:bidi="ar-SA"/>
        </w:rPr>
        <w:t>杨丽</w:t>
      </w:r>
    </w:p>
    <w:p w14:paraId="2C666650">
      <w:pPr>
        <w:keepNext w:val="0"/>
        <w:keepLines w:val="0"/>
        <w:pageBreakBefore w:val="0"/>
        <w:widowControl w:val="0"/>
        <w:kinsoku/>
        <w:wordWrap w:val="0"/>
        <w:overflowPunct/>
        <w:topLinePunct w:val="0"/>
        <w:autoSpaceDE/>
        <w:autoSpaceDN/>
        <w:bidi w:val="0"/>
        <w:adjustRightInd/>
        <w:snapToGrid/>
        <w:spacing w:line="660" w:lineRule="exact"/>
        <w:ind w:firstLine="560" w:firstLineChars="200"/>
        <w:jc w:val="left"/>
        <w:textAlignment w:val="auto"/>
        <w:rPr>
          <w:rFonts w:hint="default" w:ascii="宋体" w:hAnsi="宋体" w:eastAsia="宋体" w:cs="宋体"/>
          <w:bCs/>
          <w:color w:val="auto"/>
          <w:sz w:val="28"/>
          <w:szCs w:val="28"/>
          <w:lang w:val="en-US" w:eastAsia="zh-CN" w:bidi="ar-SA"/>
        </w:rPr>
      </w:pPr>
      <w:r>
        <w:rPr>
          <w:rFonts w:hint="eastAsia" w:ascii="宋体" w:hAnsi="宋体" w:eastAsia="宋体" w:cs="宋体"/>
          <w:bCs/>
          <w:color w:val="auto"/>
          <w:sz w:val="28"/>
          <w:szCs w:val="28"/>
          <w:lang w:val="en-US" w:eastAsia="zh-CN" w:bidi="ar-SA"/>
        </w:rPr>
        <w:t>电话：</w:t>
      </w:r>
      <w:r>
        <w:rPr>
          <w:rFonts w:hint="eastAsia" w:cs="宋体"/>
          <w:bCs/>
          <w:color w:val="auto"/>
          <w:sz w:val="28"/>
          <w:szCs w:val="28"/>
          <w:lang w:val="en-US" w:eastAsia="zh-CN" w:bidi="ar-SA"/>
        </w:rPr>
        <w:t xml:space="preserve">17838130919、13820980398 </w:t>
      </w:r>
    </w:p>
    <w:p w14:paraId="2428043D">
      <w:pPr>
        <w:keepNext w:val="0"/>
        <w:keepLines w:val="0"/>
        <w:pageBreakBefore w:val="0"/>
        <w:widowControl w:val="0"/>
        <w:kinsoku/>
        <w:wordWrap w:val="0"/>
        <w:overflowPunct/>
        <w:topLinePunct w:val="0"/>
        <w:autoSpaceDE/>
        <w:autoSpaceDN/>
        <w:bidi w:val="0"/>
        <w:adjustRightInd/>
        <w:snapToGrid/>
        <w:spacing w:line="660" w:lineRule="exact"/>
        <w:ind w:firstLine="560" w:firstLineChars="200"/>
        <w:jc w:val="left"/>
        <w:textAlignment w:val="auto"/>
        <w:rPr>
          <w:rFonts w:hint="eastAsia" w:ascii="宋体" w:hAnsi="宋体" w:eastAsia="宋体" w:cs="宋体"/>
          <w:bCs/>
          <w:color w:val="auto"/>
          <w:sz w:val="28"/>
          <w:szCs w:val="28"/>
          <w:lang w:val="en-US" w:eastAsia="zh-CN" w:bidi="ar-SA"/>
        </w:rPr>
      </w:pPr>
      <w:r>
        <w:rPr>
          <w:rFonts w:hint="eastAsia" w:ascii="宋体" w:hAnsi="宋体" w:eastAsia="宋体" w:cs="宋体"/>
          <w:bCs/>
          <w:color w:val="auto"/>
          <w:sz w:val="28"/>
          <w:szCs w:val="28"/>
          <w:lang w:val="en-US" w:eastAsia="zh-CN" w:bidi="ar-SA"/>
        </w:rPr>
        <w:t>地址：河南省郑州市管城回族区紫荆山路63号9层911号</w:t>
      </w:r>
    </w:p>
    <w:p w14:paraId="309DD217">
      <w:pPr>
        <w:pStyle w:val="2"/>
        <w:keepNext w:val="0"/>
        <w:keepLines w:val="0"/>
        <w:pageBreakBefore w:val="0"/>
        <w:widowControl w:val="0"/>
        <w:kinsoku/>
        <w:wordWrap w:val="0"/>
        <w:overflowPunct/>
        <w:topLinePunct w:val="0"/>
        <w:autoSpaceDE w:val="0"/>
        <w:autoSpaceDN w:val="0"/>
        <w:bidi w:val="0"/>
        <w:adjustRightInd/>
        <w:snapToGrid/>
        <w:spacing w:line="540" w:lineRule="exact"/>
        <w:ind w:left="0"/>
        <w:textAlignment w:val="auto"/>
        <w:rPr>
          <w:b/>
          <w:color w:val="auto"/>
        </w:rPr>
      </w:pPr>
      <w:r>
        <w:rPr>
          <w:b/>
          <w:color w:val="auto"/>
          <w:sz w:val="32"/>
        </w:rPr>
        <w:br w:type="page"/>
      </w:r>
      <w:bookmarkStart w:id="19" w:name="_Toc12815"/>
      <w:r>
        <w:rPr>
          <w:rFonts w:hint="eastAsia" w:ascii="宋体" w:hAnsi="宋体" w:eastAsia="宋体" w:cs="宋体"/>
          <w:b/>
          <w:bCs/>
          <w:color w:val="auto"/>
          <w:sz w:val="36"/>
          <w:szCs w:val="28"/>
        </w:rPr>
        <w:t>第二章 供应商须知</w:t>
      </w:r>
      <w:bookmarkEnd w:id="18"/>
      <w:bookmarkEnd w:id="19"/>
    </w:p>
    <w:p w14:paraId="39C32097">
      <w:pPr>
        <w:pStyle w:val="5"/>
        <w:spacing w:before="244"/>
        <w:ind w:left="320"/>
        <w:jc w:val="center"/>
        <w:rPr>
          <w:color w:val="auto"/>
        </w:rPr>
      </w:pPr>
      <w:r>
        <w:rPr>
          <w:color w:val="auto"/>
        </w:rPr>
        <w:t>供应商须知前附表</w:t>
      </w:r>
    </w:p>
    <w:tbl>
      <w:tblPr>
        <w:tblStyle w:val="20"/>
        <w:tblpPr w:leftFromText="180" w:rightFromText="180" w:vertAnchor="text" w:horzAnchor="page" w:tblpX="1489" w:tblpY="44"/>
        <w:tblOverlap w:val="never"/>
        <w:tblW w:w="910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85"/>
        <w:gridCol w:w="2359"/>
        <w:gridCol w:w="5861"/>
      </w:tblGrid>
      <w:tr w14:paraId="1CDED6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2" w:hRule="atLeast"/>
        </w:trPr>
        <w:tc>
          <w:tcPr>
            <w:tcW w:w="885" w:type="dxa"/>
            <w:vAlign w:val="center"/>
          </w:tcPr>
          <w:p w14:paraId="46EF57E9">
            <w:pPr>
              <w:pStyle w:val="36"/>
              <w:keepNext w:val="0"/>
              <w:keepLines w:val="0"/>
              <w:pageBreakBefore w:val="0"/>
              <w:widowControl w:val="0"/>
              <w:kinsoku/>
              <w:wordWrap w:val="0"/>
              <w:overflowPunct/>
              <w:topLinePunct w:val="0"/>
              <w:bidi w:val="0"/>
              <w:snapToGrid/>
              <w:spacing w:line="520" w:lineRule="exact"/>
              <w:ind w:left="0" w:right="0"/>
              <w:jc w:val="center"/>
              <w:rPr>
                <w:rFonts w:hint="eastAsia" w:asciiTheme="majorEastAsia" w:hAnsiTheme="majorEastAsia" w:eastAsiaTheme="majorEastAsia" w:cstheme="majorEastAsia"/>
                <w:b/>
                <w:color w:val="auto"/>
                <w:sz w:val="24"/>
                <w:szCs w:val="24"/>
              </w:rPr>
            </w:pPr>
            <w:r>
              <w:rPr>
                <w:rFonts w:hint="eastAsia" w:asciiTheme="majorEastAsia" w:hAnsiTheme="majorEastAsia" w:eastAsiaTheme="majorEastAsia" w:cstheme="majorEastAsia"/>
                <w:b/>
                <w:color w:val="auto"/>
                <w:sz w:val="24"/>
                <w:szCs w:val="24"/>
              </w:rPr>
              <w:t>条款号</w:t>
            </w:r>
          </w:p>
        </w:tc>
        <w:tc>
          <w:tcPr>
            <w:tcW w:w="2359" w:type="dxa"/>
            <w:vAlign w:val="center"/>
          </w:tcPr>
          <w:p w14:paraId="06A7B06D">
            <w:pPr>
              <w:pStyle w:val="36"/>
              <w:keepNext w:val="0"/>
              <w:keepLines w:val="0"/>
              <w:pageBreakBefore w:val="0"/>
              <w:widowControl w:val="0"/>
              <w:kinsoku/>
              <w:wordWrap w:val="0"/>
              <w:overflowPunct/>
              <w:topLinePunct w:val="0"/>
              <w:bidi w:val="0"/>
              <w:snapToGrid/>
              <w:spacing w:line="520" w:lineRule="exact"/>
              <w:ind w:left="0" w:right="0"/>
              <w:jc w:val="center"/>
              <w:rPr>
                <w:rFonts w:hint="eastAsia" w:asciiTheme="majorEastAsia" w:hAnsiTheme="majorEastAsia" w:eastAsiaTheme="majorEastAsia" w:cstheme="majorEastAsia"/>
                <w:b/>
                <w:color w:val="auto"/>
                <w:sz w:val="24"/>
                <w:szCs w:val="24"/>
              </w:rPr>
            </w:pPr>
            <w:r>
              <w:rPr>
                <w:rFonts w:hint="eastAsia" w:asciiTheme="majorEastAsia" w:hAnsiTheme="majorEastAsia" w:eastAsiaTheme="majorEastAsia" w:cstheme="majorEastAsia"/>
                <w:b/>
                <w:color w:val="auto"/>
                <w:sz w:val="24"/>
                <w:szCs w:val="24"/>
              </w:rPr>
              <w:t>条款名称</w:t>
            </w:r>
          </w:p>
        </w:tc>
        <w:tc>
          <w:tcPr>
            <w:tcW w:w="5861" w:type="dxa"/>
            <w:vAlign w:val="top"/>
          </w:tcPr>
          <w:p w14:paraId="325C8672">
            <w:pPr>
              <w:pStyle w:val="36"/>
              <w:keepNext w:val="0"/>
              <w:keepLines w:val="0"/>
              <w:pageBreakBefore w:val="0"/>
              <w:widowControl w:val="0"/>
              <w:kinsoku/>
              <w:wordWrap w:val="0"/>
              <w:overflowPunct/>
              <w:topLinePunct w:val="0"/>
              <w:bidi w:val="0"/>
              <w:snapToGrid/>
              <w:spacing w:line="520" w:lineRule="exact"/>
              <w:ind w:left="0" w:right="0"/>
              <w:jc w:val="left"/>
              <w:rPr>
                <w:rFonts w:hint="eastAsia" w:asciiTheme="majorEastAsia" w:hAnsiTheme="majorEastAsia" w:eastAsiaTheme="majorEastAsia" w:cstheme="majorEastAsia"/>
                <w:b/>
                <w:color w:val="auto"/>
                <w:sz w:val="24"/>
                <w:szCs w:val="24"/>
              </w:rPr>
            </w:pPr>
            <w:r>
              <w:rPr>
                <w:rFonts w:hint="eastAsia" w:asciiTheme="majorEastAsia" w:hAnsiTheme="majorEastAsia" w:eastAsiaTheme="majorEastAsia" w:cstheme="majorEastAsia"/>
                <w:b/>
                <w:color w:val="auto"/>
                <w:sz w:val="24"/>
                <w:szCs w:val="24"/>
              </w:rPr>
              <w:t>编列内容</w:t>
            </w:r>
          </w:p>
        </w:tc>
      </w:tr>
      <w:tr w14:paraId="299FC2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0" w:hRule="atLeast"/>
        </w:trPr>
        <w:tc>
          <w:tcPr>
            <w:tcW w:w="885" w:type="dxa"/>
            <w:vAlign w:val="center"/>
          </w:tcPr>
          <w:p w14:paraId="637B3F13">
            <w:pPr>
              <w:pStyle w:val="36"/>
              <w:keepNext w:val="0"/>
              <w:keepLines w:val="0"/>
              <w:pageBreakBefore w:val="0"/>
              <w:widowControl w:val="0"/>
              <w:kinsoku/>
              <w:wordWrap w:val="0"/>
              <w:overflowPunct/>
              <w:topLinePunct w:val="0"/>
              <w:bidi w:val="0"/>
              <w:snapToGrid/>
              <w:spacing w:line="520" w:lineRule="exact"/>
              <w:ind w:left="0" w:right="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1.1</w:t>
            </w:r>
          </w:p>
        </w:tc>
        <w:tc>
          <w:tcPr>
            <w:tcW w:w="2359" w:type="dxa"/>
            <w:vAlign w:val="center"/>
          </w:tcPr>
          <w:p w14:paraId="765AE7B5">
            <w:pPr>
              <w:pStyle w:val="36"/>
              <w:keepNext w:val="0"/>
              <w:keepLines w:val="0"/>
              <w:pageBreakBefore w:val="0"/>
              <w:widowControl w:val="0"/>
              <w:kinsoku/>
              <w:wordWrap w:val="0"/>
              <w:overflowPunct/>
              <w:topLinePunct w:val="0"/>
              <w:bidi w:val="0"/>
              <w:snapToGrid/>
              <w:spacing w:line="520" w:lineRule="exact"/>
              <w:ind w:left="0" w:right="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采购人</w:t>
            </w:r>
          </w:p>
        </w:tc>
        <w:tc>
          <w:tcPr>
            <w:tcW w:w="5861" w:type="dxa"/>
            <w:vAlign w:val="center"/>
          </w:tcPr>
          <w:p w14:paraId="4ECA1814">
            <w:pPr>
              <w:pStyle w:val="8"/>
              <w:keepNext w:val="0"/>
              <w:keepLines w:val="0"/>
              <w:pageBreakBefore w:val="0"/>
              <w:widowControl w:val="0"/>
              <w:kinsoku/>
              <w:wordWrap w:val="0"/>
              <w:overflowPunct/>
              <w:topLinePunct w:val="0"/>
              <w:autoSpaceDE w:val="0"/>
              <w:autoSpaceDN w:val="0"/>
              <w:bidi w:val="0"/>
              <w:adjustRightInd/>
              <w:snapToGrid/>
              <w:spacing w:line="520" w:lineRule="exact"/>
              <w:ind w:left="0" w:leftChars="0" w:right="0" w:firstLine="0" w:firstLineChars="0"/>
              <w:jc w:val="left"/>
              <w:textAlignment w:val="auto"/>
              <w:rPr>
                <w:rFonts w:hint="eastAsia" w:asciiTheme="majorEastAsia" w:hAnsiTheme="majorEastAsia" w:eastAsiaTheme="majorEastAsia" w:cstheme="majorEastAsia"/>
                <w:color w:val="auto"/>
                <w:sz w:val="24"/>
                <w:szCs w:val="24"/>
                <w:lang w:val="en-US"/>
              </w:rPr>
            </w:pPr>
            <w:r>
              <w:rPr>
                <w:rFonts w:hint="eastAsia" w:asciiTheme="majorEastAsia" w:hAnsiTheme="majorEastAsia" w:eastAsiaTheme="majorEastAsia" w:cstheme="majorEastAsia"/>
                <w:color w:val="auto"/>
                <w:sz w:val="24"/>
                <w:szCs w:val="24"/>
                <w:lang w:val="en-US"/>
              </w:rPr>
              <w:t>采购人：卢氏县汤河乡人民政府</w:t>
            </w:r>
          </w:p>
          <w:p w14:paraId="2FDB7DA8">
            <w:pPr>
              <w:pStyle w:val="8"/>
              <w:keepNext w:val="0"/>
              <w:keepLines w:val="0"/>
              <w:pageBreakBefore w:val="0"/>
              <w:widowControl w:val="0"/>
              <w:kinsoku/>
              <w:wordWrap w:val="0"/>
              <w:overflowPunct/>
              <w:topLinePunct w:val="0"/>
              <w:autoSpaceDE w:val="0"/>
              <w:autoSpaceDN w:val="0"/>
              <w:bidi w:val="0"/>
              <w:adjustRightInd/>
              <w:snapToGrid/>
              <w:spacing w:line="520" w:lineRule="exact"/>
              <w:ind w:left="0" w:leftChars="0" w:right="0" w:firstLine="0" w:firstLineChars="0"/>
              <w:jc w:val="left"/>
              <w:textAlignment w:val="auto"/>
              <w:rPr>
                <w:rFonts w:hint="eastAsia" w:asciiTheme="majorEastAsia" w:hAnsiTheme="majorEastAsia" w:eastAsiaTheme="majorEastAsia" w:cstheme="majorEastAsia"/>
                <w:color w:val="auto"/>
                <w:sz w:val="24"/>
                <w:szCs w:val="24"/>
                <w:lang w:val="en-US"/>
              </w:rPr>
            </w:pPr>
            <w:r>
              <w:rPr>
                <w:rFonts w:hint="eastAsia" w:asciiTheme="majorEastAsia" w:hAnsiTheme="majorEastAsia" w:eastAsiaTheme="majorEastAsia" w:cstheme="majorEastAsia"/>
                <w:color w:val="auto"/>
                <w:sz w:val="24"/>
                <w:szCs w:val="24"/>
                <w:lang w:val="en-US"/>
              </w:rPr>
              <w:t xml:space="preserve">联系人：雷迎鑫   </w:t>
            </w:r>
          </w:p>
          <w:p w14:paraId="5750619D">
            <w:pPr>
              <w:pStyle w:val="8"/>
              <w:keepNext w:val="0"/>
              <w:keepLines w:val="0"/>
              <w:pageBreakBefore w:val="0"/>
              <w:widowControl w:val="0"/>
              <w:kinsoku/>
              <w:wordWrap w:val="0"/>
              <w:overflowPunct/>
              <w:topLinePunct w:val="0"/>
              <w:autoSpaceDE w:val="0"/>
              <w:autoSpaceDN w:val="0"/>
              <w:bidi w:val="0"/>
              <w:adjustRightInd/>
              <w:snapToGrid/>
              <w:spacing w:line="520" w:lineRule="exact"/>
              <w:ind w:left="0" w:leftChars="0" w:right="0" w:firstLine="0" w:firstLineChars="0"/>
              <w:jc w:val="left"/>
              <w:textAlignment w:val="auto"/>
              <w:rPr>
                <w:rFonts w:hint="eastAsia" w:asciiTheme="majorEastAsia" w:hAnsiTheme="majorEastAsia" w:eastAsiaTheme="majorEastAsia" w:cstheme="majorEastAsia"/>
                <w:color w:val="auto"/>
                <w:sz w:val="24"/>
                <w:szCs w:val="24"/>
                <w:lang w:val="en-US"/>
              </w:rPr>
            </w:pPr>
            <w:r>
              <w:rPr>
                <w:rFonts w:hint="eastAsia" w:asciiTheme="majorEastAsia" w:hAnsiTheme="majorEastAsia" w:eastAsiaTheme="majorEastAsia" w:cstheme="majorEastAsia"/>
                <w:color w:val="auto"/>
                <w:sz w:val="24"/>
                <w:szCs w:val="24"/>
                <w:lang w:val="en-US"/>
              </w:rPr>
              <w:t>电话：18639896659</w:t>
            </w:r>
          </w:p>
          <w:p w14:paraId="038BD08A">
            <w:pPr>
              <w:pStyle w:val="8"/>
              <w:keepNext w:val="0"/>
              <w:keepLines w:val="0"/>
              <w:pageBreakBefore w:val="0"/>
              <w:widowControl w:val="0"/>
              <w:kinsoku/>
              <w:wordWrap w:val="0"/>
              <w:overflowPunct/>
              <w:topLinePunct w:val="0"/>
              <w:autoSpaceDE w:val="0"/>
              <w:autoSpaceDN w:val="0"/>
              <w:bidi w:val="0"/>
              <w:adjustRightInd/>
              <w:snapToGrid/>
              <w:spacing w:line="520" w:lineRule="exact"/>
              <w:ind w:left="0" w:leftChars="0" w:right="0" w:firstLine="0" w:firstLineChars="0"/>
              <w:jc w:val="left"/>
              <w:textAlignment w:val="auto"/>
              <w:rPr>
                <w:rFonts w:hint="eastAsia" w:asciiTheme="majorEastAsia" w:hAnsiTheme="majorEastAsia" w:eastAsiaTheme="majorEastAsia" w:cstheme="majorEastAsia"/>
                <w:color w:val="auto"/>
                <w:sz w:val="24"/>
                <w:szCs w:val="24"/>
                <w:lang w:val="en-US"/>
              </w:rPr>
            </w:pPr>
            <w:r>
              <w:rPr>
                <w:rFonts w:hint="eastAsia" w:asciiTheme="majorEastAsia" w:hAnsiTheme="majorEastAsia" w:eastAsiaTheme="majorEastAsia" w:cstheme="majorEastAsia"/>
                <w:color w:val="auto"/>
                <w:sz w:val="24"/>
                <w:szCs w:val="24"/>
                <w:lang w:val="en-US"/>
              </w:rPr>
              <w:t xml:space="preserve">地址：卢氏县汤河乡汤河街 </w:t>
            </w:r>
          </w:p>
        </w:tc>
      </w:tr>
      <w:tr w14:paraId="3BA97E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24" w:hRule="atLeast"/>
        </w:trPr>
        <w:tc>
          <w:tcPr>
            <w:tcW w:w="885" w:type="dxa"/>
            <w:vAlign w:val="center"/>
          </w:tcPr>
          <w:p w14:paraId="4C4E02AF">
            <w:pPr>
              <w:pStyle w:val="36"/>
              <w:keepNext w:val="0"/>
              <w:keepLines w:val="0"/>
              <w:pageBreakBefore w:val="0"/>
              <w:widowControl w:val="0"/>
              <w:kinsoku/>
              <w:wordWrap w:val="0"/>
              <w:overflowPunct/>
              <w:topLinePunct w:val="0"/>
              <w:bidi w:val="0"/>
              <w:snapToGrid/>
              <w:spacing w:line="520" w:lineRule="exact"/>
              <w:ind w:left="0" w:right="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1.2</w:t>
            </w:r>
          </w:p>
        </w:tc>
        <w:tc>
          <w:tcPr>
            <w:tcW w:w="2359" w:type="dxa"/>
            <w:vAlign w:val="center"/>
          </w:tcPr>
          <w:p w14:paraId="4DA8F2AF">
            <w:pPr>
              <w:pStyle w:val="36"/>
              <w:keepNext w:val="0"/>
              <w:keepLines w:val="0"/>
              <w:pageBreakBefore w:val="0"/>
              <w:widowControl w:val="0"/>
              <w:kinsoku/>
              <w:wordWrap w:val="0"/>
              <w:overflowPunct/>
              <w:topLinePunct w:val="0"/>
              <w:bidi w:val="0"/>
              <w:snapToGrid/>
              <w:spacing w:line="520" w:lineRule="exact"/>
              <w:ind w:left="0" w:right="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代理机构</w:t>
            </w:r>
          </w:p>
        </w:tc>
        <w:tc>
          <w:tcPr>
            <w:tcW w:w="5861" w:type="dxa"/>
            <w:vAlign w:val="top"/>
          </w:tcPr>
          <w:p w14:paraId="7FE9E2C7">
            <w:pPr>
              <w:pStyle w:val="8"/>
              <w:keepNext w:val="0"/>
              <w:keepLines w:val="0"/>
              <w:pageBreakBefore w:val="0"/>
              <w:widowControl w:val="0"/>
              <w:kinsoku/>
              <w:wordWrap w:val="0"/>
              <w:overflowPunct/>
              <w:topLinePunct w:val="0"/>
              <w:autoSpaceDE w:val="0"/>
              <w:autoSpaceDN w:val="0"/>
              <w:bidi w:val="0"/>
              <w:adjustRightInd/>
              <w:snapToGrid/>
              <w:spacing w:line="520" w:lineRule="exact"/>
              <w:ind w:left="0" w:leftChars="0" w:right="0" w:firstLine="0" w:firstLineChars="0"/>
              <w:jc w:val="left"/>
              <w:textAlignment w:val="auto"/>
              <w:rPr>
                <w:rFonts w:hint="eastAsia" w:asciiTheme="majorEastAsia" w:hAnsiTheme="majorEastAsia" w:eastAsiaTheme="majorEastAsia" w:cstheme="majorEastAsia"/>
                <w:color w:val="auto"/>
                <w:sz w:val="24"/>
                <w:szCs w:val="24"/>
                <w:lang w:val="en-US"/>
              </w:rPr>
            </w:pPr>
            <w:r>
              <w:rPr>
                <w:rFonts w:hint="eastAsia" w:asciiTheme="majorEastAsia" w:hAnsiTheme="majorEastAsia" w:eastAsiaTheme="majorEastAsia" w:cstheme="majorEastAsia"/>
                <w:color w:val="auto"/>
                <w:sz w:val="24"/>
                <w:szCs w:val="24"/>
                <w:lang w:val="en-US"/>
              </w:rPr>
              <w:t>代理机构：大业信息技术（河南）有限公司</w:t>
            </w:r>
          </w:p>
          <w:p w14:paraId="5D15BF14">
            <w:pPr>
              <w:pStyle w:val="8"/>
              <w:keepNext w:val="0"/>
              <w:keepLines w:val="0"/>
              <w:pageBreakBefore w:val="0"/>
              <w:widowControl w:val="0"/>
              <w:kinsoku/>
              <w:wordWrap w:val="0"/>
              <w:overflowPunct/>
              <w:topLinePunct w:val="0"/>
              <w:autoSpaceDE w:val="0"/>
              <w:autoSpaceDN w:val="0"/>
              <w:bidi w:val="0"/>
              <w:adjustRightInd/>
              <w:snapToGrid/>
              <w:spacing w:line="520" w:lineRule="exact"/>
              <w:ind w:left="0" w:leftChars="0" w:right="0" w:firstLine="0" w:firstLineChars="0"/>
              <w:jc w:val="left"/>
              <w:textAlignment w:val="auto"/>
              <w:rPr>
                <w:rFonts w:hint="eastAsia" w:asciiTheme="majorEastAsia" w:hAnsiTheme="majorEastAsia" w:eastAsiaTheme="majorEastAsia" w:cstheme="majorEastAsia"/>
                <w:color w:val="auto"/>
                <w:sz w:val="24"/>
                <w:szCs w:val="24"/>
                <w:lang w:val="en-US"/>
              </w:rPr>
            </w:pPr>
            <w:r>
              <w:rPr>
                <w:rFonts w:hint="eastAsia" w:asciiTheme="majorEastAsia" w:hAnsiTheme="majorEastAsia" w:eastAsiaTheme="majorEastAsia" w:cstheme="majorEastAsia"/>
                <w:color w:val="auto"/>
                <w:sz w:val="24"/>
                <w:szCs w:val="24"/>
                <w:lang w:val="en-US"/>
              </w:rPr>
              <w:t>联系人：杨丽</w:t>
            </w:r>
          </w:p>
          <w:p w14:paraId="47620568">
            <w:pPr>
              <w:pStyle w:val="8"/>
              <w:keepNext w:val="0"/>
              <w:keepLines w:val="0"/>
              <w:pageBreakBefore w:val="0"/>
              <w:widowControl w:val="0"/>
              <w:kinsoku/>
              <w:wordWrap w:val="0"/>
              <w:overflowPunct/>
              <w:topLinePunct w:val="0"/>
              <w:autoSpaceDE w:val="0"/>
              <w:autoSpaceDN w:val="0"/>
              <w:bidi w:val="0"/>
              <w:adjustRightInd/>
              <w:snapToGrid/>
              <w:spacing w:line="520" w:lineRule="exact"/>
              <w:ind w:left="0" w:leftChars="0" w:right="0" w:firstLine="0" w:firstLineChars="0"/>
              <w:jc w:val="left"/>
              <w:textAlignment w:val="auto"/>
              <w:rPr>
                <w:rFonts w:hint="eastAsia" w:asciiTheme="majorEastAsia" w:hAnsiTheme="majorEastAsia" w:eastAsiaTheme="majorEastAsia" w:cstheme="majorEastAsia"/>
                <w:color w:val="auto"/>
                <w:sz w:val="24"/>
                <w:szCs w:val="24"/>
                <w:lang w:val="en-US"/>
              </w:rPr>
            </w:pPr>
            <w:r>
              <w:rPr>
                <w:rFonts w:hint="eastAsia" w:asciiTheme="majorEastAsia" w:hAnsiTheme="majorEastAsia" w:eastAsiaTheme="majorEastAsia" w:cstheme="majorEastAsia"/>
                <w:color w:val="auto"/>
                <w:sz w:val="24"/>
                <w:szCs w:val="24"/>
                <w:lang w:val="en-US"/>
              </w:rPr>
              <w:t xml:space="preserve">电话：17838130919、13820980398 </w:t>
            </w:r>
          </w:p>
          <w:p w14:paraId="6227B5CD">
            <w:pPr>
              <w:pStyle w:val="8"/>
              <w:keepNext w:val="0"/>
              <w:keepLines w:val="0"/>
              <w:pageBreakBefore w:val="0"/>
              <w:widowControl w:val="0"/>
              <w:kinsoku/>
              <w:wordWrap w:val="0"/>
              <w:overflowPunct/>
              <w:topLinePunct w:val="0"/>
              <w:autoSpaceDE w:val="0"/>
              <w:autoSpaceDN w:val="0"/>
              <w:bidi w:val="0"/>
              <w:adjustRightInd/>
              <w:snapToGrid/>
              <w:spacing w:line="520" w:lineRule="exact"/>
              <w:ind w:left="0" w:leftChars="0" w:right="0" w:firstLine="0" w:firstLineChars="0"/>
              <w:jc w:val="left"/>
              <w:textAlignment w:val="auto"/>
              <w:rPr>
                <w:rFonts w:hint="eastAsia" w:asciiTheme="majorEastAsia" w:hAnsiTheme="majorEastAsia" w:eastAsiaTheme="majorEastAsia" w:cstheme="majorEastAsia"/>
                <w:color w:val="auto"/>
                <w:sz w:val="24"/>
                <w:szCs w:val="24"/>
                <w:lang w:val="en-US"/>
              </w:rPr>
            </w:pPr>
            <w:r>
              <w:rPr>
                <w:rFonts w:hint="eastAsia" w:asciiTheme="majorEastAsia" w:hAnsiTheme="majorEastAsia" w:eastAsiaTheme="majorEastAsia" w:cstheme="majorEastAsia"/>
                <w:color w:val="auto"/>
                <w:sz w:val="24"/>
                <w:szCs w:val="24"/>
                <w:lang w:val="en-US"/>
              </w:rPr>
              <w:t>地址：河南省郑州市管城回族区紫荆山路63号9层911号</w:t>
            </w:r>
          </w:p>
        </w:tc>
      </w:tr>
      <w:tr w14:paraId="7D833E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885" w:type="dxa"/>
            <w:vAlign w:val="center"/>
          </w:tcPr>
          <w:p w14:paraId="6D08D324">
            <w:pPr>
              <w:pStyle w:val="36"/>
              <w:keepNext w:val="0"/>
              <w:keepLines w:val="0"/>
              <w:pageBreakBefore w:val="0"/>
              <w:widowControl w:val="0"/>
              <w:kinsoku/>
              <w:wordWrap w:val="0"/>
              <w:overflowPunct/>
              <w:topLinePunct w:val="0"/>
              <w:bidi w:val="0"/>
              <w:snapToGrid/>
              <w:spacing w:line="520" w:lineRule="exact"/>
              <w:ind w:left="0" w:right="0" w:firstLine="240" w:firstLineChars="10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1.3</w:t>
            </w:r>
          </w:p>
        </w:tc>
        <w:tc>
          <w:tcPr>
            <w:tcW w:w="2359" w:type="dxa"/>
            <w:vAlign w:val="center"/>
          </w:tcPr>
          <w:p w14:paraId="32571357">
            <w:pPr>
              <w:pStyle w:val="36"/>
              <w:keepNext w:val="0"/>
              <w:keepLines w:val="0"/>
              <w:pageBreakBefore w:val="0"/>
              <w:widowControl w:val="0"/>
              <w:kinsoku/>
              <w:wordWrap w:val="0"/>
              <w:overflowPunct/>
              <w:topLinePunct w:val="0"/>
              <w:bidi w:val="0"/>
              <w:snapToGrid/>
              <w:spacing w:line="520" w:lineRule="exact"/>
              <w:ind w:left="0" w:right="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项目名称</w:t>
            </w:r>
          </w:p>
        </w:tc>
        <w:tc>
          <w:tcPr>
            <w:tcW w:w="5861" w:type="dxa"/>
            <w:vAlign w:val="center"/>
          </w:tcPr>
          <w:p w14:paraId="353F51A6">
            <w:pPr>
              <w:pStyle w:val="8"/>
              <w:keepNext w:val="0"/>
              <w:keepLines w:val="0"/>
              <w:pageBreakBefore w:val="0"/>
              <w:widowControl w:val="0"/>
              <w:kinsoku/>
              <w:wordWrap w:val="0"/>
              <w:overflowPunct/>
              <w:topLinePunct w:val="0"/>
              <w:autoSpaceDE w:val="0"/>
              <w:autoSpaceDN w:val="0"/>
              <w:bidi w:val="0"/>
              <w:adjustRightInd/>
              <w:snapToGrid/>
              <w:spacing w:line="520" w:lineRule="exact"/>
              <w:ind w:left="0" w:leftChars="0" w:right="0" w:firstLine="0" w:firstLineChars="0"/>
              <w:jc w:val="left"/>
              <w:textAlignment w:val="auto"/>
              <w:rPr>
                <w:rFonts w:hint="eastAsia" w:asciiTheme="majorEastAsia" w:hAnsiTheme="majorEastAsia" w:eastAsiaTheme="majorEastAsia" w:cstheme="majorEastAsia"/>
                <w:color w:val="auto"/>
                <w:sz w:val="24"/>
                <w:szCs w:val="24"/>
                <w:lang w:eastAsia="zh-CN"/>
              </w:rPr>
            </w:pPr>
            <w:r>
              <w:rPr>
                <w:rFonts w:hint="eastAsia" w:asciiTheme="majorEastAsia" w:hAnsiTheme="majorEastAsia" w:eastAsiaTheme="majorEastAsia" w:cstheme="majorEastAsia"/>
                <w:color w:val="auto"/>
                <w:sz w:val="24"/>
                <w:szCs w:val="24"/>
                <w:lang w:val="en-US" w:eastAsia="zh-CN"/>
              </w:rPr>
              <w:t>丹江口库区上游老灌河流域卢氏县水环境综合治理及生态修复项目设计服务</w:t>
            </w:r>
          </w:p>
        </w:tc>
      </w:tr>
      <w:tr w14:paraId="187E0D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6" w:hRule="atLeast"/>
        </w:trPr>
        <w:tc>
          <w:tcPr>
            <w:tcW w:w="885" w:type="dxa"/>
            <w:vAlign w:val="center"/>
          </w:tcPr>
          <w:p w14:paraId="23655961">
            <w:pPr>
              <w:pStyle w:val="36"/>
              <w:keepNext w:val="0"/>
              <w:keepLines w:val="0"/>
              <w:pageBreakBefore w:val="0"/>
              <w:widowControl w:val="0"/>
              <w:kinsoku/>
              <w:wordWrap w:val="0"/>
              <w:overflowPunct/>
              <w:topLinePunct w:val="0"/>
              <w:bidi w:val="0"/>
              <w:snapToGrid/>
              <w:spacing w:line="520" w:lineRule="exact"/>
              <w:ind w:left="0" w:right="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1.4</w:t>
            </w:r>
          </w:p>
        </w:tc>
        <w:tc>
          <w:tcPr>
            <w:tcW w:w="2359" w:type="dxa"/>
            <w:vAlign w:val="center"/>
          </w:tcPr>
          <w:p w14:paraId="775B83BA">
            <w:pPr>
              <w:pStyle w:val="36"/>
              <w:keepNext w:val="0"/>
              <w:keepLines w:val="0"/>
              <w:pageBreakBefore w:val="0"/>
              <w:widowControl w:val="0"/>
              <w:kinsoku/>
              <w:wordWrap w:val="0"/>
              <w:overflowPunct/>
              <w:topLinePunct w:val="0"/>
              <w:bidi w:val="0"/>
              <w:snapToGrid/>
              <w:spacing w:line="520" w:lineRule="exact"/>
              <w:ind w:left="0" w:right="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预算金额</w:t>
            </w:r>
          </w:p>
        </w:tc>
        <w:tc>
          <w:tcPr>
            <w:tcW w:w="5861" w:type="dxa"/>
            <w:vAlign w:val="center"/>
          </w:tcPr>
          <w:p w14:paraId="31D49F20">
            <w:pPr>
              <w:pStyle w:val="36"/>
              <w:keepNext w:val="0"/>
              <w:keepLines w:val="0"/>
              <w:pageBreakBefore w:val="0"/>
              <w:widowControl w:val="0"/>
              <w:kinsoku/>
              <w:wordWrap w:val="0"/>
              <w:overflowPunct/>
              <w:topLinePunct w:val="0"/>
              <w:bidi w:val="0"/>
              <w:snapToGrid/>
              <w:spacing w:line="520" w:lineRule="exact"/>
              <w:ind w:left="0" w:right="0"/>
              <w:jc w:val="left"/>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rPr>
              <w:t>¥</w:t>
            </w:r>
            <w:r>
              <w:rPr>
                <w:rFonts w:hint="eastAsia" w:asciiTheme="majorEastAsia" w:hAnsiTheme="majorEastAsia" w:eastAsiaTheme="majorEastAsia" w:cstheme="majorEastAsia"/>
                <w:color w:val="auto"/>
                <w:sz w:val="24"/>
                <w:szCs w:val="24"/>
                <w:lang w:val="en-US" w:eastAsia="zh-CN"/>
              </w:rPr>
              <w:t>912600.00元</w:t>
            </w:r>
          </w:p>
        </w:tc>
      </w:tr>
      <w:tr w14:paraId="5294A0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7" w:hRule="atLeast"/>
        </w:trPr>
        <w:tc>
          <w:tcPr>
            <w:tcW w:w="885" w:type="dxa"/>
            <w:vAlign w:val="center"/>
          </w:tcPr>
          <w:p w14:paraId="4EC4E2A3">
            <w:pPr>
              <w:pStyle w:val="36"/>
              <w:keepNext w:val="0"/>
              <w:keepLines w:val="0"/>
              <w:pageBreakBefore w:val="0"/>
              <w:widowControl w:val="0"/>
              <w:kinsoku/>
              <w:wordWrap w:val="0"/>
              <w:overflowPunct/>
              <w:topLinePunct w:val="0"/>
              <w:bidi w:val="0"/>
              <w:snapToGrid/>
              <w:spacing w:line="520" w:lineRule="exact"/>
              <w:ind w:left="0" w:right="0"/>
              <w:jc w:val="center"/>
              <w:rPr>
                <w:rFonts w:hint="default"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rPr>
              <w:t>1.5</w:t>
            </w:r>
            <w:r>
              <w:rPr>
                <w:rFonts w:hint="eastAsia" w:asciiTheme="majorEastAsia" w:hAnsiTheme="majorEastAsia" w:eastAsiaTheme="majorEastAsia" w:cstheme="majorEastAsia"/>
                <w:color w:val="auto"/>
                <w:sz w:val="24"/>
                <w:szCs w:val="24"/>
                <w:lang w:val="en-US" w:eastAsia="zh-CN"/>
              </w:rPr>
              <w:t xml:space="preserve">  </w:t>
            </w:r>
          </w:p>
        </w:tc>
        <w:tc>
          <w:tcPr>
            <w:tcW w:w="2359" w:type="dxa"/>
            <w:vAlign w:val="center"/>
          </w:tcPr>
          <w:p w14:paraId="7B4D7D47">
            <w:pPr>
              <w:pStyle w:val="36"/>
              <w:keepNext w:val="0"/>
              <w:keepLines w:val="0"/>
              <w:pageBreakBefore w:val="0"/>
              <w:widowControl w:val="0"/>
              <w:kinsoku/>
              <w:wordWrap w:val="0"/>
              <w:overflowPunct/>
              <w:topLinePunct w:val="0"/>
              <w:autoSpaceDE w:val="0"/>
              <w:autoSpaceDN w:val="0"/>
              <w:bidi w:val="0"/>
              <w:adjustRightInd/>
              <w:snapToGrid/>
              <w:spacing w:line="520" w:lineRule="exact"/>
              <w:ind w:left="363" w:right="0" w:hanging="363"/>
              <w:jc w:val="both"/>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资金来源及落实情况</w:t>
            </w:r>
          </w:p>
        </w:tc>
        <w:tc>
          <w:tcPr>
            <w:tcW w:w="5861" w:type="dxa"/>
            <w:vAlign w:val="center"/>
          </w:tcPr>
          <w:p w14:paraId="17174B96">
            <w:pPr>
              <w:pStyle w:val="36"/>
              <w:keepNext w:val="0"/>
              <w:keepLines w:val="0"/>
              <w:pageBreakBefore w:val="0"/>
              <w:widowControl w:val="0"/>
              <w:kinsoku/>
              <w:wordWrap w:val="0"/>
              <w:overflowPunct/>
              <w:topLinePunct w:val="0"/>
              <w:autoSpaceDE w:val="0"/>
              <w:autoSpaceDN w:val="0"/>
              <w:bidi w:val="0"/>
              <w:adjustRightInd/>
              <w:snapToGrid/>
              <w:spacing w:line="520" w:lineRule="exact"/>
              <w:ind w:left="0" w:right="0"/>
              <w:jc w:val="both"/>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eastAsia="zh-CN"/>
              </w:rPr>
              <w:t>财政</w:t>
            </w:r>
            <w:r>
              <w:rPr>
                <w:rFonts w:hint="eastAsia" w:asciiTheme="majorEastAsia" w:hAnsiTheme="majorEastAsia" w:eastAsiaTheme="majorEastAsia" w:cstheme="majorEastAsia"/>
                <w:color w:val="auto"/>
                <w:sz w:val="24"/>
                <w:szCs w:val="24"/>
              </w:rPr>
              <w:t>资金，已落实</w:t>
            </w:r>
          </w:p>
        </w:tc>
      </w:tr>
      <w:tr w14:paraId="6B50F0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885" w:type="dxa"/>
            <w:vAlign w:val="center"/>
          </w:tcPr>
          <w:p w14:paraId="5BC601BB">
            <w:pPr>
              <w:pStyle w:val="36"/>
              <w:keepNext w:val="0"/>
              <w:keepLines w:val="0"/>
              <w:pageBreakBefore w:val="0"/>
              <w:widowControl w:val="0"/>
              <w:kinsoku/>
              <w:wordWrap w:val="0"/>
              <w:overflowPunct/>
              <w:topLinePunct w:val="0"/>
              <w:bidi w:val="0"/>
              <w:snapToGrid/>
              <w:spacing w:line="520" w:lineRule="exact"/>
              <w:ind w:left="0" w:right="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1.6</w:t>
            </w:r>
          </w:p>
        </w:tc>
        <w:tc>
          <w:tcPr>
            <w:tcW w:w="2359" w:type="dxa"/>
            <w:vAlign w:val="center"/>
          </w:tcPr>
          <w:p w14:paraId="72462AFD">
            <w:pPr>
              <w:pStyle w:val="36"/>
              <w:keepNext w:val="0"/>
              <w:keepLines w:val="0"/>
              <w:pageBreakBefore w:val="0"/>
              <w:widowControl w:val="0"/>
              <w:kinsoku/>
              <w:wordWrap w:val="0"/>
              <w:overflowPunct/>
              <w:topLinePunct w:val="0"/>
              <w:bidi w:val="0"/>
              <w:snapToGrid/>
              <w:spacing w:line="520" w:lineRule="exact"/>
              <w:ind w:left="0" w:right="0"/>
              <w:jc w:val="center"/>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项目规模</w:t>
            </w:r>
          </w:p>
        </w:tc>
        <w:tc>
          <w:tcPr>
            <w:tcW w:w="5861" w:type="dxa"/>
            <w:vAlign w:val="center"/>
          </w:tcPr>
          <w:p w14:paraId="45953F57">
            <w:pPr>
              <w:pStyle w:val="8"/>
              <w:keepNext w:val="0"/>
              <w:keepLines w:val="0"/>
              <w:pageBreakBefore w:val="0"/>
              <w:widowControl w:val="0"/>
              <w:numPr>
                <w:ilvl w:val="0"/>
                <w:numId w:val="0"/>
              </w:numPr>
              <w:kinsoku/>
              <w:wordWrap w:val="0"/>
              <w:overflowPunct/>
              <w:topLinePunct w:val="0"/>
              <w:autoSpaceDE w:val="0"/>
              <w:autoSpaceDN w:val="0"/>
              <w:bidi w:val="0"/>
              <w:adjustRightInd/>
              <w:snapToGrid/>
              <w:spacing w:line="520" w:lineRule="exact"/>
              <w:ind w:left="0" w:right="0"/>
              <w:jc w:val="left"/>
              <w:textAlignment w:val="auto"/>
              <w:rPr>
                <w:rFonts w:hint="eastAsia" w:asciiTheme="majorEastAsia" w:hAnsiTheme="majorEastAsia" w:eastAsiaTheme="majorEastAsia" w:cstheme="majorEastAsia"/>
                <w:color w:val="auto"/>
                <w:sz w:val="24"/>
                <w:szCs w:val="24"/>
                <w:lang w:eastAsia="zh-CN"/>
              </w:rPr>
            </w:pPr>
            <w:r>
              <w:rPr>
                <w:rFonts w:hint="eastAsia" w:asciiTheme="majorEastAsia" w:hAnsiTheme="majorEastAsia" w:eastAsiaTheme="majorEastAsia" w:cstheme="majorEastAsia"/>
                <w:color w:val="auto"/>
                <w:sz w:val="24"/>
                <w:szCs w:val="24"/>
                <w:lang w:eastAsia="zh-CN"/>
              </w:rPr>
              <w:t>对老灌河流域的河岸两侧进行生态步道建设，生态隔离带种植，生态护岸防护，生态湿地建设，沿线相关村庄铺设污水管网等基础设施建设。</w:t>
            </w:r>
          </w:p>
        </w:tc>
      </w:tr>
      <w:tr w14:paraId="214DAF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2" w:hRule="atLeast"/>
        </w:trPr>
        <w:tc>
          <w:tcPr>
            <w:tcW w:w="885" w:type="dxa"/>
            <w:vAlign w:val="center"/>
          </w:tcPr>
          <w:p w14:paraId="5ABE6E05">
            <w:pPr>
              <w:pStyle w:val="36"/>
              <w:keepNext w:val="0"/>
              <w:keepLines w:val="0"/>
              <w:pageBreakBefore w:val="0"/>
              <w:widowControl w:val="0"/>
              <w:kinsoku/>
              <w:wordWrap w:val="0"/>
              <w:overflowPunct/>
              <w:topLinePunct w:val="0"/>
              <w:bidi w:val="0"/>
              <w:snapToGrid/>
              <w:spacing w:line="520" w:lineRule="exact"/>
              <w:ind w:left="0" w:right="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1.7</w:t>
            </w:r>
          </w:p>
        </w:tc>
        <w:tc>
          <w:tcPr>
            <w:tcW w:w="2359" w:type="dxa"/>
            <w:vAlign w:val="center"/>
          </w:tcPr>
          <w:p w14:paraId="6128C129">
            <w:pPr>
              <w:pStyle w:val="36"/>
              <w:keepNext w:val="0"/>
              <w:keepLines w:val="0"/>
              <w:pageBreakBefore w:val="0"/>
              <w:widowControl w:val="0"/>
              <w:kinsoku/>
              <w:wordWrap w:val="0"/>
              <w:overflowPunct/>
              <w:topLinePunct w:val="0"/>
              <w:bidi w:val="0"/>
              <w:snapToGrid/>
              <w:spacing w:line="520" w:lineRule="exact"/>
              <w:ind w:left="0" w:right="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服务内容</w:t>
            </w:r>
          </w:p>
        </w:tc>
        <w:tc>
          <w:tcPr>
            <w:tcW w:w="5861" w:type="dxa"/>
            <w:vAlign w:val="center"/>
          </w:tcPr>
          <w:p w14:paraId="21BF206C">
            <w:pPr>
              <w:pStyle w:val="8"/>
              <w:keepNext w:val="0"/>
              <w:keepLines w:val="0"/>
              <w:pageBreakBefore w:val="0"/>
              <w:widowControl w:val="0"/>
              <w:numPr>
                <w:ilvl w:val="0"/>
                <w:numId w:val="0"/>
              </w:numPr>
              <w:kinsoku/>
              <w:wordWrap w:val="0"/>
              <w:overflowPunct/>
              <w:topLinePunct w:val="0"/>
              <w:autoSpaceDE w:val="0"/>
              <w:autoSpaceDN w:val="0"/>
              <w:bidi w:val="0"/>
              <w:adjustRightInd/>
              <w:snapToGrid/>
              <w:spacing w:line="520" w:lineRule="exact"/>
              <w:ind w:left="0" w:right="0"/>
              <w:jc w:val="left"/>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主要包含该项目的工程测绘、工程设计、工程预算等</w:t>
            </w:r>
          </w:p>
        </w:tc>
      </w:tr>
      <w:tr w14:paraId="000E7E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trPr>
        <w:tc>
          <w:tcPr>
            <w:tcW w:w="885" w:type="dxa"/>
            <w:vAlign w:val="center"/>
          </w:tcPr>
          <w:p w14:paraId="046C6523">
            <w:pPr>
              <w:pStyle w:val="36"/>
              <w:keepNext w:val="0"/>
              <w:keepLines w:val="0"/>
              <w:pageBreakBefore w:val="0"/>
              <w:widowControl w:val="0"/>
              <w:kinsoku/>
              <w:wordWrap w:val="0"/>
              <w:overflowPunct/>
              <w:topLinePunct w:val="0"/>
              <w:bidi w:val="0"/>
              <w:snapToGrid/>
              <w:spacing w:line="520" w:lineRule="exact"/>
              <w:ind w:left="0" w:right="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1.8</w:t>
            </w:r>
          </w:p>
        </w:tc>
        <w:tc>
          <w:tcPr>
            <w:tcW w:w="2359" w:type="dxa"/>
            <w:vAlign w:val="center"/>
          </w:tcPr>
          <w:p w14:paraId="689D048D">
            <w:pPr>
              <w:pStyle w:val="36"/>
              <w:keepNext w:val="0"/>
              <w:keepLines w:val="0"/>
              <w:pageBreakBefore w:val="0"/>
              <w:widowControl w:val="0"/>
              <w:kinsoku/>
              <w:wordWrap w:val="0"/>
              <w:overflowPunct/>
              <w:topLinePunct w:val="0"/>
              <w:bidi w:val="0"/>
              <w:snapToGrid/>
              <w:spacing w:line="520" w:lineRule="exact"/>
              <w:ind w:left="0" w:right="0"/>
              <w:jc w:val="center"/>
              <w:rPr>
                <w:rFonts w:hint="eastAsia" w:asciiTheme="majorEastAsia" w:hAnsiTheme="majorEastAsia" w:eastAsiaTheme="majorEastAsia" w:cstheme="majorEastAsia"/>
                <w:color w:val="auto"/>
                <w:sz w:val="24"/>
                <w:szCs w:val="24"/>
                <w:lang w:val="zh-CN" w:eastAsia="zh-CN" w:bidi="ar-SA"/>
              </w:rPr>
            </w:pPr>
            <w:r>
              <w:rPr>
                <w:rFonts w:hint="eastAsia" w:asciiTheme="majorEastAsia" w:hAnsiTheme="majorEastAsia" w:eastAsiaTheme="majorEastAsia" w:cstheme="majorEastAsia"/>
                <w:color w:val="auto"/>
                <w:sz w:val="24"/>
                <w:szCs w:val="24"/>
                <w:lang w:val="en-US" w:eastAsia="zh-CN" w:bidi="ar-SA"/>
              </w:rPr>
              <w:t>设计周期</w:t>
            </w:r>
          </w:p>
        </w:tc>
        <w:tc>
          <w:tcPr>
            <w:tcW w:w="5861" w:type="dxa"/>
            <w:vAlign w:val="center"/>
          </w:tcPr>
          <w:p w14:paraId="37DE5EC5">
            <w:pPr>
              <w:pStyle w:val="36"/>
              <w:keepNext w:val="0"/>
              <w:keepLines w:val="0"/>
              <w:pageBreakBefore w:val="0"/>
              <w:widowControl w:val="0"/>
              <w:kinsoku/>
              <w:wordWrap w:val="0"/>
              <w:overflowPunct/>
              <w:topLinePunct w:val="0"/>
              <w:bidi w:val="0"/>
              <w:snapToGrid/>
              <w:spacing w:line="520" w:lineRule="exact"/>
              <w:ind w:left="0" w:right="0"/>
              <w:jc w:val="left"/>
              <w:rPr>
                <w:rFonts w:hint="eastAsia" w:asciiTheme="majorEastAsia" w:hAnsiTheme="majorEastAsia" w:eastAsiaTheme="majorEastAsia" w:cstheme="majorEastAsia"/>
                <w:color w:val="auto"/>
                <w:sz w:val="24"/>
                <w:szCs w:val="24"/>
                <w:lang w:val="en-US" w:eastAsia="zh-CN" w:bidi="ar-SA"/>
              </w:rPr>
            </w:pPr>
            <w:r>
              <w:rPr>
                <w:rFonts w:hint="eastAsia" w:asciiTheme="majorEastAsia" w:hAnsiTheme="majorEastAsia" w:eastAsiaTheme="majorEastAsia" w:cstheme="majorEastAsia"/>
                <w:color w:val="auto"/>
                <w:sz w:val="24"/>
                <w:szCs w:val="24"/>
                <w:lang w:val="en-US" w:eastAsia="zh-CN" w:bidi="ar-SA"/>
              </w:rPr>
              <w:t>合同签订后10日历天完成</w:t>
            </w:r>
          </w:p>
        </w:tc>
      </w:tr>
      <w:tr w14:paraId="6CFEE0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2" w:hRule="atLeast"/>
        </w:trPr>
        <w:tc>
          <w:tcPr>
            <w:tcW w:w="885" w:type="dxa"/>
            <w:vAlign w:val="center"/>
          </w:tcPr>
          <w:p w14:paraId="2E911155">
            <w:pPr>
              <w:pStyle w:val="36"/>
              <w:keepNext w:val="0"/>
              <w:keepLines w:val="0"/>
              <w:pageBreakBefore w:val="0"/>
              <w:widowControl w:val="0"/>
              <w:kinsoku/>
              <w:wordWrap w:val="0"/>
              <w:overflowPunct/>
              <w:topLinePunct w:val="0"/>
              <w:bidi w:val="0"/>
              <w:snapToGrid/>
              <w:spacing w:line="520" w:lineRule="exact"/>
              <w:ind w:left="0" w:right="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1.9</w:t>
            </w:r>
          </w:p>
        </w:tc>
        <w:tc>
          <w:tcPr>
            <w:tcW w:w="2359" w:type="dxa"/>
            <w:vAlign w:val="center"/>
          </w:tcPr>
          <w:p w14:paraId="0B4EC19A">
            <w:pPr>
              <w:pStyle w:val="36"/>
              <w:keepNext w:val="0"/>
              <w:keepLines w:val="0"/>
              <w:pageBreakBefore w:val="0"/>
              <w:widowControl w:val="0"/>
              <w:kinsoku/>
              <w:wordWrap w:val="0"/>
              <w:overflowPunct/>
              <w:topLinePunct w:val="0"/>
              <w:bidi w:val="0"/>
              <w:snapToGrid/>
              <w:spacing w:line="520" w:lineRule="exact"/>
              <w:ind w:left="0" w:right="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质量要求</w:t>
            </w:r>
          </w:p>
        </w:tc>
        <w:tc>
          <w:tcPr>
            <w:tcW w:w="5861" w:type="dxa"/>
            <w:vAlign w:val="center"/>
          </w:tcPr>
          <w:p w14:paraId="286570E9">
            <w:pPr>
              <w:pStyle w:val="36"/>
              <w:keepNext w:val="0"/>
              <w:keepLines w:val="0"/>
              <w:pageBreakBefore w:val="0"/>
              <w:widowControl w:val="0"/>
              <w:kinsoku/>
              <w:wordWrap w:val="0"/>
              <w:overflowPunct/>
              <w:topLinePunct w:val="0"/>
              <w:bidi w:val="0"/>
              <w:snapToGrid/>
              <w:spacing w:line="520" w:lineRule="exact"/>
              <w:ind w:left="0" w:right="0"/>
              <w:jc w:val="left"/>
              <w:rPr>
                <w:rFonts w:hint="eastAsia" w:asciiTheme="majorEastAsia" w:hAnsiTheme="majorEastAsia" w:eastAsiaTheme="majorEastAsia" w:cstheme="majorEastAsia"/>
                <w:color w:val="auto"/>
                <w:sz w:val="24"/>
                <w:szCs w:val="24"/>
                <w:lang w:val="en-US"/>
              </w:rPr>
            </w:pPr>
            <w:r>
              <w:rPr>
                <w:rFonts w:hint="eastAsia" w:asciiTheme="majorEastAsia" w:hAnsiTheme="majorEastAsia" w:eastAsiaTheme="majorEastAsia" w:cstheme="majorEastAsia"/>
                <w:color w:val="auto"/>
                <w:sz w:val="24"/>
                <w:szCs w:val="24"/>
                <w:lang w:val="en-US"/>
              </w:rPr>
              <w:t>符合国家现行规范和标准，并满足采购人要求；</w:t>
            </w:r>
          </w:p>
        </w:tc>
      </w:tr>
      <w:tr w14:paraId="169DD2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885" w:type="dxa"/>
            <w:vAlign w:val="center"/>
          </w:tcPr>
          <w:p w14:paraId="78F855F3">
            <w:pPr>
              <w:pStyle w:val="36"/>
              <w:keepNext w:val="0"/>
              <w:keepLines w:val="0"/>
              <w:pageBreakBefore w:val="0"/>
              <w:widowControl w:val="0"/>
              <w:kinsoku/>
              <w:wordWrap w:val="0"/>
              <w:overflowPunct/>
              <w:topLinePunct w:val="0"/>
              <w:bidi w:val="0"/>
              <w:snapToGrid/>
              <w:spacing w:line="520" w:lineRule="exact"/>
              <w:ind w:left="0" w:right="0"/>
              <w:jc w:val="center"/>
              <w:rPr>
                <w:rFonts w:hint="eastAsia" w:asciiTheme="majorEastAsia" w:hAnsiTheme="majorEastAsia" w:eastAsiaTheme="majorEastAsia" w:cstheme="majorEastAsia"/>
                <w:b/>
                <w:color w:val="auto"/>
                <w:sz w:val="24"/>
                <w:szCs w:val="24"/>
              </w:rPr>
            </w:pPr>
          </w:p>
          <w:p w14:paraId="0B9F698E">
            <w:pPr>
              <w:pStyle w:val="36"/>
              <w:keepNext w:val="0"/>
              <w:keepLines w:val="0"/>
              <w:pageBreakBefore w:val="0"/>
              <w:widowControl w:val="0"/>
              <w:kinsoku/>
              <w:wordWrap w:val="0"/>
              <w:overflowPunct/>
              <w:topLinePunct w:val="0"/>
              <w:bidi w:val="0"/>
              <w:snapToGrid/>
              <w:spacing w:line="520" w:lineRule="exact"/>
              <w:ind w:left="0" w:right="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2.0</w:t>
            </w:r>
          </w:p>
        </w:tc>
        <w:tc>
          <w:tcPr>
            <w:tcW w:w="2359" w:type="dxa"/>
            <w:vAlign w:val="center"/>
          </w:tcPr>
          <w:p w14:paraId="1099FFEA">
            <w:pPr>
              <w:pStyle w:val="36"/>
              <w:keepNext w:val="0"/>
              <w:keepLines w:val="0"/>
              <w:pageBreakBefore w:val="0"/>
              <w:widowControl w:val="0"/>
              <w:kinsoku/>
              <w:wordWrap w:val="0"/>
              <w:overflowPunct/>
              <w:topLinePunct w:val="0"/>
              <w:bidi w:val="0"/>
              <w:snapToGrid/>
              <w:spacing w:line="520" w:lineRule="exact"/>
              <w:ind w:left="0" w:right="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供应商资格要求</w:t>
            </w:r>
          </w:p>
        </w:tc>
        <w:tc>
          <w:tcPr>
            <w:tcW w:w="5861" w:type="dxa"/>
            <w:vAlign w:val="top"/>
          </w:tcPr>
          <w:p w14:paraId="7B486B03">
            <w:pPr>
              <w:pStyle w:val="8"/>
              <w:keepNext w:val="0"/>
              <w:keepLines w:val="0"/>
              <w:pageBreakBefore w:val="0"/>
              <w:widowControl w:val="0"/>
              <w:numPr>
                <w:ilvl w:val="0"/>
                <w:numId w:val="0"/>
              </w:numPr>
              <w:kinsoku/>
              <w:wordWrap w:val="0"/>
              <w:overflowPunct/>
              <w:topLinePunct w:val="0"/>
              <w:autoSpaceDE w:val="0"/>
              <w:autoSpaceDN w:val="0"/>
              <w:bidi w:val="0"/>
              <w:snapToGrid/>
              <w:spacing w:line="520" w:lineRule="exact"/>
              <w:ind w:left="0" w:right="0"/>
              <w:jc w:val="left"/>
              <w:textAlignment w:val="auto"/>
              <w:rPr>
                <w:rFonts w:hint="eastAsia" w:asciiTheme="majorEastAsia" w:hAnsiTheme="majorEastAsia" w:eastAsiaTheme="majorEastAsia" w:cstheme="majorEastAsia"/>
                <w:color w:val="auto"/>
                <w:sz w:val="24"/>
                <w:szCs w:val="24"/>
                <w:lang w:eastAsia="zh-CN"/>
              </w:rPr>
            </w:pPr>
            <w:r>
              <w:rPr>
                <w:rFonts w:hint="eastAsia" w:asciiTheme="majorEastAsia" w:hAnsiTheme="majorEastAsia" w:eastAsiaTheme="majorEastAsia" w:cstheme="majorEastAsia"/>
                <w:color w:val="auto"/>
                <w:sz w:val="24"/>
                <w:szCs w:val="24"/>
                <w:lang w:val="en-US" w:eastAsia="zh-CN"/>
              </w:rPr>
              <w:t>详见竞争性磋商公告</w:t>
            </w:r>
          </w:p>
        </w:tc>
      </w:tr>
      <w:tr w14:paraId="43E69B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1" w:hRule="atLeast"/>
        </w:trPr>
        <w:tc>
          <w:tcPr>
            <w:tcW w:w="885" w:type="dxa"/>
            <w:vAlign w:val="center"/>
          </w:tcPr>
          <w:p w14:paraId="55CB22AD">
            <w:pPr>
              <w:pStyle w:val="36"/>
              <w:keepNext w:val="0"/>
              <w:keepLines w:val="0"/>
              <w:pageBreakBefore w:val="0"/>
              <w:widowControl w:val="0"/>
              <w:kinsoku/>
              <w:wordWrap w:val="0"/>
              <w:overflowPunct/>
              <w:topLinePunct w:val="0"/>
              <w:bidi w:val="0"/>
              <w:snapToGrid/>
              <w:spacing w:line="520" w:lineRule="exact"/>
              <w:ind w:left="0" w:right="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rPr>
              <w:t>2.1</w:t>
            </w:r>
          </w:p>
        </w:tc>
        <w:tc>
          <w:tcPr>
            <w:tcW w:w="2359" w:type="dxa"/>
            <w:vAlign w:val="center"/>
          </w:tcPr>
          <w:p w14:paraId="2AEBAA5B">
            <w:pPr>
              <w:pStyle w:val="36"/>
              <w:keepNext w:val="0"/>
              <w:keepLines w:val="0"/>
              <w:pageBreakBefore w:val="0"/>
              <w:widowControl w:val="0"/>
              <w:kinsoku/>
              <w:wordWrap w:val="0"/>
              <w:overflowPunct/>
              <w:topLinePunct w:val="0"/>
              <w:bidi w:val="0"/>
              <w:snapToGrid/>
              <w:spacing w:line="520" w:lineRule="exact"/>
              <w:ind w:left="0" w:right="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磋商响应供应商提出问题的</w:t>
            </w:r>
          </w:p>
          <w:p w14:paraId="67C94810">
            <w:pPr>
              <w:pStyle w:val="36"/>
              <w:keepNext w:val="0"/>
              <w:keepLines w:val="0"/>
              <w:pageBreakBefore w:val="0"/>
              <w:widowControl w:val="0"/>
              <w:kinsoku/>
              <w:wordWrap w:val="0"/>
              <w:overflowPunct/>
              <w:topLinePunct w:val="0"/>
              <w:bidi w:val="0"/>
              <w:snapToGrid/>
              <w:spacing w:line="520" w:lineRule="exact"/>
              <w:ind w:left="0" w:right="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截止时间</w:t>
            </w:r>
          </w:p>
        </w:tc>
        <w:tc>
          <w:tcPr>
            <w:tcW w:w="5861" w:type="dxa"/>
            <w:vAlign w:val="center"/>
          </w:tcPr>
          <w:p w14:paraId="67054F10">
            <w:pPr>
              <w:pStyle w:val="36"/>
              <w:keepNext w:val="0"/>
              <w:keepLines w:val="0"/>
              <w:pageBreakBefore w:val="0"/>
              <w:widowControl w:val="0"/>
              <w:kinsoku/>
              <w:wordWrap w:val="0"/>
              <w:overflowPunct/>
              <w:topLinePunct w:val="0"/>
              <w:bidi w:val="0"/>
              <w:snapToGrid/>
              <w:spacing w:line="520" w:lineRule="exact"/>
              <w:ind w:left="0" w:right="0"/>
              <w:jc w:val="both"/>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rPr>
              <w:t>递交磋商响应文件截止之日</w:t>
            </w:r>
            <w:r>
              <w:rPr>
                <w:rFonts w:hint="eastAsia" w:asciiTheme="majorEastAsia" w:hAnsiTheme="majorEastAsia" w:eastAsiaTheme="majorEastAsia" w:cstheme="majorEastAsia"/>
                <w:color w:val="auto"/>
                <w:sz w:val="24"/>
                <w:szCs w:val="24"/>
                <w:lang w:val="en-US" w:eastAsia="zh-CN"/>
              </w:rPr>
              <w:t>5</w:t>
            </w:r>
            <w:r>
              <w:rPr>
                <w:rFonts w:hint="eastAsia" w:asciiTheme="majorEastAsia" w:hAnsiTheme="majorEastAsia" w:eastAsiaTheme="majorEastAsia" w:cstheme="majorEastAsia"/>
                <w:color w:val="auto"/>
                <w:sz w:val="24"/>
                <w:szCs w:val="24"/>
              </w:rPr>
              <w:t>日前</w:t>
            </w:r>
          </w:p>
        </w:tc>
      </w:tr>
      <w:tr w14:paraId="4FE032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5" w:hRule="atLeast"/>
        </w:trPr>
        <w:tc>
          <w:tcPr>
            <w:tcW w:w="885" w:type="dxa"/>
            <w:vAlign w:val="center"/>
          </w:tcPr>
          <w:p w14:paraId="69FCF968">
            <w:pPr>
              <w:pStyle w:val="36"/>
              <w:keepNext w:val="0"/>
              <w:keepLines w:val="0"/>
              <w:pageBreakBefore w:val="0"/>
              <w:widowControl w:val="0"/>
              <w:kinsoku/>
              <w:wordWrap w:val="0"/>
              <w:overflowPunct/>
              <w:topLinePunct w:val="0"/>
              <w:bidi w:val="0"/>
              <w:snapToGrid/>
              <w:spacing w:line="520" w:lineRule="exact"/>
              <w:ind w:left="0" w:right="0"/>
              <w:jc w:val="center"/>
              <w:rPr>
                <w:rFonts w:hint="eastAsia" w:asciiTheme="majorEastAsia" w:hAnsiTheme="majorEastAsia" w:eastAsiaTheme="majorEastAsia" w:cstheme="majorEastAsia"/>
                <w:b/>
                <w:color w:val="auto"/>
                <w:sz w:val="24"/>
                <w:szCs w:val="24"/>
              </w:rPr>
            </w:pPr>
          </w:p>
          <w:p w14:paraId="4CEFF025">
            <w:pPr>
              <w:pStyle w:val="36"/>
              <w:keepNext w:val="0"/>
              <w:keepLines w:val="0"/>
              <w:pageBreakBefore w:val="0"/>
              <w:widowControl w:val="0"/>
              <w:kinsoku/>
              <w:wordWrap w:val="0"/>
              <w:overflowPunct/>
              <w:topLinePunct w:val="0"/>
              <w:bidi w:val="0"/>
              <w:snapToGrid/>
              <w:spacing w:line="520" w:lineRule="exact"/>
              <w:ind w:left="0" w:right="0"/>
              <w:jc w:val="center"/>
              <w:rPr>
                <w:rFonts w:hint="eastAsia" w:asciiTheme="majorEastAsia" w:hAnsiTheme="majorEastAsia" w:eastAsiaTheme="majorEastAsia" w:cstheme="majorEastAsia"/>
                <w:color w:val="auto"/>
                <w:sz w:val="24"/>
                <w:szCs w:val="24"/>
                <w:lang w:val="en-US"/>
              </w:rPr>
            </w:pPr>
            <w:r>
              <w:rPr>
                <w:rFonts w:hint="eastAsia" w:asciiTheme="majorEastAsia" w:hAnsiTheme="majorEastAsia" w:eastAsiaTheme="majorEastAsia" w:cstheme="majorEastAsia"/>
                <w:color w:val="auto"/>
                <w:sz w:val="24"/>
                <w:szCs w:val="24"/>
              </w:rPr>
              <w:t>2.2</w:t>
            </w:r>
          </w:p>
        </w:tc>
        <w:tc>
          <w:tcPr>
            <w:tcW w:w="2359" w:type="dxa"/>
            <w:vAlign w:val="center"/>
          </w:tcPr>
          <w:p w14:paraId="239AC117">
            <w:pPr>
              <w:pStyle w:val="36"/>
              <w:keepNext w:val="0"/>
              <w:keepLines w:val="0"/>
              <w:pageBreakBefore w:val="0"/>
              <w:widowControl w:val="0"/>
              <w:kinsoku/>
              <w:wordWrap w:val="0"/>
              <w:overflowPunct/>
              <w:topLinePunct w:val="0"/>
              <w:bidi w:val="0"/>
              <w:snapToGrid/>
              <w:spacing w:line="520" w:lineRule="exact"/>
              <w:ind w:left="0" w:right="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采购人书面澄清的时间</w:t>
            </w:r>
          </w:p>
        </w:tc>
        <w:tc>
          <w:tcPr>
            <w:tcW w:w="5861" w:type="dxa"/>
            <w:vAlign w:val="center"/>
          </w:tcPr>
          <w:p w14:paraId="56B1BF98">
            <w:pPr>
              <w:pStyle w:val="36"/>
              <w:keepNext w:val="0"/>
              <w:keepLines w:val="0"/>
              <w:pageBreakBefore w:val="0"/>
              <w:widowControl w:val="0"/>
              <w:kinsoku/>
              <w:wordWrap w:val="0"/>
              <w:overflowPunct/>
              <w:topLinePunct w:val="0"/>
              <w:bidi w:val="0"/>
              <w:snapToGrid/>
              <w:spacing w:line="520" w:lineRule="exact"/>
              <w:ind w:left="0" w:right="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递交磋商响应文件截止之日</w:t>
            </w:r>
            <w:r>
              <w:rPr>
                <w:rFonts w:hint="eastAsia" w:asciiTheme="majorEastAsia" w:hAnsiTheme="majorEastAsia" w:eastAsiaTheme="majorEastAsia" w:cstheme="majorEastAsia"/>
                <w:color w:val="auto"/>
                <w:sz w:val="24"/>
                <w:szCs w:val="24"/>
                <w:lang w:val="en-US" w:eastAsia="zh-CN"/>
              </w:rPr>
              <w:t>5</w:t>
            </w:r>
            <w:r>
              <w:rPr>
                <w:rFonts w:hint="eastAsia" w:asciiTheme="majorEastAsia" w:hAnsiTheme="majorEastAsia" w:eastAsiaTheme="majorEastAsia" w:cstheme="majorEastAsia"/>
                <w:color w:val="auto"/>
                <w:sz w:val="24"/>
                <w:szCs w:val="24"/>
              </w:rPr>
              <w:t>日前</w:t>
            </w:r>
          </w:p>
        </w:tc>
      </w:tr>
      <w:tr w14:paraId="0582F5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885" w:type="dxa"/>
            <w:vAlign w:val="center"/>
          </w:tcPr>
          <w:p w14:paraId="398E1BF7">
            <w:pPr>
              <w:pStyle w:val="36"/>
              <w:keepNext w:val="0"/>
              <w:keepLines w:val="0"/>
              <w:pageBreakBefore w:val="0"/>
              <w:widowControl w:val="0"/>
              <w:kinsoku/>
              <w:wordWrap w:val="0"/>
              <w:overflowPunct/>
              <w:topLinePunct w:val="0"/>
              <w:bidi w:val="0"/>
              <w:snapToGrid/>
              <w:spacing w:line="520" w:lineRule="exact"/>
              <w:ind w:left="0" w:right="0"/>
              <w:jc w:val="center"/>
              <w:rPr>
                <w:rFonts w:hint="eastAsia" w:asciiTheme="majorEastAsia" w:hAnsiTheme="majorEastAsia" w:eastAsiaTheme="majorEastAsia" w:cstheme="majorEastAsia"/>
                <w:b/>
                <w:color w:val="auto"/>
                <w:sz w:val="24"/>
                <w:szCs w:val="24"/>
              </w:rPr>
            </w:pPr>
          </w:p>
          <w:p w14:paraId="073BEC8D">
            <w:pPr>
              <w:pStyle w:val="36"/>
              <w:keepNext w:val="0"/>
              <w:keepLines w:val="0"/>
              <w:pageBreakBefore w:val="0"/>
              <w:widowControl w:val="0"/>
              <w:kinsoku/>
              <w:wordWrap w:val="0"/>
              <w:overflowPunct/>
              <w:topLinePunct w:val="0"/>
              <w:bidi w:val="0"/>
              <w:snapToGrid/>
              <w:spacing w:line="520" w:lineRule="exact"/>
              <w:ind w:left="0" w:right="0"/>
              <w:jc w:val="center"/>
              <w:rPr>
                <w:rFonts w:hint="eastAsia" w:asciiTheme="majorEastAsia" w:hAnsiTheme="majorEastAsia" w:eastAsiaTheme="majorEastAsia" w:cstheme="majorEastAsia"/>
                <w:color w:val="auto"/>
                <w:sz w:val="24"/>
                <w:szCs w:val="24"/>
                <w:lang w:val="en-US"/>
              </w:rPr>
            </w:pPr>
            <w:r>
              <w:rPr>
                <w:rFonts w:hint="eastAsia" w:asciiTheme="majorEastAsia" w:hAnsiTheme="majorEastAsia" w:eastAsiaTheme="majorEastAsia" w:cstheme="majorEastAsia"/>
                <w:color w:val="auto"/>
                <w:sz w:val="24"/>
                <w:szCs w:val="24"/>
              </w:rPr>
              <w:t>2.3</w:t>
            </w:r>
          </w:p>
        </w:tc>
        <w:tc>
          <w:tcPr>
            <w:tcW w:w="2359" w:type="dxa"/>
            <w:vAlign w:val="center"/>
          </w:tcPr>
          <w:p w14:paraId="7CB3DD54">
            <w:pPr>
              <w:pStyle w:val="36"/>
              <w:keepNext w:val="0"/>
              <w:keepLines w:val="0"/>
              <w:pageBreakBefore w:val="0"/>
              <w:widowControl w:val="0"/>
              <w:kinsoku/>
              <w:wordWrap w:val="0"/>
              <w:overflowPunct/>
              <w:topLinePunct w:val="0"/>
              <w:bidi w:val="0"/>
              <w:snapToGrid/>
              <w:spacing w:line="520" w:lineRule="exact"/>
              <w:ind w:left="0" w:right="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磋商截止时间</w:t>
            </w:r>
          </w:p>
        </w:tc>
        <w:tc>
          <w:tcPr>
            <w:tcW w:w="5861" w:type="dxa"/>
            <w:vAlign w:val="center"/>
          </w:tcPr>
          <w:p w14:paraId="40DAC8C3">
            <w:pPr>
              <w:pStyle w:val="36"/>
              <w:keepNext w:val="0"/>
              <w:keepLines w:val="0"/>
              <w:pageBreakBefore w:val="0"/>
              <w:widowControl w:val="0"/>
              <w:kinsoku/>
              <w:wordWrap w:val="0"/>
              <w:overflowPunct/>
              <w:topLinePunct w:val="0"/>
              <w:bidi w:val="0"/>
              <w:snapToGrid/>
              <w:spacing w:line="520" w:lineRule="exact"/>
              <w:ind w:left="0" w:right="0"/>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2025年9月23日09时10分</w:t>
            </w:r>
          </w:p>
        </w:tc>
      </w:tr>
      <w:tr w14:paraId="286F26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885" w:type="dxa"/>
            <w:vAlign w:val="center"/>
          </w:tcPr>
          <w:p w14:paraId="71AA835E">
            <w:pPr>
              <w:pStyle w:val="36"/>
              <w:keepNext w:val="0"/>
              <w:keepLines w:val="0"/>
              <w:pageBreakBefore w:val="0"/>
              <w:widowControl w:val="0"/>
              <w:kinsoku/>
              <w:wordWrap w:val="0"/>
              <w:overflowPunct/>
              <w:topLinePunct w:val="0"/>
              <w:bidi w:val="0"/>
              <w:snapToGrid/>
              <w:spacing w:line="520" w:lineRule="exact"/>
              <w:ind w:left="0" w:right="0"/>
              <w:jc w:val="center"/>
              <w:rPr>
                <w:rFonts w:hint="eastAsia" w:asciiTheme="majorEastAsia" w:hAnsiTheme="majorEastAsia" w:eastAsiaTheme="majorEastAsia" w:cstheme="majorEastAsia"/>
                <w:color w:val="auto"/>
                <w:sz w:val="24"/>
                <w:szCs w:val="24"/>
                <w:lang w:val="en-US"/>
              </w:rPr>
            </w:pPr>
            <w:r>
              <w:rPr>
                <w:rFonts w:hint="eastAsia" w:asciiTheme="majorEastAsia" w:hAnsiTheme="majorEastAsia" w:eastAsiaTheme="majorEastAsia" w:cstheme="majorEastAsia"/>
                <w:color w:val="auto"/>
                <w:sz w:val="24"/>
                <w:szCs w:val="24"/>
              </w:rPr>
              <w:t>2.4</w:t>
            </w:r>
          </w:p>
        </w:tc>
        <w:tc>
          <w:tcPr>
            <w:tcW w:w="2359" w:type="dxa"/>
            <w:vAlign w:val="center"/>
          </w:tcPr>
          <w:p w14:paraId="25E58777">
            <w:pPr>
              <w:pStyle w:val="36"/>
              <w:keepNext w:val="0"/>
              <w:keepLines w:val="0"/>
              <w:pageBreakBefore w:val="0"/>
              <w:widowControl w:val="0"/>
              <w:kinsoku/>
              <w:wordWrap w:val="0"/>
              <w:overflowPunct/>
              <w:topLinePunct w:val="0"/>
              <w:bidi w:val="0"/>
              <w:snapToGrid/>
              <w:spacing w:line="520" w:lineRule="exact"/>
              <w:ind w:left="0" w:right="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磋商有效期</w:t>
            </w:r>
          </w:p>
        </w:tc>
        <w:tc>
          <w:tcPr>
            <w:tcW w:w="5861" w:type="dxa"/>
            <w:vAlign w:val="top"/>
          </w:tcPr>
          <w:p w14:paraId="372CEEBB">
            <w:pPr>
              <w:pStyle w:val="36"/>
              <w:keepNext w:val="0"/>
              <w:keepLines w:val="0"/>
              <w:pageBreakBefore w:val="0"/>
              <w:widowControl w:val="0"/>
              <w:kinsoku/>
              <w:wordWrap w:val="0"/>
              <w:overflowPunct/>
              <w:topLinePunct w:val="0"/>
              <w:bidi w:val="0"/>
              <w:snapToGrid/>
              <w:spacing w:line="520" w:lineRule="exact"/>
              <w:ind w:left="0" w:right="0"/>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60日历天</w:t>
            </w:r>
          </w:p>
        </w:tc>
      </w:tr>
      <w:tr w14:paraId="492D3C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885" w:type="dxa"/>
            <w:vAlign w:val="center"/>
          </w:tcPr>
          <w:p w14:paraId="0BC5587B">
            <w:pPr>
              <w:pStyle w:val="36"/>
              <w:keepNext w:val="0"/>
              <w:keepLines w:val="0"/>
              <w:pageBreakBefore w:val="0"/>
              <w:widowControl w:val="0"/>
              <w:kinsoku/>
              <w:wordWrap w:val="0"/>
              <w:overflowPunct/>
              <w:topLinePunct w:val="0"/>
              <w:bidi w:val="0"/>
              <w:snapToGrid/>
              <w:spacing w:line="520" w:lineRule="exact"/>
              <w:ind w:left="0" w:right="0"/>
              <w:jc w:val="center"/>
              <w:rPr>
                <w:rFonts w:hint="eastAsia" w:asciiTheme="majorEastAsia" w:hAnsiTheme="majorEastAsia" w:eastAsiaTheme="majorEastAsia" w:cstheme="majorEastAsia"/>
                <w:color w:val="auto"/>
                <w:sz w:val="24"/>
                <w:szCs w:val="24"/>
                <w:lang w:val="en-US"/>
              </w:rPr>
            </w:pPr>
            <w:r>
              <w:rPr>
                <w:rFonts w:hint="eastAsia" w:asciiTheme="majorEastAsia" w:hAnsiTheme="majorEastAsia" w:eastAsiaTheme="majorEastAsia" w:cstheme="majorEastAsia"/>
                <w:color w:val="auto"/>
                <w:sz w:val="24"/>
                <w:szCs w:val="24"/>
              </w:rPr>
              <w:t>2.5</w:t>
            </w:r>
          </w:p>
        </w:tc>
        <w:tc>
          <w:tcPr>
            <w:tcW w:w="2359" w:type="dxa"/>
            <w:vAlign w:val="center"/>
          </w:tcPr>
          <w:p w14:paraId="7E1778A5">
            <w:pPr>
              <w:pStyle w:val="36"/>
              <w:keepNext w:val="0"/>
              <w:keepLines w:val="0"/>
              <w:pageBreakBefore w:val="0"/>
              <w:widowControl w:val="0"/>
              <w:kinsoku/>
              <w:wordWrap w:val="0"/>
              <w:overflowPunct/>
              <w:topLinePunct w:val="0"/>
              <w:bidi w:val="0"/>
              <w:snapToGrid/>
              <w:spacing w:line="520" w:lineRule="exact"/>
              <w:ind w:left="0" w:right="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磋商保证金</w:t>
            </w:r>
          </w:p>
        </w:tc>
        <w:tc>
          <w:tcPr>
            <w:tcW w:w="5861" w:type="dxa"/>
            <w:vAlign w:val="top"/>
          </w:tcPr>
          <w:p w14:paraId="506C57C0">
            <w:pPr>
              <w:pStyle w:val="36"/>
              <w:keepNext w:val="0"/>
              <w:keepLines w:val="0"/>
              <w:pageBreakBefore w:val="0"/>
              <w:widowControl w:val="0"/>
              <w:kinsoku/>
              <w:wordWrap w:val="0"/>
              <w:overflowPunct/>
              <w:topLinePunct w:val="0"/>
              <w:bidi w:val="0"/>
              <w:snapToGrid/>
              <w:spacing w:line="520" w:lineRule="exact"/>
              <w:ind w:left="0" w:right="0"/>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按照《河南省财政厅关于优化政府采购营商环境有关问题的通知》（豫财购[2019]4号文）的要求本项目不再收取投标保证金</w:t>
            </w:r>
          </w:p>
        </w:tc>
      </w:tr>
      <w:tr w14:paraId="75D235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3" w:hRule="atLeast"/>
        </w:trPr>
        <w:tc>
          <w:tcPr>
            <w:tcW w:w="885" w:type="dxa"/>
            <w:vAlign w:val="center"/>
          </w:tcPr>
          <w:p w14:paraId="188025F6">
            <w:pPr>
              <w:pStyle w:val="36"/>
              <w:keepNext w:val="0"/>
              <w:keepLines w:val="0"/>
              <w:pageBreakBefore w:val="0"/>
              <w:widowControl w:val="0"/>
              <w:kinsoku/>
              <w:wordWrap w:val="0"/>
              <w:overflowPunct/>
              <w:topLinePunct w:val="0"/>
              <w:bidi w:val="0"/>
              <w:snapToGrid/>
              <w:spacing w:line="520" w:lineRule="exact"/>
              <w:ind w:left="0" w:right="0"/>
              <w:jc w:val="center"/>
              <w:rPr>
                <w:rFonts w:hint="eastAsia" w:asciiTheme="majorEastAsia" w:hAnsiTheme="majorEastAsia" w:eastAsiaTheme="majorEastAsia" w:cstheme="majorEastAsia"/>
                <w:color w:val="auto"/>
                <w:sz w:val="24"/>
                <w:szCs w:val="24"/>
                <w:lang w:val="en-US"/>
              </w:rPr>
            </w:pPr>
            <w:r>
              <w:rPr>
                <w:rFonts w:hint="eastAsia" w:asciiTheme="majorEastAsia" w:hAnsiTheme="majorEastAsia" w:eastAsiaTheme="majorEastAsia" w:cstheme="majorEastAsia"/>
                <w:color w:val="auto"/>
                <w:sz w:val="24"/>
                <w:szCs w:val="24"/>
              </w:rPr>
              <w:t>2.6</w:t>
            </w:r>
          </w:p>
        </w:tc>
        <w:tc>
          <w:tcPr>
            <w:tcW w:w="2359" w:type="dxa"/>
            <w:vAlign w:val="center"/>
          </w:tcPr>
          <w:p w14:paraId="12651120">
            <w:pPr>
              <w:pStyle w:val="36"/>
              <w:keepNext w:val="0"/>
              <w:keepLines w:val="0"/>
              <w:pageBreakBefore w:val="0"/>
              <w:widowControl w:val="0"/>
              <w:kinsoku/>
              <w:wordWrap w:val="0"/>
              <w:overflowPunct/>
              <w:topLinePunct w:val="0"/>
              <w:bidi w:val="0"/>
              <w:snapToGrid/>
              <w:spacing w:line="520" w:lineRule="exact"/>
              <w:ind w:left="0" w:right="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近年完成的类似项目的年份要求</w:t>
            </w:r>
          </w:p>
        </w:tc>
        <w:tc>
          <w:tcPr>
            <w:tcW w:w="5861" w:type="dxa"/>
            <w:vAlign w:val="center"/>
          </w:tcPr>
          <w:p w14:paraId="679E97A8">
            <w:pPr>
              <w:pStyle w:val="36"/>
              <w:keepNext w:val="0"/>
              <w:keepLines w:val="0"/>
              <w:pageBreakBefore w:val="0"/>
              <w:widowControl w:val="0"/>
              <w:kinsoku/>
              <w:wordWrap w:val="0"/>
              <w:overflowPunct/>
              <w:topLinePunct w:val="0"/>
              <w:bidi w:val="0"/>
              <w:snapToGrid/>
              <w:spacing w:line="520" w:lineRule="exact"/>
              <w:ind w:left="0" w:right="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20</w:t>
            </w:r>
            <w:r>
              <w:rPr>
                <w:rFonts w:hint="eastAsia" w:asciiTheme="majorEastAsia" w:hAnsiTheme="majorEastAsia" w:eastAsiaTheme="majorEastAsia" w:cstheme="majorEastAsia"/>
                <w:color w:val="auto"/>
                <w:sz w:val="24"/>
                <w:szCs w:val="24"/>
                <w:lang w:val="en-US" w:eastAsia="zh-CN"/>
              </w:rPr>
              <w:t>22</w:t>
            </w:r>
            <w:r>
              <w:rPr>
                <w:rFonts w:hint="eastAsia" w:asciiTheme="majorEastAsia" w:hAnsiTheme="majorEastAsia" w:eastAsiaTheme="majorEastAsia" w:cstheme="majorEastAsia"/>
                <w:color w:val="auto"/>
                <w:sz w:val="24"/>
                <w:szCs w:val="24"/>
              </w:rPr>
              <w:t>年</w:t>
            </w:r>
            <w:r>
              <w:rPr>
                <w:rFonts w:hint="eastAsia" w:asciiTheme="majorEastAsia" w:hAnsiTheme="majorEastAsia" w:eastAsiaTheme="majorEastAsia" w:cstheme="majorEastAsia"/>
                <w:color w:val="auto"/>
                <w:sz w:val="24"/>
                <w:szCs w:val="24"/>
                <w:lang w:val="en-US"/>
              </w:rPr>
              <w:t>01</w:t>
            </w:r>
            <w:r>
              <w:rPr>
                <w:rFonts w:hint="eastAsia" w:asciiTheme="majorEastAsia" w:hAnsiTheme="majorEastAsia" w:eastAsiaTheme="majorEastAsia" w:cstheme="majorEastAsia"/>
                <w:color w:val="auto"/>
                <w:sz w:val="24"/>
                <w:szCs w:val="24"/>
              </w:rPr>
              <w:t>月</w:t>
            </w:r>
            <w:r>
              <w:rPr>
                <w:rFonts w:hint="eastAsia" w:asciiTheme="majorEastAsia" w:hAnsiTheme="majorEastAsia" w:eastAsiaTheme="majorEastAsia" w:cstheme="majorEastAsia"/>
                <w:color w:val="auto"/>
                <w:sz w:val="24"/>
                <w:szCs w:val="24"/>
                <w:lang w:val="en-US"/>
              </w:rPr>
              <w:t>0</w:t>
            </w:r>
            <w:r>
              <w:rPr>
                <w:rFonts w:hint="eastAsia" w:asciiTheme="majorEastAsia" w:hAnsiTheme="majorEastAsia" w:eastAsiaTheme="majorEastAsia" w:cstheme="majorEastAsia"/>
                <w:color w:val="auto"/>
                <w:sz w:val="24"/>
                <w:szCs w:val="24"/>
              </w:rPr>
              <w:t>1日以来</w:t>
            </w:r>
            <w:r>
              <w:rPr>
                <w:rFonts w:hint="eastAsia" w:asciiTheme="majorEastAsia" w:hAnsiTheme="majorEastAsia" w:eastAsiaTheme="majorEastAsia" w:cstheme="majorEastAsia"/>
                <w:color w:val="auto"/>
                <w:sz w:val="24"/>
                <w:szCs w:val="24"/>
                <w:lang w:val="en-US" w:eastAsia="zh-CN"/>
              </w:rPr>
              <w:t>同</w:t>
            </w:r>
            <w:r>
              <w:rPr>
                <w:rFonts w:hint="eastAsia" w:asciiTheme="majorEastAsia" w:hAnsiTheme="majorEastAsia" w:eastAsiaTheme="majorEastAsia" w:cstheme="majorEastAsia"/>
                <w:color w:val="auto"/>
                <w:sz w:val="24"/>
                <w:szCs w:val="24"/>
                <w:lang w:eastAsia="zh-CN"/>
              </w:rPr>
              <w:t>类项目</w:t>
            </w:r>
          </w:p>
        </w:tc>
      </w:tr>
      <w:tr w14:paraId="028A3E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9" w:hRule="atLeast"/>
        </w:trPr>
        <w:tc>
          <w:tcPr>
            <w:tcW w:w="885" w:type="dxa"/>
            <w:vAlign w:val="center"/>
          </w:tcPr>
          <w:p w14:paraId="0FA23541">
            <w:pPr>
              <w:pStyle w:val="36"/>
              <w:keepNext w:val="0"/>
              <w:keepLines w:val="0"/>
              <w:pageBreakBefore w:val="0"/>
              <w:widowControl w:val="0"/>
              <w:kinsoku/>
              <w:wordWrap w:val="0"/>
              <w:overflowPunct/>
              <w:topLinePunct w:val="0"/>
              <w:bidi w:val="0"/>
              <w:snapToGrid/>
              <w:spacing w:line="520" w:lineRule="exact"/>
              <w:ind w:left="0" w:right="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2.7</w:t>
            </w:r>
          </w:p>
        </w:tc>
        <w:tc>
          <w:tcPr>
            <w:tcW w:w="2359" w:type="dxa"/>
            <w:vAlign w:val="center"/>
          </w:tcPr>
          <w:p w14:paraId="08100646">
            <w:pPr>
              <w:pStyle w:val="36"/>
              <w:keepNext w:val="0"/>
              <w:keepLines w:val="0"/>
              <w:pageBreakBefore w:val="0"/>
              <w:widowControl w:val="0"/>
              <w:kinsoku/>
              <w:wordWrap w:val="0"/>
              <w:overflowPunct/>
              <w:topLinePunct w:val="0"/>
              <w:bidi w:val="0"/>
              <w:snapToGrid/>
              <w:spacing w:line="520" w:lineRule="exact"/>
              <w:ind w:left="0" w:right="0"/>
              <w:jc w:val="center"/>
              <w:rPr>
                <w:rFonts w:hint="eastAsia" w:asciiTheme="majorEastAsia" w:hAnsiTheme="majorEastAsia" w:eastAsiaTheme="majorEastAsia" w:cstheme="majorEastAsia"/>
                <w:color w:val="FF0000"/>
                <w:sz w:val="24"/>
                <w:szCs w:val="24"/>
                <w:lang w:val="en-US" w:eastAsia="zh-CN"/>
              </w:rPr>
            </w:pPr>
            <w:r>
              <w:rPr>
                <w:rFonts w:hint="eastAsia" w:asciiTheme="majorEastAsia" w:hAnsiTheme="majorEastAsia" w:eastAsiaTheme="majorEastAsia" w:cstheme="majorEastAsia"/>
                <w:color w:val="auto"/>
                <w:sz w:val="24"/>
                <w:szCs w:val="24"/>
              </w:rPr>
              <w:t>响应文件签章要求</w:t>
            </w:r>
          </w:p>
        </w:tc>
        <w:tc>
          <w:tcPr>
            <w:tcW w:w="5861" w:type="dxa"/>
            <w:vAlign w:val="top"/>
          </w:tcPr>
          <w:p w14:paraId="21BFF39F">
            <w:pPr>
              <w:pStyle w:val="36"/>
              <w:keepNext w:val="0"/>
              <w:keepLines w:val="0"/>
              <w:pageBreakBefore w:val="0"/>
              <w:widowControl w:val="0"/>
              <w:kinsoku/>
              <w:wordWrap w:val="0"/>
              <w:overflowPunct/>
              <w:topLinePunct w:val="0"/>
              <w:bidi w:val="0"/>
              <w:snapToGrid/>
              <w:spacing w:line="520" w:lineRule="exact"/>
              <w:ind w:left="0" w:right="0"/>
              <w:jc w:val="left"/>
              <w:rPr>
                <w:rFonts w:hint="eastAsia" w:asciiTheme="majorEastAsia" w:hAnsiTheme="majorEastAsia" w:eastAsiaTheme="majorEastAsia" w:cstheme="majorEastAsia"/>
                <w:color w:val="FF0000"/>
                <w:sz w:val="24"/>
                <w:szCs w:val="24"/>
                <w:lang w:eastAsia="zh-CN"/>
              </w:rPr>
            </w:pPr>
            <w:r>
              <w:rPr>
                <w:rFonts w:hint="eastAsia" w:asciiTheme="majorEastAsia" w:hAnsiTheme="majorEastAsia" w:eastAsiaTheme="majorEastAsia" w:cstheme="majorEastAsia"/>
                <w:color w:val="auto"/>
                <w:sz w:val="24"/>
                <w:szCs w:val="24"/>
              </w:rPr>
              <w:t>磋商响应供应商在进行电子化磋商响应文件签章时，竞争性磋商文件中要求磋商响应供应商盖章的，以签盖单位章为准；要求法定代表人或授权委托人签字盖章的，以法定代表人签章为准</w:t>
            </w:r>
          </w:p>
        </w:tc>
      </w:tr>
      <w:tr w14:paraId="2A2237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5" w:hRule="atLeast"/>
        </w:trPr>
        <w:tc>
          <w:tcPr>
            <w:tcW w:w="885" w:type="dxa"/>
            <w:vAlign w:val="center"/>
          </w:tcPr>
          <w:p w14:paraId="5923AE6A">
            <w:pPr>
              <w:pStyle w:val="36"/>
              <w:keepNext w:val="0"/>
              <w:keepLines w:val="0"/>
              <w:pageBreakBefore w:val="0"/>
              <w:widowControl w:val="0"/>
              <w:kinsoku/>
              <w:wordWrap w:val="0"/>
              <w:overflowPunct/>
              <w:topLinePunct w:val="0"/>
              <w:bidi w:val="0"/>
              <w:snapToGrid/>
              <w:spacing w:line="520" w:lineRule="exact"/>
              <w:ind w:left="0" w:right="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2.8</w:t>
            </w:r>
          </w:p>
        </w:tc>
        <w:tc>
          <w:tcPr>
            <w:tcW w:w="2359" w:type="dxa"/>
            <w:vAlign w:val="center"/>
          </w:tcPr>
          <w:p w14:paraId="1241C9C9">
            <w:pPr>
              <w:pStyle w:val="36"/>
              <w:keepNext w:val="0"/>
              <w:keepLines w:val="0"/>
              <w:pageBreakBefore w:val="0"/>
              <w:widowControl w:val="0"/>
              <w:kinsoku/>
              <w:wordWrap w:val="0"/>
              <w:overflowPunct/>
              <w:topLinePunct w:val="0"/>
              <w:bidi w:val="0"/>
              <w:snapToGrid/>
              <w:spacing w:line="520" w:lineRule="exact"/>
              <w:ind w:left="0" w:right="0"/>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电子化磋商响应文件的格式及上传</w:t>
            </w:r>
          </w:p>
        </w:tc>
        <w:tc>
          <w:tcPr>
            <w:tcW w:w="5861" w:type="dxa"/>
            <w:vAlign w:val="center"/>
          </w:tcPr>
          <w:p w14:paraId="54FCBA64">
            <w:pPr>
              <w:pStyle w:val="36"/>
              <w:keepNext w:val="0"/>
              <w:keepLines w:val="0"/>
              <w:pageBreakBefore w:val="0"/>
              <w:widowControl w:val="0"/>
              <w:kinsoku/>
              <w:wordWrap w:val="0"/>
              <w:overflowPunct/>
              <w:topLinePunct w:val="0"/>
              <w:bidi w:val="0"/>
              <w:snapToGrid/>
              <w:spacing w:line="520" w:lineRule="exact"/>
              <w:ind w:left="0" w:right="0"/>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投标供应商所上传的电子化响应文件，应是通过中心响应文件制作系统制作的，经过签章和加密后生成的电子版响应文件。上传投标文件格式后缀为SMXTF。上传完后，为了验证CA锁是否正常，建议模拟解密下。</w:t>
            </w:r>
          </w:p>
        </w:tc>
      </w:tr>
      <w:tr w14:paraId="3B0274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885" w:type="dxa"/>
            <w:vAlign w:val="center"/>
          </w:tcPr>
          <w:p w14:paraId="1C0C298E">
            <w:pPr>
              <w:pStyle w:val="36"/>
              <w:keepNext w:val="0"/>
              <w:keepLines w:val="0"/>
              <w:pageBreakBefore w:val="0"/>
              <w:widowControl w:val="0"/>
              <w:kinsoku/>
              <w:wordWrap w:val="0"/>
              <w:overflowPunct/>
              <w:topLinePunct w:val="0"/>
              <w:bidi w:val="0"/>
              <w:snapToGrid/>
              <w:spacing w:line="520" w:lineRule="exact"/>
              <w:ind w:left="0" w:right="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2.9</w:t>
            </w:r>
          </w:p>
        </w:tc>
        <w:tc>
          <w:tcPr>
            <w:tcW w:w="2359" w:type="dxa"/>
            <w:vAlign w:val="center"/>
          </w:tcPr>
          <w:p w14:paraId="70E0C2EB">
            <w:pPr>
              <w:pStyle w:val="36"/>
              <w:keepNext w:val="0"/>
              <w:keepLines w:val="0"/>
              <w:pageBreakBefore w:val="0"/>
              <w:widowControl w:val="0"/>
              <w:kinsoku/>
              <w:wordWrap w:val="0"/>
              <w:overflowPunct/>
              <w:topLinePunct w:val="0"/>
              <w:bidi w:val="0"/>
              <w:snapToGrid/>
              <w:spacing w:line="520" w:lineRule="exact"/>
              <w:ind w:left="0" w:right="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开</w:t>
            </w:r>
            <w:r>
              <w:rPr>
                <w:rFonts w:hint="eastAsia" w:asciiTheme="majorEastAsia" w:hAnsiTheme="majorEastAsia" w:eastAsiaTheme="majorEastAsia" w:cstheme="majorEastAsia"/>
                <w:color w:val="auto"/>
                <w:sz w:val="24"/>
                <w:szCs w:val="24"/>
                <w:lang w:val="en-US" w:eastAsia="zh-CN"/>
              </w:rPr>
              <w:t>评标</w:t>
            </w:r>
            <w:r>
              <w:rPr>
                <w:rFonts w:hint="eastAsia" w:asciiTheme="majorEastAsia" w:hAnsiTheme="majorEastAsia" w:eastAsiaTheme="majorEastAsia" w:cstheme="majorEastAsia"/>
                <w:color w:val="auto"/>
                <w:sz w:val="24"/>
                <w:szCs w:val="24"/>
              </w:rPr>
              <w:t>地点</w:t>
            </w:r>
          </w:p>
        </w:tc>
        <w:tc>
          <w:tcPr>
            <w:tcW w:w="5861" w:type="dxa"/>
            <w:vAlign w:val="center"/>
          </w:tcPr>
          <w:p w14:paraId="33B62F60">
            <w:pPr>
              <w:pStyle w:val="36"/>
              <w:keepNext w:val="0"/>
              <w:keepLines w:val="0"/>
              <w:pageBreakBefore w:val="0"/>
              <w:widowControl w:val="0"/>
              <w:kinsoku/>
              <w:wordWrap w:val="0"/>
              <w:overflowPunct/>
              <w:topLinePunct w:val="0"/>
              <w:bidi w:val="0"/>
              <w:snapToGrid/>
              <w:spacing w:line="520" w:lineRule="exact"/>
              <w:ind w:left="0" w:right="0"/>
              <w:jc w:val="left"/>
              <w:rPr>
                <w:rFonts w:hint="eastAsia" w:asciiTheme="majorEastAsia" w:hAnsiTheme="majorEastAsia" w:eastAsiaTheme="majorEastAsia" w:cstheme="majorEastAsia"/>
                <w:color w:val="000000" w:themeColor="text1"/>
                <w:sz w:val="24"/>
                <w:szCs w:val="24"/>
                <w:lang w:val="en-US"/>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14:textFill>
                  <w14:solidFill>
                    <w14:schemeClr w14:val="tx1"/>
                  </w14:solidFill>
                </w14:textFill>
              </w:rPr>
              <w:t>开标地点：卢氏县公共资源交易中心</w:t>
            </w: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四</w:t>
            </w:r>
            <w:r>
              <w:rPr>
                <w:rFonts w:hint="eastAsia" w:asciiTheme="majorEastAsia" w:hAnsiTheme="majorEastAsia" w:eastAsiaTheme="majorEastAsia" w:cstheme="majorEastAsia"/>
                <w:color w:val="000000" w:themeColor="text1"/>
                <w:sz w:val="24"/>
                <w:szCs w:val="24"/>
                <w:lang w:val="en-US"/>
                <w14:textFill>
                  <w14:solidFill>
                    <w14:schemeClr w14:val="tx1"/>
                  </w14:solidFill>
                </w14:textFill>
              </w:rPr>
              <w:t>楼第</w:t>
            </w: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一</w:t>
            </w:r>
            <w:r>
              <w:rPr>
                <w:rFonts w:hint="eastAsia" w:asciiTheme="majorEastAsia" w:hAnsiTheme="majorEastAsia" w:eastAsiaTheme="majorEastAsia" w:cstheme="majorEastAsia"/>
                <w:color w:val="000000" w:themeColor="text1"/>
                <w:sz w:val="24"/>
                <w:szCs w:val="24"/>
                <w:lang w:val="en-US"/>
                <w14:textFill>
                  <w14:solidFill>
                    <w14:schemeClr w14:val="tx1"/>
                  </w14:solidFill>
                </w14:textFill>
              </w:rPr>
              <w:t>开标室；</w:t>
            </w:r>
          </w:p>
          <w:p w14:paraId="190F0017">
            <w:pPr>
              <w:pStyle w:val="36"/>
              <w:keepNext w:val="0"/>
              <w:keepLines w:val="0"/>
              <w:pageBreakBefore w:val="0"/>
              <w:widowControl w:val="0"/>
              <w:kinsoku/>
              <w:wordWrap w:val="0"/>
              <w:overflowPunct/>
              <w:topLinePunct w:val="0"/>
              <w:bidi w:val="0"/>
              <w:snapToGrid/>
              <w:spacing w:line="520" w:lineRule="exact"/>
              <w:ind w:left="0" w:right="0"/>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000000" w:themeColor="text1"/>
                <w:sz w:val="24"/>
                <w:szCs w:val="24"/>
                <w:lang w:val="en-US"/>
                <w14:textFill>
                  <w14:solidFill>
                    <w14:schemeClr w14:val="tx1"/>
                  </w14:solidFill>
                </w14:textFill>
              </w:rPr>
              <w:t>评标地点：卢氏县公共资源交易中心</w:t>
            </w: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二</w:t>
            </w:r>
            <w:r>
              <w:rPr>
                <w:rFonts w:hint="eastAsia" w:asciiTheme="majorEastAsia" w:hAnsiTheme="majorEastAsia" w:eastAsiaTheme="majorEastAsia" w:cstheme="majorEastAsia"/>
                <w:color w:val="000000" w:themeColor="text1"/>
                <w:sz w:val="24"/>
                <w:szCs w:val="24"/>
                <w:lang w:val="en-US"/>
                <w14:textFill>
                  <w14:solidFill>
                    <w14:schemeClr w14:val="tx1"/>
                  </w14:solidFill>
                </w14:textFill>
              </w:rPr>
              <w:t>楼第</w:t>
            </w: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三评</w:t>
            </w:r>
            <w:r>
              <w:rPr>
                <w:rFonts w:hint="eastAsia" w:asciiTheme="majorEastAsia" w:hAnsiTheme="majorEastAsia" w:eastAsiaTheme="majorEastAsia" w:cstheme="majorEastAsia"/>
                <w:color w:val="000000" w:themeColor="text1"/>
                <w:sz w:val="24"/>
                <w:szCs w:val="24"/>
                <w:lang w:val="en-US"/>
                <w14:textFill>
                  <w14:solidFill>
                    <w14:schemeClr w14:val="tx1"/>
                  </w14:solidFill>
                </w14:textFill>
              </w:rPr>
              <w:t>标室；</w:t>
            </w:r>
          </w:p>
        </w:tc>
      </w:tr>
      <w:tr w14:paraId="596276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885" w:type="dxa"/>
            <w:vAlign w:val="center"/>
          </w:tcPr>
          <w:p w14:paraId="3E0DFF88">
            <w:pPr>
              <w:pStyle w:val="36"/>
              <w:keepNext w:val="0"/>
              <w:keepLines w:val="0"/>
              <w:pageBreakBefore w:val="0"/>
              <w:widowControl w:val="0"/>
              <w:kinsoku/>
              <w:wordWrap w:val="0"/>
              <w:overflowPunct/>
              <w:topLinePunct w:val="0"/>
              <w:bidi w:val="0"/>
              <w:snapToGrid/>
              <w:spacing w:line="520" w:lineRule="exact"/>
              <w:ind w:left="0" w:right="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3.0</w:t>
            </w:r>
          </w:p>
        </w:tc>
        <w:tc>
          <w:tcPr>
            <w:tcW w:w="2359" w:type="dxa"/>
            <w:vAlign w:val="center"/>
          </w:tcPr>
          <w:p w14:paraId="773628A1">
            <w:pPr>
              <w:pStyle w:val="36"/>
              <w:keepNext w:val="0"/>
              <w:keepLines w:val="0"/>
              <w:pageBreakBefore w:val="0"/>
              <w:widowControl w:val="0"/>
              <w:kinsoku/>
              <w:wordWrap w:val="0"/>
              <w:overflowPunct/>
              <w:topLinePunct w:val="0"/>
              <w:bidi w:val="0"/>
              <w:snapToGrid/>
              <w:spacing w:line="520" w:lineRule="exact"/>
              <w:ind w:left="0" w:right="0" w:hanging="120"/>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磋商顺序</w:t>
            </w:r>
          </w:p>
        </w:tc>
        <w:tc>
          <w:tcPr>
            <w:tcW w:w="5861" w:type="dxa"/>
            <w:vAlign w:val="center"/>
          </w:tcPr>
          <w:p w14:paraId="3055DAA2">
            <w:pPr>
              <w:pStyle w:val="36"/>
              <w:keepNext w:val="0"/>
              <w:keepLines w:val="0"/>
              <w:pageBreakBefore w:val="0"/>
              <w:widowControl w:val="0"/>
              <w:kinsoku/>
              <w:wordWrap w:val="0"/>
              <w:overflowPunct/>
              <w:topLinePunct w:val="0"/>
              <w:bidi w:val="0"/>
              <w:snapToGrid/>
              <w:spacing w:line="520" w:lineRule="exact"/>
              <w:ind w:left="0" w:right="0"/>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按电子化磋商响应文件上传的顺序磋商。</w:t>
            </w:r>
          </w:p>
        </w:tc>
      </w:tr>
      <w:tr w14:paraId="265BE5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2" w:hRule="atLeast"/>
        </w:trPr>
        <w:tc>
          <w:tcPr>
            <w:tcW w:w="885" w:type="dxa"/>
            <w:vAlign w:val="center"/>
          </w:tcPr>
          <w:p w14:paraId="24095E13">
            <w:pPr>
              <w:pStyle w:val="36"/>
              <w:keepNext w:val="0"/>
              <w:keepLines w:val="0"/>
              <w:pageBreakBefore w:val="0"/>
              <w:widowControl w:val="0"/>
              <w:kinsoku/>
              <w:wordWrap w:val="0"/>
              <w:overflowPunct/>
              <w:topLinePunct w:val="0"/>
              <w:autoSpaceDE w:val="0"/>
              <w:autoSpaceDN w:val="0"/>
              <w:bidi w:val="0"/>
              <w:adjustRightInd/>
              <w:snapToGrid/>
              <w:spacing w:line="520" w:lineRule="exact"/>
              <w:ind w:left="0" w:right="0" w:firstLine="0"/>
              <w:jc w:val="center"/>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3.1</w:t>
            </w:r>
          </w:p>
        </w:tc>
        <w:tc>
          <w:tcPr>
            <w:tcW w:w="2359" w:type="dxa"/>
            <w:vAlign w:val="center"/>
          </w:tcPr>
          <w:p w14:paraId="23AE4AA8">
            <w:pPr>
              <w:pStyle w:val="36"/>
              <w:keepNext w:val="0"/>
              <w:keepLines w:val="0"/>
              <w:pageBreakBefore w:val="0"/>
              <w:widowControl w:val="0"/>
              <w:kinsoku/>
              <w:wordWrap w:val="0"/>
              <w:overflowPunct/>
              <w:topLinePunct w:val="0"/>
              <w:bidi w:val="0"/>
              <w:snapToGrid/>
              <w:spacing w:line="520" w:lineRule="exact"/>
              <w:ind w:left="0" w:right="0" w:hanging="12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磋商小组的组建</w:t>
            </w:r>
          </w:p>
        </w:tc>
        <w:tc>
          <w:tcPr>
            <w:tcW w:w="5861" w:type="dxa"/>
            <w:vAlign w:val="center"/>
          </w:tcPr>
          <w:p w14:paraId="73761FB5">
            <w:pPr>
              <w:pStyle w:val="36"/>
              <w:keepNext w:val="0"/>
              <w:keepLines w:val="0"/>
              <w:pageBreakBefore w:val="0"/>
              <w:widowControl w:val="0"/>
              <w:kinsoku/>
              <w:wordWrap w:val="0"/>
              <w:overflowPunct/>
              <w:topLinePunct w:val="0"/>
              <w:autoSpaceDE w:val="0"/>
              <w:autoSpaceDN w:val="0"/>
              <w:bidi w:val="0"/>
              <w:adjustRightInd/>
              <w:snapToGrid/>
              <w:spacing w:line="520" w:lineRule="exact"/>
              <w:ind w:left="0" w:right="0" w:firstLine="0"/>
              <w:jc w:val="left"/>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rPr>
              <w:t>磋商小组成员为 3 人，采购人代表 1 人，其余技术、经济等方面的专家 2 人</w:t>
            </w:r>
            <w:r>
              <w:rPr>
                <w:rFonts w:hint="eastAsia" w:asciiTheme="majorEastAsia" w:hAnsiTheme="majorEastAsia" w:eastAsiaTheme="majorEastAsia" w:cstheme="majorEastAsia"/>
                <w:color w:val="auto"/>
                <w:sz w:val="24"/>
                <w:szCs w:val="24"/>
                <w:lang w:val="en-US" w:eastAsia="zh-CN"/>
              </w:rPr>
              <w:t>，</w:t>
            </w:r>
            <w:r>
              <w:rPr>
                <w:rFonts w:hint="eastAsia" w:asciiTheme="majorEastAsia" w:hAnsiTheme="majorEastAsia" w:eastAsiaTheme="majorEastAsia" w:cstheme="majorEastAsia"/>
                <w:color w:val="auto"/>
                <w:sz w:val="24"/>
                <w:szCs w:val="24"/>
                <w:lang w:val="en-US"/>
              </w:rPr>
              <w:t>从</w:t>
            </w:r>
            <w:r>
              <w:rPr>
                <w:rFonts w:hint="eastAsia" w:asciiTheme="majorEastAsia" w:hAnsiTheme="majorEastAsia" w:eastAsiaTheme="majorEastAsia" w:cstheme="majorEastAsia"/>
                <w:color w:val="auto"/>
                <w:sz w:val="24"/>
                <w:szCs w:val="24"/>
                <w:lang w:val="en-US" w:eastAsia="zh-CN"/>
              </w:rPr>
              <w:t>河南省财政厅专家库卢氏终端</w:t>
            </w:r>
            <w:r>
              <w:rPr>
                <w:rFonts w:hint="eastAsia" w:asciiTheme="majorEastAsia" w:hAnsiTheme="majorEastAsia" w:eastAsiaTheme="majorEastAsia" w:cstheme="majorEastAsia"/>
                <w:color w:val="auto"/>
                <w:sz w:val="24"/>
                <w:szCs w:val="24"/>
                <w:lang w:val="en-US"/>
              </w:rPr>
              <w:t>随机抽取。</w:t>
            </w:r>
          </w:p>
        </w:tc>
      </w:tr>
      <w:tr w14:paraId="144DE8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7" w:hRule="atLeast"/>
        </w:trPr>
        <w:tc>
          <w:tcPr>
            <w:tcW w:w="885" w:type="dxa"/>
            <w:vAlign w:val="center"/>
          </w:tcPr>
          <w:p w14:paraId="45C6F873">
            <w:pPr>
              <w:pStyle w:val="36"/>
              <w:keepNext w:val="0"/>
              <w:keepLines w:val="0"/>
              <w:pageBreakBefore w:val="0"/>
              <w:widowControl w:val="0"/>
              <w:kinsoku/>
              <w:wordWrap w:val="0"/>
              <w:overflowPunct/>
              <w:topLinePunct w:val="0"/>
              <w:autoSpaceDE w:val="0"/>
              <w:autoSpaceDN w:val="0"/>
              <w:bidi w:val="0"/>
              <w:adjustRightInd/>
              <w:snapToGrid/>
              <w:spacing w:line="520" w:lineRule="exact"/>
              <w:ind w:left="0" w:right="0" w:firstLine="0"/>
              <w:jc w:val="center"/>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3.2</w:t>
            </w:r>
          </w:p>
        </w:tc>
        <w:tc>
          <w:tcPr>
            <w:tcW w:w="2359" w:type="dxa"/>
            <w:vAlign w:val="center"/>
          </w:tcPr>
          <w:p w14:paraId="4375C246">
            <w:pPr>
              <w:pStyle w:val="36"/>
              <w:keepNext w:val="0"/>
              <w:keepLines w:val="0"/>
              <w:pageBreakBefore w:val="0"/>
              <w:widowControl w:val="0"/>
              <w:kinsoku/>
              <w:wordWrap w:val="0"/>
              <w:overflowPunct/>
              <w:topLinePunct w:val="0"/>
              <w:bidi w:val="0"/>
              <w:snapToGrid/>
              <w:spacing w:line="520" w:lineRule="exact"/>
              <w:ind w:left="0" w:right="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是否授权磋商专家确定成交供应商</w:t>
            </w:r>
          </w:p>
        </w:tc>
        <w:tc>
          <w:tcPr>
            <w:tcW w:w="5861" w:type="dxa"/>
            <w:vAlign w:val="center"/>
          </w:tcPr>
          <w:p w14:paraId="390584DB">
            <w:pPr>
              <w:pStyle w:val="36"/>
              <w:keepNext w:val="0"/>
              <w:keepLines w:val="0"/>
              <w:pageBreakBefore w:val="0"/>
              <w:widowControl w:val="0"/>
              <w:kinsoku/>
              <w:wordWrap w:val="0"/>
              <w:overflowPunct/>
              <w:topLinePunct w:val="0"/>
              <w:bidi w:val="0"/>
              <w:snapToGrid/>
              <w:spacing w:line="520" w:lineRule="exact"/>
              <w:ind w:left="0" w:right="0"/>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否，由磋商小组按照评审得分由高到底推荐3名成交候选供应商</w:t>
            </w:r>
          </w:p>
        </w:tc>
      </w:tr>
      <w:tr w14:paraId="759C97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5" w:hRule="atLeast"/>
        </w:trPr>
        <w:tc>
          <w:tcPr>
            <w:tcW w:w="885" w:type="dxa"/>
            <w:vAlign w:val="center"/>
          </w:tcPr>
          <w:p w14:paraId="6312AAF6">
            <w:pPr>
              <w:pStyle w:val="36"/>
              <w:keepNext w:val="0"/>
              <w:keepLines w:val="0"/>
              <w:pageBreakBefore w:val="0"/>
              <w:widowControl w:val="0"/>
              <w:kinsoku/>
              <w:wordWrap w:val="0"/>
              <w:overflowPunct/>
              <w:topLinePunct w:val="0"/>
              <w:autoSpaceDE w:val="0"/>
              <w:autoSpaceDN w:val="0"/>
              <w:bidi w:val="0"/>
              <w:adjustRightInd/>
              <w:snapToGrid/>
              <w:spacing w:line="520" w:lineRule="exact"/>
              <w:ind w:left="0" w:right="0" w:firstLine="0"/>
              <w:jc w:val="center"/>
              <w:textAlignment w:val="auto"/>
              <w:rPr>
                <w:rFonts w:hint="eastAsia" w:asciiTheme="majorEastAsia" w:hAnsiTheme="majorEastAsia" w:eastAsiaTheme="majorEastAsia" w:cstheme="majorEastAsia"/>
                <w:b/>
                <w:color w:val="auto"/>
                <w:sz w:val="24"/>
                <w:szCs w:val="24"/>
              </w:rPr>
            </w:pPr>
          </w:p>
          <w:p w14:paraId="7C726C60">
            <w:pPr>
              <w:pStyle w:val="36"/>
              <w:keepNext w:val="0"/>
              <w:keepLines w:val="0"/>
              <w:pageBreakBefore w:val="0"/>
              <w:widowControl w:val="0"/>
              <w:kinsoku/>
              <w:wordWrap w:val="0"/>
              <w:overflowPunct/>
              <w:topLinePunct w:val="0"/>
              <w:autoSpaceDE w:val="0"/>
              <w:autoSpaceDN w:val="0"/>
              <w:bidi w:val="0"/>
              <w:adjustRightInd/>
              <w:snapToGrid/>
              <w:spacing w:line="520" w:lineRule="exact"/>
              <w:ind w:left="0" w:right="0" w:firstLine="0"/>
              <w:jc w:val="center"/>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3.3</w:t>
            </w:r>
          </w:p>
        </w:tc>
        <w:tc>
          <w:tcPr>
            <w:tcW w:w="2359" w:type="dxa"/>
            <w:vAlign w:val="center"/>
          </w:tcPr>
          <w:p w14:paraId="6170881F">
            <w:pPr>
              <w:pStyle w:val="36"/>
              <w:keepNext w:val="0"/>
              <w:keepLines w:val="0"/>
              <w:pageBreakBefore w:val="0"/>
              <w:widowControl w:val="0"/>
              <w:kinsoku/>
              <w:wordWrap w:val="0"/>
              <w:overflowPunct/>
              <w:topLinePunct w:val="0"/>
              <w:bidi w:val="0"/>
              <w:snapToGrid/>
              <w:spacing w:line="520" w:lineRule="exact"/>
              <w:ind w:left="0" w:right="0"/>
              <w:jc w:val="cente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付款方式</w:t>
            </w:r>
          </w:p>
        </w:tc>
        <w:tc>
          <w:tcPr>
            <w:tcW w:w="5861" w:type="dxa"/>
            <w:vAlign w:val="center"/>
          </w:tcPr>
          <w:p w14:paraId="12C0C230">
            <w:pPr>
              <w:pStyle w:val="36"/>
              <w:keepNext w:val="0"/>
              <w:keepLines w:val="0"/>
              <w:pageBreakBefore w:val="0"/>
              <w:widowControl w:val="0"/>
              <w:kinsoku/>
              <w:wordWrap w:val="0"/>
              <w:overflowPunct/>
              <w:topLinePunct w:val="0"/>
              <w:bidi w:val="0"/>
              <w:snapToGrid/>
              <w:spacing w:line="520" w:lineRule="exact"/>
              <w:ind w:left="0" w:right="0"/>
              <w:jc w:val="left"/>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合同签订后预付30%，完成最终成果文件，并通过评审后15日内付至90%，项目完工竣工验收合格后付款100%。</w:t>
            </w:r>
          </w:p>
        </w:tc>
      </w:tr>
      <w:tr w14:paraId="73AFEB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45" w:hRule="atLeast"/>
        </w:trPr>
        <w:tc>
          <w:tcPr>
            <w:tcW w:w="885" w:type="dxa"/>
            <w:vAlign w:val="center"/>
          </w:tcPr>
          <w:p w14:paraId="49A52127">
            <w:pPr>
              <w:pStyle w:val="36"/>
              <w:keepNext w:val="0"/>
              <w:keepLines w:val="0"/>
              <w:pageBreakBefore w:val="0"/>
              <w:widowControl w:val="0"/>
              <w:kinsoku/>
              <w:wordWrap w:val="0"/>
              <w:overflowPunct/>
              <w:topLinePunct w:val="0"/>
              <w:bidi w:val="0"/>
              <w:snapToGrid/>
              <w:spacing w:line="520" w:lineRule="exact"/>
              <w:ind w:left="0" w:right="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3.4</w:t>
            </w:r>
          </w:p>
        </w:tc>
        <w:tc>
          <w:tcPr>
            <w:tcW w:w="2359" w:type="dxa"/>
            <w:vAlign w:val="center"/>
          </w:tcPr>
          <w:p w14:paraId="52EF8C90">
            <w:pPr>
              <w:pStyle w:val="36"/>
              <w:keepNext w:val="0"/>
              <w:keepLines w:val="0"/>
              <w:pageBreakBefore w:val="0"/>
              <w:widowControl w:val="0"/>
              <w:kinsoku/>
              <w:wordWrap w:val="0"/>
              <w:overflowPunct/>
              <w:topLinePunct w:val="0"/>
              <w:bidi w:val="0"/>
              <w:snapToGrid/>
              <w:spacing w:line="520" w:lineRule="exact"/>
              <w:ind w:left="0" w:right="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代理服务费</w:t>
            </w:r>
          </w:p>
        </w:tc>
        <w:tc>
          <w:tcPr>
            <w:tcW w:w="5861" w:type="dxa"/>
            <w:vAlign w:val="top"/>
          </w:tcPr>
          <w:p w14:paraId="61BC6004">
            <w:pPr>
              <w:pStyle w:val="36"/>
              <w:keepNext w:val="0"/>
              <w:keepLines w:val="0"/>
              <w:pageBreakBefore w:val="0"/>
              <w:widowControl w:val="0"/>
              <w:kinsoku/>
              <w:wordWrap w:val="0"/>
              <w:overflowPunct/>
              <w:topLinePunct w:val="0"/>
              <w:bidi w:val="0"/>
              <w:snapToGrid/>
              <w:spacing w:line="520" w:lineRule="exact"/>
              <w:ind w:left="0" w:right="0"/>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收取标准：招标代理服务收费参照豫招协[2023]002号河南省招标投标协会关于印发《河南省招标代理服务收费指导意见》规定的收费标准的收取中标服务费。招标代理服务收费按差额定率累进法计算。代理服务费计算方式及金额在发布</w:t>
            </w:r>
            <w:r>
              <w:rPr>
                <w:rFonts w:hint="eastAsia" w:asciiTheme="majorEastAsia" w:hAnsiTheme="majorEastAsia" w:eastAsiaTheme="majorEastAsia" w:cstheme="majorEastAsia"/>
                <w:color w:val="auto"/>
                <w:sz w:val="24"/>
                <w:szCs w:val="24"/>
                <w:lang w:eastAsia="zh-CN"/>
              </w:rPr>
              <w:t>成交</w:t>
            </w:r>
            <w:r>
              <w:rPr>
                <w:rFonts w:hint="eastAsia" w:asciiTheme="majorEastAsia" w:hAnsiTheme="majorEastAsia" w:eastAsiaTheme="majorEastAsia" w:cstheme="majorEastAsia"/>
                <w:color w:val="auto"/>
                <w:sz w:val="24"/>
                <w:szCs w:val="24"/>
              </w:rPr>
              <w:t>公告时一并公布。</w:t>
            </w:r>
          </w:p>
        </w:tc>
      </w:tr>
      <w:tr w14:paraId="16CD0C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885" w:type="dxa"/>
            <w:vAlign w:val="center"/>
          </w:tcPr>
          <w:p w14:paraId="12CB201A">
            <w:pPr>
              <w:pStyle w:val="36"/>
              <w:keepNext w:val="0"/>
              <w:keepLines w:val="0"/>
              <w:pageBreakBefore w:val="0"/>
              <w:widowControl w:val="0"/>
              <w:kinsoku/>
              <w:wordWrap w:val="0"/>
              <w:overflowPunct/>
              <w:topLinePunct w:val="0"/>
              <w:bidi w:val="0"/>
              <w:snapToGrid/>
              <w:spacing w:line="520" w:lineRule="exact"/>
              <w:ind w:left="0" w:right="0"/>
              <w:jc w:val="center"/>
              <w:rPr>
                <w:rFonts w:hint="eastAsia" w:asciiTheme="majorEastAsia" w:hAnsiTheme="majorEastAsia" w:eastAsiaTheme="majorEastAsia" w:cstheme="majorEastAsia"/>
                <w:b/>
                <w:color w:val="auto"/>
                <w:sz w:val="24"/>
                <w:szCs w:val="24"/>
              </w:rPr>
            </w:pPr>
          </w:p>
          <w:p w14:paraId="273B681A">
            <w:pPr>
              <w:pStyle w:val="36"/>
              <w:keepNext w:val="0"/>
              <w:keepLines w:val="0"/>
              <w:pageBreakBefore w:val="0"/>
              <w:widowControl w:val="0"/>
              <w:kinsoku/>
              <w:wordWrap w:val="0"/>
              <w:overflowPunct/>
              <w:topLinePunct w:val="0"/>
              <w:bidi w:val="0"/>
              <w:snapToGrid/>
              <w:spacing w:line="520" w:lineRule="exact"/>
              <w:ind w:left="0" w:right="0"/>
              <w:jc w:val="center"/>
              <w:rPr>
                <w:rFonts w:hint="eastAsia" w:asciiTheme="majorEastAsia" w:hAnsiTheme="majorEastAsia" w:eastAsiaTheme="majorEastAsia" w:cstheme="majorEastAsia"/>
                <w:color w:val="auto"/>
                <w:sz w:val="24"/>
                <w:szCs w:val="24"/>
                <w:lang w:val="en-US"/>
              </w:rPr>
            </w:pPr>
            <w:r>
              <w:rPr>
                <w:rFonts w:hint="eastAsia" w:asciiTheme="majorEastAsia" w:hAnsiTheme="majorEastAsia" w:eastAsiaTheme="majorEastAsia" w:cstheme="majorEastAsia"/>
                <w:color w:val="auto"/>
                <w:sz w:val="24"/>
                <w:szCs w:val="24"/>
              </w:rPr>
              <w:t>3.</w:t>
            </w:r>
            <w:r>
              <w:rPr>
                <w:rFonts w:hint="eastAsia" w:asciiTheme="majorEastAsia" w:hAnsiTheme="majorEastAsia" w:eastAsiaTheme="majorEastAsia" w:cstheme="majorEastAsia"/>
                <w:color w:val="auto"/>
                <w:sz w:val="24"/>
                <w:szCs w:val="24"/>
                <w:lang w:val="en-US"/>
              </w:rPr>
              <w:t>5</w:t>
            </w:r>
          </w:p>
        </w:tc>
        <w:tc>
          <w:tcPr>
            <w:tcW w:w="2359" w:type="dxa"/>
            <w:vAlign w:val="center"/>
          </w:tcPr>
          <w:p w14:paraId="3C0C8DC0">
            <w:pPr>
              <w:pStyle w:val="36"/>
              <w:keepNext w:val="0"/>
              <w:keepLines w:val="0"/>
              <w:pageBreakBefore w:val="0"/>
              <w:widowControl w:val="0"/>
              <w:kinsoku/>
              <w:wordWrap w:val="0"/>
              <w:overflowPunct/>
              <w:topLinePunct w:val="0"/>
              <w:bidi w:val="0"/>
              <w:snapToGrid/>
              <w:spacing w:line="520" w:lineRule="exact"/>
              <w:ind w:left="0" w:right="0"/>
              <w:jc w:val="center"/>
              <w:rPr>
                <w:rFonts w:hint="eastAsia" w:asciiTheme="majorEastAsia" w:hAnsiTheme="majorEastAsia" w:eastAsiaTheme="majorEastAsia" w:cstheme="majorEastAsia"/>
                <w:b/>
                <w:color w:val="auto"/>
                <w:sz w:val="24"/>
                <w:szCs w:val="24"/>
              </w:rPr>
            </w:pPr>
          </w:p>
          <w:p w14:paraId="6B999CCD">
            <w:pPr>
              <w:pStyle w:val="36"/>
              <w:keepNext w:val="0"/>
              <w:keepLines w:val="0"/>
              <w:pageBreakBefore w:val="0"/>
              <w:widowControl w:val="0"/>
              <w:kinsoku/>
              <w:wordWrap w:val="0"/>
              <w:overflowPunct/>
              <w:topLinePunct w:val="0"/>
              <w:bidi w:val="0"/>
              <w:snapToGrid/>
              <w:spacing w:line="520" w:lineRule="exact"/>
              <w:ind w:left="0" w:right="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采购预算价</w:t>
            </w:r>
          </w:p>
        </w:tc>
        <w:tc>
          <w:tcPr>
            <w:tcW w:w="5861" w:type="dxa"/>
            <w:vAlign w:val="top"/>
          </w:tcPr>
          <w:p w14:paraId="5180AD15">
            <w:pPr>
              <w:pStyle w:val="36"/>
              <w:keepNext w:val="0"/>
              <w:keepLines w:val="0"/>
              <w:pageBreakBefore w:val="0"/>
              <w:widowControl w:val="0"/>
              <w:kinsoku/>
              <w:wordWrap w:val="0"/>
              <w:overflowPunct/>
              <w:topLinePunct w:val="0"/>
              <w:bidi w:val="0"/>
              <w:snapToGrid/>
              <w:spacing w:line="520" w:lineRule="exact"/>
              <w:ind w:left="0" w:right="0"/>
              <w:jc w:val="left"/>
              <w:rPr>
                <w:rFonts w:hint="eastAsia" w:asciiTheme="majorEastAsia" w:hAnsiTheme="majorEastAsia" w:eastAsiaTheme="majorEastAsia" w:cstheme="majorEastAsia"/>
                <w:b/>
                <w:bCs/>
                <w:color w:val="auto"/>
                <w:sz w:val="24"/>
                <w:szCs w:val="24"/>
                <w:lang w:val="en-US" w:eastAsia="zh-CN"/>
              </w:rPr>
            </w:pPr>
            <w:r>
              <w:rPr>
                <w:rFonts w:hint="eastAsia" w:asciiTheme="majorEastAsia" w:hAnsiTheme="majorEastAsia" w:eastAsiaTheme="majorEastAsia" w:cstheme="majorEastAsia"/>
                <w:b/>
                <w:bCs/>
                <w:color w:val="auto"/>
                <w:sz w:val="24"/>
                <w:szCs w:val="24"/>
                <w:lang w:val="en-US" w:eastAsia="zh-CN"/>
              </w:rPr>
              <w:t>本项目的招标控制价为912600.00元</w:t>
            </w:r>
          </w:p>
          <w:p w14:paraId="01DF952C">
            <w:pPr>
              <w:pStyle w:val="36"/>
              <w:keepNext w:val="0"/>
              <w:keepLines w:val="0"/>
              <w:pageBreakBefore w:val="0"/>
              <w:widowControl w:val="0"/>
              <w:kinsoku/>
              <w:wordWrap w:val="0"/>
              <w:overflowPunct/>
              <w:topLinePunct w:val="0"/>
              <w:bidi w:val="0"/>
              <w:snapToGrid/>
              <w:spacing w:line="520" w:lineRule="exact"/>
              <w:ind w:left="0" w:right="0" w:firstLine="240" w:firstLineChars="100"/>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凡磋商响应供应商磋商报价超出“采购预算价”的，该磋商响应供应商的磋商响应文件应作无效标处理。</w:t>
            </w:r>
          </w:p>
        </w:tc>
      </w:tr>
      <w:tr w14:paraId="473E47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885" w:type="dxa"/>
            <w:vAlign w:val="center"/>
          </w:tcPr>
          <w:p w14:paraId="4693EA00">
            <w:pPr>
              <w:pStyle w:val="36"/>
              <w:keepNext w:val="0"/>
              <w:keepLines w:val="0"/>
              <w:pageBreakBefore w:val="0"/>
              <w:widowControl w:val="0"/>
              <w:kinsoku/>
              <w:wordWrap w:val="0"/>
              <w:overflowPunct/>
              <w:topLinePunct w:val="0"/>
              <w:bidi w:val="0"/>
              <w:snapToGrid/>
              <w:spacing w:line="520" w:lineRule="exact"/>
              <w:ind w:left="0" w:right="0"/>
              <w:jc w:val="center"/>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3.6</w:t>
            </w:r>
          </w:p>
        </w:tc>
        <w:tc>
          <w:tcPr>
            <w:tcW w:w="2359" w:type="dxa"/>
            <w:vAlign w:val="center"/>
          </w:tcPr>
          <w:p w14:paraId="32497C7D">
            <w:pPr>
              <w:keepNext w:val="0"/>
              <w:keepLines w:val="0"/>
              <w:pageBreakBefore w:val="0"/>
              <w:widowControl w:val="0"/>
              <w:kinsoku/>
              <w:wordWrap w:val="0"/>
              <w:overflowPunct/>
              <w:topLinePunct w:val="0"/>
              <w:bidi w:val="0"/>
              <w:adjustRightInd w:val="0"/>
              <w:snapToGrid/>
              <w:spacing w:line="520" w:lineRule="exact"/>
              <w:ind w:left="0" w:right="0"/>
              <w:jc w:val="center"/>
              <w:textAlignment w:val="baseline"/>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bidi="zh-CN"/>
              </w:rPr>
              <w:t>采购标的所属行业</w:t>
            </w:r>
          </w:p>
        </w:tc>
        <w:tc>
          <w:tcPr>
            <w:tcW w:w="5861" w:type="dxa"/>
            <w:vAlign w:val="center"/>
          </w:tcPr>
          <w:p w14:paraId="23454094">
            <w:pPr>
              <w:keepNext w:val="0"/>
              <w:keepLines w:val="0"/>
              <w:pageBreakBefore w:val="0"/>
              <w:widowControl w:val="0"/>
              <w:kinsoku/>
              <w:wordWrap w:val="0"/>
              <w:overflowPunct/>
              <w:topLinePunct w:val="0"/>
              <w:bidi w:val="0"/>
              <w:adjustRightInd w:val="0"/>
              <w:snapToGrid/>
              <w:spacing w:line="520" w:lineRule="exact"/>
              <w:ind w:left="0" w:right="0" w:firstLine="240" w:firstLineChars="100"/>
              <w:jc w:val="left"/>
              <w:textAlignment w:val="baseline"/>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划定标准为：本项目采购标的属于技术服务业。</w:t>
            </w:r>
          </w:p>
          <w:p w14:paraId="7E09FAF2">
            <w:pPr>
              <w:keepNext w:val="0"/>
              <w:keepLines w:val="0"/>
              <w:pageBreakBefore w:val="0"/>
              <w:widowControl w:val="0"/>
              <w:kinsoku/>
              <w:wordWrap w:val="0"/>
              <w:overflowPunct/>
              <w:topLinePunct w:val="0"/>
              <w:bidi w:val="0"/>
              <w:adjustRightInd w:val="0"/>
              <w:snapToGrid/>
              <w:spacing w:line="520" w:lineRule="exact"/>
              <w:ind w:left="0" w:right="0" w:firstLine="240" w:firstLineChars="100"/>
              <w:jc w:val="left"/>
              <w:textAlignment w:val="baseline"/>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《工业和信息化部、国家统计局、国家发展和改革委员会、财政部关于印发&lt;中小企业划型标准规定的通知&gt;（工信部联企业〔2011〕300号）规定的划分标准为依据。</w:t>
            </w:r>
          </w:p>
        </w:tc>
      </w:tr>
      <w:tr w14:paraId="1E8AF7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885" w:type="dxa"/>
            <w:vAlign w:val="center"/>
          </w:tcPr>
          <w:p w14:paraId="4CA19D6F">
            <w:pPr>
              <w:pStyle w:val="36"/>
              <w:keepNext w:val="0"/>
              <w:keepLines w:val="0"/>
              <w:pageBreakBefore w:val="0"/>
              <w:widowControl w:val="0"/>
              <w:kinsoku/>
              <w:wordWrap w:val="0"/>
              <w:overflowPunct/>
              <w:topLinePunct w:val="0"/>
              <w:bidi w:val="0"/>
              <w:snapToGrid/>
              <w:spacing w:line="520" w:lineRule="exact"/>
              <w:ind w:left="0" w:right="0"/>
              <w:jc w:val="center"/>
              <w:rPr>
                <w:rFonts w:hint="eastAsia" w:asciiTheme="majorEastAsia" w:hAnsiTheme="majorEastAsia" w:eastAsiaTheme="majorEastAsia" w:cstheme="majorEastAsia"/>
                <w:b/>
                <w:color w:val="auto"/>
                <w:sz w:val="24"/>
                <w:szCs w:val="24"/>
              </w:rPr>
            </w:pPr>
          </w:p>
          <w:p w14:paraId="4DAFD643">
            <w:pPr>
              <w:pStyle w:val="36"/>
              <w:keepNext w:val="0"/>
              <w:keepLines w:val="0"/>
              <w:pageBreakBefore w:val="0"/>
              <w:widowControl w:val="0"/>
              <w:kinsoku/>
              <w:wordWrap w:val="0"/>
              <w:overflowPunct/>
              <w:topLinePunct w:val="0"/>
              <w:bidi w:val="0"/>
              <w:snapToGrid/>
              <w:spacing w:line="520" w:lineRule="exact"/>
              <w:ind w:left="0" w:right="0"/>
              <w:jc w:val="center"/>
              <w:rPr>
                <w:rFonts w:hint="eastAsia" w:asciiTheme="majorEastAsia" w:hAnsiTheme="majorEastAsia" w:eastAsiaTheme="majorEastAsia" w:cstheme="majorEastAsia"/>
                <w:b/>
                <w:color w:val="auto"/>
                <w:sz w:val="24"/>
                <w:szCs w:val="24"/>
              </w:rPr>
            </w:pPr>
          </w:p>
          <w:p w14:paraId="24E2BBE0">
            <w:pPr>
              <w:pStyle w:val="36"/>
              <w:keepNext w:val="0"/>
              <w:keepLines w:val="0"/>
              <w:pageBreakBefore w:val="0"/>
              <w:widowControl w:val="0"/>
              <w:kinsoku/>
              <w:wordWrap w:val="0"/>
              <w:overflowPunct/>
              <w:topLinePunct w:val="0"/>
              <w:bidi w:val="0"/>
              <w:snapToGrid/>
              <w:spacing w:line="520" w:lineRule="exact"/>
              <w:ind w:left="0" w:right="0"/>
              <w:jc w:val="center"/>
              <w:rPr>
                <w:rFonts w:hint="eastAsia" w:asciiTheme="majorEastAsia" w:hAnsiTheme="majorEastAsia" w:eastAsiaTheme="majorEastAsia" w:cstheme="majorEastAsia"/>
                <w:color w:val="auto"/>
                <w:sz w:val="24"/>
                <w:szCs w:val="24"/>
              </w:rPr>
            </w:pPr>
          </w:p>
          <w:p w14:paraId="728803CA">
            <w:pPr>
              <w:pStyle w:val="36"/>
              <w:keepNext w:val="0"/>
              <w:keepLines w:val="0"/>
              <w:pageBreakBefore w:val="0"/>
              <w:widowControl w:val="0"/>
              <w:kinsoku/>
              <w:wordWrap w:val="0"/>
              <w:overflowPunct/>
              <w:topLinePunct w:val="0"/>
              <w:bidi w:val="0"/>
              <w:snapToGrid/>
              <w:spacing w:line="520" w:lineRule="exact"/>
              <w:ind w:left="0" w:right="0"/>
              <w:jc w:val="center"/>
              <w:rPr>
                <w:rFonts w:hint="eastAsia" w:asciiTheme="majorEastAsia" w:hAnsiTheme="majorEastAsia" w:eastAsiaTheme="majorEastAsia" w:cstheme="majorEastAsia"/>
                <w:color w:val="auto"/>
                <w:sz w:val="24"/>
                <w:szCs w:val="24"/>
                <w:lang w:eastAsia="zh-CN"/>
              </w:rPr>
            </w:pPr>
            <w:r>
              <w:rPr>
                <w:rFonts w:hint="eastAsia" w:asciiTheme="majorEastAsia" w:hAnsiTheme="majorEastAsia" w:eastAsiaTheme="majorEastAsia" w:cstheme="majorEastAsia"/>
                <w:color w:val="auto"/>
                <w:sz w:val="24"/>
                <w:szCs w:val="24"/>
              </w:rPr>
              <w:t>3.</w:t>
            </w:r>
            <w:r>
              <w:rPr>
                <w:rFonts w:hint="eastAsia" w:asciiTheme="majorEastAsia" w:hAnsiTheme="majorEastAsia" w:eastAsiaTheme="majorEastAsia" w:cstheme="majorEastAsia"/>
                <w:color w:val="auto"/>
                <w:sz w:val="24"/>
                <w:szCs w:val="24"/>
                <w:lang w:val="en-US" w:eastAsia="zh-CN"/>
              </w:rPr>
              <w:t>7</w:t>
            </w:r>
          </w:p>
        </w:tc>
        <w:tc>
          <w:tcPr>
            <w:tcW w:w="2359" w:type="dxa"/>
            <w:vAlign w:val="center"/>
          </w:tcPr>
          <w:p w14:paraId="6A73B30C">
            <w:pPr>
              <w:keepNext w:val="0"/>
              <w:keepLines w:val="0"/>
              <w:pageBreakBefore w:val="0"/>
              <w:widowControl w:val="0"/>
              <w:kinsoku/>
              <w:wordWrap w:val="0"/>
              <w:overflowPunct/>
              <w:topLinePunct w:val="0"/>
              <w:bidi w:val="0"/>
              <w:adjustRightInd w:val="0"/>
              <w:snapToGrid/>
              <w:spacing w:line="520" w:lineRule="exact"/>
              <w:ind w:left="0" w:right="0"/>
              <w:jc w:val="center"/>
              <w:textAlignment w:val="baseline"/>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解释权</w:t>
            </w:r>
          </w:p>
        </w:tc>
        <w:tc>
          <w:tcPr>
            <w:tcW w:w="5861" w:type="dxa"/>
            <w:vAlign w:val="center"/>
          </w:tcPr>
          <w:p w14:paraId="7FE7434E">
            <w:pPr>
              <w:keepNext w:val="0"/>
              <w:keepLines w:val="0"/>
              <w:pageBreakBefore w:val="0"/>
              <w:widowControl w:val="0"/>
              <w:kinsoku/>
              <w:wordWrap w:val="0"/>
              <w:overflowPunct/>
              <w:topLinePunct w:val="0"/>
              <w:bidi w:val="0"/>
              <w:adjustRightInd w:val="0"/>
              <w:snapToGrid/>
              <w:spacing w:line="520" w:lineRule="exact"/>
              <w:ind w:left="0" w:right="0" w:firstLine="240" w:firstLineChars="100"/>
              <w:jc w:val="left"/>
              <w:textAlignment w:val="baseline"/>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构成本磋商文件的各个组成文件应互为解释，互为说明；如有不明确或不一致，按磋商公告、供应商须知、评标办法、响应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r w14:paraId="49EBA8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885" w:type="dxa"/>
            <w:vAlign w:val="center"/>
          </w:tcPr>
          <w:p w14:paraId="0587E7E5">
            <w:pPr>
              <w:pStyle w:val="36"/>
              <w:keepNext w:val="0"/>
              <w:keepLines w:val="0"/>
              <w:pageBreakBefore w:val="0"/>
              <w:widowControl w:val="0"/>
              <w:kinsoku/>
              <w:wordWrap w:val="0"/>
              <w:overflowPunct/>
              <w:topLinePunct w:val="0"/>
              <w:bidi w:val="0"/>
              <w:snapToGrid/>
              <w:spacing w:line="520" w:lineRule="exact"/>
              <w:ind w:left="0" w:right="0"/>
              <w:jc w:val="center"/>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rPr>
              <w:t>3.</w:t>
            </w:r>
            <w:r>
              <w:rPr>
                <w:rFonts w:hint="eastAsia" w:asciiTheme="majorEastAsia" w:hAnsiTheme="majorEastAsia" w:eastAsiaTheme="majorEastAsia" w:cstheme="majorEastAsia"/>
                <w:color w:val="auto"/>
                <w:sz w:val="24"/>
                <w:szCs w:val="24"/>
                <w:lang w:val="en-US" w:eastAsia="zh-CN"/>
              </w:rPr>
              <w:t>8</w:t>
            </w:r>
          </w:p>
        </w:tc>
        <w:tc>
          <w:tcPr>
            <w:tcW w:w="2359" w:type="dxa"/>
            <w:vAlign w:val="center"/>
          </w:tcPr>
          <w:p w14:paraId="6D7CE91E">
            <w:pPr>
              <w:keepNext w:val="0"/>
              <w:keepLines w:val="0"/>
              <w:pageBreakBefore w:val="0"/>
              <w:widowControl w:val="0"/>
              <w:kinsoku/>
              <w:wordWrap w:val="0"/>
              <w:overflowPunct/>
              <w:topLinePunct w:val="0"/>
              <w:bidi w:val="0"/>
              <w:adjustRightInd w:val="0"/>
              <w:snapToGrid/>
              <w:spacing w:line="520" w:lineRule="exact"/>
              <w:ind w:left="0" w:right="0" w:firstLine="480" w:firstLineChars="200"/>
              <w:jc w:val="center"/>
              <w:textAlignment w:val="baseline"/>
              <w:rPr>
                <w:rFonts w:hint="eastAsia" w:asciiTheme="majorEastAsia" w:hAnsiTheme="majorEastAsia" w:eastAsiaTheme="majorEastAsia" w:cstheme="majorEastAsia"/>
                <w:b w:val="0"/>
                <w:bCs w:val="0"/>
                <w:color w:val="auto"/>
                <w:sz w:val="24"/>
                <w:szCs w:val="24"/>
              </w:rPr>
            </w:pPr>
            <w:r>
              <w:rPr>
                <w:rFonts w:hint="eastAsia" w:asciiTheme="majorEastAsia" w:hAnsiTheme="majorEastAsia" w:eastAsiaTheme="majorEastAsia" w:cstheme="majorEastAsia"/>
                <w:b w:val="0"/>
                <w:bCs w:val="0"/>
                <w:color w:val="auto"/>
                <w:sz w:val="24"/>
                <w:szCs w:val="24"/>
              </w:rPr>
              <w:t>报价</w:t>
            </w:r>
          </w:p>
        </w:tc>
        <w:tc>
          <w:tcPr>
            <w:tcW w:w="5861" w:type="dxa"/>
            <w:vAlign w:val="center"/>
          </w:tcPr>
          <w:p w14:paraId="0C18ABB3">
            <w:pPr>
              <w:pStyle w:val="37"/>
              <w:keepNext w:val="0"/>
              <w:keepLines w:val="0"/>
              <w:pageBreakBefore w:val="0"/>
              <w:widowControl w:val="0"/>
              <w:numPr>
                <w:ilvl w:val="0"/>
                <w:numId w:val="1"/>
              </w:numPr>
              <w:kinsoku/>
              <w:wordWrap w:val="0"/>
              <w:overflowPunct/>
              <w:topLinePunct w:val="0"/>
              <w:bidi w:val="0"/>
              <w:snapToGrid/>
              <w:spacing w:before="0" w:line="520" w:lineRule="exact"/>
              <w:ind w:left="0" w:right="0"/>
              <w:jc w:val="left"/>
              <w:outlineLvl w:val="0"/>
              <w:rPr>
                <w:rFonts w:hint="eastAsia" w:asciiTheme="majorEastAsia" w:hAnsiTheme="majorEastAsia" w:eastAsiaTheme="majorEastAsia" w:cstheme="majorEastAsia"/>
                <w:b w:val="0"/>
                <w:bCs w:val="0"/>
                <w:color w:val="auto"/>
                <w:kern w:val="2"/>
                <w:sz w:val="24"/>
                <w:szCs w:val="24"/>
                <w:lang w:val="en-US"/>
              </w:rPr>
            </w:pPr>
            <w:bookmarkStart w:id="20" w:name="_Toc6793"/>
            <w:r>
              <w:rPr>
                <w:rFonts w:hint="eastAsia" w:asciiTheme="majorEastAsia" w:hAnsiTheme="majorEastAsia" w:eastAsiaTheme="majorEastAsia" w:cstheme="majorEastAsia"/>
                <w:b w:val="0"/>
                <w:bCs w:val="0"/>
                <w:color w:val="auto"/>
                <w:kern w:val="2"/>
                <w:sz w:val="24"/>
                <w:szCs w:val="24"/>
                <w:lang w:val="en-US"/>
              </w:rPr>
              <w:t>本次竞争性磋商采取两轮报价：第一轮报价直接填报于磋商响应文件中，综合评标基本完毕后进行第二轮报价。</w:t>
            </w:r>
            <w:bookmarkEnd w:id="20"/>
          </w:p>
          <w:p w14:paraId="0464B596">
            <w:pPr>
              <w:pStyle w:val="37"/>
              <w:keepNext w:val="0"/>
              <w:keepLines w:val="0"/>
              <w:pageBreakBefore w:val="0"/>
              <w:widowControl w:val="0"/>
              <w:numPr>
                <w:ilvl w:val="0"/>
                <w:numId w:val="1"/>
              </w:numPr>
              <w:kinsoku/>
              <w:wordWrap w:val="0"/>
              <w:overflowPunct/>
              <w:topLinePunct w:val="0"/>
              <w:bidi w:val="0"/>
              <w:snapToGrid/>
              <w:spacing w:before="0" w:line="520" w:lineRule="exact"/>
              <w:ind w:left="0" w:right="0"/>
              <w:jc w:val="left"/>
              <w:outlineLvl w:val="0"/>
              <w:rPr>
                <w:rFonts w:hint="eastAsia" w:asciiTheme="majorEastAsia" w:hAnsiTheme="majorEastAsia" w:eastAsiaTheme="majorEastAsia" w:cstheme="majorEastAsia"/>
                <w:b w:val="0"/>
                <w:bCs w:val="0"/>
                <w:color w:val="auto"/>
                <w:sz w:val="24"/>
                <w:szCs w:val="24"/>
              </w:rPr>
            </w:pPr>
            <w:bookmarkStart w:id="21" w:name="_Toc14229"/>
            <w:r>
              <w:rPr>
                <w:rFonts w:hint="eastAsia" w:asciiTheme="majorEastAsia" w:hAnsiTheme="majorEastAsia" w:eastAsiaTheme="majorEastAsia" w:cstheme="majorEastAsia"/>
                <w:b w:val="0"/>
                <w:bCs w:val="0"/>
                <w:color w:val="auto"/>
                <w:kern w:val="2"/>
                <w:sz w:val="24"/>
                <w:szCs w:val="24"/>
                <w:lang w:val="en-US"/>
              </w:rPr>
              <w:t>供应商所报总价包含此项目中</w:t>
            </w:r>
            <w:r>
              <w:rPr>
                <w:rFonts w:hint="eastAsia" w:asciiTheme="majorEastAsia" w:hAnsiTheme="majorEastAsia" w:eastAsiaTheme="majorEastAsia" w:cstheme="majorEastAsia"/>
                <w:b w:val="0"/>
                <w:bCs w:val="0"/>
                <w:color w:val="auto"/>
                <w:kern w:val="2"/>
                <w:sz w:val="24"/>
                <w:szCs w:val="24"/>
                <w:lang w:val="en-US" w:eastAsia="zh-CN"/>
              </w:rPr>
              <w:t>所有服务内容</w:t>
            </w:r>
            <w:r>
              <w:rPr>
                <w:rFonts w:hint="eastAsia" w:asciiTheme="majorEastAsia" w:hAnsiTheme="majorEastAsia" w:eastAsiaTheme="majorEastAsia" w:cstheme="majorEastAsia"/>
                <w:b w:val="0"/>
                <w:bCs w:val="0"/>
                <w:color w:val="auto"/>
                <w:kern w:val="2"/>
                <w:sz w:val="24"/>
                <w:szCs w:val="24"/>
                <w:lang w:val="en-US"/>
              </w:rPr>
              <w:t>、税金、等所有费用。</w:t>
            </w:r>
            <w:bookmarkEnd w:id="21"/>
          </w:p>
          <w:p w14:paraId="632BA32E">
            <w:pPr>
              <w:pStyle w:val="37"/>
              <w:keepNext w:val="0"/>
              <w:keepLines w:val="0"/>
              <w:pageBreakBefore w:val="0"/>
              <w:widowControl w:val="0"/>
              <w:numPr>
                <w:ilvl w:val="0"/>
                <w:numId w:val="1"/>
              </w:numPr>
              <w:kinsoku/>
              <w:wordWrap w:val="0"/>
              <w:overflowPunct/>
              <w:topLinePunct w:val="0"/>
              <w:bidi w:val="0"/>
              <w:snapToGrid/>
              <w:spacing w:before="0" w:line="520" w:lineRule="exact"/>
              <w:ind w:left="0" w:right="0"/>
              <w:jc w:val="left"/>
              <w:outlineLvl w:val="0"/>
              <w:rPr>
                <w:rFonts w:hint="eastAsia" w:asciiTheme="majorEastAsia" w:hAnsiTheme="majorEastAsia" w:eastAsiaTheme="majorEastAsia" w:cstheme="majorEastAsia"/>
                <w:b w:val="0"/>
                <w:bCs w:val="0"/>
                <w:color w:val="auto"/>
                <w:sz w:val="24"/>
                <w:szCs w:val="24"/>
              </w:rPr>
            </w:pPr>
            <w:r>
              <w:rPr>
                <w:rFonts w:hint="eastAsia" w:asciiTheme="majorEastAsia" w:hAnsiTheme="majorEastAsia" w:eastAsiaTheme="majorEastAsia" w:cstheme="majorEastAsia"/>
                <w:b w:val="0"/>
                <w:bCs w:val="0"/>
                <w:color w:val="auto"/>
                <w:sz w:val="24"/>
                <w:szCs w:val="24"/>
                <w:lang w:val="en-US" w:eastAsia="zh-CN"/>
              </w:rPr>
              <w:t>供应商需自行刷新系统准备第二轮报价，代理机构不再通知。</w:t>
            </w:r>
          </w:p>
        </w:tc>
      </w:tr>
      <w:tr w14:paraId="4E4472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45" w:hRule="atLeast"/>
        </w:trPr>
        <w:tc>
          <w:tcPr>
            <w:tcW w:w="885" w:type="dxa"/>
            <w:vAlign w:val="center"/>
          </w:tcPr>
          <w:p w14:paraId="79EBE65A">
            <w:pPr>
              <w:pStyle w:val="36"/>
              <w:keepNext w:val="0"/>
              <w:keepLines w:val="0"/>
              <w:pageBreakBefore w:val="0"/>
              <w:widowControl w:val="0"/>
              <w:kinsoku/>
              <w:wordWrap w:val="0"/>
              <w:overflowPunct/>
              <w:topLinePunct w:val="0"/>
              <w:bidi w:val="0"/>
              <w:snapToGrid/>
              <w:spacing w:line="520" w:lineRule="exact"/>
              <w:ind w:left="0" w:right="0"/>
              <w:jc w:val="center"/>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rPr>
              <w:t>3.</w:t>
            </w:r>
            <w:r>
              <w:rPr>
                <w:rFonts w:hint="eastAsia" w:asciiTheme="majorEastAsia" w:hAnsiTheme="majorEastAsia" w:eastAsiaTheme="majorEastAsia" w:cstheme="majorEastAsia"/>
                <w:color w:val="auto"/>
                <w:sz w:val="24"/>
                <w:szCs w:val="24"/>
                <w:lang w:val="en-US" w:eastAsia="zh-CN"/>
              </w:rPr>
              <w:t>9</w:t>
            </w:r>
          </w:p>
        </w:tc>
        <w:tc>
          <w:tcPr>
            <w:tcW w:w="2359" w:type="dxa"/>
            <w:vAlign w:val="center"/>
          </w:tcPr>
          <w:p w14:paraId="21DD0BBE">
            <w:pPr>
              <w:keepNext w:val="0"/>
              <w:keepLines w:val="0"/>
              <w:pageBreakBefore w:val="0"/>
              <w:widowControl w:val="0"/>
              <w:kinsoku/>
              <w:wordWrap w:val="0"/>
              <w:overflowPunct/>
              <w:topLinePunct w:val="0"/>
              <w:autoSpaceDE w:val="0"/>
              <w:autoSpaceDN w:val="0"/>
              <w:bidi w:val="0"/>
              <w:adjustRightInd w:val="0"/>
              <w:snapToGrid/>
              <w:spacing w:line="520" w:lineRule="exact"/>
              <w:ind w:left="0" w:right="0"/>
              <w:jc w:val="center"/>
              <w:rPr>
                <w:rFonts w:hint="eastAsia" w:asciiTheme="majorEastAsia" w:hAnsiTheme="majorEastAsia" w:eastAsiaTheme="majorEastAsia" w:cstheme="majorEastAsia"/>
                <w:b w:val="0"/>
                <w:bCs w:val="0"/>
                <w:color w:val="auto"/>
                <w:sz w:val="24"/>
                <w:szCs w:val="24"/>
              </w:rPr>
            </w:pPr>
            <w:r>
              <w:rPr>
                <w:rFonts w:hint="eastAsia" w:asciiTheme="majorEastAsia" w:hAnsiTheme="majorEastAsia" w:eastAsiaTheme="majorEastAsia" w:cstheme="majorEastAsia"/>
                <w:b w:val="0"/>
                <w:bCs w:val="0"/>
                <w:color w:val="auto"/>
                <w:sz w:val="24"/>
                <w:szCs w:val="24"/>
              </w:rPr>
              <w:t>磋商响应文件副本份数及其他要求</w:t>
            </w:r>
          </w:p>
        </w:tc>
        <w:tc>
          <w:tcPr>
            <w:tcW w:w="5861" w:type="dxa"/>
            <w:vAlign w:val="center"/>
          </w:tcPr>
          <w:p w14:paraId="745D0C2B">
            <w:pPr>
              <w:pStyle w:val="37"/>
              <w:keepNext w:val="0"/>
              <w:keepLines w:val="0"/>
              <w:pageBreakBefore w:val="0"/>
              <w:widowControl w:val="0"/>
              <w:numPr>
                <w:ilvl w:val="0"/>
                <w:numId w:val="0"/>
              </w:numPr>
              <w:kinsoku/>
              <w:wordWrap w:val="0"/>
              <w:overflowPunct/>
              <w:topLinePunct w:val="0"/>
              <w:bidi w:val="0"/>
              <w:snapToGrid/>
              <w:spacing w:before="0" w:line="520" w:lineRule="exact"/>
              <w:ind w:left="0" w:right="0"/>
              <w:jc w:val="left"/>
              <w:outlineLvl w:val="0"/>
              <w:rPr>
                <w:rFonts w:hint="eastAsia" w:asciiTheme="majorEastAsia" w:hAnsiTheme="majorEastAsia" w:eastAsiaTheme="majorEastAsia" w:cstheme="majorEastAsia"/>
                <w:b w:val="0"/>
                <w:bCs w:val="0"/>
                <w:color w:val="auto"/>
                <w:kern w:val="2"/>
                <w:sz w:val="24"/>
                <w:szCs w:val="24"/>
                <w:lang w:val="en-US"/>
              </w:rPr>
            </w:pPr>
            <w:bookmarkStart w:id="22" w:name="_Toc5535"/>
            <w:r>
              <w:rPr>
                <w:rFonts w:hint="eastAsia" w:asciiTheme="majorEastAsia" w:hAnsiTheme="majorEastAsia" w:eastAsiaTheme="majorEastAsia" w:cstheme="majorEastAsia"/>
                <w:b w:val="0"/>
                <w:bCs w:val="0"/>
                <w:color w:val="auto"/>
                <w:kern w:val="2"/>
                <w:sz w:val="24"/>
                <w:szCs w:val="24"/>
                <w:lang w:val="en-US"/>
              </w:rPr>
              <w:t>1、本项目采用电子招标，根据三门峡市公共资源交易中心系统编制响应文件，供应商需用CA在电子平台上传电子响应文件；</w:t>
            </w:r>
            <w:bookmarkEnd w:id="22"/>
          </w:p>
          <w:p w14:paraId="685AA931">
            <w:pPr>
              <w:pStyle w:val="37"/>
              <w:keepNext w:val="0"/>
              <w:keepLines w:val="0"/>
              <w:pageBreakBefore w:val="0"/>
              <w:widowControl w:val="0"/>
              <w:numPr>
                <w:ilvl w:val="0"/>
                <w:numId w:val="0"/>
              </w:numPr>
              <w:kinsoku/>
              <w:wordWrap w:val="0"/>
              <w:overflowPunct/>
              <w:topLinePunct w:val="0"/>
              <w:bidi w:val="0"/>
              <w:snapToGrid/>
              <w:spacing w:before="0" w:line="520" w:lineRule="exact"/>
              <w:ind w:left="0" w:right="0"/>
              <w:jc w:val="left"/>
              <w:outlineLvl w:val="0"/>
              <w:rPr>
                <w:rFonts w:hint="eastAsia" w:asciiTheme="majorEastAsia" w:hAnsiTheme="majorEastAsia" w:eastAsiaTheme="majorEastAsia" w:cstheme="majorEastAsia"/>
                <w:b w:val="0"/>
                <w:bCs w:val="0"/>
                <w:color w:val="auto"/>
                <w:sz w:val="24"/>
                <w:szCs w:val="24"/>
              </w:rPr>
            </w:pPr>
            <w:bookmarkStart w:id="23" w:name="_Toc30460"/>
            <w:r>
              <w:rPr>
                <w:rFonts w:hint="eastAsia" w:asciiTheme="majorEastAsia" w:hAnsiTheme="majorEastAsia" w:eastAsiaTheme="majorEastAsia" w:cstheme="majorEastAsia"/>
                <w:b w:val="0"/>
                <w:bCs w:val="0"/>
                <w:color w:val="auto"/>
                <w:kern w:val="2"/>
                <w:sz w:val="24"/>
                <w:szCs w:val="24"/>
                <w:lang w:val="en-US"/>
              </w:rPr>
              <w:t>2、开标时不再递交纸质响应文件，中标单位领取成交通知书时提交</w:t>
            </w:r>
            <w:r>
              <w:rPr>
                <w:rFonts w:hint="eastAsia" w:asciiTheme="majorEastAsia" w:hAnsiTheme="majorEastAsia" w:eastAsiaTheme="majorEastAsia" w:cstheme="majorEastAsia"/>
                <w:b w:val="0"/>
                <w:bCs w:val="0"/>
                <w:color w:val="auto"/>
                <w:kern w:val="2"/>
                <w:sz w:val="24"/>
                <w:szCs w:val="24"/>
                <w:lang w:val="en-US" w:eastAsia="zh-CN"/>
              </w:rPr>
              <w:t>贰</w:t>
            </w:r>
            <w:r>
              <w:rPr>
                <w:rFonts w:hint="eastAsia" w:asciiTheme="majorEastAsia" w:hAnsiTheme="majorEastAsia" w:eastAsiaTheme="majorEastAsia" w:cstheme="majorEastAsia"/>
                <w:b w:val="0"/>
                <w:bCs w:val="0"/>
                <w:color w:val="auto"/>
                <w:kern w:val="2"/>
                <w:sz w:val="24"/>
                <w:szCs w:val="24"/>
                <w:lang w:val="en-US"/>
              </w:rPr>
              <w:t>份纸质响应文件，响应文件应按以下要求装订：胶装（不得采用活页装订），应有目录，并逐页标注连续页码，需加盖公章。</w:t>
            </w:r>
            <w:bookmarkEnd w:id="23"/>
          </w:p>
        </w:tc>
      </w:tr>
      <w:tr w14:paraId="7C8BCB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885" w:type="dxa"/>
            <w:vAlign w:val="center"/>
          </w:tcPr>
          <w:p w14:paraId="1C635229">
            <w:pPr>
              <w:pStyle w:val="36"/>
              <w:keepNext w:val="0"/>
              <w:keepLines w:val="0"/>
              <w:pageBreakBefore w:val="0"/>
              <w:widowControl w:val="0"/>
              <w:kinsoku/>
              <w:wordWrap w:val="0"/>
              <w:overflowPunct/>
              <w:topLinePunct w:val="0"/>
              <w:bidi w:val="0"/>
              <w:snapToGrid/>
              <w:spacing w:line="520" w:lineRule="exact"/>
              <w:ind w:left="0" w:right="0"/>
              <w:jc w:val="center"/>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4.0</w:t>
            </w:r>
          </w:p>
        </w:tc>
        <w:tc>
          <w:tcPr>
            <w:tcW w:w="2359" w:type="dxa"/>
            <w:vAlign w:val="center"/>
          </w:tcPr>
          <w:p w14:paraId="5F515FE9">
            <w:pPr>
              <w:keepNext w:val="0"/>
              <w:keepLines w:val="0"/>
              <w:pageBreakBefore w:val="0"/>
              <w:widowControl w:val="0"/>
              <w:kinsoku/>
              <w:wordWrap w:val="0"/>
              <w:overflowPunct/>
              <w:topLinePunct w:val="0"/>
              <w:autoSpaceDE w:val="0"/>
              <w:autoSpaceDN w:val="0"/>
              <w:bidi w:val="0"/>
              <w:adjustRightInd w:val="0"/>
              <w:snapToGrid/>
              <w:spacing w:line="520" w:lineRule="exact"/>
              <w:ind w:left="0" w:right="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电子化交易</w:t>
            </w:r>
          </w:p>
          <w:p w14:paraId="00B6D519">
            <w:pPr>
              <w:keepNext w:val="0"/>
              <w:keepLines w:val="0"/>
              <w:pageBreakBefore w:val="0"/>
              <w:widowControl w:val="0"/>
              <w:kinsoku/>
              <w:wordWrap w:val="0"/>
              <w:overflowPunct/>
              <w:topLinePunct w:val="0"/>
              <w:autoSpaceDE w:val="0"/>
              <w:autoSpaceDN w:val="0"/>
              <w:bidi w:val="0"/>
              <w:adjustRightInd w:val="0"/>
              <w:snapToGrid/>
              <w:spacing w:line="520" w:lineRule="exact"/>
              <w:ind w:left="0" w:right="0"/>
              <w:jc w:val="center"/>
              <w:rPr>
                <w:rFonts w:hint="eastAsia" w:asciiTheme="majorEastAsia" w:hAnsiTheme="majorEastAsia" w:eastAsiaTheme="majorEastAsia" w:cstheme="majorEastAsia"/>
                <w:color w:val="auto"/>
                <w:kern w:val="0"/>
                <w:sz w:val="24"/>
                <w:szCs w:val="24"/>
                <w:lang w:val="zh-CN" w:eastAsia="zh-CN" w:bidi="zh-CN"/>
              </w:rPr>
            </w:pPr>
            <w:r>
              <w:rPr>
                <w:rFonts w:hint="eastAsia" w:asciiTheme="majorEastAsia" w:hAnsiTheme="majorEastAsia" w:eastAsiaTheme="majorEastAsia" w:cstheme="majorEastAsia"/>
                <w:color w:val="auto"/>
                <w:sz w:val="24"/>
                <w:szCs w:val="24"/>
              </w:rPr>
              <w:t>注意事项</w:t>
            </w:r>
          </w:p>
        </w:tc>
        <w:tc>
          <w:tcPr>
            <w:tcW w:w="5861" w:type="dxa"/>
            <w:vAlign w:val="center"/>
          </w:tcPr>
          <w:p w14:paraId="022222A2">
            <w:pPr>
              <w:keepNext w:val="0"/>
              <w:keepLines w:val="0"/>
              <w:pageBreakBefore w:val="0"/>
              <w:widowControl w:val="0"/>
              <w:kinsoku/>
              <w:wordWrap w:val="0"/>
              <w:overflowPunct/>
              <w:topLinePunct w:val="0"/>
              <w:bidi w:val="0"/>
              <w:snapToGrid/>
              <w:spacing w:line="520" w:lineRule="exact"/>
              <w:ind w:left="0" w:right="0"/>
              <w:jc w:val="lef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本项目为电子化交易项目，磋商响应文件是供应商、供应商（以下简称“供应商”）通过中心磋商响应文件制作系统制作，并经过电子签章和加密后生成的电子版磋商响应文件。供应商投标时，不须提交纸质文件资料。</w:t>
            </w:r>
          </w:p>
          <w:p w14:paraId="29A19B71">
            <w:pPr>
              <w:keepNext w:val="0"/>
              <w:keepLines w:val="0"/>
              <w:pageBreakBefore w:val="0"/>
              <w:widowControl w:val="0"/>
              <w:kinsoku/>
              <w:wordWrap w:val="0"/>
              <w:overflowPunct/>
              <w:topLinePunct w:val="0"/>
              <w:bidi w:val="0"/>
              <w:snapToGrid/>
              <w:spacing w:line="520" w:lineRule="exact"/>
              <w:ind w:left="0" w:right="0"/>
              <w:jc w:val="lef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电子化磋商响应文件具体制作教材请供应商通过CA证书登录三门峡市公共资源电子化交易系统在 “交易智库”中下载操作流程</w:t>
            </w:r>
          </w:p>
          <w:p w14:paraId="6B7A7B6C">
            <w:pPr>
              <w:keepNext w:val="0"/>
              <w:keepLines w:val="0"/>
              <w:pageBreakBefore w:val="0"/>
              <w:widowControl w:val="0"/>
              <w:kinsoku/>
              <w:wordWrap w:val="0"/>
              <w:overflowPunct/>
              <w:topLinePunct w:val="0"/>
              <w:bidi w:val="0"/>
              <w:snapToGrid/>
              <w:spacing w:line="520" w:lineRule="exact"/>
              <w:ind w:left="0" w:right="0"/>
              <w:jc w:val="lef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温馨提示：本项目为电子化、无纸化交易项目，投标时不接受任何纸质资料，为保证您能投标成功，请需仔细阅读以下条款。</w:t>
            </w:r>
          </w:p>
          <w:p w14:paraId="0B90A0F6">
            <w:pPr>
              <w:keepNext w:val="0"/>
              <w:keepLines w:val="0"/>
              <w:pageBreakBefore w:val="0"/>
              <w:widowControl w:val="0"/>
              <w:kinsoku/>
              <w:wordWrap w:val="0"/>
              <w:overflowPunct/>
              <w:topLinePunct w:val="0"/>
              <w:bidi w:val="0"/>
              <w:snapToGrid/>
              <w:spacing w:line="520" w:lineRule="exact"/>
              <w:ind w:left="0" w:right="0"/>
              <w:jc w:val="lef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一、电子化投标</w:t>
            </w:r>
          </w:p>
          <w:p w14:paraId="78559980">
            <w:pPr>
              <w:keepNext w:val="0"/>
              <w:keepLines w:val="0"/>
              <w:pageBreakBefore w:val="0"/>
              <w:widowControl w:val="0"/>
              <w:kinsoku/>
              <w:wordWrap w:val="0"/>
              <w:overflowPunct/>
              <w:topLinePunct w:val="0"/>
              <w:bidi w:val="0"/>
              <w:snapToGrid/>
              <w:spacing w:line="520" w:lineRule="exact"/>
              <w:ind w:left="0" w:right="0"/>
              <w:jc w:val="lef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（一）电子化磋商响应文件的签章</w:t>
            </w:r>
          </w:p>
          <w:p w14:paraId="31C3EA82">
            <w:pPr>
              <w:keepNext w:val="0"/>
              <w:keepLines w:val="0"/>
              <w:pageBreakBefore w:val="0"/>
              <w:widowControl w:val="0"/>
              <w:kinsoku/>
              <w:wordWrap w:val="0"/>
              <w:overflowPunct/>
              <w:topLinePunct w:val="0"/>
              <w:bidi w:val="0"/>
              <w:snapToGrid/>
              <w:spacing w:line="520" w:lineRule="exact"/>
              <w:ind w:left="0" w:right="0"/>
              <w:jc w:val="lef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1、供应商在生成电子化磋商响应文件后，应对电子化磋商响应文件进行签章，未进行签章的视为无效投标。</w:t>
            </w:r>
          </w:p>
          <w:p w14:paraId="6A7BB100">
            <w:pPr>
              <w:keepNext w:val="0"/>
              <w:keepLines w:val="0"/>
              <w:pageBreakBefore w:val="0"/>
              <w:widowControl w:val="0"/>
              <w:kinsoku/>
              <w:wordWrap w:val="0"/>
              <w:overflowPunct/>
              <w:topLinePunct w:val="0"/>
              <w:bidi w:val="0"/>
              <w:snapToGrid/>
              <w:spacing w:line="520" w:lineRule="exact"/>
              <w:ind w:left="0" w:right="0"/>
              <w:jc w:val="lef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磋商响应文件中要求法定代表人或授权委托人签字或盖章的，供应商在进行电子化磋商响应文件签章时，以签盖法定代表人签章为准。电子化磋商响应文件具体制作教材请供应商通过CA证书登录三门峡市公共资源电子化交易系统在右上角“交易智库”中查看。电子化磋商响应文件工具请点击http://t.cn/A6ZvtVob进行下载。</w:t>
            </w:r>
          </w:p>
          <w:p w14:paraId="562173C3">
            <w:pPr>
              <w:keepNext w:val="0"/>
              <w:keepLines w:val="0"/>
              <w:pageBreakBefore w:val="0"/>
              <w:widowControl w:val="0"/>
              <w:kinsoku/>
              <w:wordWrap w:val="0"/>
              <w:overflowPunct/>
              <w:topLinePunct w:val="0"/>
              <w:bidi w:val="0"/>
              <w:snapToGrid/>
              <w:spacing w:line="520" w:lineRule="exact"/>
              <w:ind w:left="0" w:right="0"/>
              <w:jc w:val="lef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（二）电子化磋商响应文件的格式及上传投标</w:t>
            </w:r>
          </w:p>
          <w:p w14:paraId="66208451">
            <w:pPr>
              <w:keepNext w:val="0"/>
              <w:keepLines w:val="0"/>
              <w:pageBreakBefore w:val="0"/>
              <w:widowControl w:val="0"/>
              <w:kinsoku/>
              <w:wordWrap w:val="0"/>
              <w:overflowPunct/>
              <w:topLinePunct w:val="0"/>
              <w:bidi w:val="0"/>
              <w:snapToGrid/>
              <w:spacing w:line="520" w:lineRule="exact"/>
              <w:ind w:left="0" w:right="0"/>
              <w:jc w:val="lef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供应商所上传的电子化磋商响应文件，应是通过中心磋商响应文件制作系统制作的（磋商响应文件制作工具下载地址：http://t.cn/A6ZvtVob），经过签章和加密后生成的电子版磋商响应文件。其中包含用于磋商响应文件上传的主文件（后缀为.smxtf）和用于应急补救的磋商响应文件备份文件（后缀为.nsmxtf）。备份文件主要用于电子化开标出现技术问题后的补救，请供应商随身携带。</w:t>
            </w:r>
          </w:p>
          <w:p w14:paraId="452E6B72">
            <w:pPr>
              <w:keepNext w:val="0"/>
              <w:keepLines w:val="0"/>
              <w:pageBreakBefore w:val="0"/>
              <w:widowControl w:val="0"/>
              <w:kinsoku/>
              <w:wordWrap w:val="0"/>
              <w:overflowPunct/>
              <w:topLinePunct w:val="0"/>
              <w:bidi w:val="0"/>
              <w:snapToGrid/>
              <w:spacing w:line="520" w:lineRule="exact"/>
              <w:ind w:left="0" w:right="0"/>
              <w:jc w:val="lef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注：供应商投报多个标段的，需要每个标段单独制作电子磋商响应文件。</w:t>
            </w:r>
          </w:p>
          <w:p w14:paraId="3E4027BB">
            <w:pPr>
              <w:keepNext w:val="0"/>
              <w:keepLines w:val="0"/>
              <w:pageBreakBefore w:val="0"/>
              <w:widowControl w:val="0"/>
              <w:kinsoku/>
              <w:wordWrap w:val="0"/>
              <w:overflowPunct/>
              <w:topLinePunct w:val="0"/>
              <w:autoSpaceDE/>
              <w:autoSpaceDN/>
              <w:bidi w:val="0"/>
              <w:adjustRightInd/>
              <w:snapToGrid/>
              <w:spacing w:line="520" w:lineRule="exact"/>
              <w:ind w:left="0" w:right="0"/>
              <w:jc w:val="left"/>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2、电子化磋商响应文件应在投标截止时间前成功上传至三门峡市公共资源电子化交易系统。至投标截止时间止，仍未上传成功的电子化磋商响应文件将不予接收。</w:t>
            </w:r>
          </w:p>
          <w:p w14:paraId="3B272C3D">
            <w:pPr>
              <w:keepNext w:val="0"/>
              <w:keepLines w:val="0"/>
              <w:pageBreakBefore w:val="0"/>
              <w:widowControl w:val="0"/>
              <w:kinsoku/>
              <w:wordWrap w:val="0"/>
              <w:overflowPunct/>
              <w:topLinePunct w:val="0"/>
              <w:autoSpaceDE/>
              <w:autoSpaceDN/>
              <w:bidi w:val="0"/>
              <w:adjustRightInd/>
              <w:snapToGrid/>
              <w:spacing w:line="520" w:lineRule="exact"/>
              <w:ind w:left="0" w:right="0"/>
              <w:jc w:val="left"/>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注：如按照电子化投标操作教材制作完成的电子化磋商响应文件无法上传的，供应商应在投标截止时间前尽早的联系中心技术人员，以便有充分的时间进行处理。供应商应充分考虑到处理技术问题和上传数据等工作所需的时间问题，磋商响应文件未在投标截止时间前成功上传的，其磋商响应文件不予接收。</w:t>
            </w:r>
          </w:p>
          <w:p w14:paraId="66D88A9F">
            <w:pPr>
              <w:keepNext w:val="0"/>
              <w:keepLines w:val="0"/>
              <w:pageBreakBefore w:val="0"/>
              <w:widowControl w:val="0"/>
              <w:kinsoku/>
              <w:wordWrap w:val="0"/>
              <w:overflowPunct/>
              <w:topLinePunct w:val="0"/>
              <w:autoSpaceDE/>
              <w:autoSpaceDN/>
              <w:bidi w:val="0"/>
              <w:adjustRightInd/>
              <w:snapToGrid/>
              <w:spacing w:line="520" w:lineRule="exact"/>
              <w:ind w:left="0" w:right="0"/>
              <w:jc w:val="left"/>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技术联系电话：400-998-0000</w:t>
            </w:r>
          </w:p>
          <w:p w14:paraId="1F3B418F">
            <w:pPr>
              <w:keepNext w:val="0"/>
              <w:keepLines w:val="0"/>
              <w:pageBreakBefore w:val="0"/>
              <w:widowControl w:val="0"/>
              <w:kinsoku/>
              <w:wordWrap w:val="0"/>
              <w:overflowPunct/>
              <w:topLinePunct w:val="0"/>
              <w:autoSpaceDE/>
              <w:autoSpaceDN/>
              <w:bidi w:val="0"/>
              <w:adjustRightInd/>
              <w:snapToGrid/>
              <w:spacing w:line="520" w:lineRule="exact"/>
              <w:ind w:left="0" w:right="0"/>
              <w:jc w:val="left"/>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（三）电子化项目开标、解密、唱标、评标</w:t>
            </w:r>
          </w:p>
          <w:p w14:paraId="04CFB591">
            <w:pPr>
              <w:keepNext w:val="0"/>
              <w:keepLines w:val="0"/>
              <w:pageBreakBefore w:val="0"/>
              <w:widowControl w:val="0"/>
              <w:kinsoku/>
              <w:wordWrap w:val="0"/>
              <w:overflowPunct/>
              <w:topLinePunct w:val="0"/>
              <w:autoSpaceDE/>
              <w:autoSpaceDN/>
              <w:bidi w:val="0"/>
              <w:adjustRightInd/>
              <w:snapToGrid/>
              <w:spacing w:line="520" w:lineRule="exact"/>
              <w:ind w:left="0" w:right="0"/>
              <w:jc w:val="left"/>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本项目采用电子化、无纸化进行招标，开标当日，供应商无需到开标现场参加开标会议，供应商应当在投标截止时间前，登陆不见面开标大厅选择登陆三门峡市公共资源电子招投标系统进行登陆,在线准时参加开标活动并进行磋商响应文件解密等。</w:t>
            </w:r>
          </w:p>
          <w:p w14:paraId="73659F9F">
            <w:pPr>
              <w:keepNext w:val="0"/>
              <w:keepLines w:val="0"/>
              <w:pageBreakBefore w:val="0"/>
              <w:widowControl w:val="0"/>
              <w:kinsoku/>
              <w:wordWrap w:val="0"/>
              <w:overflowPunct/>
              <w:topLinePunct w:val="0"/>
              <w:autoSpaceDE/>
              <w:autoSpaceDN/>
              <w:bidi w:val="0"/>
              <w:adjustRightInd/>
              <w:snapToGrid/>
              <w:spacing w:line="520" w:lineRule="exact"/>
              <w:ind w:left="0" w:right="0"/>
              <w:jc w:val="left"/>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2、电子化磋商响应文件采用一次加密方式。开标时，由供应商使用CA 证书，在规定时间内对其电子化磋商响应文件进行解密。每位供应商的解密时间为开标时间起30分钟内，如在规定时间内未完成解密的，其磋商响应文件不予开标、唱标。</w:t>
            </w:r>
          </w:p>
          <w:p w14:paraId="396252E6">
            <w:pPr>
              <w:keepNext w:val="0"/>
              <w:keepLines w:val="0"/>
              <w:pageBreakBefore w:val="0"/>
              <w:widowControl w:val="0"/>
              <w:kinsoku/>
              <w:wordWrap w:val="0"/>
              <w:overflowPunct/>
              <w:topLinePunct w:val="0"/>
              <w:bidi w:val="0"/>
              <w:snapToGrid/>
              <w:spacing w:line="520" w:lineRule="exact"/>
              <w:ind w:left="0" w:right="0"/>
              <w:jc w:val="lef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3、电子化磋商响应文件解密异常的处理</w:t>
            </w:r>
          </w:p>
          <w:p w14:paraId="6035C5D5">
            <w:pPr>
              <w:keepNext w:val="0"/>
              <w:keepLines w:val="0"/>
              <w:pageBreakBefore w:val="0"/>
              <w:widowControl w:val="0"/>
              <w:kinsoku/>
              <w:wordWrap w:val="0"/>
              <w:overflowPunct/>
              <w:topLinePunct w:val="0"/>
              <w:bidi w:val="0"/>
              <w:snapToGrid/>
              <w:spacing w:line="520" w:lineRule="exact"/>
              <w:ind w:left="0" w:right="0"/>
              <w:jc w:val="lef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如出现供应商的电子磋商响应文件无法解密等异常情况，磋商响应文件异常，按以下步骤进行处理：</w:t>
            </w:r>
          </w:p>
          <w:p w14:paraId="51A1FC04">
            <w:pPr>
              <w:keepNext w:val="0"/>
              <w:keepLines w:val="0"/>
              <w:pageBreakBefore w:val="0"/>
              <w:widowControl w:val="0"/>
              <w:kinsoku/>
              <w:wordWrap w:val="0"/>
              <w:overflowPunct/>
              <w:topLinePunct w:val="0"/>
              <w:bidi w:val="0"/>
              <w:snapToGrid/>
              <w:spacing w:line="520" w:lineRule="exact"/>
              <w:ind w:left="0" w:right="0"/>
              <w:jc w:val="lef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（1）首先由技术人员进行问题排查。</w:t>
            </w:r>
          </w:p>
          <w:p w14:paraId="30E26DB3">
            <w:pPr>
              <w:keepNext w:val="0"/>
              <w:keepLines w:val="0"/>
              <w:pageBreakBefore w:val="0"/>
              <w:widowControl w:val="0"/>
              <w:kinsoku/>
              <w:wordWrap w:val="0"/>
              <w:overflowPunct/>
              <w:topLinePunct w:val="0"/>
              <w:bidi w:val="0"/>
              <w:snapToGrid/>
              <w:spacing w:line="520" w:lineRule="exact"/>
              <w:ind w:left="0" w:right="0"/>
              <w:jc w:val="lef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（2）经技术人员排查后，是供应商文件自身问题导致磋商响应文件无法解密的，该磋商响应文件将不予接收、解密和唱标。开标会议继续进行。</w:t>
            </w:r>
          </w:p>
          <w:p w14:paraId="30DF1718">
            <w:pPr>
              <w:keepNext w:val="0"/>
              <w:keepLines w:val="0"/>
              <w:pageBreakBefore w:val="0"/>
              <w:widowControl w:val="0"/>
              <w:kinsoku/>
              <w:wordWrap w:val="0"/>
              <w:overflowPunct/>
              <w:topLinePunct w:val="0"/>
              <w:bidi w:val="0"/>
              <w:snapToGrid/>
              <w:spacing w:line="520" w:lineRule="exact"/>
              <w:ind w:left="0" w:right="0"/>
              <w:jc w:val="lef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3）经技术人员排查后，如果是电子化交易系统问题造成磋商响应文件无法解密的，将由技术人员对问题进行处理。如短时间内问题无法解决的，将由中介服务机构向监督部门申请，经监督部门同意后，暂停开标会议，待问题解决后继续开标。</w:t>
            </w:r>
          </w:p>
          <w:p w14:paraId="402A2BF6">
            <w:pPr>
              <w:keepNext w:val="0"/>
              <w:keepLines w:val="0"/>
              <w:pageBreakBefore w:val="0"/>
              <w:widowControl w:val="0"/>
              <w:kinsoku/>
              <w:wordWrap w:val="0"/>
              <w:overflowPunct/>
              <w:topLinePunct w:val="0"/>
              <w:bidi w:val="0"/>
              <w:snapToGrid/>
              <w:spacing w:line="520" w:lineRule="exact"/>
              <w:ind w:left="0" w:right="0"/>
              <w:jc w:val="lef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4、待所有供应商磋商响应文件解密完成后，由中介服务机构操作，对所有已解密磋商响应文件进行唱标。</w:t>
            </w:r>
          </w:p>
          <w:p w14:paraId="0B9A8BA7">
            <w:pPr>
              <w:keepNext w:val="0"/>
              <w:keepLines w:val="0"/>
              <w:pageBreakBefore w:val="0"/>
              <w:widowControl w:val="0"/>
              <w:kinsoku/>
              <w:wordWrap w:val="0"/>
              <w:overflowPunct/>
              <w:topLinePunct w:val="0"/>
              <w:bidi w:val="0"/>
              <w:snapToGrid/>
              <w:spacing w:line="520" w:lineRule="exact"/>
              <w:ind w:left="0" w:right="0"/>
              <w:jc w:val="lef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供应商应保证在开标期间电话、电脑、网络能够正常工作，供应商因停电、电脑病毒、网络堵塞等原因，未在规定的解密时间内对磋商响应文件进行解密的，其磋商响应文件不予接收、唱标。</w:t>
            </w:r>
          </w:p>
          <w:p w14:paraId="362C1111">
            <w:pPr>
              <w:keepNext w:val="0"/>
              <w:keepLines w:val="0"/>
              <w:pageBreakBefore w:val="0"/>
              <w:widowControl w:val="0"/>
              <w:kinsoku/>
              <w:wordWrap w:val="0"/>
              <w:overflowPunct/>
              <w:topLinePunct w:val="0"/>
              <w:bidi w:val="0"/>
              <w:snapToGrid/>
              <w:spacing w:line="520" w:lineRule="exact"/>
              <w:ind w:left="0" w:right="0"/>
              <w:jc w:val="lef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5、</w:t>
            </w:r>
            <w:r>
              <w:rPr>
                <w:rFonts w:hint="eastAsia" w:asciiTheme="majorEastAsia" w:hAnsiTheme="majorEastAsia" w:eastAsiaTheme="majorEastAsia" w:cstheme="majorEastAsia"/>
                <w:color w:val="auto"/>
                <w:sz w:val="24"/>
                <w:szCs w:val="24"/>
                <w:highlight w:val="none"/>
                <w:lang w:val="en-US" w:eastAsia="zh-CN"/>
              </w:rPr>
              <w:t>开标时投标人可登录到交易系统中在开标解密栏中点击报价一览表查看自己的投标报价。如对自己的唱标内容有异议的，应在投标人解密成功后10分钟内向中服务机构通过开标大厅对话框提出质疑。中介服务机构应在监督人员的监督下接受投标人的质疑通过开标大厅对话框进行答复并做好书面记录。供应商未在规定时间内提出质疑的，视为认可唱标内容。</w:t>
            </w:r>
          </w:p>
          <w:p w14:paraId="1DE27A44">
            <w:pPr>
              <w:keepNext w:val="0"/>
              <w:keepLines w:val="0"/>
              <w:pageBreakBefore w:val="0"/>
              <w:widowControl w:val="0"/>
              <w:kinsoku/>
              <w:wordWrap w:val="0"/>
              <w:overflowPunct/>
              <w:topLinePunct w:val="0"/>
              <w:bidi w:val="0"/>
              <w:snapToGrid/>
              <w:spacing w:line="520" w:lineRule="exact"/>
              <w:ind w:left="0" w:right="0"/>
              <w:jc w:val="lef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6、评标时，评标委员会对电子化磋商响应文件有质疑的，将通过电子化交易系统对供应商发起质疑，供应商的回复文件必须以经过供应商和其法定代表人签章的PDF格式文件为准，并通过电子化交易系统提交至</w:t>
            </w:r>
            <w:r>
              <w:rPr>
                <w:rFonts w:hint="eastAsia" w:asciiTheme="majorEastAsia" w:hAnsiTheme="majorEastAsia" w:eastAsiaTheme="majorEastAsia" w:cstheme="majorEastAsia"/>
                <w:color w:val="auto"/>
                <w:sz w:val="24"/>
                <w:szCs w:val="24"/>
                <w:highlight w:val="none"/>
                <w:lang w:val="en-US" w:eastAsia="zh-CN"/>
              </w:rPr>
              <w:t>磋商小组</w:t>
            </w:r>
            <w:r>
              <w:rPr>
                <w:rFonts w:hint="eastAsia" w:asciiTheme="majorEastAsia" w:hAnsiTheme="majorEastAsia" w:eastAsiaTheme="majorEastAsia" w:cstheme="majorEastAsia"/>
                <w:color w:val="auto"/>
                <w:sz w:val="24"/>
                <w:szCs w:val="24"/>
                <w:highlight w:val="none"/>
              </w:rPr>
              <w:t>。</w:t>
            </w:r>
          </w:p>
          <w:p w14:paraId="5709E723">
            <w:pPr>
              <w:keepNext w:val="0"/>
              <w:keepLines w:val="0"/>
              <w:pageBreakBefore w:val="0"/>
              <w:widowControl w:val="0"/>
              <w:kinsoku/>
              <w:wordWrap w:val="0"/>
              <w:overflowPunct/>
              <w:topLinePunct w:val="0"/>
              <w:bidi w:val="0"/>
              <w:snapToGrid/>
              <w:spacing w:line="520" w:lineRule="exact"/>
              <w:ind w:left="0" w:right="0"/>
              <w:jc w:val="lef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7、</w:t>
            </w:r>
            <w:r>
              <w:rPr>
                <w:rFonts w:hint="eastAsia" w:asciiTheme="majorEastAsia" w:hAnsiTheme="majorEastAsia" w:eastAsiaTheme="majorEastAsia" w:cstheme="majorEastAsia"/>
                <w:color w:val="auto"/>
                <w:sz w:val="24"/>
                <w:szCs w:val="24"/>
                <w:highlight w:val="none"/>
                <w:lang w:val="en-US" w:eastAsia="zh-CN"/>
              </w:rPr>
              <w:t>各供应商在会员系统中收到有关二次报价信息后，必须在规定时间内给出答复，并在签章后提交，采购人及采购代理机构不再电话通知。需要回复的响应人在规定的时间内未回复的，视为响应人放弃回复，评标委员会将自行对需要回复的内容进行认定。</w:t>
            </w:r>
          </w:p>
          <w:p w14:paraId="0974E7E9">
            <w:pPr>
              <w:keepNext w:val="0"/>
              <w:keepLines w:val="0"/>
              <w:pageBreakBefore w:val="0"/>
              <w:widowControl w:val="0"/>
              <w:kinsoku/>
              <w:wordWrap w:val="0"/>
              <w:overflowPunct/>
              <w:topLinePunct w:val="0"/>
              <w:bidi w:val="0"/>
              <w:snapToGrid/>
              <w:spacing w:line="520" w:lineRule="exact"/>
              <w:ind w:left="0" w:right="0"/>
              <w:jc w:val="lef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二、相关证书原件的提交</w:t>
            </w:r>
          </w:p>
          <w:p w14:paraId="40F4D552">
            <w:pPr>
              <w:keepNext w:val="0"/>
              <w:keepLines w:val="0"/>
              <w:pageBreakBefore w:val="0"/>
              <w:widowControl w:val="0"/>
              <w:kinsoku/>
              <w:wordWrap w:val="0"/>
              <w:overflowPunct/>
              <w:topLinePunct w:val="0"/>
              <w:bidi w:val="0"/>
              <w:snapToGrid/>
              <w:spacing w:line="520" w:lineRule="exact"/>
              <w:ind w:left="0" w:right="0"/>
              <w:jc w:val="lef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本项目实行资格后审，磋商响应文件中要求供应商提交资质、业绩、荣誉及单位人员等相关资料原件的，供应商需将原件扫描件制作到电子磋商响应文件中。</w:t>
            </w:r>
          </w:p>
          <w:p w14:paraId="40BC8B42">
            <w:pPr>
              <w:keepNext w:val="0"/>
              <w:keepLines w:val="0"/>
              <w:pageBreakBefore w:val="0"/>
              <w:widowControl w:val="0"/>
              <w:kinsoku/>
              <w:wordWrap w:val="0"/>
              <w:overflowPunct/>
              <w:topLinePunct w:val="0"/>
              <w:bidi w:val="0"/>
              <w:snapToGrid/>
              <w:spacing w:line="520" w:lineRule="exact"/>
              <w:ind w:left="0" w:right="0"/>
              <w:jc w:val="lef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供应商应及时完善主体库。</w:t>
            </w:r>
          </w:p>
          <w:p w14:paraId="0E358FD5">
            <w:pPr>
              <w:keepNext w:val="0"/>
              <w:keepLines w:val="0"/>
              <w:pageBreakBefore w:val="0"/>
              <w:widowControl w:val="0"/>
              <w:kinsoku/>
              <w:wordWrap w:val="0"/>
              <w:overflowPunct/>
              <w:topLinePunct w:val="0"/>
              <w:bidi w:val="0"/>
              <w:snapToGrid/>
              <w:spacing w:line="520" w:lineRule="exact"/>
              <w:ind w:left="0" w:right="0"/>
              <w:jc w:val="left"/>
              <w:rPr>
                <w:rFonts w:hint="eastAsia" w:asciiTheme="majorEastAsia" w:hAnsiTheme="majorEastAsia" w:eastAsiaTheme="majorEastAsia" w:cstheme="majorEastAsia"/>
                <w:color w:val="auto"/>
                <w:sz w:val="24"/>
                <w:szCs w:val="24"/>
                <w:lang w:val="en-US" w:eastAsia="zh-CN" w:bidi="zh-CN"/>
              </w:rPr>
            </w:pPr>
            <w:r>
              <w:rPr>
                <w:rFonts w:hint="eastAsia" w:asciiTheme="majorEastAsia" w:hAnsiTheme="majorEastAsia" w:eastAsiaTheme="majorEastAsia" w:cstheme="majorEastAsia"/>
                <w:color w:val="auto"/>
                <w:sz w:val="24"/>
                <w:szCs w:val="24"/>
                <w:highlight w:val="none"/>
              </w:rPr>
              <w:t>（二）项目评标结果公示时，将同时公示中标候选人主体库信息，接受社会监督。</w:t>
            </w:r>
          </w:p>
        </w:tc>
      </w:tr>
    </w:tbl>
    <w:p w14:paraId="7CCF7509">
      <w:pPr>
        <w:pStyle w:val="8"/>
        <w:spacing w:before="3"/>
        <w:ind w:left="0"/>
        <w:rPr>
          <w:b/>
          <w:color w:val="auto"/>
          <w:sz w:val="6"/>
        </w:rPr>
      </w:pPr>
    </w:p>
    <w:p w14:paraId="5DDDBB9C">
      <w:pPr>
        <w:pStyle w:val="5"/>
        <w:spacing w:before="66"/>
        <w:ind w:left="0" w:right="105"/>
        <w:jc w:val="both"/>
        <w:outlineLvl w:val="9"/>
        <w:rPr>
          <w:color w:val="auto"/>
        </w:rPr>
        <w:sectPr>
          <w:footerReference r:id="rId5" w:type="default"/>
          <w:pgSz w:w="11910" w:h="16840"/>
          <w:pgMar w:top="1440" w:right="1800" w:bottom="1440" w:left="1800" w:header="0" w:footer="640" w:gutter="0"/>
          <w:pgNumType w:fmt="decimal" w:start="1"/>
          <w:cols w:space="720" w:num="1"/>
        </w:sectPr>
      </w:pPr>
    </w:p>
    <w:p w14:paraId="6DF5E3D1">
      <w:pPr>
        <w:pStyle w:val="5"/>
        <w:keepNext w:val="0"/>
        <w:keepLines w:val="0"/>
        <w:pageBreakBefore w:val="0"/>
        <w:widowControl w:val="0"/>
        <w:kinsoku/>
        <w:wordWrap/>
        <w:overflowPunct/>
        <w:topLinePunct w:val="0"/>
        <w:bidi w:val="0"/>
        <w:adjustRightInd/>
        <w:snapToGrid/>
        <w:spacing w:before="244" w:line="480" w:lineRule="exact"/>
        <w:ind w:left="320"/>
        <w:jc w:val="center"/>
        <w:textAlignment w:val="auto"/>
        <w:rPr>
          <w:color w:val="auto"/>
        </w:rPr>
      </w:pPr>
      <w:r>
        <w:rPr>
          <w:color w:val="auto"/>
        </w:rPr>
        <w:t>供应商须知</w:t>
      </w:r>
    </w:p>
    <w:p w14:paraId="336C3A1C">
      <w:pPr>
        <w:pStyle w:val="37"/>
        <w:keepNext w:val="0"/>
        <w:keepLines w:val="0"/>
        <w:pageBreakBefore w:val="0"/>
        <w:widowControl w:val="0"/>
        <w:kinsoku/>
        <w:wordWrap w:val="0"/>
        <w:overflowPunct/>
        <w:topLinePunct w:val="0"/>
        <w:autoSpaceDE w:val="0"/>
        <w:autoSpaceDN w:val="0"/>
        <w:bidi w:val="0"/>
        <w:adjustRightInd/>
        <w:snapToGrid/>
        <w:spacing w:before="0" w:line="480" w:lineRule="exact"/>
        <w:ind w:left="0" w:right="0" w:firstLine="482" w:firstLineChars="200"/>
        <w:jc w:val="left"/>
        <w:textAlignment w:val="auto"/>
        <w:outlineLvl w:val="0"/>
        <w:rPr>
          <w:rFonts w:ascii="宋体" w:hAnsi="宋体"/>
          <w:b/>
          <w:bCs/>
          <w:color w:val="auto"/>
          <w:sz w:val="24"/>
          <w:szCs w:val="24"/>
        </w:rPr>
      </w:pPr>
      <w:bookmarkStart w:id="24" w:name="_Toc455080108"/>
      <w:bookmarkStart w:id="25" w:name="_Toc21223"/>
      <w:bookmarkStart w:id="26" w:name="_Toc22449"/>
      <w:bookmarkStart w:id="27" w:name="_Toc487498474"/>
      <w:bookmarkStart w:id="28" w:name="_Toc488504474"/>
      <w:bookmarkStart w:id="29" w:name="_Toc7628"/>
      <w:bookmarkStart w:id="30" w:name="_Toc20123_WPSOffice_Level2"/>
      <w:r>
        <w:rPr>
          <w:rFonts w:hint="eastAsia" w:ascii="宋体" w:hAnsi="宋体"/>
          <w:b/>
          <w:bCs/>
          <w:color w:val="auto"/>
          <w:sz w:val="24"/>
          <w:szCs w:val="24"/>
        </w:rPr>
        <w:t>1. 总则</w:t>
      </w:r>
      <w:bookmarkEnd w:id="24"/>
      <w:bookmarkEnd w:id="25"/>
      <w:bookmarkEnd w:id="26"/>
      <w:bookmarkEnd w:id="27"/>
      <w:bookmarkEnd w:id="28"/>
      <w:bookmarkEnd w:id="29"/>
      <w:bookmarkEnd w:id="30"/>
    </w:p>
    <w:p w14:paraId="7B89FD12">
      <w:pPr>
        <w:keepNext w:val="0"/>
        <w:keepLines w:val="0"/>
        <w:pageBreakBefore w:val="0"/>
        <w:widowControl w:val="0"/>
        <w:kinsoku/>
        <w:wordWrap w:val="0"/>
        <w:overflowPunct/>
        <w:topLinePunct w:val="0"/>
        <w:autoSpaceDE w:val="0"/>
        <w:autoSpaceDN w:val="0"/>
        <w:bidi w:val="0"/>
        <w:adjustRightInd/>
        <w:snapToGrid/>
        <w:spacing w:line="480" w:lineRule="exact"/>
        <w:ind w:left="0" w:right="0" w:firstLine="480" w:firstLineChars="200"/>
        <w:jc w:val="left"/>
        <w:textAlignment w:val="auto"/>
        <w:rPr>
          <w:color w:val="auto"/>
          <w:sz w:val="24"/>
        </w:rPr>
      </w:pPr>
      <w:bookmarkStart w:id="31" w:name="_Toc318450675"/>
      <w:bookmarkStart w:id="32" w:name="_Toc464035510"/>
      <w:bookmarkStart w:id="33" w:name="_Toc15709"/>
      <w:bookmarkStart w:id="34" w:name="_Toc1172"/>
      <w:bookmarkStart w:id="35" w:name="_Toc21458"/>
      <w:bookmarkStart w:id="36" w:name="_Toc31404"/>
      <w:bookmarkStart w:id="37" w:name="_Toc463701031"/>
      <w:bookmarkStart w:id="38" w:name="_Toc274409866"/>
      <w:bookmarkStart w:id="39" w:name="_Toc21496_WPSOffice_Level3"/>
      <w:bookmarkStart w:id="40" w:name="_Toc455080109"/>
      <w:bookmarkStart w:id="41" w:name="_Toc29023"/>
      <w:bookmarkStart w:id="42" w:name="_Toc10273"/>
      <w:bookmarkStart w:id="43" w:name="_Toc281380952"/>
      <w:bookmarkStart w:id="44" w:name="_Toc152042307"/>
      <w:bookmarkStart w:id="45" w:name="_Toc152045531"/>
      <w:bookmarkStart w:id="46" w:name="_Toc144974499"/>
      <w:r>
        <w:rPr>
          <w:rFonts w:hint="eastAsia"/>
          <w:color w:val="auto"/>
          <w:sz w:val="24"/>
        </w:rPr>
        <w:t>1.1 适用范围</w:t>
      </w:r>
      <w:bookmarkEnd w:id="31"/>
      <w:bookmarkEnd w:id="32"/>
      <w:bookmarkEnd w:id="33"/>
      <w:bookmarkEnd w:id="34"/>
      <w:bookmarkEnd w:id="35"/>
      <w:bookmarkEnd w:id="36"/>
      <w:bookmarkEnd w:id="37"/>
      <w:bookmarkEnd w:id="38"/>
      <w:bookmarkEnd w:id="39"/>
      <w:bookmarkEnd w:id="40"/>
      <w:bookmarkEnd w:id="41"/>
      <w:bookmarkEnd w:id="42"/>
      <w:bookmarkEnd w:id="43"/>
    </w:p>
    <w:p w14:paraId="16C93195">
      <w:pPr>
        <w:keepNext w:val="0"/>
        <w:keepLines w:val="0"/>
        <w:pageBreakBefore w:val="0"/>
        <w:widowControl w:val="0"/>
        <w:kinsoku/>
        <w:wordWrap w:val="0"/>
        <w:overflowPunct/>
        <w:topLinePunct w:val="0"/>
        <w:autoSpaceDE w:val="0"/>
        <w:autoSpaceDN w:val="0"/>
        <w:bidi w:val="0"/>
        <w:adjustRightInd/>
        <w:snapToGrid/>
        <w:spacing w:line="480" w:lineRule="exact"/>
        <w:ind w:left="0" w:right="0" w:firstLine="480" w:firstLineChars="200"/>
        <w:jc w:val="left"/>
        <w:textAlignment w:val="auto"/>
        <w:rPr>
          <w:color w:val="auto"/>
          <w:sz w:val="24"/>
        </w:rPr>
      </w:pPr>
      <w:r>
        <w:rPr>
          <w:rFonts w:hint="eastAsia"/>
          <w:color w:val="auto"/>
          <w:sz w:val="24"/>
        </w:rPr>
        <w:t>1.1.1根据《中华人民共和国政府采购法》等有关法律、法规和规章的规定，编制本项目磋商文件。</w:t>
      </w:r>
    </w:p>
    <w:p w14:paraId="569CE64C">
      <w:pPr>
        <w:keepNext w:val="0"/>
        <w:keepLines w:val="0"/>
        <w:pageBreakBefore w:val="0"/>
        <w:widowControl w:val="0"/>
        <w:kinsoku/>
        <w:wordWrap w:val="0"/>
        <w:overflowPunct/>
        <w:topLinePunct w:val="0"/>
        <w:autoSpaceDE w:val="0"/>
        <w:autoSpaceDN w:val="0"/>
        <w:bidi w:val="0"/>
        <w:adjustRightInd/>
        <w:snapToGrid/>
        <w:spacing w:line="480" w:lineRule="exact"/>
        <w:ind w:left="0" w:right="0" w:firstLine="480" w:firstLineChars="200"/>
        <w:jc w:val="left"/>
        <w:textAlignment w:val="auto"/>
        <w:rPr>
          <w:color w:val="auto"/>
          <w:sz w:val="24"/>
        </w:rPr>
      </w:pPr>
      <w:bookmarkStart w:id="47" w:name="_Toc32619"/>
      <w:bookmarkStart w:id="48" w:name="_Toc463701032"/>
      <w:bookmarkStart w:id="49" w:name="_Toc318450676"/>
      <w:bookmarkStart w:id="50" w:name="_Toc281405468"/>
      <w:bookmarkStart w:id="51" w:name="_Toc455080110"/>
      <w:bookmarkStart w:id="52" w:name="_Toc274409867"/>
      <w:bookmarkStart w:id="53" w:name="_Toc25399_WPSOffice_Level3"/>
      <w:bookmarkStart w:id="54" w:name="_Toc464035511"/>
      <w:bookmarkStart w:id="55" w:name="_Toc25773"/>
      <w:bookmarkStart w:id="56" w:name="_Toc710"/>
      <w:bookmarkStart w:id="57" w:name="_Toc30891"/>
      <w:bookmarkStart w:id="58" w:name="_Toc2929"/>
      <w:bookmarkStart w:id="59" w:name="_Toc3336"/>
      <w:r>
        <w:rPr>
          <w:rFonts w:hint="eastAsia"/>
          <w:color w:val="auto"/>
          <w:sz w:val="24"/>
        </w:rPr>
        <w:t>1.2 采购项目说明</w:t>
      </w:r>
      <w:bookmarkEnd w:id="47"/>
      <w:bookmarkEnd w:id="48"/>
      <w:bookmarkEnd w:id="49"/>
      <w:bookmarkEnd w:id="50"/>
      <w:bookmarkEnd w:id="51"/>
      <w:bookmarkEnd w:id="52"/>
      <w:bookmarkEnd w:id="53"/>
      <w:bookmarkEnd w:id="54"/>
      <w:bookmarkEnd w:id="55"/>
      <w:bookmarkEnd w:id="56"/>
      <w:bookmarkEnd w:id="57"/>
      <w:bookmarkEnd w:id="58"/>
      <w:bookmarkEnd w:id="59"/>
    </w:p>
    <w:p w14:paraId="11723BDD">
      <w:pPr>
        <w:keepNext w:val="0"/>
        <w:keepLines w:val="0"/>
        <w:pageBreakBefore w:val="0"/>
        <w:widowControl w:val="0"/>
        <w:kinsoku/>
        <w:wordWrap w:val="0"/>
        <w:overflowPunct/>
        <w:topLinePunct w:val="0"/>
        <w:autoSpaceDE w:val="0"/>
        <w:autoSpaceDN w:val="0"/>
        <w:bidi w:val="0"/>
        <w:adjustRightInd/>
        <w:snapToGrid/>
        <w:spacing w:line="480" w:lineRule="exact"/>
        <w:ind w:left="0" w:right="0" w:firstLine="480" w:firstLineChars="200"/>
        <w:jc w:val="left"/>
        <w:textAlignment w:val="auto"/>
        <w:rPr>
          <w:color w:val="auto"/>
          <w:sz w:val="24"/>
        </w:rPr>
      </w:pPr>
      <w:r>
        <w:rPr>
          <w:rFonts w:hint="eastAsia"/>
          <w:color w:val="auto"/>
          <w:sz w:val="24"/>
        </w:rPr>
        <w:t>1.2.1 本项目采购人：见供应商须知前附表。</w:t>
      </w:r>
    </w:p>
    <w:p w14:paraId="74D4990F">
      <w:pPr>
        <w:keepNext w:val="0"/>
        <w:keepLines w:val="0"/>
        <w:pageBreakBefore w:val="0"/>
        <w:widowControl w:val="0"/>
        <w:kinsoku/>
        <w:wordWrap w:val="0"/>
        <w:overflowPunct/>
        <w:topLinePunct w:val="0"/>
        <w:autoSpaceDE w:val="0"/>
        <w:autoSpaceDN w:val="0"/>
        <w:bidi w:val="0"/>
        <w:adjustRightInd/>
        <w:snapToGrid/>
        <w:spacing w:line="480" w:lineRule="exact"/>
        <w:ind w:left="0" w:right="0" w:firstLine="480" w:firstLineChars="200"/>
        <w:jc w:val="left"/>
        <w:textAlignment w:val="auto"/>
        <w:rPr>
          <w:color w:val="auto"/>
          <w:sz w:val="24"/>
        </w:rPr>
      </w:pPr>
      <w:r>
        <w:rPr>
          <w:rFonts w:hint="eastAsia"/>
          <w:color w:val="auto"/>
          <w:sz w:val="24"/>
        </w:rPr>
        <w:t>1.2.2 本项目采购代理机构：见供应商须知前附表。</w:t>
      </w:r>
    </w:p>
    <w:p w14:paraId="0712DC5C">
      <w:pPr>
        <w:keepNext w:val="0"/>
        <w:keepLines w:val="0"/>
        <w:pageBreakBefore w:val="0"/>
        <w:widowControl w:val="0"/>
        <w:kinsoku/>
        <w:wordWrap w:val="0"/>
        <w:overflowPunct/>
        <w:topLinePunct w:val="0"/>
        <w:autoSpaceDE w:val="0"/>
        <w:autoSpaceDN w:val="0"/>
        <w:bidi w:val="0"/>
        <w:adjustRightInd/>
        <w:snapToGrid/>
        <w:spacing w:line="480" w:lineRule="exact"/>
        <w:ind w:left="0" w:right="0" w:firstLine="480" w:firstLineChars="200"/>
        <w:jc w:val="left"/>
        <w:textAlignment w:val="auto"/>
        <w:rPr>
          <w:color w:val="auto"/>
          <w:sz w:val="24"/>
        </w:rPr>
      </w:pPr>
      <w:r>
        <w:rPr>
          <w:rFonts w:hint="eastAsia"/>
          <w:color w:val="auto"/>
          <w:sz w:val="24"/>
        </w:rPr>
        <w:t>1.2.3 本项目名称：见供应商须知前附表。</w:t>
      </w:r>
    </w:p>
    <w:p w14:paraId="5AEE6774">
      <w:pPr>
        <w:keepNext w:val="0"/>
        <w:keepLines w:val="0"/>
        <w:pageBreakBefore w:val="0"/>
        <w:widowControl w:val="0"/>
        <w:kinsoku/>
        <w:wordWrap w:val="0"/>
        <w:overflowPunct/>
        <w:topLinePunct w:val="0"/>
        <w:autoSpaceDE w:val="0"/>
        <w:autoSpaceDN w:val="0"/>
        <w:bidi w:val="0"/>
        <w:adjustRightInd/>
        <w:snapToGrid/>
        <w:spacing w:line="480" w:lineRule="exact"/>
        <w:ind w:left="0" w:right="0" w:firstLine="480" w:firstLineChars="200"/>
        <w:jc w:val="left"/>
        <w:textAlignment w:val="auto"/>
        <w:rPr>
          <w:color w:val="auto"/>
          <w:sz w:val="24"/>
        </w:rPr>
      </w:pPr>
      <w:bookmarkStart w:id="60" w:name="_Toc274409868"/>
      <w:bookmarkStart w:id="61" w:name="_Toc455080111"/>
      <w:bookmarkStart w:id="62" w:name="_Toc4952"/>
      <w:bookmarkStart w:id="63" w:name="_Toc16931"/>
      <w:bookmarkStart w:id="64" w:name="_Toc3477"/>
      <w:bookmarkStart w:id="65" w:name="_Toc31122_WPSOffice_Level3"/>
      <w:bookmarkStart w:id="66" w:name="_Toc1373"/>
      <w:bookmarkStart w:id="67" w:name="_Toc464035512"/>
      <w:bookmarkStart w:id="68" w:name="_Toc17016"/>
      <w:bookmarkStart w:id="69" w:name="_Toc318450677"/>
      <w:bookmarkStart w:id="70" w:name="_Toc281405469"/>
      <w:bookmarkStart w:id="71" w:name="_Toc18960"/>
      <w:bookmarkStart w:id="72" w:name="_Toc463701033"/>
      <w:r>
        <w:rPr>
          <w:rFonts w:hint="eastAsia"/>
          <w:color w:val="auto"/>
          <w:sz w:val="24"/>
        </w:rPr>
        <w:t>1.3 定义及解释</w:t>
      </w:r>
      <w:bookmarkEnd w:id="60"/>
      <w:bookmarkEnd w:id="61"/>
      <w:bookmarkEnd w:id="62"/>
      <w:bookmarkEnd w:id="63"/>
      <w:bookmarkEnd w:id="64"/>
      <w:bookmarkEnd w:id="65"/>
      <w:bookmarkEnd w:id="66"/>
      <w:bookmarkEnd w:id="67"/>
      <w:bookmarkEnd w:id="68"/>
      <w:bookmarkEnd w:id="69"/>
      <w:bookmarkEnd w:id="70"/>
      <w:bookmarkEnd w:id="71"/>
      <w:bookmarkEnd w:id="72"/>
    </w:p>
    <w:p w14:paraId="73974592">
      <w:pPr>
        <w:keepNext w:val="0"/>
        <w:keepLines w:val="0"/>
        <w:pageBreakBefore w:val="0"/>
        <w:widowControl w:val="0"/>
        <w:kinsoku/>
        <w:wordWrap w:val="0"/>
        <w:overflowPunct/>
        <w:topLinePunct w:val="0"/>
        <w:autoSpaceDE w:val="0"/>
        <w:autoSpaceDN w:val="0"/>
        <w:bidi w:val="0"/>
        <w:adjustRightInd/>
        <w:snapToGrid/>
        <w:spacing w:line="480" w:lineRule="exact"/>
        <w:ind w:left="0" w:right="0" w:firstLine="480" w:firstLineChars="200"/>
        <w:jc w:val="left"/>
        <w:textAlignment w:val="auto"/>
        <w:rPr>
          <w:color w:val="auto"/>
          <w:sz w:val="24"/>
        </w:rPr>
      </w:pPr>
      <w:r>
        <w:rPr>
          <w:rFonts w:hint="eastAsia"/>
          <w:color w:val="auto"/>
          <w:sz w:val="24"/>
        </w:rPr>
        <w:t>1.3.1采购人：依法进行政府采购的国家机关、事业单位、团体组织。</w:t>
      </w:r>
    </w:p>
    <w:p w14:paraId="3D83C9D9">
      <w:pPr>
        <w:keepNext w:val="0"/>
        <w:keepLines w:val="0"/>
        <w:pageBreakBefore w:val="0"/>
        <w:widowControl w:val="0"/>
        <w:kinsoku/>
        <w:wordWrap w:val="0"/>
        <w:overflowPunct/>
        <w:topLinePunct w:val="0"/>
        <w:autoSpaceDE w:val="0"/>
        <w:autoSpaceDN w:val="0"/>
        <w:bidi w:val="0"/>
        <w:adjustRightInd/>
        <w:snapToGrid/>
        <w:spacing w:line="480" w:lineRule="exact"/>
        <w:ind w:left="0" w:right="0" w:firstLine="480" w:firstLineChars="200"/>
        <w:jc w:val="left"/>
        <w:textAlignment w:val="auto"/>
        <w:rPr>
          <w:color w:val="auto"/>
          <w:sz w:val="24"/>
        </w:rPr>
      </w:pPr>
      <w:r>
        <w:rPr>
          <w:rFonts w:hint="eastAsia"/>
          <w:color w:val="auto"/>
          <w:sz w:val="24"/>
        </w:rPr>
        <w:t>1.3.2采购代理机构：取得政府采购招标代理资质，受采购人委托组织招标活动的社会中介组织。</w:t>
      </w:r>
    </w:p>
    <w:p w14:paraId="4AC3A24D">
      <w:pPr>
        <w:keepNext w:val="0"/>
        <w:keepLines w:val="0"/>
        <w:pageBreakBefore w:val="0"/>
        <w:widowControl w:val="0"/>
        <w:kinsoku/>
        <w:wordWrap w:val="0"/>
        <w:overflowPunct/>
        <w:topLinePunct w:val="0"/>
        <w:autoSpaceDE w:val="0"/>
        <w:autoSpaceDN w:val="0"/>
        <w:bidi w:val="0"/>
        <w:adjustRightInd/>
        <w:snapToGrid/>
        <w:spacing w:line="480" w:lineRule="exact"/>
        <w:ind w:left="0" w:right="0" w:firstLine="480" w:firstLineChars="200"/>
        <w:jc w:val="left"/>
        <w:textAlignment w:val="auto"/>
        <w:rPr>
          <w:color w:val="auto"/>
          <w:sz w:val="24"/>
        </w:rPr>
      </w:pPr>
      <w:r>
        <w:rPr>
          <w:rFonts w:hint="eastAsia"/>
          <w:color w:val="auto"/>
          <w:sz w:val="24"/>
        </w:rPr>
        <w:t>1.3.3服务：系指根据本磋商文件规定供应商须承担的方案编制以及其他类似的义务等。</w:t>
      </w:r>
    </w:p>
    <w:p w14:paraId="5B393395">
      <w:pPr>
        <w:keepNext w:val="0"/>
        <w:keepLines w:val="0"/>
        <w:pageBreakBefore w:val="0"/>
        <w:widowControl w:val="0"/>
        <w:kinsoku/>
        <w:wordWrap w:val="0"/>
        <w:overflowPunct/>
        <w:topLinePunct w:val="0"/>
        <w:autoSpaceDE w:val="0"/>
        <w:autoSpaceDN w:val="0"/>
        <w:bidi w:val="0"/>
        <w:adjustRightInd/>
        <w:snapToGrid/>
        <w:spacing w:line="480" w:lineRule="exact"/>
        <w:ind w:left="0" w:right="0" w:firstLine="480" w:firstLineChars="200"/>
        <w:jc w:val="left"/>
        <w:textAlignment w:val="auto"/>
        <w:rPr>
          <w:color w:val="auto"/>
          <w:sz w:val="24"/>
        </w:rPr>
      </w:pPr>
      <w:r>
        <w:rPr>
          <w:rFonts w:hint="eastAsia"/>
          <w:color w:val="auto"/>
          <w:sz w:val="24"/>
        </w:rPr>
        <w:t>1.3.4供应商：供应商是响应磋商文件、参加磋商竞争的中华人民共和国境内的法人、其它组织。</w:t>
      </w:r>
    </w:p>
    <w:p w14:paraId="58677B6B">
      <w:pPr>
        <w:keepNext w:val="0"/>
        <w:keepLines w:val="0"/>
        <w:pageBreakBefore w:val="0"/>
        <w:widowControl w:val="0"/>
        <w:kinsoku/>
        <w:wordWrap w:val="0"/>
        <w:overflowPunct/>
        <w:topLinePunct w:val="0"/>
        <w:autoSpaceDE w:val="0"/>
        <w:autoSpaceDN w:val="0"/>
        <w:bidi w:val="0"/>
        <w:adjustRightInd/>
        <w:snapToGrid/>
        <w:spacing w:line="480" w:lineRule="exact"/>
        <w:ind w:left="0" w:right="0" w:firstLine="480" w:firstLineChars="200"/>
        <w:jc w:val="left"/>
        <w:textAlignment w:val="auto"/>
        <w:rPr>
          <w:color w:val="auto"/>
          <w:sz w:val="24"/>
        </w:rPr>
      </w:pPr>
      <w:r>
        <w:rPr>
          <w:rFonts w:hint="eastAsia"/>
          <w:color w:val="auto"/>
          <w:sz w:val="24"/>
        </w:rPr>
        <w:t>1.3.5响应文件：指供应商根据磋商文件提交的所有文件。</w:t>
      </w:r>
    </w:p>
    <w:p w14:paraId="217F9FFE">
      <w:pPr>
        <w:keepNext w:val="0"/>
        <w:keepLines w:val="0"/>
        <w:pageBreakBefore w:val="0"/>
        <w:widowControl w:val="0"/>
        <w:kinsoku/>
        <w:wordWrap w:val="0"/>
        <w:overflowPunct/>
        <w:topLinePunct w:val="0"/>
        <w:autoSpaceDE w:val="0"/>
        <w:autoSpaceDN w:val="0"/>
        <w:bidi w:val="0"/>
        <w:adjustRightInd/>
        <w:snapToGrid/>
        <w:spacing w:line="480" w:lineRule="exact"/>
        <w:ind w:left="0" w:right="0" w:firstLine="480" w:firstLineChars="200"/>
        <w:jc w:val="left"/>
        <w:textAlignment w:val="auto"/>
        <w:rPr>
          <w:color w:val="auto"/>
          <w:sz w:val="24"/>
        </w:rPr>
      </w:pPr>
      <w:r>
        <w:rPr>
          <w:rFonts w:hint="eastAsia"/>
          <w:color w:val="auto"/>
          <w:sz w:val="24"/>
        </w:rPr>
        <w:t>1.3.6磋商小组：依据</w:t>
      </w:r>
      <w:r>
        <w:rPr>
          <w:rFonts w:hint="eastAsia"/>
          <w:color w:val="auto"/>
          <w:sz w:val="24"/>
          <w:lang w:bidi="en-US"/>
        </w:rPr>
        <w:t>《中华人民共和国政府采购法》及有关法律、法规的规定依法组建的专门负责本次评标工作的临时机构</w:t>
      </w:r>
      <w:r>
        <w:rPr>
          <w:rFonts w:hint="eastAsia"/>
          <w:color w:val="auto"/>
          <w:sz w:val="24"/>
        </w:rPr>
        <w:t>。</w:t>
      </w:r>
    </w:p>
    <w:p w14:paraId="610C68B1">
      <w:pPr>
        <w:keepNext w:val="0"/>
        <w:keepLines w:val="0"/>
        <w:pageBreakBefore w:val="0"/>
        <w:widowControl w:val="0"/>
        <w:kinsoku/>
        <w:wordWrap w:val="0"/>
        <w:overflowPunct/>
        <w:topLinePunct w:val="0"/>
        <w:autoSpaceDE w:val="0"/>
        <w:autoSpaceDN w:val="0"/>
        <w:bidi w:val="0"/>
        <w:adjustRightInd/>
        <w:snapToGrid/>
        <w:spacing w:line="480" w:lineRule="exact"/>
        <w:ind w:left="0" w:right="0" w:firstLine="480" w:firstLineChars="200"/>
        <w:jc w:val="left"/>
        <w:textAlignment w:val="auto"/>
        <w:rPr>
          <w:color w:val="auto"/>
          <w:sz w:val="24"/>
        </w:rPr>
      </w:pPr>
      <w:r>
        <w:rPr>
          <w:rFonts w:hint="eastAsia"/>
          <w:color w:val="auto"/>
          <w:sz w:val="24"/>
        </w:rPr>
        <w:t>1.3.7偏离：响应文件的响应相对于磋商文件要求的偏差，该偏差优于磋商文件要求的为正偏离；劣于的，为负偏离。</w:t>
      </w:r>
    </w:p>
    <w:p w14:paraId="23A63352">
      <w:pPr>
        <w:keepNext w:val="0"/>
        <w:keepLines w:val="0"/>
        <w:pageBreakBefore w:val="0"/>
        <w:widowControl w:val="0"/>
        <w:kinsoku/>
        <w:wordWrap w:val="0"/>
        <w:overflowPunct/>
        <w:topLinePunct w:val="0"/>
        <w:autoSpaceDE w:val="0"/>
        <w:autoSpaceDN w:val="0"/>
        <w:bidi w:val="0"/>
        <w:adjustRightInd/>
        <w:snapToGrid/>
        <w:spacing w:line="480" w:lineRule="exact"/>
        <w:ind w:left="0" w:right="0" w:firstLine="480" w:firstLineChars="200"/>
        <w:jc w:val="left"/>
        <w:textAlignment w:val="auto"/>
        <w:rPr>
          <w:color w:val="auto"/>
          <w:sz w:val="24"/>
        </w:rPr>
      </w:pPr>
      <w:r>
        <w:rPr>
          <w:rFonts w:hint="eastAsia"/>
          <w:color w:val="auto"/>
          <w:sz w:val="24"/>
        </w:rPr>
        <w:t>1.3.8“日期”或“天”：指日历天。</w:t>
      </w:r>
    </w:p>
    <w:p w14:paraId="1444DC6A">
      <w:pPr>
        <w:keepNext w:val="0"/>
        <w:keepLines w:val="0"/>
        <w:pageBreakBefore w:val="0"/>
        <w:widowControl w:val="0"/>
        <w:kinsoku/>
        <w:wordWrap w:val="0"/>
        <w:overflowPunct/>
        <w:topLinePunct w:val="0"/>
        <w:autoSpaceDE w:val="0"/>
        <w:autoSpaceDN w:val="0"/>
        <w:bidi w:val="0"/>
        <w:adjustRightInd/>
        <w:snapToGrid/>
        <w:spacing w:line="480" w:lineRule="exact"/>
        <w:ind w:left="0" w:right="0" w:firstLine="480" w:firstLineChars="200"/>
        <w:jc w:val="left"/>
        <w:textAlignment w:val="auto"/>
        <w:rPr>
          <w:color w:val="auto"/>
          <w:sz w:val="24"/>
        </w:rPr>
      </w:pPr>
      <w:r>
        <w:rPr>
          <w:rFonts w:hint="eastAsia"/>
          <w:color w:val="auto"/>
          <w:sz w:val="24"/>
        </w:rPr>
        <w:t>1.3.9合同：指依据本次采购招标结果签订的协议或合约文件。</w:t>
      </w:r>
    </w:p>
    <w:p w14:paraId="077D56B2">
      <w:pPr>
        <w:keepNext w:val="0"/>
        <w:keepLines w:val="0"/>
        <w:pageBreakBefore w:val="0"/>
        <w:widowControl w:val="0"/>
        <w:kinsoku/>
        <w:wordWrap w:val="0"/>
        <w:overflowPunct/>
        <w:topLinePunct w:val="0"/>
        <w:autoSpaceDE w:val="0"/>
        <w:autoSpaceDN w:val="0"/>
        <w:bidi w:val="0"/>
        <w:adjustRightInd/>
        <w:snapToGrid/>
        <w:spacing w:line="480" w:lineRule="exact"/>
        <w:ind w:left="0" w:right="0" w:firstLine="480" w:firstLineChars="200"/>
        <w:jc w:val="left"/>
        <w:textAlignment w:val="auto"/>
        <w:rPr>
          <w:color w:val="auto"/>
          <w:sz w:val="24"/>
        </w:rPr>
      </w:pPr>
      <w:r>
        <w:rPr>
          <w:rFonts w:hint="eastAsia"/>
          <w:color w:val="auto"/>
          <w:sz w:val="24"/>
        </w:rPr>
        <w:t>1.3.10磋商文件中的标题或题名仅起引导作用，而不应视为对磋商文件内容的理解和解释。</w:t>
      </w:r>
    </w:p>
    <w:bookmarkEnd w:id="44"/>
    <w:bookmarkEnd w:id="45"/>
    <w:bookmarkEnd w:id="46"/>
    <w:p w14:paraId="006721CE">
      <w:pPr>
        <w:keepNext w:val="0"/>
        <w:keepLines w:val="0"/>
        <w:pageBreakBefore w:val="0"/>
        <w:widowControl w:val="0"/>
        <w:kinsoku/>
        <w:wordWrap w:val="0"/>
        <w:overflowPunct/>
        <w:topLinePunct w:val="0"/>
        <w:autoSpaceDE w:val="0"/>
        <w:autoSpaceDN w:val="0"/>
        <w:bidi w:val="0"/>
        <w:adjustRightInd/>
        <w:snapToGrid/>
        <w:spacing w:line="480" w:lineRule="exact"/>
        <w:ind w:left="0" w:right="0" w:firstLine="480" w:firstLineChars="200"/>
        <w:jc w:val="left"/>
        <w:textAlignment w:val="auto"/>
        <w:rPr>
          <w:color w:val="auto"/>
          <w:sz w:val="24"/>
        </w:rPr>
      </w:pPr>
      <w:bookmarkStart w:id="73" w:name="_Toc16470"/>
      <w:bookmarkStart w:id="74" w:name="_Toc455080112"/>
      <w:bookmarkStart w:id="75" w:name="_Toc19363"/>
      <w:bookmarkStart w:id="76" w:name="_Toc464035513"/>
      <w:bookmarkStart w:id="77" w:name="_Toc27407"/>
      <w:bookmarkStart w:id="78" w:name="_Toc318450678"/>
      <w:bookmarkStart w:id="79" w:name="_Toc463701034"/>
      <w:bookmarkStart w:id="80" w:name="_Toc152045532"/>
      <w:bookmarkStart w:id="81" w:name="_Toc21766"/>
      <w:bookmarkStart w:id="82" w:name="_Toc12752"/>
      <w:bookmarkStart w:id="83" w:name="_Toc14043"/>
      <w:bookmarkStart w:id="84" w:name="_Toc3626_WPSOffice_Level3"/>
      <w:bookmarkStart w:id="85" w:name="_Toc144974500"/>
      <w:bookmarkStart w:id="86" w:name="_Toc152042308"/>
      <w:r>
        <w:rPr>
          <w:rFonts w:hint="eastAsia"/>
          <w:color w:val="auto"/>
          <w:sz w:val="24"/>
        </w:rPr>
        <w:t xml:space="preserve">1.4 </w:t>
      </w:r>
      <w:r>
        <w:rPr>
          <w:rFonts w:hint="eastAsia"/>
          <w:color w:val="auto"/>
          <w:sz w:val="24"/>
          <w:lang w:val="en-US" w:eastAsia="zh-CN"/>
        </w:rPr>
        <w:t>服务</w:t>
      </w:r>
      <w:r>
        <w:rPr>
          <w:rFonts w:hint="eastAsia"/>
          <w:color w:val="auto"/>
          <w:sz w:val="24"/>
        </w:rPr>
        <w:t>内容</w:t>
      </w:r>
      <w:r>
        <w:rPr>
          <w:rFonts w:hint="eastAsia"/>
          <w:color w:val="auto"/>
          <w:sz w:val="24"/>
          <w:lang w:eastAsia="zh-CN"/>
        </w:rPr>
        <w:t>、</w:t>
      </w:r>
      <w:r>
        <w:rPr>
          <w:rFonts w:hint="eastAsia"/>
          <w:color w:val="auto"/>
          <w:sz w:val="24"/>
          <w:lang w:val="en-US" w:eastAsia="zh-CN"/>
        </w:rPr>
        <w:t>设计周期</w:t>
      </w:r>
      <w:r>
        <w:rPr>
          <w:rFonts w:hint="eastAsia"/>
          <w:color w:val="auto"/>
          <w:sz w:val="24"/>
        </w:rPr>
        <w:t>和质量要求</w:t>
      </w:r>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5D39A45A">
      <w:pPr>
        <w:keepNext w:val="0"/>
        <w:keepLines w:val="0"/>
        <w:pageBreakBefore w:val="0"/>
        <w:widowControl w:val="0"/>
        <w:kinsoku/>
        <w:wordWrap w:val="0"/>
        <w:overflowPunct/>
        <w:topLinePunct w:val="0"/>
        <w:autoSpaceDE w:val="0"/>
        <w:autoSpaceDN w:val="0"/>
        <w:bidi w:val="0"/>
        <w:adjustRightInd/>
        <w:snapToGrid/>
        <w:spacing w:line="480" w:lineRule="exact"/>
        <w:ind w:left="0" w:right="0" w:firstLine="480" w:firstLineChars="200"/>
        <w:jc w:val="left"/>
        <w:textAlignment w:val="auto"/>
        <w:rPr>
          <w:color w:val="auto"/>
          <w:sz w:val="24"/>
        </w:rPr>
      </w:pPr>
      <w:r>
        <w:rPr>
          <w:rFonts w:hint="eastAsia"/>
          <w:color w:val="auto"/>
          <w:sz w:val="24"/>
        </w:rPr>
        <w:t>1.4.1 本次</w:t>
      </w:r>
      <w:r>
        <w:rPr>
          <w:rFonts w:hint="eastAsia"/>
          <w:color w:val="auto"/>
          <w:sz w:val="24"/>
          <w:lang w:val="en-US" w:eastAsia="zh-CN"/>
        </w:rPr>
        <w:t>服务内容</w:t>
      </w:r>
      <w:r>
        <w:rPr>
          <w:rFonts w:hint="eastAsia"/>
          <w:color w:val="auto"/>
          <w:sz w:val="24"/>
        </w:rPr>
        <w:t>：见供应商须知前附表。</w:t>
      </w:r>
    </w:p>
    <w:p w14:paraId="123DD010">
      <w:pPr>
        <w:keepNext w:val="0"/>
        <w:keepLines w:val="0"/>
        <w:pageBreakBefore w:val="0"/>
        <w:widowControl w:val="0"/>
        <w:kinsoku/>
        <w:wordWrap w:val="0"/>
        <w:overflowPunct/>
        <w:topLinePunct w:val="0"/>
        <w:autoSpaceDE w:val="0"/>
        <w:autoSpaceDN w:val="0"/>
        <w:bidi w:val="0"/>
        <w:adjustRightInd/>
        <w:snapToGrid/>
        <w:spacing w:line="480" w:lineRule="exact"/>
        <w:ind w:left="0" w:right="0" w:firstLine="480" w:firstLineChars="200"/>
        <w:jc w:val="left"/>
        <w:textAlignment w:val="auto"/>
        <w:rPr>
          <w:color w:val="auto"/>
          <w:sz w:val="24"/>
        </w:rPr>
      </w:pPr>
      <w:r>
        <w:rPr>
          <w:rFonts w:hint="eastAsia"/>
          <w:color w:val="auto"/>
          <w:sz w:val="24"/>
        </w:rPr>
        <w:t>1.4.2 本项目的</w:t>
      </w:r>
      <w:r>
        <w:rPr>
          <w:rFonts w:hint="eastAsia"/>
          <w:color w:val="auto"/>
          <w:sz w:val="24"/>
          <w:lang w:val="en-US" w:eastAsia="zh-CN"/>
        </w:rPr>
        <w:t>设计周期</w:t>
      </w:r>
      <w:r>
        <w:rPr>
          <w:rFonts w:hint="eastAsia"/>
          <w:color w:val="auto"/>
          <w:sz w:val="24"/>
        </w:rPr>
        <w:t>：见供应商须知前附表。</w:t>
      </w:r>
    </w:p>
    <w:p w14:paraId="1510E84E">
      <w:pPr>
        <w:keepNext w:val="0"/>
        <w:keepLines w:val="0"/>
        <w:pageBreakBefore w:val="0"/>
        <w:widowControl w:val="0"/>
        <w:kinsoku/>
        <w:wordWrap w:val="0"/>
        <w:overflowPunct/>
        <w:topLinePunct w:val="0"/>
        <w:autoSpaceDE w:val="0"/>
        <w:autoSpaceDN w:val="0"/>
        <w:bidi w:val="0"/>
        <w:adjustRightInd/>
        <w:snapToGrid/>
        <w:spacing w:line="480" w:lineRule="exact"/>
        <w:ind w:left="0" w:right="0" w:firstLine="480" w:firstLineChars="200"/>
        <w:jc w:val="left"/>
        <w:textAlignment w:val="auto"/>
        <w:rPr>
          <w:color w:val="auto"/>
          <w:sz w:val="24"/>
        </w:rPr>
      </w:pPr>
      <w:r>
        <w:rPr>
          <w:rFonts w:hint="eastAsia"/>
          <w:color w:val="auto"/>
          <w:sz w:val="24"/>
        </w:rPr>
        <w:t>1.4.3 本项目的质量要求：见供应商须知前附表。</w:t>
      </w:r>
    </w:p>
    <w:p w14:paraId="163A60EF">
      <w:pPr>
        <w:keepNext w:val="0"/>
        <w:keepLines w:val="0"/>
        <w:pageBreakBefore w:val="0"/>
        <w:widowControl w:val="0"/>
        <w:kinsoku/>
        <w:wordWrap w:val="0"/>
        <w:overflowPunct/>
        <w:topLinePunct w:val="0"/>
        <w:autoSpaceDE w:val="0"/>
        <w:autoSpaceDN w:val="0"/>
        <w:bidi w:val="0"/>
        <w:adjustRightInd/>
        <w:snapToGrid/>
        <w:spacing w:line="480" w:lineRule="exact"/>
        <w:ind w:left="0" w:right="0" w:firstLine="480" w:firstLineChars="200"/>
        <w:jc w:val="left"/>
        <w:textAlignment w:val="auto"/>
        <w:rPr>
          <w:color w:val="auto"/>
          <w:sz w:val="24"/>
        </w:rPr>
      </w:pPr>
      <w:bookmarkStart w:id="87" w:name="_Toc6014"/>
      <w:bookmarkStart w:id="88" w:name="_Toc464035516"/>
      <w:bookmarkStart w:id="89" w:name="_Toc8055"/>
      <w:bookmarkStart w:id="90" w:name="_Toc32053"/>
      <w:bookmarkStart w:id="91" w:name="_Toc318450681"/>
      <w:bookmarkStart w:id="92" w:name="_Toc2622"/>
      <w:bookmarkStart w:id="93" w:name="_Toc5402"/>
      <w:bookmarkStart w:id="94" w:name="_Toc144974504"/>
      <w:bookmarkStart w:id="95" w:name="_Toc463701037"/>
      <w:bookmarkStart w:id="96" w:name="_Toc20145"/>
      <w:bookmarkStart w:id="97" w:name="_Toc7579_WPSOffice_Level3"/>
      <w:bookmarkStart w:id="98" w:name="_Toc152045536"/>
      <w:bookmarkStart w:id="99" w:name="_Toc152042312"/>
      <w:bookmarkStart w:id="100" w:name="_Toc455080115"/>
      <w:r>
        <w:rPr>
          <w:rFonts w:hint="eastAsia"/>
          <w:color w:val="auto"/>
          <w:sz w:val="24"/>
        </w:rPr>
        <w:t>1.</w:t>
      </w:r>
      <w:r>
        <w:rPr>
          <w:rFonts w:hint="eastAsia"/>
          <w:color w:val="auto"/>
          <w:sz w:val="24"/>
          <w:lang w:val="en-US"/>
        </w:rPr>
        <w:t>5</w:t>
      </w:r>
      <w:r>
        <w:rPr>
          <w:rFonts w:hint="eastAsia"/>
          <w:color w:val="auto"/>
          <w:sz w:val="24"/>
        </w:rPr>
        <w:t>保密</w:t>
      </w:r>
      <w:bookmarkEnd w:id="87"/>
      <w:bookmarkEnd w:id="88"/>
      <w:bookmarkEnd w:id="89"/>
      <w:bookmarkEnd w:id="90"/>
      <w:bookmarkEnd w:id="91"/>
      <w:bookmarkEnd w:id="92"/>
      <w:bookmarkEnd w:id="93"/>
      <w:bookmarkEnd w:id="94"/>
      <w:bookmarkEnd w:id="95"/>
      <w:bookmarkEnd w:id="96"/>
      <w:bookmarkEnd w:id="97"/>
      <w:bookmarkEnd w:id="98"/>
      <w:bookmarkEnd w:id="99"/>
      <w:bookmarkEnd w:id="100"/>
    </w:p>
    <w:p w14:paraId="0E4AB338">
      <w:pPr>
        <w:keepNext w:val="0"/>
        <w:keepLines w:val="0"/>
        <w:pageBreakBefore w:val="0"/>
        <w:widowControl w:val="0"/>
        <w:kinsoku/>
        <w:wordWrap w:val="0"/>
        <w:overflowPunct/>
        <w:topLinePunct w:val="0"/>
        <w:autoSpaceDE w:val="0"/>
        <w:autoSpaceDN w:val="0"/>
        <w:bidi w:val="0"/>
        <w:adjustRightInd/>
        <w:snapToGrid/>
        <w:spacing w:line="480" w:lineRule="exact"/>
        <w:ind w:left="0" w:right="0" w:firstLine="480" w:firstLineChars="200"/>
        <w:jc w:val="left"/>
        <w:textAlignment w:val="auto"/>
        <w:rPr>
          <w:color w:val="auto"/>
          <w:sz w:val="24"/>
        </w:rPr>
      </w:pPr>
      <w:r>
        <w:rPr>
          <w:rFonts w:hint="eastAsia"/>
          <w:color w:val="auto"/>
          <w:sz w:val="24"/>
        </w:rPr>
        <w:t xml:space="preserve">参与磋商活动的各方应对磋商文件和响应文件中的商业和技术等秘密保密，违者应对由此造成的后果承担法律责任。 </w:t>
      </w:r>
    </w:p>
    <w:p w14:paraId="6D64FFF5">
      <w:pPr>
        <w:keepNext w:val="0"/>
        <w:keepLines w:val="0"/>
        <w:pageBreakBefore w:val="0"/>
        <w:widowControl w:val="0"/>
        <w:kinsoku/>
        <w:wordWrap w:val="0"/>
        <w:overflowPunct/>
        <w:topLinePunct w:val="0"/>
        <w:autoSpaceDE w:val="0"/>
        <w:autoSpaceDN w:val="0"/>
        <w:bidi w:val="0"/>
        <w:adjustRightInd/>
        <w:snapToGrid/>
        <w:spacing w:line="480" w:lineRule="exact"/>
        <w:ind w:left="0" w:right="0" w:firstLine="480" w:firstLineChars="200"/>
        <w:jc w:val="left"/>
        <w:textAlignment w:val="auto"/>
        <w:rPr>
          <w:color w:val="auto"/>
          <w:sz w:val="24"/>
        </w:rPr>
      </w:pPr>
      <w:bookmarkStart w:id="101" w:name="_Toc144974505"/>
      <w:bookmarkStart w:id="102" w:name="_Toc19210_WPSOffice_Level3"/>
      <w:bookmarkStart w:id="103" w:name="_Toc318450682"/>
      <w:bookmarkStart w:id="104" w:name="_Toc25517"/>
      <w:bookmarkStart w:id="105" w:name="_Toc30583"/>
      <w:bookmarkStart w:id="106" w:name="_Toc455080116"/>
      <w:bookmarkStart w:id="107" w:name="_Toc30747"/>
      <w:bookmarkStart w:id="108" w:name="_Toc21089"/>
      <w:bookmarkStart w:id="109" w:name="_Toc152045537"/>
      <w:bookmarkStart w:id="110" w:name="_Toc464035517"/>
      <w:bookmarkStart w:id="111" w:name="_Toc152042313"/>
      <w:bookmarkStart w:id="112" w:name="_Toc463701038"/>
      <w:bookmarkStart w:id="113" w:name="_Toc3628"/>
      <w:bookmarkStart w:id="114" w:name="_Toc14775"/>
      <w:r>
        <w:rPr>
          <w:rFonts w:hint="eastAsia"/>
          <w:color w:val="auto"/>
          <w:sz w:val="24"/>
        </w:rPr>
        <w:t>1.</w:t>
      </w:r>
      <w:r>
        <w:rPr>
          <w:rFonts w:hint="eastAsia"/>
          <w:color w:val="auto"/>
          <w:sz w:val="24"/>
          <w:lang w:val="en-US"/>
        </w:rPr>
        <w:t>6</w:t>
      </w:r>
      <w:r>
        <w:rPr>
          <w:rFonts w:hint="eastAsia"/>
          <w:color w:val="auto"/>
          <w:sz w:val="24"/>
        </w:rPr>
        <w:t>语言</w:t>
      </w:r>
      <w:bookmarkEnd w:id="101"/>
      <w:r>
        <w:rPr>
          <w:rFonts w:hint="eastAsia"/>
          <w:color w:val="auto"/>
          <w:sz w:val="24"/>
        </w:rPr>
        <w:t>文字</w:t>
      </w:r>
      <w:bookmarkEnd w:id="102"/>
      <w:bookmarkEnd w:id="103"/>
      <w:bookmarkEnd w:id="104"/>
      <w:bookmarkEnd w:id="105"/>
      <w:bookmarkEnd w:id="106"/>
      <w:bookmarkEnd w:id="107"/>
      <w:bookmarkEnd w:id="108"/>
      <w:bookmarkEnd w:id="109"/>
      <w:bookmarkEnd w:id="110"/>
      <w:bookmarkEnd w:id="111"/>
      <w:bookmarkEnd w:id="112"/>
      <w:bookmarkEnd w:id="113"/>
      <w:bookmarkEnd w:id="114"/>
    </w:p>
    <w:p w14:paraId="5BCA51F6">
      <w:pPr>
        <w:keepNext w:val="0"/>
        <w:keepLines w:val="0"/>
        <w:pageBreakBefore w:val="0"/>
        <w:widowControl w:val="0"/>
        <w:kinsoku/>
        <w:wordWrap w:val="0"/>
        <w:overflowPunct/>
        <w:topLinePunct w:val="0"/>
        <w:autoSpaceDE w:val="0"/>
        <w:autoSpaceDN w:val="0"/>
        <w:bidi w:val="0"/>
        <w:adjustRightInd/>
        <w:snapToGrid/>
        <w:spacing w:line="480" w:lineRule="exact"/>
        <w:ind w:left="0" w:right="0" w:firstLine="480" w:firstLineChars="200"/>
        <w:jc w:val="left"/>
        <w:textAlignment w:val="auto"/>
        <w:rPr>
          <w:color w:val="auto"/>
          <w:sz w:val="24"/>
        </w:rPr>
      </w:pPr>
      <w:r>
        <w:rPr>
          <w:rFonts w:hint="eastAsia"/>
          <w:color w:val="auto"/>
          <w:sz w:val="24"/>
        </w:rPr>
        <w:t>除专用术语外，与磋商有关的语言均使用中文。必要时专用术语应附有中文注释，</w:t>
      </w:r>
      <w:r>
        <w:rPr>
          <w:rFonts w:hint="eastAsia"/>
          <w:color w:val="auto"/>
          <w:sz w:val="24"/>
          <w:lang w:bidi="en-US"/>
        </w:rPr>
        <w:t>对不同文字文本响应文件的解释发生异议的，以中文文本为准。</w:t>
      </w:r>
    </w:p>
    <w:p w14:paraId="071FBEE5">
      <w:pPr>
        <w:keepNext w:val="0"/>
        <w:keepLines w:val="0"/>
        <w:pageBreakBefore w:val="0"/>
        <w:widowControl w:val="0"/>
        <w:kinsoku/>
        <w:wordWrap w:val="0"/>
        <w:overflowPunct/>
        <w:topLinePunct w:val="0"/>
        <w:autoSpaceDE w:val="0"/>
        <w:autoSpaceDN w:val="0"/>
        <w:bidi w:val="0"/>
        <w:adjustRightInd/>
        <w:snapToGrid/>
        <w:spacing w:line="480" w:lineRule="exact"/>
        <w:ind w:left="0" w:right="0" w:firstLine="480" w:firstLineChars="200"/>
        <w:jc w:val="left"/>
        <w:textAlignment w:val="auto"/>
        <w:rPr>
          <w:color w:val="auto"/>
          <w:sz w:val="24"/>
        </w:rPr>
      </w:pPr>
      <w:bookmarkStart w:id="115" w:name="_Toc464035518"/>
      <w:bookmarkStart w:id="116" w:name="_Toc2702"/>
      <w:bookmarkStart w:id="117" w:name="_Toc144974506"/>
      <w:bookmarkStart w:id="118" w:name="_Toc152042314"/>
      <w:bookmarkStart w:id="119" w:name="_Toc4237"/>
      <w:bookmarkStart w:id="120" w:name="_Toc9446"/>
      <w:bookmarkStart w:id="121" w:name="_Toc152045538"/>
      <w:bookmarkStart w:id="122" w:name="_Toc32507"/>
      <w:bookmarkStart w:id="123" w:name="_Toc22378"/>
      <w:bookmarkStart w:id="124" w:name="_Toc9511_WPSOffice_Level3"/>
      <w:bookmarkStart w:id="125" w:name="_Toc318450683"/>
      <w:bookmarkStart w:id="126" w:name="_Toc455080117"/>
      <w:bookmarkStart w:id="127" w:name="_Toc463701039"/>
      <w:bookmarkStart w:id="128" w:name="_Toc24337"/>
      <w:r>
        <w:rPr>
          <w:rFonts w:hint="eastAsia"/>
          <w:color w:val="auto"/>
          <w:sz w:val="24"/>
        </w:rPr>
        <w:t>1.</w:t>
      </w:r>
      <w:r>
        <w:rPr>
          <w:rFonts w:hint="eastAsia"/>
          <w:color w:val="auto"/>
          <w:sz w:val="24"/>
          <w:lang w:val="en-US"/>
        </w:rPr>
        <w:t>7</w:t>
      </w:r>
      <w:r>
        <w:rPr>
          <w:rFonts w:hint="eastAsia"/>
          <w:color w:val="auto"/>
          <w:sz w:val="24"/>
        </w:rPr>
        <w:t xml:space="preserve"> 计量单位</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p>
    <w:p w14:paraId="7E8D7FE0">
      <w:pPr>
        <w:keepNext w:val="0"/>
        <w:keepLines w:val="0"/>
        <w:pageBreakBefore w:val="0"/>
        <w:widowControl w:val="0"/>
        <w:kinsoku/>
        <w:wordWrap w:val="0"/>
        <w:overflowPunct/>
        <w:topLinePunct w:val="0"/>
        <w:autoSpaceDE w:val="0"/>
        <w:autoSpaceDN w:val="0"/>
        <w:bidi w:val="0"/>
        <w:adjustRightInd/>
        <w:snapToGrid/>
        <w:spacing w:line="480" w:lineRule="exact"/>
        <w:ind w:left="0" w:right="0" w:firstLine="480" w:firstLineChars="200"/>
        <w:jc w:val="left"/>
        <w:textAlignment w:val="auto"/>
        <w:rPr>
          <w:color w:val="auto"/>
          <w:sz w:val="24"/>
        </w:rPr>
      </w:pPr>
      <w:r>
        <w:rPr>
          <w:rFonts w:hint="eastAsia"/>
          <w:color w:val="auto"/>
          <w:sz w:val="24"/>
        </w:rPr>
        <w:t>所有计量均采用中华人民共和国法定计量单位。</w:t>
      </w:r>
    </w:p>
    <w:p w14:paraId="3D5D73DA">
      <w:pPr>
        <w:pStyle w:val="5"/>
        <w:keepNext w:val="0"/>
        <w:keepLines w:val="0"/>
        <w:pageBreakBefore w:val="0"/>
        <w:widowControl w:val="0"/>
        <w:kinsoku/>
        <w:wordWrap w:val="0"/>
        <w:overflowPunct/>
        <w:topLinePunct w:val="0"/>
        <w:bidi w:val="0"/>
        <w:adjustRightInd/>
        <w:snapToGrid/>
        <w:spacing w:line="480" w:lineRule="exact"/>
        <w:ind w:left="0" w:right="0" w:firstLine="482" w:firstLineChars="200"/>
        <w:jc w:val="left"/>
        <w:textAlignment w:val="auto"/>
        <w:rPr>
          <w:color w:val="auto"/>
        </w:rPr>
      </w:pPr>
      <w:bookmarkStart w:id="129" w:name="_Toc12366_WPSOffice_Level2"/>
      <w:r>
        <w:rPr>
          <w:color w:val="auto"/>
        </w:rPr>
        <w:t>2、合格的磋商响应供应商</w:t>
      </w:r>
      <w:bookmarkEnd w:id="129"/>
    </w:p>
    <w:p w14:paraId="0AAD4959">
      <w:pPr>
        <w:pStyle w:val="5"/>
        <w:keepNext w:val="0"/>
        <w:keepLines w:val="0"/>
        <w:pageBreakBefore w:val="0"/>
        <w:widowControl w:val="0"/>
        <w:kinsoku/>
        <w:wordWrap w:val="0"/>
        <w:overflowPunct/>
        <w:topLinePunct w:val="0"/>
        <w:bidi w:val="0"/>
        <w:adjustRightInd/>
        <w:snapToGrid/>
        <w:spacing w:line="480" w:lineRule="exact"/>
        <w:ind w:left="0" w:right="0" w:firstLine="480" w:firstLineChars="200"/>
        <w:jc w:val="left"/>
        <w:textAlignment w:val="auto"/>
        <w:rPr>
          <w:color w:val="auto"/>
        </w:rPr>
      </w:pPr>
      <w:r>
        <w:rPr>
          <w:rFonts w:hint="eastAsia"/>
          <w:b w:val="0"/>
          <w:bCs w:val="0"/>
          <w:color w:val="auto"/>
        </w:rPr>
        <w:t>见供应商须知前附表</w:t>
      </w:r>
    </w:p>
    <w:p w14:paraId="1E0ACEE9">
      <w:pPr>
        <w:pStyle w:val="5"/>
        <w:keepNext w:val="0"/>
        <w:keepLines w:val="0"/>
        <w:pageBreakBefore w:val="0"/>
        <w:widowControl w:val="0"/>
        <w:kinsoku/>
        <w:wordWrap w:val="0"/>
        <w:overflowPunct/>
        <w:topLinePunct w:val="0"/>
        <w:bidi w:val="0"/>
        <w:adjustRightInd/>
        <w:snapToGrid/>
        <w:spacing w:line="480" w:lineRule="exact"/>
        <w:ind w:left="0" w:right="0" w:firstLine="482" w:firstLineChars="200"/>
        <w:jc w:val="left"/>
        <w:textAlignment w:val="auto"/>
        <w:rPr>
          <w:color w:val="auto"/>
        </w:rPr>
      </w:pPr>
      <w:bookmarkStart w:id="130" w:name="_Toc8655_WPSOffice_Level2"/>
      <w:r>
        <w:rPr>
          <w:color w:val="auto"/>
        </w:rPr>
        <w:t>3、费用</w:t>
      </w:r>
      <w:bookmarkEnd w:id="130"/>
    </w:p>
    <w:p w14:paraId="3556C391">
      <w:pPr>
        <w:pStyle w:val="8"/>
        <w:keepNext w:val="0"/>
        <w:keepLines w:val="0"/>
        <w:pageBreakBefore w:val="0"/>
        <w:widowControl w:val="0"/>
        <w:kinsoku/>
        <w:wordWrap w:val="0"/>
        <w:overflowPunct/>
        <w:topLinePunct w:val="0"/>
        <w:bidi w:val="0"/>
        <w:adjustRightInd/>
        <w:snapToGrid/>
        <w:spacing w:line="480" w:lineRule="exact"/>
        <w:ind w:left="0" w:right="0" w:firstLine="480" w:firstLineChars="200"/>
        <w:jc w:val="left"/>
        <w:textAlignment w:val="auto"/>
        <w:rPr>
          <w:color w:val="auto"/>
        </w:rPr>
      </w:pPr>
      <w:r>
        <w:rPr>
          <w:color w:val="auto"/>
        </w:rPr>
        <w:t>3.1</w:t>
      </w:r>
      <w:r>
        <w:rPr>
          <w:color w:val="auto"/>
          <w:spacing w:val="-9"/>
        </w:rPr>
        <w:t xml:space="preserve"> 磋商响应供应商应自行承担参加磋商活动有关的全部费用，采购人在任何情况下均</w:t>
      </w:r>
      <w:r>
        <w:rPr>
          <w:color w:val="auto"/>
        </w:rPr>
        <w:t>无义务和责任承担上述费用。</w:t>
      </w:r>
    </w:p>
    <w:p w14:paraId="13A2391A">
      <w:pPr>
        <w:keepNext w:val="0"/>
        <w:keepLines w:val="0"/>
        <w:pageBreakBefore w:val="0"/>
        <w:widowControl w:val="0"/>
        <w:kinsoku/>
        <w:wordWrap w:val="0"/>
        <w:overflowPunct/>
        <w:topLinePunct w:val="0"/>
        <w:autoSpaceDE w:val="0"/>
        <w:autoSpaceDN w:val="0"/>
        <w:bidi w:val="0"/>
        <w:adjustRightInd/>
        <w:snapToGrid/>
        <w:spacing w:line="480" w:lineRule="exact"/>
        <w:ind w:left="0" w:right="0" w:firstLine="482" w:firstLineChars="200"/>
        <w:jc w:val="left"/>
        <w:textAlignment w:val="auto"/>
        <w:rPr>
          <w:b/>
          <w:color w:val="auto"/>
          <w:spacing w:val="-2"/>
          <w:sz w:val="24"/>
        </w:rPr>
      </w:pPr>
      <w:bookmarkStart w:id="131" w:name="_Toc4976_WPSOffice_Level2"/>
      <w:r>
        <w:rPr>
          <w:b/>
          <w:color w:val="auto"/>
          <w:sz w:val="24"/>
        </w:rPr>
        <w:t>4</w:t>
      </w:r>
      <w:r>
        <w:rPr>
          <w:b/>
          <w:color w:val="auto"/>
          <w:spacing w:val="-2"/>
          <w:sz w:val="24"/>
        </w:rPr>
        <w:t>、竞争性磋商文件的构成</w:t>
      </w:r>
    </w:p>
    <w:p w14:paraId="4814A557">
      <w:pPr>
        <w:keepNext w:val="0"/>
        <w:keepLines w:val="0"/>
        <w:pageBreakBefore w:val="0"/>
        <w:widowControl w:val="0"/>
        <w:kinsoku/>
        <w:wordWrap w:val="0"/>
        <w:overflowPunct/>
        <w:topLinePunct w:val="0"/>
        <w:autoSpaceDE w:val="0"/>
        <w:autoSpaceDN w:val="0"/>
        <w:bidi w:val="0"/>
        <w:adjustRightInd/>
        <w:snapToGrid/>
        <w:spacing w:line="480" w:lineRule="exact"/>
        <w:ind w:left="0" w:right="0" w:firstLine="480" w:firstLineChars="200"/>
        <w:jc w:val="left"/>
        <w:textAlignment w:val="auto"/>
        <w:rPr>
          <w:rFonts w:hint="eastAsia" w:ascii="宋体" w:hAnsi="宋体" w:eastAsia="宋体" w:cs="宋体"/>
          <w:color w:val="auto"/>
          <w:sz w:val="24"/>
        </w:rPr>
      </w:pPr>
      <w:r>
        <w:rPr>
          <w:rFonts w:hint="eastAsia" w:ascii="宋体" w:hAnsi="宋体" w:eastAsia="宋体" w:cs="宋体"/>
          <w:color w:val="auto"/>
          <w:sz w:val="24"/>
        </w:rPr>
        <w:t>第一章 竞争性磋商公告</w:t>
      </w:r>
      <w:bookmarkEnd w:id="131"/>
    </w:p>
    <w:p w14:paraId="096E19AE">
      <w:pPr>
        <w:keepNext w:val="0"/>
        <w:keepLines w:val="0"/>
        <w:pageBreakBefore w:val="0"/>
        <w:widowControl w:val="0"/>
        <w:kinsoku/>
        <w:wordWrap w:val="0"/>
        <w:overflowPunct/>
        <w:topLinePunct w:val="0"/>
        <w:autoSpaceDE w:val="0"/>
        <w:autoSpaceDN w:val="0"/>
        <w:bidi w:val="0"/>
        <w:adjustRightInd/>
        <w:snapToGrid/>
        <w:spacing w:line="480" w:lineRule="exact"/>
        <w:ind w:left="0" w:right="0" w:firstLine="480" w:firstLineChars="200"/>
        <w:jc w:val="left"/>
        <w:textAlignment w:val="auto"/>
        <w:rPr>
          <w:rFonts w:hint="eastAsia" w:ascii="宋体" w:hAnsi="宋体" w:eastAsia="宋体" w:cs="宋体"/>
          <w:color w:val="auto"/>
          <w:sz w:val="24"/>
        </w:rPr>
      </w:pPr>
      <w:bookmarkStart w:id="132" w:name="_Toc25399_WPSOffice_Level1"/>
      <w:r>
        <w:rPr>
          <w:rFonts w:hint="eastAsia" w:ascii="宋体" w:hAnsi="宋体" w:eastAsia="宋体" w:cs="宋体"/>
          <w:color w:val="auto"/>
          <w:sz w:val="24"/>
        </w:rPr>
        <w:t>第二章 供应商须知</w:t>
      </w:r>
    </w:p>
    <w:p w14:paraId="696781DA">
      <w:pPr>
        <w:keepNext w:val="0"/>
        <w:keepLines w:val="0"/>
        <w:pageBreakBefore w:val="0"/>
        <w:widowControl w:val="0"/>
        <w:kinsoku/>
        <w:wordWrap w:val="0"/>
        <w:overflowPunct/>
        <w:topLinePunct w:val="0"/>
        <w:autoSpaceDE w:val="0"/>
        <w:autoSpaceDN w:val="0"/>
        <w:bidi w:val="0"/>
        <w:adjustRightInd/>
        <w:snapToGrid/>
        <w:spacing w:line="480" w:lineRule="exact"/>
        <w:ind w:left="0" w:right="0" w:firstLine="480" w:firstLineChars="200"/>
        <w:jc w:val="left"/>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rPr>
        <w:t>第三章</w:t>
      </w:r>
      <w:bookmarkEnd w:id="132"/>
      <w:r>
        <w:rPr>
          <w:rFonts w:hint="eastAsia" w:ascii="宋体" w:hAnsi="宋体" w:eastAsia="宋体" w:cs="宋体"/>
          <w:color w:val="auto"/>
          <w:sz w:val="24"/>
          <w:lang w:val="en-US" w:eastAsia="zh-CN"/>
        </w:rPr>
        <w:t xml:space="preserve"> 服务需求</w:t>
      </w:r>
    </w:p>
    <w:p w14:paraId="3A848CBF">
      <w:pPr>
        <w:keepNext w:val="0"/>
        <w:keepLines w:val="0"/>
        <w:pageBreakBefore w:val="0"/>
        <w:widowControl w:val="0"/>
        <w:kinsoku/>
        <w:wordWrap w:val="0"/>
        <w:overflowPunct/>
        <w:topLinePunct w:val="0"/>
        <w:autoSpaceDE w:val="0"/>
        <w:autoSpaceDN w:val="0"/>
        <w:bidi w:val="0"/>
        <w:adjustRightInd/>
        <w:snapToGrid/>
        <w:spacing w:line="480" w:lineRule="exact"/>
        <w:ind w:left="0" w:right="0" w:firstLine="480" w:firstLineChars="200"/>
        <w:jc w:val="left"/>
        <w:textAlignment w:val="auto"/>
        <w:rPr>
          <w:rFonts w:hint="eastAsia" w:ascii="宋体" w:hAnsi="宋体" w:eastAsia="宋体" w:cs="宋体"/>
          <w:color w:val="auto"/>
          <w:sz w:val="24"/>
        </w:rPr>
      </w:pPr>
      <w:bookmarkStart w:id="133" w:name="_Toc3669_WPSOffice_Level2"/>
      <w:r>
        <w:rPr>
          <w:rFonts w:hint="eastAsia" w:ascii="宋体" w:hAnsi="宋体" w:eastAsia="宋体" w:cs="宋体"/>
          <w:color w:val="auto"/>
          <w:sz w:val="24"/>
        </w:rPr>
        <w:t>第四章 评审办法</w:t>
      </w:r>
      <w:bookmarkEnd w:id="133"/>
    </w:p>
    <w:p w14:paraId="566F21DE">
      <w:pPr>
        <w:keepNext w:val="0"/>
        <w:keepLines w:val="0"/>
        <w:pageBreakBefore w:val="0"/>
        <w:widowControl w:val="0"/>
        <w:kinsoku/>
        <w:wordWrap w:val="0"/>
        <w:overflowPunct/>
        <w:topLinePunct w:val="0"/>
        <w:autoSpaceDE w:val="0"/>
        <w:autoSpaceDN w:val="0"/>
        <w:bidi w:val="0"/>
        <w:adjustRightInd/>
        <w:snapToGrid/>
        <w:spacing w:line="480" w:lineRule="exact"/>
        <w:ind w:left="0" w:right="0" w:firstLine="480" w:firstLineChars="200"/>
        <w:jc w:val="left"/>
        <w:textAlignment w:val="auto"/>
        <w:rPr>
          <w:rFonts w:hint="eastAsia" w:ascii="宋体" w:hAnsi="宋体" w:eastAsia="宋体" w:cs="宋体"/>
          <w:color w:val="auto"/>
          <w:sz w:val="24"/>
        </w:rPr>
      </w:pPr>
      <w:bookmarkStart w:id="134" w:name="_Toc1982_WPSOffice_Level2"/>
      <w:r>
        <w:rPr>
          <w:rFonts w:hint="eastAsia" w:ascii="宋体" w:hAnsi="宋体" w:eastAsia="宋体" w:cs="宋体"/>
          <w:color w:val="auto"/>
          <w:sz w:val="24"/>
        </w:rPr>
        <w:t>第五章 合同主要条款及格式</w:t>
      </w:r>
      <w:bookmarkEnd w:id="134"/>
    </w:p>
    <w:p w14:paraId="763E9642">
      <w:pPr>
        <w:keepNext w:val="0"/>
        <w:keepLines w:val="0"/>
        <w:pageBreakBefore w:val="0"/>
        <w:widowControl w:val="0"/>
        <w:kinsoku/>
        <w:wordWrap w:val="0"/>
        <w:overflowPunct/>
        <w:topLinePunct w:val="0"/>
        <w:autoSpaceDE w:val="0"/>
        <w:autoSpaceDN w:val="0"/>
        <w:bidi w:val="0"/>
        <w:adjustRightInd/>
        <w:snapToGrid/>
        <w:spacing w:line="480" w:lineRule="exact"/>
        <w:ind w:left="0" w:right="0" w:firstLine="480" w:firstLineChars="200"/>
        <w:jc w:val="left"/>
        <w:textAlignment w:val="auto"/>
        <w:rPr>
          <w:rFonts w:hint="eastAsia" w:ascii="宋体" w:hAnsi="宋体" w:eastAsia="宋体" w:cs="宋体"/>
          <w:color w:val="auto"/>
          <w:sz w:val="24"/>
        </w:rPr>
      </w:pPr>
      <w:bookmarkStart w:id="135" w:name="_Toc4328_WPSOffice_Level2"/>
      <w:r>
        <w:rPr>
          <w:rFonts w:hint="eastAsia" w:ascii="宋体" w:hAnsi="宋体" w:eastAsia="宋体" w:cs="宋体"/>
          <w:color w:val="auto"/>
          <w:sz w:val="24"/>
        </w:rPr>
        <w:t>第六章 电子化响应文件内容及格式</w:t>
      </w:r>
      <w:bookmarkEnd w:id="135"/>
    </w:p>
    <w:p w14:paraId="08E722D3">
      <w:pPr>
        <w:pStyle w:val="5"/>
        <w:keepNext w:val="0"/>
        <w:keepLines w:val="0"/>
        <w:pageBreakBefore w:val="0"/>
        <w:widowControl w:val="0"/>
        <w:kinsoku/>
        <w:wordWrap w:val="0"/>
        <w:overflowPunct/>
        <w:topLinePunct w:val="0"/>
        <w:bidi w:val="0"/>
        <w:adjustRightInd/>
        <w:snapToGrid/>
        <w:spacing w:line="480" w:lineRule="exact"/>
        <w:ind w:left="0" w:right="0" w:firstLine="482" w:firstLineChars="200"/>
        <w:jc w:val="left"/>
        <w:textAlignment w:val="auto"/>
        <w:rPr>
          <w:color w:val="auto"/>
        </w:rPr>
      </w:pPr>
      <w:bookmarkStart w:id="136" w:name="_Toc20095_WPSOffice_Level3"/>
      <w:r>
        <w:rPr>
          <w:color w:val="auto"/>
        </w:rPr>
        <w:t>5、竞争性磋商文件的澄清</w:t>
      </w:r>
      <w:bookmarkEnd w:id="136"/>
    </w:p>
    <w:p w14:paraId="2692F381">
      <w:pPr>
        <w:pStyle w:val="38"/>
        <w:keepNext w:val="0"/>
        <w:keepLines w:val="0"/>
        <w:pageBreakBefore w:val="0"/>
        <w:widowControl w:val="0"/>
        <w:numPr>
          <w:ilvl w:val="1"/>
          <w:numId w:val="2"/>
        </w:numPr>
        <w:tabs>
          <w:tab w:val="left" w:pos="1101"/>
        </w:tabs>
        <w:kinsoku/>
        <w:wordWrap w:val="0"/>
        <w:overflowPunct/>
        <w:topLinePunct w:val="0"/>
        <w:bidi w:val="0"/>
        <w:adjustRightInd/>
        <w:snapToGrid/>
        <w:spacing w:line="480" w:lineRule="exact"/>
        <w:ind w:left="0" w:right="0" w:firstLine="472" w:firstLineChars="200"/>
        <w:jc w:val="left"/>
        <w:textAlignment w:val="auto"/>
        <w:rPr>
          <w:color w:val="auto"/>
          <w:sz w:val="24"/>
        </w:rPr>
      </w:pPr>
      <w:r>
        <w:rPr>
          <w:color w:val="auto"/>
          <w:spacing w:val="-2"/>
          <w:sz w:val="24"/>
        </w:rPr>
        <w:t>磋商响应供应商对磋商文件需有澄清或疑问，应在购买竞争性磋商文件后</w:t>
      </w:r>
      <w:r>
        <w:rPr>
          <w:color w:val="auto"/>
          <w:sz w:val="24"/>
        </w:rPr>
        <w:t>3</w:t>
      </w:r>
      <w:r>
        <w:rPr>
          <w:color w:val="auto"/>
          <w:spacing w:val="-25"/>
          <w:sz w:val="24"/>
        </w:rPr>
        <w:t xml:space="preserve"> 日内</w:t>
      </w:r>
      <w:r>
        <w:rPr>
          <w:color w:val="auto"/>
          <w:spacing w:val="-2"/>
          <w:sz w:val="24"/>
        </w:rPr>
        <w:t>向采购人进行询问，采购人在收到磋商响应供应商的疑问后于</w:t>
      </w:r>
      <w:r>
        <w:rPr>
          <w:rFonts w:hint="eastAsia"/>
          <w:color w:val="auto"/>
          <w:spacing w:val="-2"/>
          <w:sz w:val="24"/>
          <w:lang w:val="en-US" w:eastAsia="zh-CN"/>
        </w:rPr>
        <w:t>2</w:t>
      </w:r>
      <w:r>
        <w:rPr>
          <w:color w:val="auto"/>
          <w:spacing w:val="-6"/>
          <w:sz w:val="24"/>
        </w:rPr>
        <w:t>日内将视情况确定采用适当方式予以澄清或以书面形式予以答复，并在其认为必要时，将书面答复发送已购买竞争性磋商文件的所有潜在磋商响应供应商。</w:t>
      </w:r>
    </w:p>
    <w:p w14:paraId="79C91224">
      <w:pPr>
        <w:pStyle w:val="38"/>
        <w:keepNext w:val="0"/>
        <w:keepLines w:val="0"/>
        <w:pageBreakBefore w:val="0"/>
        <w:widowControl w:val="0"/>
        <w:numPr>
          <w:ilvl w:val="1"/>
          <w:numId w:val="2"/>
        </w:numPr>
        <w:tabs>
          <w:tab w:val="left" w:pos="1101"/>
        </w:tabs>
        <w:kinsoku/>
        <w:wordWrap w:val="0"/>
        <w:overflowPunct/>
        <w:topLinePunct w:val="0"/>
        <w:bidi w:val="0"/>
        <w:adjustRightInd/>
        <w:snapToGrid/>
        <w:spacing w:line="480" w:lineRule="exact"/>
        <w:ind w:left="0" w:right="0" w:firstLine="480" w:firstLineChars="200"/>
        <w:jc w:val="left"/>
        <w:textAlignment w:val="auto"/>
        <w:rPr>
          <w:color w:val="auto"/>
        </w:rPr>
      </w:pPr>
      <w:r>
        <w:rPr>
          <w:color w:val="auto"/>
          <w:sz w:val="24"/>
        </w:rPr>
        <w:t>采购人将视情况在认为必要时于采购截止时间前答疑</w:t>
      </w:r>
      <w:r>
        <w:rPr>
          <w:rFonts w:hint="eastAsia"/>
          <w:color w:val="auto"/>
          <w:sz w:val="24"/>
        </w:rPr>
        <w:t>。</w:t>
      </w:r>
    </w:p>
    <w:p w14:paraId="2ADE151E">
      <w:pPr>
        <w:pStyle w:val="5"/>
        <w:keepNext w:val="0"/>
        <w:keepLines w:val="0"/>
        <w:pageBreakBefore w:val="0"/>
        <w:widowControl w:val="0"/>
        <w:kinsoku/>
        <w:wordWrap w:val="0"/>
        <w:overflowPunct/>
        <w:topLinePunct w:val="0"/>
        <w:bidi w:val="0"/>
        <w:adjustRightInd/>
        <w:snapToGrid/>
        <w:spacing w:line="480" w:lineRule="exact"/>
        <w:ind w:left="0" w:right="0" w:firstLine="482" w:firstLineChars="200"/>
        <w:jc w:val="left"/>
        <w:textAlignment w:val="auto"/>
        <w:rPr>
          <w:color w:val="auto"/>
        </w:rPr>
      </w:pPr>
      <w:bookmarkStart w:id="137" w:name="_Toc20123_WPSOffice_Level3"/>
      <w:r>
        <w:rPr>
          <w:color w:val="auto"/>
        </w:rPr>
        <w:t>6、竞争性磋商文件的修改</w:t>
      </w:r>
      <w:bookmarkEnd w:id="137"/>
    </w:p>
    <w:p w14:paraId="45066D44">
      <w:pPr>
        <w:pStyle w:val="38"/>
        <w:keepNext w:val="0"/>
        <w:keepLines w:val="0"/>
        <w:pageBreakBefore w:val="0"/>
        <w:widowControl w:val="0"/>
        <w:tabs>
          <w:tab w:val="left" w:pos="1101"/>
        </w:tabs>
        <w:kinsoku/>
        <w:wordWrap w:val="0"/>
        <w:overflowPunct/>
        <w:topLinePunct w:val="0"/>
        <w:bidi w:val="0"/>
        <w:adjustRightInd/>
        <w:snapToGrid/>
        <w:spacing w:line="480" w:lineRule="exact"/>
        <w:ind w:left="0" w:right="0" w:firstLine="472" w:firstLineChars="200"/>
        <w:jc w:val="left"/>
        <w:textAlignment w:val="auto"/>
        <w:rPr>
          <w:color w:val="auto"/>
          <w:spacing w:val="-2"/>
          <w:sz w:val="24"/>
        </w:rPr>
      </w:pPr>
      <w:r>
        <w:rPr>
          <w:color w:val="auto"/>
          <w:spacing w:val="-2"/>
          <w:sz w:val="24"/>
        </w:rPr>
        <w:t>6.1 竞争性磋商文件的修改书将构成磋商响应文件的一部分，对所有磋商响应供应商均有约束力。</w:t>
      </w:r>
    </w:p>
    <w:p w14:paraId="273FBAC0">
      <w:pPr>
        <w:pStyle w:val="38"/>
        <w:keepNext w:val="0"/>
        <w:keepLines w:val="0"/>
        <w:pageBreakBefore w:val="0"/>
        <w:widowControl w:val="0"/>
        <w:tabs>
          <w:tab w:val="left" w:pos="1101"/>
        </w:tabs>
        <w:kinsoku/>
        <w:wordWrap w:val="0"/>
        <w:overflowPunct/>
        <w:topLinePunct w:val="0"/>
        <w:bidi w:val="0"/>
        <w:adjustRightInd/>
        <w:snapToGrid/>
        <w:spacing w:line="480" w:lineRule="exact"/>
        <w:ind w:left="0" w:right="0" w:firstLine="482" w:firstLineChars="200"/>
        <w:jc w:val="left"/>
        <w:textAlignment w:val="auto"/>
        <w:rPr>
          <w:b/>
          <w:bCs/>
          <w:color w:val="auto"/>
          <w:sz w:val="24"/>
          <w:szCs w:val="24"/>
        </w:rPr>
      </w:pPr>
      <w:bookmarkStart w:id="138" w:name="_Toc12366_WPSOffice_Level3"/>
      <w:r>
        <w:rPr>
          <w:b/>
          <w:bCs/>
          <w:color w:val="auto"/>
          <w:sz w:val="24"/>
          <w:szCs w:val="24"/>
        </w:rPr>
        <w:t>7、要求</w:t>
      </w:r>
      <w:bookmarkEnd w:id="138"/>
    </w:p>
    <w:p w14:paraId="63EB7AB4">
      <w:pPr>
        <w:pStyle w:val="8"/>
        <w:keepNext w:val="0"/>
        <w:keepLines w:val="0"/>
        <w:pageBreakBefore w:val="0"/>
        <w:widowControl w:val="0"/>
        <w:kinsoku/>
        <w:wordWrap w:val="0"/>
        <w:overflowPunct/>
        <w:topLinePunct w:val="0"/>
        <w:bidi w:val="0"/>
        <w:adjustRightInd/>
        <w:snapToGrid/>
        <w:spacing w:line="480" w:lineRule="exact"/>
        <w:ind w:left="0" w:right="0" w:firstLine="472" w:firstLineChars="200"/>
        <w:jc w:val="left"/>
        <w:textAlignment w:val="auto"/>
        <w:rPr>
          <w:color w:val="auto"/>
        </w:rPr>
      </w:pPr>
      <w:r>
        <w:rPr>
          <w:color w:val="auto"/>
          <w:spacing w:val="-2"/>
        </w:rPr>
        <w:t>7.1 磋商响应供应商应仔细阅读竞争性磋商文件的所有内容，按竞争性磋商文件的要求提供磋商响应文件，并保证所提供资料的真实性，以使其磋商响应文件对竞争性磋商文件作出实质性响应，否则，其磋商响应文件不予接受。</w:t>
      </w:r>
    </w:p>
    <w:p w14:paraId="1BEC9550">
      <w:pPr>
        <w:pStyle w:val="38"/>
        <w:keepNext w:val="0"/>
        <w:keepLines w:val="0"/>
        <w:pageBreakBefore w:val="0"/>
        <w:widowControl w:val="0"/>
        <w:tabs>
          <w:tab w:val="left" w:pos="1101"/>
        </w:tabs>
        <w:kinsoku/>
        <w:wordWrap w:val="0"/>
        <w:overflowPunct/>
        <w:topLinePunct w:val="0"/>
        <w:bidi w:val="0"/>
        <w:adjustRightInd/>
        <w:snapToGrid/>
        <w:spacing w:line="480" w:lineRule="exact"/>
        <w:ind w:left="0" w:right="0" w:firstLine="482" w:firstLineChars="200"/>
        <w:jc w:val="left"/>
        <w:textAlignment w:val="auto"/>
        <w:rPr>
          <w:b/>
          <w:bCs/>
          <w:color w:val="auto"/>
          <w:sz w:val="24"/>
          <w:szCs w:val="24"/>
        </w:rPr>
      </w:pPr>
      <w:bookmarkStart w:id="139" w:name="_Toc8655_WPSOffice_Level3"/>
      <w:r>
        <w:rPr>
          <w:b/>
          <w:bCs/>
          <w:color w:val="auto"/>
          <w:sz w:val="24"/>
          <w:szCs w:val="24"/>
        </w:rPr>
        <w:t>8、电子化磋商响应文件的组成</w:t>
      </w:r>
      <w:bookmarkEnd w:id="139"/>
    </w:p>
    <w:p w14:paraId="09B62AAA">
      <w:pPr>
        <w:pStyle w:val="38"/>
        <w:keepNext w:val="0"/>
        <w:keepLines w:val="0"/>
        <w:pageBreakBefore w:val="0"/>
        <w:widowControl w:val="0"/>
        <w:tabs>
          <w:tab w:val="left" w:pos="1101"/>
        </w:tabs>
        <w:kinsoku/>
        <w:wordWrap w:val="0"/>
        <w:overflowPunct/>
        <w:topLinePunct w:val="0"/>
        <w:bidi w:val="0"/>
        <w:adjustRightInd/>
        <w:snapToGrid/>
        <w:spacing w:line="480" w:lineRule="exact"/>
        <w:ind w:left="0" w:right="0" w:firstLine="480" w:firstLineChars="200"/>
        <w:jc w:val="left"/>
        <w:textAlignment w:val="auto"/>
        <w:rPr>
          <w:color w:val="auto"/>
          <w:sz w:val="24"/>
          <w:szCs w:val="24"/>
        </w:rPr>
      </w:pPr>
      <w:r>
        <w:rPr>
          <w:rFonts w:hint="eastAsia"/>
          <w:color w:val="auto"/>
          <w:sz w:val="24"/>
          <w:szCs w:val="24"/>
        </w:rPr>
        <w:t>详见第六章响应文件内容及格式</w:t>
      </w:r>
    </w:p>
    <w:p w14:paraId="0A3BB8FD">
      <w:pPr>
        <w:pStyle w:val="38"/>
        <w:keepNext w:val="0"/>
        <w:keepLines w:val="0"/>
        <w:pageBreakBefore w:val="0"/>
        <w:widowControl w:val="0"/>
        <w:tabs>
          <w:tab w:val="left" w:pos="1101"/>
        </w:tabs>
        <w:kinsoku/>
        <w:wordWrap w:val="0"/>
        <w:overflowPunct/>
        <w:topLinePunct w:val="0"/>
        <w:bidi w:val="0"/>
        <w:adjustRightInd/>
        <w:snapToGrid/>
        <w:spacing w:line="480" w:lineRule="exact"/>
        <w:ind w:left="0" w:right="0" w:firstLine="482" w:firstLineChars="200"/>
        <w:jc w:val="left"/>
        <w:textAlignment w:val="auto"/>
        <w:rPr>
          <w:b/>
          <w:bCs/>
          <w:color w:val="auto"/>
          <w:sz w:val="24"/>
          <w:szCs w:val="24"/>
        </w:rPr>
      </w:pPr>
      <w:bookmarkStart w:id="140" w:name="_Toc4976_WPSOffice_Level3"/>
      <w:r>
        <w:rPr>
          <w:b/>
          <w:bCs/>
          <w:color w:val="auto"/>
          <w:sz w:val="24"/>
          <w:szCs w:val="24"/>
        </w:rPr>
        <w:t>9、电子化磋商响应文件的格式</w:t>
      </w:r>
      <w:bookmarkEnd w:id="140"/>
    </w:p>
    <w:p w14:paraId="777126BC">
      <w:pPr>
        <w:pStyle w:val="8"/>
        <w:keepNext w:val="0"/>
        <w:keepLines w:val="0"/>
        <w:pageBreakBefore w:val="0"/>
        <w:widowControl w:val="0"/>
        <w:kinsoku/>
        <w:wordWrap w:val="0"/>
        <w:overflowPunct/>
        <w:topLinePunct w:val="0"/>
        <w:bidi w:val="0"/>
        <w:adjustRightInd/>
        <w:snapToGrid/>
        <w:spacing w:line="480" w:lineRule="exact"/>
        <w:ind w:left="0" w:right="0" w:firstLine="480" w:firstLineChars="200"/>
        <w:jc w:val="left"/>
        <w:textAlignment w:val="auto"/>
        <w:rPr>
          <w:color w:val="auto"/>
        </w:rPr>
      </w:pPr>
      <w:r>
        <w:rPr>
          <w:color w:val="auto"/>
        </w:rPr>
        <w:t>9.1</w:t>
      </w:r>
      <w:r>
        <w:rPr>
          <w:rFonts w:hint="eastAsia"/>
          <w:color w:val="auto"/>
          <w:spacing w:val="-12"/>
        </w:rPr>
        <w:t>投标供应商所上传的电子化响应文件，应是通过中心响应文件制作系统制作的，经过签章和加密后生成的电子版响应文件。上传投标文件格式后缀为SMXTF。上传完后，为了验证CA锁是否正常，建议模拟解密下</w:t>
      </w:r>
      <w:r>
        <w:rPr>
          <w:color w:val="auto"/>
        </w:rPr>
        <w:t>。</w:t>
      </w:r>
    </w:p>
    <w:p w14:paraId="5FB3B5A3">
      <w:pPr>
        <w:pStyle w:val="38"/>
        <w:keepNext w:val="0"/>
        <w:keepLines w:val="0"/>
        <w:pageBreakBefore w:val="0"/>
        <w:widowControl w:val="0"/>
        <w:tabs>
          <w:tab w:val="left" w:pos="1101"/>
        </w:tabs>
        <w:kinsoku/>
        <w:wordWrap w:val="0"/>
        <w:overflowPunct/>
        <w:topLinePunct w:val="0"/>
        <w:bidi w:val="0"/>
        <w:adjustRightInd/>
        <w:snapToGrid/>
        <w:spacing w:line="480" w:lineRule="exact"/>
        <w:ind w:left="0" w:right="0" w:firstLine="482" w:firstLineChars="200"/>
        <w:jc w:val="left"/>
        <w:textAlignment w:val="auto"/>
        <w:rPr>
          <w:b/>
          <w:bCs/>
          <w:color w:val="auto"/>
          <w:sz w:val="24"/>
          <w:szCs w:val="24"/>
        </w:rPr>
      </w:pPr>
      <w:bookmarkStart w:id="141" w:name="_Toc3669_WPSOffice_Level3"/>
      <w:r>
        <w:rPr>
          <w:b/>
          <w:bCs/>
          <w:color w:val="auto"/>
          <w:sz w:val="24"/>
          <w:szCs w:val="24"/>
        </w:rPr>
        <w:t>10、电子化磋商响应文件的签署</w:t>
      </w:r>
      <w:bookmarkEnd w:id="141"/>
    </w:p>
    <w:p w14:paraId="54264B7E">
      <w:pPr>
        <w:pStyle w:val="8"/>
        <w:keepNext w:val="0"/>
        <w:keepLines w:val="0"/>
        <w:pageBreakBefore w:val="0"/>
        <w:widowControl w:val="0"/>
        <w:kinsoku/>
        <w:wordWrap w:val="0"/>
        <w:overflowPunct/>
        <w:topLinePunct w:val="0"/>
        <w:bidi w:val="0"/>
        <w:adjustRightInd/>
        <w:snapToGrid/>
        <w:spacing w:line="480" w:lineRule="exact"/>
        <w:ind w:left="0" w:right="0" w:firstLine="432" w:firstLineChars="200"/>
        <w:jc w:val="left"/>
        <w:textAlignment w:val="auto"/>
        <w:rPr>
          <w:color w:val="auto"/>
          <w:spacing w:val="-12"/>
        </w:rPr>
      </w:pPr>
      <w:r>
        <w:rPr>
          <w:color w:val="auto"/>
          <w:spacing w:val="-12"/>
        </w:rPr>
        <w:t>10.1 磋商响应供应商在进行电子化磋商响应文件签章时，竞争性磋商文件中要求磋商响应供应商盖章的，以签盖单位章为准；要求法定代表人</w:t>
      </w:r>
      <w:r>
        <w:rPr>
          <w:rFonts w:hint="eastAsia"/>
          <w:color w:val="auto"/>
          <w:spacing w:val="-12"/>
          <w:lang w:val="en-US" w:eastAsia="zh-CN"/>
        </w:rPr>
        <w:t>或授权委托人</w:t>
      </w:r>
      <w:r>
        <w:rPr>
          <w:color w:val="auto"/>
          <w:spacing w:val="-12"/>
        </w:rPr>
        <w:t>签章的，以签盖法定代表人签章为准。电子化磋商响应文件具体制作教材请供应商通过三门峡市公共资源</w:t>
      </w:r>
      <w:r>
        <w:rPr>
          <w:rFonts w:hint="eastAsia"/>
          <w:color w:val="auto"/>
          <w:spacing w:val="-12"/>
        </w:rPr>
        <w:t>交易平台网首页</w:t>
      </w:r>
      <w:r>
        <w:rPr>
          <w:color w:val="auto"/>
          <w:spacing w:val="-12"/>
        </w:rPr>
        <w:t>“下载</w:t>
      </w:r>
      <w:r>
        <w:rPr>
          <w:rFonts w:hint="eastAsia"/>
          <w:color w:val="auto"/>
          <w:spacing w:val="-12"/>
        </w:rPr>
        <w:t>专区</w:t>
      </w:r>
      <w:r>
        <w:rPr>
          <w:color w:val="auto"/>
          <w:spacing w:val="-12"/>
        </w:rPr>
        <w:t>”中查看。</w:t>
      </w:r>
    </w:p>
    <w:p w14:paraId="62EEEDFB">
      <w:pPr>
        <w:pStyle w:val="5"/>
        <w:keepNext w:val="0"/>
        <w:keepLines w:val="0"/>
        <w:pageBreakBefore w:val="0"/>
        <w:widowControl w:val="0"/>
        <w:tabs>
          <w:tab w:val="left" w:pos="687"/>
        </w:tabs>
        <w:kinsoku/>
        <w:wordWrap w:val="0"/>
        <w:overflowPunct/>
        <w:topLinePunct w:val="0"/>
        <w:bidi w:val="0"/>
        <w:adjustRightInd/>
        <w:snapToGrid/>
        <w:spacing w:line="480" w:lineRule="exact"/>
        <w:ind w:left="0" w:right="0" w:firstLine="482" w:firstLineChars="200"/>
        <w:jc w:val="left"/>
        <w:textAlignment w:val="auto"/>
        <w:rPr>
          <w:color w:val="auto"/>
        </w:rPr>
      </w:pPr>
      <w:bookmarkStart w:id="142" w:name="_Toc1982_WPSOffice_Level3"/>
      <w:r>
        <w:rPr>
          <w:color w:val="auto"/>
        </w:rPr>
        <w:t>11、电子化磋商响应文件的上传</w:t>
      </w:r>
      <w:bookmarkEnd w:id="142"/>
    </w:p>
    <w:p w14:paraId="004F4D7E">
      <w:pPr>
        <w:pStyle w:val="8"/>
        <w:keepNext w:val="0"/>
        <w:keepLines w:val="0"/>
        <w:pageBreakBefore w:val="0"/>
        <w:widowControl w:val="0"/>
        <w:kinsoku/>
        <w:wordWrap w:val="0"/>
        <w:overflowPunct/>
        <w:topLinePunct w:val="0"/>
        <w:bidi w:val="0"/>
        <w:adjustRightInd/>
        <w:snapToGrid/>
        <w:spacing w:line="480" w:lineRule="exact"/>
        <w:ind w:left="0" w:right="0" w:firstLine="480" w:firstLineChars="200"/>
        <w:jc w:val="left"/>
        <w:textAlignment w:val="auto"/>
        <w:rPr>
          <w:color w:val="auto"/>
        </w:rPr>
      </w:pPr>
      <w:r>
        <w:rPr>
          <w:color w:val="auto"/>
        </w:rPr>
        <w:t>11.1</w:t>
      </w:r>
      <w:r>
        <w:rPr>
          <w:color w:val="auto"/>
          <w:spacing w:val="-9"/>
        </w:rPr>
        <w:t xml:space="preserve"> 电子化磋商响应文件应在磋商截止时间前成功上传至三门峡市公共资源电子化</w:t>
      </w:r>
      <w:r>
        <w:rPr>
          <w:color w:val="auto"/>
        </w:rPr>
        <w:t>交易系统。至磋商截止时间止，仍未上传成功的电子化磋商响应文件将不予接收。</w:t>
      </w:r>
    </w:p>
    <w:p w14:paraId="49FCE013">
      <w:pPr>
        <w:pStyle w:val="8"/>
        <w:keepNext w:val="0"/>
        <w:keepLines w:val="0"/>
        <w:pageBreakBefore w:val="0"/>
        <w:widowControl w:val="0"/>
        <w:kinsoku/>
        <w:wordWrap w:val="0"/>
        <w:overflowPunct/>
        <w:topLinePunct w:val="0"/>
        <w:bidi w:val="0"/>
        <w:adjustRightInd/>
        <w:snapToGrid/>
        <w:spacing w:line="480" w:lineRule="exact"/>
        <w:ind w:left="0" w:right="0" w:firstLine="366" w:firstLineChars="200"/>
        <w:jc w:val="left"/>
        <w:textAlignment w:val="auto"/>
        <w:rPr>
          <w:color w:val="auto"/>
        </w:rPr>
      </w:pPr>
      <w:r>
        <w:rPr>
          <w:b/>
          <w:color w:val="auto"/>
          <w:spacing w:val="-29"/>
        </w:rPr>
        <w:t>注：</w:t>
      </w:r>
      <w:r>
        <w:rPr>
          <w:color w:val="auto"/>
          <w:spacing w:val="-3"/>
        </w:rPr>
        <w:t>如按照电子化投标操作教材制作完成的电子化磋商响应文件无法上传的，磋商响</w:t>
      </w:r>
      <w:r>
        <w:rPr>
          <w:color w:val="auto"/>
        </w:rPr>
        <w:t>应供应商应在磋商截止时间前尽早的联系中心技术人员，以便有充分的时间进行处理。磋商响应供应商应充分考虑到处理技术问题和上传数据等工作的时间问题，磋商响应文件未在磋商截止时间前成功上传的，其磋商响应文件不予接收。</w:t>
      </w:r>
    </w:p>
    <w:p w14:paraId="479F4FFE">
      <w:pPr>
        <w:pStyle w:val="5"/>
        <w:keepNext w:val="0"/>
        <w:keepLines w:val="0"/>
        <w:pageBreakBefore w:val="0"/>
        <w:widowControl w:val="0"/>
        <w:kinsoku/>
        <w:wordWrap w:val="0"/>
        <w:overflowPunct/>
        <w:topLinePunct w:val="0"/>
        <w:bidi w:val="0"/>
        <w:adjustRightInd/>
        <w:snapToGrid/>
        <w:spacing w:line="480" w:lineRule="exact"/>
        <w:ind w:left="0" w:right="0" w:firstLine="482" w:firstLineChars="200"/>
        <w:jc w:val="left"/>
        <w:textAlignment w:val="auto"/>
        <w:rPr>
          <w:color w:val="auto"/>
        </w:rPr>
      </w:pPr>
      <w:bookmarkStart w:id="143" w:name="_Toc4328_WPSOffice_Level3"/>
      <w:r>
        <w:rPr>
          <w:color w:val="auto"/>
        </w:rPr>
        <w:t>12、磋商截止时间</w:t>
      </w:r>
      <w:bookmarkEnd w:id="143"/>
    </w:p>
    <w:p w14:paraId="7F9A1210">
      <w:pPr>
        <w:pStyle w:val="8"/>
        <w:keepNext w:val="0"/>
        <w:keepLines w:val="0"/>
        <w:pageBreakBefore w:val="0"/>
        <w:widowControl w:val="0"/>
        <w:kinsoku/>
        <w:wordWrap w:val="0"/>
        <w:overflowPunct/>
        <w:topLinePunct w:val="0"/>
        <w:bidi w:val="0"/>
        <w:adjustRightInd/>
        <w:snapToGrid/>
        <w:spacing w:line="480" w:lineRule="exact"/>
        <w:ind w:left="0" w:right="0" w:firstLine="480" w:firstLineChars="200"/>
        <w:jc w:val="left"/>
        <w:textAlignment w:val="auto"/>
        <w:rPr>
          <w:color w:val="auto"/>
        </w:rPr>
      </w:pPr>
      <w:r>
        <w:rPr>
          <w:color w:val="auto"/>
        </w:rPr>
        <w:t>12.1 电子化磋商响应文件的截止时间见本须知前附表规定。</w:t>
      </w:r>
    </w:p>
    <w:p w14:paraId="7B84DAD1">
      <w:pPr>
        <w:pStyle w:val="5"/>
        <w:keepNext w:val="0"/>
        <w:keepLines w:val="0"/>
        <w:pageBreakBefore w:val="0"/>
        <w:widowControl w:val="0"/>
        <w:kinsoku/>
        <w:wordWrap w:val="0"/>
        <w:overflowPunct/>
        <w:topLinePunct w:val="0"/>
        <w:bidi w:val="0"/>
        <w:adjustRightInd/>
        <w:snapToGrid/>
        <w:spacing w:line="480" w:lineRule="exact"/>
        <w:ind w:left="0" w:right="0" w:firstLine="482" w:firstLineChars="200"/>
        <w:jc w:val="left"/>
        <w:textAlignment w:val="auto"/>
        <w:rPr>
          <w:color w:val="auto"/>
        </w:rPr>
      </w:pPr>
      <w:bookmarkStart w:id="144" w:name="_Toc14892_WPSOffice_Level3"/>
      <w:r>
        <w:rPr>
          <w:color w:val="auto"/>
        </w:rPr>
        <w:t>13、电子化磋商响应文件的补充、修改与撤回</w:t>
      </w:r>
      <w:bookmarkEnd w:id="144"/>
    </w:p>
    <w:p w14:paraId="071B00F7">
      <w:pPr>
        <w:pStyle w:val="8"/>
        <w:keepNext w:val="0"/>
        <w:keepLines w:val="0"/>
        <w:pageBreakBefore w:val="0"/>
        <w:widowControl w:val="0"/>
        <w:kinsoku/>
        <w:wordWrap w:val="0"/>
        <w:overflowPunct/>
        <w:topLinePunct w:val="0"/>
        <w:bidi w:val="0"/>
        <w:adjustRightInd/>
        <w:snapToGrid/>
        <w:spacing w:line="480" w:lineRule="exact"/>
        <w:ind w:left="0" w:right="0" w:firstLine="432" w:firstLineChars="200"/>
        <w:jc w:val="left"/>
        <w:textAlignment w:val="auto"/>
        <w:rPr>
          <w:color w:val="auto"/>
          <w:spacing w:val="-12"/>
        </w:rPr>
      </w:pPr>
      <w:r>
        <w:rPr>
          <w:color w:val="auto"/>
          <w:spacing w:val="-12"/>
        </w:rPr>
        <w:t>13.1 在磋商截止时间之后，磋商响应供应商不得补充、修改电子化磋商响应文件。</w:t>
      </w:r>
    </w:p>
    <w:p w14:paraId="2AF238F6">
      <w:pPr>
        <w:pStyle w:val="8"/>
        <w:keepNext w:val="0"/>
        <w:keepLines w:val="0"/>
        <w:pageBreakBefore w:val="0"/>
        <w:widowControl w:val="0"/>
        <w:kinsoku/>
        <w:wordWrap w:val="0"/>
        <w:overflowPunct/>
        <w:topLinePunct w:val="0"/>
        <w:bidi w:val="0"/>
        <w:adjustRightInd/>
        <w:snapToGrid/>
        <w:spacing w:line="480" w:lineRule="exact"/>
        <w:ind w:left="0" w:right="0" w:firstLine="482" w:firstLineChars="200"/>
        <w:jc w:val="left"/>
        <w:textAlignment w:val="auto"/>
        <w:rPr>
          <w:b/>
          <w:bCs/>
          <w:color w:val="auto"/>
        </w:rPr>
      </w:pPr>
      <w:bookmarkStart w:id="145" w:name="_Toc16713_WPSOffice_Level3"/>
      <w:r>
        <w:rPr>
          <w:b/>
          <w:bCs/>
          <w:color w:val="auto"/>
        </w:rPr>
        <w:t>14、磋商报价</w:t>
      </w:r>
      <w:bookmarkEnd w:id="145"/>
    </w:p>
    <w:p w14:paraId="0605FC93">
      <w:pPr>
        <w:pStyle w:val="8"/>
        <w:keepNext w:val="0"/>
        <w:keepLines w:val="0"/>
        <w:pageBreakBefore w:val="0"/>
        <w:widowControl w:val="0"/>
        <w:kinsoku/>
        <w:wordWrap w:val="0"/>
        <w:overflowPunct/>
        <w:topLinePunct w:val="0"/>
        <w:bidi w:val="0"/>
        <w:adjustRightInd/>
        <w:snapToGrid/>
        <w:spacing w:line="480" w:lineRule="exact"/>
        <w:ind w:left="0" w:right="0" w:firstLine="432" w:firstLineChars="200"/>
        <w:jc w:val="left"/>
        <w:textAlignment w:val="auto"/>
        <w:rPr>
          <w:b/>
          <w:bCs/>
          <w:color w:val="auto"/>
        </w:rPr>
      </w:pPr>
      <w:r>
        <w:rPr>
          <w:rFonts w:hint="eastAsia"/>
          <w:color w:val="auto"/>
          <w:spacing w:val="-12"/>
          <w:lang w:val="en-US"/>
        </w:rPr>
        <w:t xml:space="preserve">14.1 </w:t>
      </w:r>
      <w:r>
        <w:rPr>
          <w:color w:val="auto"/>
          <w:spacing w:val="-12"/>
        </w:rPr>
        <w:t>本次磋商采购的均须以</w:t>
      </w:r>
      <w:r>
        <w:rPr>
          <w:rFonts w:hint="eastAsia"/>
          <w:color w:val="auto"/>
          <w:spacing w:val="-12"/>
          <w:lang w:val="en-US" w:eastAsia="zh-CN"/>
        </w:rPr>
        <w:t>总价方式报价</w:t>
      </w:r>
      <w:r>
        <w:rPr>
          <w:color w:val="auto"/>
          <w:spacing w:val="-12"/>
        </w:rPr>
        <w:t>。</w:t>
      </w:r>
    </w:p>
    <w:p w14:paraId="73F5142A">
      <w:pPr>
        <w:pStyle w:val="8"/>
        <w:keepNext w:val="0"/>
        <w:keepLines w:val="0"/>
        <w:pageBreakBefore w:val="0"/>
        <w:widowControl w:val="0"/>
        <w:kinsoku/>
        <w:wordWrap w:val="0"/>
        <w:overflowPunct/>
        <w:topLinePunct w:val="0"/>
        <w:bidi w:val="0"/>
        <w:adjustRightInd/>
        <w:snapToGrid/>
        <w:spacing w:line="480" w:lineRule="exact"/>
        <w:ind w:left="0" w:right="0" w:firstLine="432" w:firstLineChars="200"/>
        <w:jc w:val="left"/>
        <w:textAlignment w:val="auto"/>
        <w:rPr>
          <w:color w:val="auto"/>
          <w:spacing w:val="-12"/>
        </w:rPr>
      </w:pPr>
      <w:r>
        <w:rPr>
          <w:rFonts w:hint="eastAsia"/>
          <w:color w:val="auto"/>
          <w:spacing w:val="-12"/>
          <w:lang w:val="en-US"/>
        </w:rPr>
        <w:t xml:space="preserve">14.2 </w:t>
      </w:r>
      <w:r>
        <w:rPr>
          <w:color w:val="auto"/>
          <w:spacing w:val="-12"/>
        </w:rPr>
        <w:t>磋商响应供应商</w:t>
      </w:r>
      <w:r>
        <w:rPr>
          <w:rFonts w:hint="eastAsia"/>
          <w:color w:val="auto"/>
          <w:spacing w:val="-12"/>
          <w:lang w:val="en-US"/>
        </w:rPr>
        <w:t>所报总价包含此项目中</w:t>
      </w:r>
      <w:r>
        <w:rPr>
          <w:rFonts w:hint="eastAsia"/>
          <w:color w:val="auto"/>
          <w:spacing w:val="-12"/>
          <w:lang w:val="en-US" w:eastAsia="zh-CN"/>
        </w:rPr>
        <w:t>所有服务内容</w:t>
      </w:r>
      <w:r>
        <w:rPr>
          <w:rFonts w:hint="eastAsia"/>
          <w:color w:val="auto"/>
          <w:spacing w:val="-12"/>
          <w:lang w:val="en-US"/>
        </w:rPr>
        <w:t>、税金、等所有费用</w:t>
      </w:r>
      <w:r>
        <w:rPr>
          <w:color w:val="auto"/>
          <w:spacing w:val="-12"/>
        </w:rPr>
        <w:t>。</w:t>
      </w:r>
    </w:p>
    <w:p w14:paraId="7F1D866E">
      <w:pPr>
        <w:pStyle w:val="8"/>
        <w:keepNext w:val="0"/>
        <w:keepLines w:val="0"/>
        <w:pageBreakBefore w:val="0"/>
        <w:widowControl w:val="0"/>
        <w:kinsoku/>
        <w:wordWrap w:val="0"/>
        <w:overflowPunct/>
        <w:topLinePunct w:val="0"/>
        <w:bidi w:val="0"/>
        <w:adjustRightInd/>
        <w:snapToGrid/>
        <w:spacing w:line="480" w:lineRule="exact"/>
        <w:ind w:left="0" w:right="0" w:firstLine="432" w:firstLineChars="200"/>
        <w:jc w:val="left"/>
        <w:textAlignment w:val="auto"/>
        <w:rPr>
          <w:color w:val="auto"/>
          <w:spacing w:val="-12"/>
        </w:rPr>
      </w:pPr>
      <w:r>
        <w:rPr>
          <w:rFonts w:hint="eastAsia"/>
          <w:color w:val="auto"/>
          <w:spacing w:val="-12"/>
          <w:lang w:val="en-US"/>
        </w:rPr>
        <w:t xml:space="preserve">14.3 </w:t>
      </w:r>
      <w:r>
        <w:rPr>
          <w:color w:val="auto"/>
          <w:spacing w:val="-12"/>
        </w:rPr>
        <w:t>磋商响应供应商应充分考虑市场风险和国家政策性风险系数，根据企业具体情况在合理的范围内自主报价，但不得低于企业实际成本。</w:t>
      </w:r>
    </w:p>
    <w:p w14:paraId="59257699">
      <w:pPr>
        <w:pStyle w:val="8"/>
        <w:keepNext w:val="0"/>
        <w:keepLines w:val="0"/>
        <w:pageBreakBefore w:val="0"/>
        <w:widowControl w:val="0"/>
        <w:kinsoku/>
        <w:wordWrap w:val="0"/>
        <w:overflowPunct/>
        <w:topLinePunct w:val="0"/>
        <w:bidi w:val="0"/>
        <w:adjustRightInd/>
        <w:snapToGrid/>
        <w:spacing w:line="480" w:lineRule="exact"/>
        <w:ind w:left="0" w:right="0" w:firstLine="432" w:firstLineChars="200"/>
        <w:jc w:val="left"/>
        <w:textAlignment w:val="auto"/>
        <w:rPr>
          <w:color w:val="auto"/>
          <w:spacing w:val="-12"/>
        </w:rPr>
      </w:pPr>
      <w:r>
        <w:rPr>
          <w:rFonts w:hint="eastAsia"/>
          <w:color w:val="auto"/>
          <w:spacing w:val="-12"/>
          <w:lang w:val="en-US"/>
        </w:rPr>
        <w:t xml:space="preserve">14.4 </w:t>
      </w:r>
      <w:r>
        <w:rPr>
          <w:color w:val="auto"/>
          <w:spacing w:val="-12"/>
        </w:rPr>
        <w:t>磋商响应供应商的磋商报价应包含验收合格正式交付使用前所发生的一切费用，且磋商响应供应商只能提出一个报价，采购人不接受任何有选择的报价，最后报价不得超过项目采购预算。</w:t>
      </w:r>
    </w:p>
    <w:p w14:paraId="6D5D08B5">
      <w:pPr>
        <w:pStyle w:val="8"/>
        <w:keepNext w:val="0"/>
        <w:keepLines w:val="0"/>
        <w:pageBreakBefore w:val="0"/>
        <w:widowControl w:val="0"/>
        <w:kinsoku/>
        <w:wordWrap w:val="0"/>
        <w:overflowPunct/>
        <w:topLinePunct w:val="0"/>
        <w:bidi w:val="0"/>
        <w:adjustRightInd/>
        <w:snapToGrid/>
        <w:spacing w:line="480" w:lineRule="exact"/>
        <w:ind w:left="0" w:right="0" w:firstLine="432" w:firstLineChars="200"/>
        <w:jc w:val="left"/>
        <w:textAlignment w:val="auto"/>
        <w:rPr>
          <w:color w:val="auto"/>
          <w:spacing w:val="-12"/>
        </w:rPr>
      </w:pPr>
      <w:r>
        <w:rPr>
          <w:rFonts w:hint="eastAsia"/>
          <w:color w:val="auto"/>
          <w:spacing w:val="-12"/>
          <w:lang w:val="en-US"/>
        </w:rPr>
        <w:t xml:space="preserve">14.5 </w:t>
      </w:r>
      <w:r>
        <w:rPr>
          <w:color w:val="auto"/>
          <w:spacing w:val="-12"/>
        </w:rPr>
        <w:t>磋商响应供应商的报价明显低于其他报价，使得其报价可能低于其个别成本的， 有可能影响</w:t>
      </w:r>
      <w:r>
        <w:rPr>
          <w:rFonts w:hint="eastAsia"/>
          <w:color w:val="auto"/>
          <w:spacing w:val="-12"/>
          <w:lang w:val="en-US" w:eastAsia="zh-CN"/>
        </w:rPr>
        <w:t>项目实施</w:t>
      </w:r>
      <w:r>
        <w:rPr>
          <w:color w:val="auto"/>
          <w:spacing w:val="-12"/>
        </w:rPr>
        <w:t>和不能诚信履约的，应当要求该报价人作出书面说明并提供相关证明材料。报价人不能合理说明或者不能提供相关证明材料的，由磋商小组认定该报价人以低于成本报价，其报价应作无效报价处理。</w:t>
      </w:r>
    </w:p>
    <w:p w14:paraId="0908DF28">
      <w:pPr>
        <w:pStyle w:val="8"/>
        <w:keepNext w:val="0"/>
        <w:keepLines w:val="0"/>
        <w:pageBreakBefore w:val="0"/>
        <w:widowControl w:val="0"/>
        <w:kinsoku/>
        <w:wordWrap w:val="0"/>
        <w:overflowPunct/>
        <w:topLinePunct w:val="0"/>
        <w:bidi w:val="0"/>
        <w:adjustRightInd/>
        <w:snapToGrid/>
        <w:spacing w:line="480" w:lineRule="exact"/>
        <w:ind w:left="0" w:right="0" w:firstLine="432" w:firstLineChars="200"/>
        <w:jc w:val="left"/>
        <w:textAlignment w:val="auto"/>
        <w:rPr>
          <w:color w:val="auto"/>
          <w:spacing w:val="-12"/>
        </w:rPr>
      </w:pPr>
      <w:r>
        <w:rPr>
          <w:rFonts w:hint="eastAsia"/>
          <w:color w:val="auto"/>
          <w:spacing w:val="-12"/>
          <w:lang w:val="en-US"/>
        </w:rPr>
        <w:t>14.6</w:t>
      </w:r>
      <w:r>
        <w:rPr>
          <w:b/>
          <w:bCs/>
          <w:color w:val="auto"/>
          <w:spacing w:val="-12"/>
        </w:rPr>
        <w:t>本次采购为竞争性磋商采购，允许二次报价。</w:t>
      </w:r>
    </w:p>
    <w:p w14:paraId="42DE7BC3">
      <w:pPr>
        <w:pStyle w:val="8"/>
        <w:keepNext w:val="0"/>
        <w:keepLines w:val="0"/>
        <w:pageBreakBefore w:val="0"/>
        <w:widowControl w:val="0"/>
        <w:kinsoku/>
        <w:wordWrap w:val="0"/>
        <w:overflowPunct/>
        <w:topLinePunct w:val="0"/>
        <w:bidi w:val="0"/>
        <w:adjustRightInd/>
        <w:snapToGrid/>
        <w:spacing w:line="480" w:lineRule="exact"/>
        <w:ind w:left="0" w:right="0" w:firstLine="482" w:firstLineChars="200"/>
        <w:jc w:val="left"/>
        <w:textAlignment w:val="auto"/>
        <w:rPr>
          <w:b/>
          <w:bCs/>
          <w:color w:val="auto"/>
        </w:rPr>
      </w:pPr>
      <w:bookmarkStart w:id="146" w:name="_Toc28583_WPSOffice_Level3"/>
      <w:r>
        <w:rPr>
          <w:rFonts w:hint="eastAsia"/>
          <w:b/>
          <w:bCs/>
          <w:color w:val="auto"/>
          <w:lang w:val="en-US"/>
        </w:rPr>
        <w:t>15、</w:t>
      </w:r>
      <w:r>
        <w:rPr>
          <w:b/>
          <w:bCs/>
          <w:color w:val="auto"/>
        </w:rPr>
        <w:t>磋商响应供应商资格的证明文件</w:t>
      </w:r>
      <w:bookmarkEnd w:id="146"/>
    </w:p>
    <w:p w14:paraId="63118078">
      <w:pPr>
        <w:pStyle w:val="8"/>
        <w:keepNext w:val="0"/>
        <w:keepLines w:val="0"/>
        <w:pageBreakBefore w:val="0"/>
        <w:widowControl w:val="0"/>
        <w:kinsoku/>
        <w:wordWrap w:val="0"/>
        <w:overflowPunct/>
        <w:topLinePunct w:val="0"/>
        <w:bidi w:val="0"/>
        <w:adjustRightInd/>
        <w:snapToGrid/>
        <w:spacing w:line="480" w:lineRule="exact"/>
        <w:ind w:left="0" w:right="0" w:firstLine="432" w:firstLineChars="200"/>
        <w:jc w:val="left"/>
        <w:textAlignment w:val="auto"/>
        <w:rPr>
          <w:color w:val="auto"/>
          <w:spacing w:val="-12"/>
        </w:rPr>
      </w:pPr>
      <w:r>
        <w:rPr>
          <w:rFonts w:hint="eastAsia"/>
          <w:color w:val="auto"/>
          <w:spacing w:val="-12"/>
          <w:lang w:val="en-US"/>
        </w:rPr>
        <w:t>15.1</w:t>
      </w:r>
      <w:r>
        <w:rPr>
          <w:color w:val="auto"/>
          <w:spacing w:val="-12"/>
        </w:rPr>
        <w:t>证明磋商响应供应商是有资格参加磋商的。</w:t>
      </w:r>
    </w:p>
    <w:p w14:paraId="58996768">
      <w:pPr>
        <w:pStyle w:val="8"/>
        <w:keepNext w:val="0"/>
        <w:keepLines w:val="0"/>
        <w:pageBreakBefore w:val="0"/>
        <w:widowControl w:val="0"/>
        <w:kinsoku/>
        <w:wordWrap w:val="0"/>
        <w:overflowPunct/>
        <w:topLinePunct w:val="0"/>
        <w:bidi w:val="0"/>
        <w:adjustRightInd/>
        <w:snapToGrid/>
        <w:spacing w:line="480" w:lineRule="exact"/>
        <w:ind w:left="0" w:right="0" w:firstLine="432" w:firstLineChars="200"/>
        <w:jc w:val="left"/>
        <w:textAlignment w:val="auto"/>
        <w:rPr>
          <w:color w:val="auto"/>
          <w:spacing w:val="-12"/>
        </w:rPr>
      </w:pPr>
      <w:r>
        <w:rPr>
          <w:rFonts w:hint="eastAsia"/>
          <w:color w:val="auto"/>
          <w:spacing w:val="-12"/>
          <w:lang w:val="en-US"/>
        </w:rPr>
        <w:t>15.2</w:t>
      </w:r>
      <w:r>
        <w:rPr>
          <w:color w:val="auto"/>
          <w:spacing w:val="-12"/>
        </w:rPr>
        <w:t>证明磋商响应供应商有能力履行竞争性磋商文件中合同条款和技术要求规定的由磋商响应供应商提供的服务等义务。</w:t>
      </w:r>
    </w:p>
    <w:p w14:paraId="7E77A48E">
      <w:pPr>
        <w:pStyle w:val="5"/>
        <w:keepNext w:val="0"/>
        <w:keepLines w:val="0"/>
        <w:pageBreakBefore w:val="0"/>
        <w:widowControl w:val="0"/>
        <w:kinsoku/>
        <w:wordWrap w:val="0"/>
        <w:overflowPunct/>
        <w:topLinePunct w:val="0"/>
        <w:bidi w:val="0"/>
        <w:adjustRightInd/>
        <w:snapToGrid/>
        <w:spacing w:line="480" w:lineRule="exact"/>
        <w:ind w:left="0" w:right="0" w:firstLine="482" w:firstLineChars="200"/>
        <w:jc w:val="left"/>
        <w:textAlignment w:val="auto"/>
        <w:rPr>
          <w:color w:val="auto"/>
        </w:rPr>
      </w:pPr>
      <w:bookmarkStart w:id="147" w:name="_Toc29721_WPSOffice_Level3"/>
      <w:r>
        <w:rPr>
          <w:color w:val="auto"/>
        </w:rPr>
        <w:t>16、磋商保证金</w:t>
      </w:r>
      <w:bookmarkEnd w:id="147"/>
    </w:p>
    <w:p w14:paraId="14C35558">
      <w:pPr>
        <w:pStyle w:val="8"/>
        <w:keepNext w:val="0"/>
        <w:keepLines w:val="0"/>
        <w:pageBreakBefore w:val="0"/>
        <w:widowControl w:val="0"/>
        <w:kinsoku/>
        <w:wordWrap w:val="0"/>
        <w:overflowPunct/>
        <w:topLinePunct w:val="0"/>
        <w:bidi w:val="0"/>
        <w:adjustRightInd/>
        <w:snapToGrid/>
        <w:spacing w:line="480" w:lineRule="exact"/>
        <w:ind w:left="0" w:right="0" w:firstLine="432" w:firstLineChars="200"/>
        <w:jc w:val="left"/>
        <w:textAlignment w:val="auto"/>
        <w:rPr>
          <w:color w:val="auto"/>
          <w:spacing w:val="-12"/>
          <w:lang w:val="en-US"/>
        </w:rPr>
      </w:pPr>
      <w:bookmarkStart w:id="148" w:name="_Toc26640_WPSOffice_Level3"/>
      <w:r>
        <w:rPr>
          <w:rFonts w:hint="eastAsia"/>
          <w:color w:val="auto"/>
          <w:spacing w:val="-12"/>
          <w:lang w:val="en-US"/>
        </w:rPr>
        <w:t>根据《河南省财政厅关于优化政府采购营商环境有关问题的通知》（豫财购【2019】4号）第6条的规定，本项目磋商保证金不再收取，供应商须提供投标承诺书（详见第六章响应文件格式）</w:t>
      </w:r>
    </w:p>
    <w:p w14:paraId="4AA7311D">
      <w:pPr>
        <w:pStyle w:val="5"/>
        <w:keepNext w:val="0"/>
        <w:keepLines w:val="0"/>
        <w:pageBreakBefore w:val="0"/>
        <w:widowControl w:val="0"/>
        <w:kinsoku/>
        <w:wordWrap w:val="0"/>
        <w:overflowPunct/>
        <w:topLinePunct w:val="0"/>
        <w:bidi w:val="0"/>
        <w:adjustRightInd/>
        <w:snapToGrid/>
        <w:spacing w:line="480" w:lineRule="exact"/>
        <w:ind w:left="0" w:right="0" w:firstLine="482" w:firstLineChars="200"/>
        <w:jc w:val="left"/>
        <w:textAlignment w:val="auto"/>
        <w:rPr>
          <w:color w:val="auto"/>
        </w:rPr>
      </w:pPr>
      <w:r>
        <w:rPr>
          <w:color w:val="auto"/>
        </w:rPr>
        <w:t>17、磋商响应文件有效期</w:t>
      </w:r>
      <w:bookmarkEnd w:id="148"/>
    </w:p>
    <w:p w14:paraId="314CC07C">
      <w:pPr>
        <w:pStyle w:val="38"/>
        <w:keepNext w:val="0"/>
        <w:keepLines w:val="0"/>
        <w:pageBreakBefore w:val="0"/>
        <w:widowControl w:val="0"/>
        <w:numPr>
          <w:ilvl w:val="1"/>
          <w:numId w:val="3"/>
        </w:numPr>
        <w:tabs>
          <w:tab w:val="left" w:pos="1281"/>
        </w:tabs>
        <w:kinsoku/>
        <w:wordWrap w:val="0"/>
        <w:overflowPunct/>
        <w:topLinePunct w:val="0"/>
        <w:bidi w:val="0"/>
        <w:adjustRightInd/>
        <w:snapToGrid/>
        <w:spacing w:line="480" w:lineRule="exact"/>
        <w:ind w:left="0" w:right="0" w:firstLine="480" w:firstLineChars="200"/>
        <w:jc w:val="left"/>
        <w:textAlignment w:val="auto"/>
        <w:rPr>
          <w:color w:val="auto"/>
          <w:sz w:val="24"/>
        </w:rPr>
      </w:pPr>
      <w:r>
        <w:rPr>
          <w:color w:val="auto"/>
          <w:sz w:val="24"/>
        </w:rPr>
        <w:t>响应性文件从首次递交竞争性磋商响应文件截止时间之日起开始生效，磋商有</w:t>
      </w:r>
      <w:r>
        <w:rPr>
          <w:color w:val="auto"/>
          <w:spacing w:val="-15"/>
          <w:sz w:val="24"/>
        </w:rPr>
        <w:t>效期为</w:t>
      </w:r>
      <w:r>
        <w:rPr>
          <w:rFonts w:hint="eastAsia"/>
          <w:color w:val="auto"/>
          <w:spacing w:val="-15"/>
          <w:sz w:val="24"/>
          <w:lang w:val="en-US" w:eastAsia="zh-CN"/>
        </w:rPr>
        <w:t>60</w:t>
      </w:r>
      <w:r>
        <w:rPr>
          <w:color w:val="auto"/>
          <w:spacing w:val="-8"/>
          <w:sz w:val="24"/>
        </w:rPr>
        <w:t>日历天，有效期短于此规定的响应文件将被视为无效文件。</w:t>
      </w:r>
    </w:p>
    <w:p w14:paraId="61F3A6BC">
      <w:pPr>
        <w:pStyle w:val="38"/>
        <w:keepNext w:val="0"/>
        <w:keepLines w:val="0"/>
        <w:pageBreakBefore w:val="0"/>
        <w:widowControl w:val="0"/>
        <w:numPr>
          <w:ilvl w:val="1"/>
          <w:numId w:val="3"/>
        </w:numPr>
        <w:tabs>
          <w:tab w:val="left" w:pos="1281"/>
        </w:tabs>
        <w:kinsoku/>
        <w:wordWrap w:val="0"/>
        <w:overflowPunct/>
        <w:topLinePunct w:val="0"/>
        <w:bidi w:val="0"/>
        <w:adjustRightInd/>
        <w:snapToGrid/>
        <w:spacing w:line="480" w:lineRule="exact"/>
        <w:ind w:left="0" w:right="0" w:firstLine="480" w:firstLineChars="200"/>
        <w:jc w:val="left"/>
        <w:textAlignment w:val="auto"/>
        <w:rPr>
          <w:color w:val="auto"/>
          <w:sz w:val="24"/>
        </w:rPr>
      </w:pPr>
      <w:r>
        <w:rPr>
          <w:color w:val="auto"/>
          <w:sz w:val="24"/>
        </w:rPr>
        <w:t>特殊情况下，采购人可于磋商响应文件有效期满之前要求磋商响应供应商同意延长有效期，要求与答复均为书面形式。磋商响应供应商可以拒绝上述要求，对于同意该要求的磋商响应供应商，不允许其修改磋商响应文件。</w:t>
      </w:r>
    </w:p>
    <w:p w14:paraId="59BBE91D">
      <w:pPr>
        <w:pStyle w:val="5"/>
        <w:keepNext w:val="0"/>
        <w:keepLines w:val="0"/>
        <w:pageBreakBefore w:val="0"/>
        <w:widowControl w:val="0"/>
        <w:kinsoku/>
        <w:wordWrap w:val="0"/>
        <w:overflowPunct/>
        <w:topLinePunct w:val="0"/>
        <w:bidi w:val="0"/>
        <w:adjustRightInd/>
        <w:snapToGrid/>
        <w:spacing w:line="480" w:lineRule="exact"/>
        <w:ind w:left="0" w:right="0" w:firstLine="482" w:firstLineChars="200"/>
        <w:jc w:val="left"/>
        <w:textAlignment w:val="auto"/>
        <w:rPr>
          <w:color w:val="auto"/>
        </w:rPr>
      </w:pPr>
      <w:bookmarkStart w:id="149" w:name="_Toc14449_WPSOffice_Level3"/>
      <w:r>
        <w:rPr>
          <w:color w:val="auto"/>
        </w:rPr>
        <w:t>18、磋商</w:t>
      </w:r>
      <w:bookmarkEnd w:id="149"/>
    </w:p>
    <w:p w14:paraId="135C64BD">
      <w:pPr>
        <w:pStyle w:val="38"/>
        <w:keepNext w:val="0"/>
        <w:keepLines w:val="0"/>
        <w:pageBreakBefore w:val="0"/>
        <w:widowControl w:val="0"/>
        <w:numPr>
          <w:ilvl w:val="1"/>
          <w:numId w:val="4"/>
        </w:numPr>
        <w:tabs>
          <w:tab w:val="left" w:pos="1281"/>
        </w:tabs>
        <w:kinsoku/>
        <w:wordWrap w:val="0"/>
        <w:overflowPunct/>
        <w:topLinePunct w:val="0"/>
        <w:bidi w:val="0"/>
        <w:adjustRightInd/>
        <w:snapToGrid/>
        <w:spacing w:line="480" w:lineRule="exact"/>
        <w:ind w:left="0" w:right="0" w:firstLine="480" w:firstLineChars="200"/>
        <w:jc w:val="left"/>
        <w:textAlignment w:val="auto"/>
        <w:rPr>
          <w:color w:val="auto"/>
          <w:sz w:val="24"/>
        </w:rPr>
      </w:pPr>
      <w:r>
        <w:rPr>
          <w:color w:val="auto"/>
          <w:sz w:val="24"/>
        </w:rPr>
        <w:t>采购人按本须知前附表规定的时间和地点磋商。</w:t>
      </w:r>
    </w:p>
    <w:p w14:paraId="5B3CE3BB">
      <w:pPr>
        <w:pStyle w:val="38"/>
        <w:keepNext w:val="0"/>
        <w:keepLines w:val="0"/>
        <w:pageBreakBefore w:val="0"/>
        <w:widowControl w:val="0"/>
        <w:numPr>
          <w:ilvl w:val="1"/>
          <w:numId w:val="4"/>
        </w:numPr>
        <w:tabs>
          <w:tab w:val="left" w:pos="1222"/>
        </w:tabs>
        <w:kinsoku/>
        <w:wordWrap w:val="0"/>
        <w:overflowPunct/>
        <w:topLinePunct w:val="0"/>
        <w:bidi w:val="0"/>
        <w:adjustRightInd/>
        <w:snapToGrid/>
        <w:spacing w:line="480" w:lineRule="exact"/>
        <w:ind w:left="0" w:right="0" w:firstLine="480" w:firstLineChars="200"/>
        <w:jc w:val="left"/>
        <w:textAlignment w:val="auto"/>
        <w:rPr>
          <w:color w:val="auto"/>
          <w:sz w:val="24"/>
        </w:rPr>
      </w:pPr>
      <w:r>
        <w:rPr>
          <w:color w:val="auto"/>
          <w:sz w:val="24"/>
        </w:rPr>
        <w:t>磋商会议由采购代理机构主持；</w:t>
      </w:r>
    </w:p>
    <w:p w14:paraId="59873DE4">
      <w:pPr>
        <w:pStyle w:val="38"/>
        <w:keepNext w:val="0"/>
        <w:keepLines w:val="0"/>
        <w:pageBreakBefore w:val="0"/>
        <w:widowControl w:val="0"/>
        <w:numPr>
          <w:ilvl w:val="1"/>
          <w:numId w:val="4"/>
        </w:numPr>
        <w:tabs>
          <w:tab w:val="left" w:pos="1222"/>
        </w:tabs>
        <w:kinsoku/>
        <w:wordWrap w:val="0"/>
        <w:overflowPunct/>
        <w:topLinePunct w:val="0"/>
        <w:bidi w:val="0"/>
        <w:adjustRightInd/>
        <w:snapToGrid/>
        <w:spacing w:line="480" w:lineRule="exact"/>
        <w:ind w:left="0" w:right="0" w:firstLine="480" w:firstLineChars="200"/>
        <w:jc w:val="left"/>
        <w:textAlignment w:val="auto"/>
        <w:rPr>
          <w:color w:val="auto"/>
          <w:sz w:val="24"/>
        </w:rPr>
      </w:pPr>
      <w:r>
        <w:rPr>
          <w:color w:val="auto"/>
          <w:sz w:val="24"/>
        </w:rPr>
        <w:t>宣布磋商会议纪律；</w:t>
      </w:r>
    </w:p>
    <w:p w14:paraId="6AC0F006">
      <w:pPr>
        <w:pStyle w:val="38"/>
        <w:keepNext w:val="0"/>
        <w:keepLines w:val="0"/>
        <w:pageBreakBefore w:val="0"/>
        <w:widowControl w:val="0"/>
        <w:numPr>
          <w:ilvl w:val="1"/>
          <w:numId w:val="4"/>
        </w:numPr>
        <w:tabs>
          <w:tab w:val="left" w:pos="1222"/>
        </w:tabs>
        <w:kinsoku/>
        <w:wordWrap w:val="0"/>
        <w:overflowPunct/>
        <w:topLinePunct w:val="0"/>
        <w:bidi w:val="0"/>
        <w:adjustRightInd/>
        <w:snapToGrid/>
        <w:spacing w:line="480" w:lineRule="exact"/>
        <w:ind w:left="0" w:right="0" w:firstLine="436" w:firstLineChars="200"/>
        <w:jc w:val="left"/>
        <w:textAlignment w:val="auto"/>
        <w:rPr>
          <w:color w:val="auto"/>
          <w:sz w:val="24"/>
        </w:rPr>
      </w:pPr>
      <w:r>
        <w:rPr>
          <w:color w:val="auto"/>
          <w:spacing w:val="-11"/>
          <w:sz w:val="24"/>
        </w:rPr>
        <w:t>磋商时，电子招标投标交易平台自动提取所有电子化磋商响应文件，按时在线解</w:t>
      </w:r>
      <w:r>
        <w:rPr>
          <w:color w:val="auto"/>
          <w:sz w:val="24"/>
        </w:rPr>
        <w:t>密</w:t>
      </w:r>
      <w:r>
        <w:rPr>
          <w:rFonts w:hint="eastAsia"/>
          <w:color w:val="auto"/>
          <w:sz w:val="24"/>
        </w:rPr>
        <w:t>；</w:t>
      </w:r>
    </w:p>
    <w:p w14:paraId="7DF6D9A6">
      <w:pPr>
        <w:pStyle w:val="38"/>
        <w:keepNext w:val="0"/>
        <w:keepLines w:val="0"/>
        <w:pageBreakBefore w:val="0"/>
        <w:widowControl w:val="0"/>
        <w:numPr>
          <w:ilvl w:val="1"/>
          <w:numId w:val="4"/>
        </w:numPr>
        <w:tabs>
          <w:tab w:val="left" w:pos="1222"/>
        </w:tabs>
        <w:kinsoku/>
        <w:wordWrap w:val="0"/>
        <w:overflowPunct/>
        <w:topLinePunct w:val="0"/>
        <w:bidi w:val="0"/>
        <w:adjustRightInd/>
        <w:snapToGrid/>
        <w:spacing w:line="480" w:lineRule="exact"/>
        <w:ind w:left="0" w:right="0" w:firstLine="480" w:firstLineChars="200"/>
        <w:jc w:val="left"/>
        <w:textAlignment w:val="auto"/>
        <w:rPr>
          <w:color w:val="auto"/>
          <w:sz w:val="24"/>
        </w:rPr>
      </w:pPr>
      <w:r>
        <w:rPr>
          <w:color w:val="auto"/>
          <w:sz w:val="24"/>
        </w:rPr>
        <w:t>电子化磋商响应文件的有效性</w:t>
      </w:r>
    </w:p>
    <w:p w14:paraId="4BA0ECEE">
      <w:pPr>
        <w:pStyle w:val="38"/>
        <w:keepNext w:val="0"/>
        <w:keepLines w:val="0"/>
        <w:pageBreakBefore w:val="0"/>
        <w:widowControl w:val="0"/>
        <w:tabs>
          <w:tab w:val="left" w:pos="1222"/>
        </w:tabs>
        <w:kinsoku/>
        <w:wordWrap w:val="0"/>
        <w:overflowPunct/>
        <w:topLinePunct w:val="0"/>
        <w:bidi w:val="0"/>
        <w:adjustRightInd/>
        <w:snapToGrid/>
        <w:spacing w:line="480" w:lineRule="exact"/>
        <w:ind w:left="0" w:right="0" w:firstLine="480" w:firstLineChars="200"/>
        <w:jc w:val="left"/>
        <w:textAlignment w:val="auto"/>
        <w:rPr>
          <w:color w:val="auto"/>
          <w:sz w:val="24"/>
        </w:rPr>
      </w:pPr>
      <w:r>
        <w:rPr>
          <w:rFonts w:hint="eastAsia"/>
          <w:color w:val="auto"/>
          <w:sz w:val="24"/>
          <w:lang w:val="en-US"/>
        </w:rPr>
        <w:t>18.5.1</w:t>
      </w:r>
      <w:r>
        <w:rPr>
          <w:color w:val="auto"/>
          <w:sz w:val="24"/>
        </w:rPr>
        <w:t>电子化磋商响应文件有下列情形的为无效电子化磋商响应文件，采购人不予受理：因磋商响应供应商原因造成磋商响应文件未解密的，视为撤销其磋商响应文件；因磋商响应供应商之外的原因造成电子化磋商响应文件未解密的，视为撤回其磋商响应文件，磋商响应供应商有权要求责任方赔偿因此遭受的直接损失。部分电子化磋商响应文件未解密的，其他电子化磋商</w:t>
      </w:r>
      <w:r>
        <w:rPr>
          <w:rFonts w:hint="eastAsia"/>
          <w:color w:val="auto"/>
          <w:sz w:val="24"/>
        </w:rPr>
        <w:t>可以继续进行</w:t>
      </w:r>
      <w:r>
        <w:rPr>
          <w:color w:val="auto"/>
          <w:sz w:val="24"/>
        </w:rPr>
        <w:t>。</w:t>
      </w:r>
    </w:p>
    <w:p w14:paraId="6E640D27">
      <w:pPr>
        <w:pStyle w:val="5"/>
        <w:keepNext w:val="0"/>
        <w:keepLines w:val="0"/>
        <w:pageBreakBefore w:val="0"/>
        <w:widowControl w:val="0"/>
        <w:kinsoku/>
        <w:wordWrap w:val="0"/>
        <w:overflowPunct/>
        <w:topLinePunct w:val="0"/>
        <w:bidi w:val="0"/>
        <w:adjustRightInd/>
        <w:snapToGrid/>
        <w:spacing w:line="480" w:lineRule="exact"/>
        <w:ind w:left="0" w:right="0" w:firstLine="482" w:firstLineChars="200"/>
        <w:jc w:val="left"/>
        <w:textAlignment w:val="auto"/>
        <w:rPr>
          <w:color w:val="auto"/>
        </w:rPr>
      </w:pPr>
      <w:bookmarkStart w:id="150" w:name="_Toc29167_WPSOffice_Level3"/>
      <w:r>
        <w:rPr>
          <w:color w:val="auto"/>
        </w:rPr>
        <w:t>19、磋商小组</w:t>
      </w:r>
      <w:bookmarkEnd w:id="150"/>
    </w:p>
    <w:p w14:paraId="70C400A7">
      <w:pPr>
        <w:pStyle w:val="38"/>
        <w:keepNext w:val="0"/>
        <w:keepLines w:val="0"/>
        <w:pageBreakBefore w:val="0"/>
        <w:widowControl w:val="0"/>
        <w:numPr>
          <w:ilvl w:val="1"/>
          <w:numId w:val="5"/>
        </w:numPr>
        <w:tabs>
          <w:tab w:val="left" w:pos="1281"/>
        </w:tabs>
        <w:kinsoku/>
        <w:wordWrap w:val="0"/>
        <w:overflowPunct/>
        <w:topLinePunct w:val="0"/>
        <w:bidi w:val="0"/>
        <w:adjustRightInd/>
        <w:snapToGrid/>
        <w:spacing w:line="480" w:lineRule="exact"/>
        <w:ind w:left="0" w:right="0" w:firstLine="444" w:firstLineChars="200"/>
        <w:jc w:val="left"/>
        <w:textAlignment w:val="auto"/>
        <w:rPr>
          <w:color w:val="auto"/>
          <w:sz w:val="24"/>
        </w:rPr>
      </w:pPr>
      <w:r>
        <w:rPr>
          <w:color w:val="auto"/>
          <w:spacing w:val="-9"/>
          <w:sz w:val="24"/>
        </w:rPr>
        <w:t xml:space="preserve">磋商小组由 </w:t>
      </w:r>
      <w:r>
        <w:rPr>
          <w:color w:val="auto"/>
          <w:sz w:val="24"/>
        </w:rPr>
        <w:t>3</w:t>
      </w:r>
      <w:r>
        <w:rPr>
          <w:color w:val="auto"/>
          <w:spacing w:val="-12"/>
          <w:sz w:val="24"/>
        </w:rPr>
        <w:t xml:space="preserve"> 人构成：采购人代表 </w:t>
      </w:r>
      <w:r>
        <w:rPr>
          <w:color w:val="auto"/>
          <w:sz w:val="24"/>
        </w:rPr>
        <w:t>1</w:t>
      </w:r>
      <w:r>
        <w:rPr>
          <w:color w:val="auto"/>
          <w:spacing w:val="-12"/>
          <w:sz w:val="24"/>
        </w:rPr>
        <w:t xml:space="preserve"> 人，经济、技术方面专家 </w:t>
      </w:r>
      <w:r>
        <w:rPr>
          <w:color w:val="auto"/>
          <w:sz w:val="24"/>
        </w:rPr>
        <w:t>2</w:t>
      </w:r>
      <w:r>
        <w:rPr>
          <w:color w:val="auto"/>
          <w:spacing w:val="-9"/>
          <w:sz w:val="24"/>
        </w:rPr>
        <w:t xml:space="preserve"> 人，在磋商会议开始</w:t>
      </w:r>
      <w:r>
        <w:rPr>
          <w:rFonts w:hint="eastAsia"/>
          <w:color w:val="auto"/>
          <w:spacing w:val="-9"/>
          <w:sz w:val="24"/>
          <w:lang w:val="en-US" w:eastAsia="zh-CN"/>
        </w:rPr>
        <w:t>后</w:t>
      </w:r>
      <w:r>
        <w:rPr>
          <w:color w:val="auto"/>
          <w:spacing w:val="-9"/>
          <w:sz w:val="24"/>
        </w:rPr>
        <w:t>从</w:t>
      </w:r>
      <w:r>
        <w:rPr>
          <w:rFonts w:hint="eastAsia"/>
          <w:color w:val="auto"/>
          <w:spacing w:val="-9"/>
          <w:sz w:val="24"/>
          <w:lang w:val="en-US" w:eastAsia="zh-CN"/>
        </w:rPr>
        <w:t>河南省财政厅专家库卢氏终端</w:t>
      </w:r>
      <w:r>
        <w:rPr>
          <w:rFonts w:hint="eastAsia"/>
          <w:color w:val="auto"/>
          <w:spacing w:val="-9"/>
          <w:sz w:val="24"/>
        </w:rPr>
        <w:t>标随机抽取。</w:t>
      </w:r>
    </w:p>
    <w:p w14:paraId="5D563BF8">
      <w:pPr>
        <w:pStyle w:val="38"/>
        <w:keepNext w:val="0"/>
        <w:keepLines w:val="0"/>
        <w:pageBreakBefore w:val="0"/>
        <w:widowControl w:val="0"/>
        <w:numPr>
          <w:ilvl w:val="1"/>
          <w:numId w:val="5"/>
        </w:numPr>
        <w:tabs>
          <w:tab w:val="left" w:pos="1281"/>
        </w:tabs>
        <w:kinsoku/>
        <w:wordWrap w:val="0"/>
        <w:overflowPunct/>
        <w:topLinePunct w:val="0"/>
        <w:bidi w:val="0"/>
        <w:adjustRightInd/>
        <w:snapToGrid/>
        <w:spacing w:line="480" w:lineRule="exact"/>
        <w:ind w:left="0" w:right="0" w:firstLine="480" w:firstLineChars="200"/>
        <w:jc w:val="left"/>
        <w:textAlignment w:val="auto"/>
        <w:rPr>
          <w:color w:val="auto"/>
          <w:sz w:val="24"/>
        </w:rPr>
      </w:pPr>
      <w:r>
        <w:rPr>
          <w:color w:val="auto"/>
          <w:sz w:val="24"/>
        </w:rPr>
        <w:t>磋商小组对所有磋商响应供应商的磋商响应文件进行评审，按评审后得分由高到低顺序排列，递交给采购人。</w:t>
      </w:r>
    </w:p>
    <w:p w14:paraId="159E4E7D">
      <w:pPr>
        <w:pStyle w:val="38"/>
        <w:keepNext w:val="0"/>
        <w:keepLines w:val="0"/>
        <w:pageBreakBefore w:val="0"/>
        <w:widowControl w:val="0"/>
        <w:numPr>
          <w:ilvl w:val="1"/>
          <w:numId w:val="5"/>
        </w:numPr>
        <w:tabs>
          <w:tab w:val="left" w:pos="1281"/>
        </w:tabs>
        <w:kinsoku/>
        <w:wordWrap w:val="0"/>
        <w:overflowPunct/>
        <w:topLinePunct w:val="0"/>
        <w:bidi w:val="0"/>
        <w:adjustRightInd/>
        <w:snapToGrid/>
        <w:spacing w:line="480" w:lineRule="exact"/>
        <w:ind w:left="0" w:right="0" w:firstLine="480" w:firstLineChars="200"/>
        <w:jc w:val="left"/>
        <w:textAlignment w:val="auto"/>
        <w:rPr>
          <w:color w:val="auto"/>
          <w:sz w:val="24"/>
        </w:rPr>
      </w:pPr>
      <w:r>
        <w:rPr>
          <w:color w:val="auto"/>
          <w:sz w:val="24"/>
        </w:rPr>
        <w:t>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14:paraId="364E041A">
      <w:pPr>
        <w:pStyle w:val="38"/>
        <w:keepNext w:val="0"/>
        <w:keepLines w:val="0"/>
        <w:pageBreakBefore w:val="0"/>
        <w:widowControl w:val="0"/>
        <w:numPr>
          <w:ilvl w:val="1"/>
          <w:numId w:val="5"/>
        </w:numPr>
        <w:tabs>
          <w:tab w:val="left" w:pos="1281"/>
        </w:tabs>
        <w:kinsoku/>
        <w:wordWrap w:val="0"/>
        <w:overflowPunct/>
        <w:topLinePunct w:val="0"/>
        <w:bidi w:val="0"/>
        <w:adjustRightInd/>
        <w:snapToGrid/>
        <w:spacing w:line="480" w:lineRule="exact"/>
        <w:ind w:left="0" w:right="0" w:firstLine="480" w:firstLineChars="200"/>
        <w:jc w:val="left"/>
        <w:textAlignment w:val="auto"/>
        <w:rPr>
          <w:color w:val="auto"/>
          <w:sz w:val="24"/>
        </w:rPr>
      </w:pPr>
      <w:r>
        <w:rPr>
          <w:color w:val="auto"/>
          <w:sz w:val="24"/>
        </w:rPr>
        <w:t>磋商小组成员和评审工作有关人员不得干预或者影响正常评审工作，不得明示或者暗示其倾向性、引导性意见，不得修改磋商文件确定的评审程序、评审方法，不得征询采购人代表的倾向性意见，不得记录、复制或带走任何评审资料。成交候选人确定后，磋商小组不得修改评审结果或者要求重新评审，但因资格性审查认定错误或价格计算错误需依法重新评审的除外。应在评审报告中明确记载。</w:t>
      </w:r>
    </w:p>
    <w:p w14:paraId="15579CAB">
      <w:pPr>
        <w:pStyle w:val="5"/>
        <w:keepNext w:val="0"/>
        <w:keepLines w:val="0"/>
        <w:pageBreakBefore w:val="0"/>
        <w:widowControl w:val="0"/>
        <w:kinsoku/>
        <w:wordWrap w:val="0"/>
        <w:overflowPunct/>
        <w:topLinePunct w:val="0"/>
        <w:bidi w:val="0"/>
        <w:adjustRightInd/>
        <w:snapToGrid/>
        <w:spacing w:line="480" w:lineRule="exact"/>
        <w:ind w:left="0" w:right="0" w:firstLine="482" w:firstLineChars="200"/>
        <w:jc w:val="left"/>
        <w:textAlignment w:val="auto"/>
        <w:rPr>
          <w:color w:val="auto"/>
        </w:rPr>
      </w:pPr>
      <w:bookmarkStart w:id="151" w:name="_Toc30532_WPSOffice_Level3"/>
      <w:r>
        <w:rPr>
          <w:color w:val="auto"/>
        </w:rPr>
        <w:t>20、磋商程序</w:t>
      </w:r>
      <w:bookmarkEnd w:id="151"/>
    </w:p>
    <w:p w14:paraId="797C1C83">
      <w:pPr>
        <w:pStyle w:val="38"/>
        <w:keepNext w:val="0"/>
        <w:keepLines w:val="0"/>
        <w:pageBreakBefore w:val="0"/>
        <w:widowControl w:val="0"/>
        <w:numPr>
          <w:ilvl w:val="1"/>
          <w:numId w:val="6"/>
        </w:numPr>
        <w:tabs>
          <w:tab w:val="left" w:pos="1281"/>
        </w:tabs>
        <w:kinsoku/>
        <w:wordWrap w:val="0"/>
        <w:overflowPunct/>
        <w:topLinePunct w:val="0"/>
        <w:bidi w:val="0"/>
        <w:adjustRightInd/>
        <w:snapToGrid/>
        <w:spacing w:line="480" w:lineRule="exact"/>
        <w:ind w:left="0" w:right="0" w:firstLine="480" w:firstLineChars="200"/>
        <w:jc w:val="left"/>
        <w:textAlignment w:val="auto"/>
        <w:rPr>
          <w:color w:val="auto"/>
          <w:sz w:val="24"/>
        </w:rPr>
      </w:pPr>
      <w:r>
        <w:rPr>
          <w:color w:val="auto"/>
          <w:sz w:val="24"/>
        </w:rPr>
        <w:t>磋商小组所有成员集中评审磋商响应文件及集中与磋商响应供应商分别进行磋商。</w:t>
      </w:r>
    </w:p>
    <w:p w14:paraId="106B66B4">
      <w:pPr>
        <w:pStyle w:val="38"/>
        <w:keepNext w:val="0"/>
        <w:keepLines w:val="0"/>
        <w:pageBreakBefore w:val="0"/>
        <w:widowControl w:val="0"/>
        <w:numPr>
          <w:ilvl w:val="1"/>
          <w:numId w:val="6"/>
        </w:numPr>
        <w:tabs>
          <w:tab w:val="left" w:pos="1281"/>
        </w:tabs>
        <w:kinsoku/>
        <w:wordWrap w:val="0"/>
        <w:overflowPunct/>
        <w:topLinePunct w:val="0"/>
        <w:bidi w:val="0"/>
        <w:adjustRightInd/>
        <w:snapToGrid/>
        <w:spacing w:line="480" w:lineRule="exact"/>
        <w:ind w:left="0" w:right="0" w:firstLine="464" w:firstLineChars="200"/>
        <w:jc w:val="left"/>
        <w:textAlignment w:val="auto"/>
        <w:rPr>
          <w:color w:val="auto"/>
        </w:rPr>
      </w:pPr>
      <w:r>
        <w:rPr>
          <w:color w:val="auto"/>
          <w:spacing w:val="-4"/>
          <w:sz w:val="24"/>
        </w:rPr>
        <w:t>磋商小组首先对所有磋商响应文件进行资格性和</w:t>
      </w:r>
      <w:r>
        <w:rPr>
          <w:rFonts w:hint="eastAsia"/>
          <w:color w:val="auto"/>
          <w:spacing w:val="-4"/>
          <w:sz w:val="24"/>
        </w:rPr>
        <w:t>初步</w:t>
      </w:r>
      <w:r>
        <w:rPr>
          <w:color w:val="auto"/>
          <w:spacing w:val="-4"/>
          <w:sz w:val="24"/>
        </w:rPr>
        <w:t xml:space="preserve">审查。资格性审查是指： </w:t>
      </w:r>
      <w:r>
        <w:rPr>
          <w:color w:val="auto"/>
          <w:spacing w:val="-2"/>
          <w:sz w:val="24"/>
        </w:rPr>
        <w:t>磋商小组按照竞争性磋商文件第</w:t>
      </w:r>
      <w:r>
        <w:rPr>
          <w:rFonts w:hint="eastAsia"/>
          <w:color w:val="auto"/>
          <w:spacing w:val="-2"/>
          <w:sz w:val="24"/>
        </w:rPr>
        <w:t>四</w:t>
      </w:r>
      <w:r>
        <w:rPr>
          <w:color w:val="auto"/>
          <w:spacing w:val="-2"/>
          <w:sz w:val="24"/>
        </w:rPr>
        <w:t>章</w:t>
      </w:r>
      <w:r>
        <w:rPr>
          <w:rFonts w:hint="eastAsia"/>
          <w:color w:val="auto"/>
          <w:spacing w:val="-2"/>
          <w:sz w:val="24"/>
        </w:rPr>
        <w:t>评审办法</w:t>
      </w:r>
      <w:r>
        <w:rPr>
          <w:color w:val="auto"/>
          <w:spacing w:val="-9"/>
          <w:sz w:val="24"/>
        </w:rPr>
        <w:t>的要求， 对磋商响应供应商进行</w:t>
      </w:r>
      <w:r>
        <w:rPr>
          <w:rFonts w:hint="eastAsia"/>
          <w:color w:val="auto"/>
          <w:spacing w:val="-9"/>
          <w:sz w:val="24"/>
        </w:rPr>
        <w:t>资格</w:t>
      </w:r>
      <w:r>
        <w:rPr>
          <w:color w:val="auto"/>
          <w:spacing w:val="-9"/>
          <w:sz w:val="24"/>
        </w:rPr>
        <w:t>审查，有一项不符合的，视为未通过资格审查，不得进入下一评</w:t>
      </w:r>
      <w:r>
        <w:rPr>
          <w:color w:val="auto"/>
          <w:spacing w:val="-10"/>
          <w:sz w:val="24"/>
        </w:rPr>
        <w:t>审过程。磋商小组按照竞争性磋商文件</w:t>
      </w:r>
      <w:r>
        <w:rPr>
          <w:rFonts w:hint="eastAsia"/>
          <w:color w:val="auto"/>
          <w:spacing w:val="-10"/>
          <w:sz w:val="24"/>
        </w:rPr>
        <w:t>及第四章评审办法中形式、响应性评审</w:t>
      </w:r>
      <w:r>
        <w:rPr>
          <w:color w:val="auto"/>
          <w:spacing w:val="-10"/>
          <w:sz w:val="24"/>
        </w:rPr>
        <w:t>的要求，对磋商响应供应商进行审查，有一项不符合的，视为未通过</w:t>
      </w:r>
      <w:r>
        <w:rPr>
          <w:rFonts w:hint="eastAsia"/>
          <w:color w:val="auto"/>
          <w:spacing w:val="-10"/>
          <w:sz w:val="24"/>
        </w:rPr>
        <w:t>初步</w:t>
      </w:r>
      <w:r>
        <w:rPr>
          <w:color w:val="auto"/>
          <w:spacing w:val="-10"/>
          <w:sz w:val="24"/>
        </w:rPr>
        <w:t>审查。未通过资格性和</w:t>
      </w:r>
      <w:r>
        <w:rPr>
          <w:rFonts w:hint="eastAsia"/>
          <w:color w:val="auto"/>
          <w:spacing w:val="-10"/>
          <w:sz w:val="24"/>
        </w:rPr>
        <w:t>初步</w:t>
      </w:r>
      <w:r>
        <w:rPr>
          <w:color w:val="auto"/>
          <w:spacing w:val="-10"/>
          <w:sz w:val="24"/>
        </w:rPr>
        <w:t>审查的磋商响应文件按无效响应处理，磋商小组应当告知提交磋商响应文件的磋商响</w:t>
      </w:r>
      <w:r>
        <w:rPr>
          <w:color w:val="auto"/>
        </w:rPr>
        <w:t>应供应商。</w:t>
      </w:r>
    </w:p>
    <w:p w14:paraId="1AF3952C">
      <w:pPr>
        <w:pStyle w:val="38"/>
        <w:keepNext w:val="0"/>
        <w:keepLines w:val="0"/>
        <w:pageBreakBefore w:val="0"/>
        <w:widowControl w:val="0"/>
        <w:numPr>
          <w:ilvl w:val="2"/>
          <w:numId w:val="6"/>
        </w:numPr>
        <w:tabs>
          <w:tab w:val="left" w:pos="1521"/>
        </w:tabs>
        <w:kinsoku/>
        <w:wordWrap w:val="0"/>
        <w:overflowPunct/>
        <w:topLinePunct w:val="0"/>
        <w:bidi w:val="0"/>
        <w:adjustRightInd/>
        <w:snapToGrid/>
        <w:spacing w:line="480" w:lineRule="exact"/>
        <w:ind w:left="0" w:right="0" w:firstLine="480" w:firstLineChars="200"/>
        <w:jc w:val="left"/>
        <w:textAlignment w:val="auto"/>
        <w:rPr>
          <w:color w:val="auto"/>
          <w:sz w:val="24"/>
        </w:rPr>
      </w:pPr>
      <w:r>
        <w:rPr>
          <w:color w:val="auto"/>
          <w:sz w:val="24"/>
        </w:rPr>
        <w:t>允许修正磋商响应文件中不构成重大偏离的、微小的、非正规的、不一致或不规则的地方。</w:t>
      </w:r>
    </w:p>
    <w:p w14:paraId="558D4935">
      <w:pPr>
        <w:pStyle w:val="38"/>
        <w:keepNext w:val="0"/>
        <w:keepLines w:val="0"/>
        <w:pageBreakBefore w:val="0"/>
        <w:widowControl w:val="0"/>
        <w:numPr>
          <w:ilvl w:val="2"/>
          <w:numId w:val="6"/>
        </w:numPr>
        <w:tabs>
          <w:tab w:val="left" w:pos="1581"/>
        </w:tabs>
        <w:kinsoku/>
        <w:wordWrap w:val="0"/>
        <w:overflowPunct/>
        <w:topLinePunct w:val="0"/>
        <w:bidi w:val="0"/>
        <w:adjustRightInd/>
        <w:snapToGrid/>
        <w:spacing w:line="480" w:lineRule="exact"/>
        <w:ind w:left="0" w:right="0" w:firstLine="476" w:firstLineChars="200"/>
        <w:jc w:val="left"/>
        <w:textAlignment w:val="auto"/>
        <w:rPr>
          <w:color w:val="auto"/>
          <w:sz w:val="24"/>
        </w:rPr>
      </w:pPr>
      <w:r>
        <w:rPr>
          <w:color w:val="auto"/>
          <w:spacing w:val="-1"/>
          <w:sz w:val="24"/>
        </w:rPr>
        <w:t>磋商小组判断磋商响应文件的响应性仅基于磋商响应文件本身内容而不靠外</w:t>
      </w:r>
      <w:r>
        <w:rPr>
          <w:color w:val="auto"/>
          <w:sz w:val="24"/>
        </w:rPr>
        <w:t>部证据。</w:t>
      </w:r>
    </w:p>
    <w:p w14:paraId="354CC6FB">
      <w:pPr>
        <w:pStyle w:val="38"/>
        <w:keepNext w:val="0"/>
        <w:keepLines w:val="0"/>
        <w:pageBreakBefore w:val="0"/>
        <w:widowControl w:val="0"/>
        <w:numPr>
          <w:ilvl w:val="2"/>
          <w:numId w:val="6"/>
        </w:numPr>
        <w:tabs>
          <w:tab w:val="left" w:pos="1521"/>
        </w:tabs>
        <w:kinsoku/>
        <w:wordWrap w:val="0"/>
        <w:overflowPunct/>
        <w:topLinePunct w:val="0"/>
        <w:bidi w:val="0"/>
        <w:adjustRightInd/>
        <w:snapToGrid/>
        <w:spacing w:line="480" w:lineRule="exact"/>
        <w:ind w:left="0" w:right="0" w:firstLine="480" w:firstLineChars="200"/>
        <w:jc w:val="left"/>
        <w:textAlignment w:val="auto"/>
        <w:rPr>
          <w:color w:val="auto"/>
          <w:sz w:val="24"/>
        </w:rPr>
      </w:pPr>
      <w:r>
        <w:rPr>
          <w:color w:val="auto"/>
          <w:sz w:val="24"/>
        </w:rPr>
        <w:t>实质性未响应磋商文件要求的响应将被拒绝，磋商响应供应商不得通过修正或撤消不符之处而使其响应成为实质性响应。</w:t>
      </w:r>
    </w:p>
    <w:p w14:paraId="665869E8">
      <w:pPr>
        <w:pStyle w:val="38"/>
        <w:keepNext w:val="0"/>
        <w:keepLines w:val="0"/>
        <w:pageBreakBefore w:val="0"/>
        <w:widowControl w:val="0"/>
        <w:numPr>
          <w:ilvl w:val="2"/>
          <w:numId w:val="6"/>
        </w:numPr>
        <w:tabs>
          <w:tab w:val="left" w:pos="1521"/>
        </w:tabs>
        <w:kinsoku/>
        <w:wordWrap w:val="0"/>
        <w:overflowPunct/>
        <w:topLinePunct w:val="0"/>
        <w:bidi w:val="0"/>
        <w:adjustRightInd/>
        <w:snapToGrid/>
        <w:spacing w:line="480" w:lineRule="exact"/>
        <w:ind w:left="0" w:right="0" w:firstLine="480" w:firstLineChars="200"/>
        <w:jc w:val="left"/>
        <w:textAlignment w:val="auto"/>
        <w:rPr>
          <w:color w:val="auto"/>
          <w:sz w:val="24"/>
        </w:rPr>
      </w:pPr>
      <w:r>
        <w:rPr>
          <w:color w:val="auto"/>
          <w:sz w:val="24"/>
        </w:rPr>
        <w:t>实质性未响应是指磋商响应文件中提出了超出磋商文件中</w:t>
      </w:r>
      <w:r>
        <w:rPr>
          <w:rFonts w:hint="eastAsia"/>
          <w:color w:val="auto"/>
          <w:sz w:val="24"/>
          <w:lang w:val="en-US" w:eastAsia="zh-CN"/>
        </w:rPr>
        <w:t>招标范围</w:t>
      </w:r>
      <w:r>
        <w:rPr>
          <w:color w:val="auto"/>
          <w:sz w:val="24"/>
        </w:rPr>
        <w:t>、预算金额、</w:t>
      </w:r>
      <w:r>
        <w:rPr>
          <w:rFonts w:hint="eastAsia"/>
          <w:color w:val="auto"/>
          <w:sz w:val="24"/>
          <w:lang w:val="en-US" w:eastAsia="zh-CN"/>
        </w:rPr>
        <w:t>设计周期</w:t>
      </w:r>
      <w:r>
        <w:rPr>
          <w:color w:val="auto"/>
          <w:sz w:val="24"/>
        </w:rPr>
        <w:t>、技术和服务要求等内容。</w:t>
      </w:r>
    </w:p>
    <w:p w14:paraId="5D3FA5A2">
      <w:pPr>
        <w:pStyle w:val="5"/>
        <w:keepNext w:val="0"/>
        <w:keepLines w:val="0"/>
        <w:pageBreakBefore w:val="0"/>
        <w:widowControl w:val="0"/>
        <w:kinsoku/>
        <w:wordWrap w:val="0"/>
        <w:overflowPunct/>
        <w:topLinePunct w:val="0"/>
        <w:bidi w:val="0"/>
        <w:adjustRightInd/>
        <w:snapToGrid/>
        <w:spacing w:line="480" w:lineRule="exact"/>
        <w:ind w:left="0" w:right="0" w:firstLine="482" w:firstLineChars="200"/>
        <w:jc w:val="left"/>
        <w:textAlignment w:val="auto"/>
        <w:rPr>
          <w:color w:val="auto"/>
        </w:rPr>
      </w:pPr>
      <w:bookmarkStart w:id="152" w:name="_Toc31948_WPSOffice_Level3"/>
      <w:r>
        <w:rPr>
          <w:color w:val="auto"/>
        </w:rPr>
        <w:t>21、对磋商响应供应商的评价</w:t>
      </w:r>
      <w:bookmarkEnd w:id="152"/>
    </w:p>
    <w:p w14:paraId="24AB9E11">
      <w:pPr>
        <w:pStyle w:val="38"/>
        <w:keepNext w:val="0"/>
        <w:keepLines w:val="0"/>
        <w:pageBreakBefore w:val="0"/>
        <w:widowControl w:val="0"/>
        <w:numPr>
          <w:ilvl w:val="1"/>
          <w:numId w:val="7"/>
        </w:numPr>
        <w:tabs>
          <w:tab w:val="left" w:pos="1281"/>
        </w:tabs>
        <w:kinsoku/>
        <w:wordWrap w:val="0"/>
        <w:overflowPunct/>
        <w:topLinePunct w:val="0"/>
        <w:bidi w:val="0"/>
        <w:adjustRightInd/>
        <w:snapToGrid/>
        <w:spacing w:line="480" w:lineRule="exact"/>
        <w:ind w:left="0" w:right="0" w:firstLine="480" w:firstLineChars="200"/>
        <w:jc w:val="left"/>
        <w:textAlignment w:val="auto"/>
        <w:rPr>
          <w:color w:val="auto"/>
          <w:sz w:val="24"/>
        </w:rPr>
      </w:pPr>
      <w:r>
        <w:rPr>
          <w:color w:val="auto"/>
          <w:sz w:val="24"/>
        </w:rPr>
        <w:t>磋商小组只对已判定为实质性响应且通过资格审查的磋商响应文件进行详细评价和比较。</w:t>
      </w:r>
    </w:p>
    <w:p w14:paraId="6A91C2C4">
      <w:pPr>
        <w:pStyle w:val="38"/>
        <w:keepNext w:val="0"/>
        <w:keepLines w:val="0"/>
        <w:pageBreakBefore w:val="0"/>
        <w:widowControl w:val="0"/>
        <w:numPr>
          <w:ilvl w:val="1"/>
          <w:numId w:val="7"/>
        </w:numPr>
        <w:tabs>
          <w:tab w:val="left" w:pos="1281"/>
        </w:tabs>
        <w:kinsoku/>
        <w:wordWrap w:val="0"/>
        <w:overflowPunct/>
        <w:topLinePunct w:val="0"/>
        <w:bidi w:val="0"/>
        <w:adjustRightInd/>
        <w:snapToGrid/>
        <w:spacing w:line="480" w:lineRule="exact"/>
        <w:ind w:left="0" w:right="0" w:firstLine="480" w:firstLineChars="200"/>
        <w:jc w:val="left"/>
        <w:textAlignment w:val="auto"/>
        <w:rPr>
          <w:color w:val="auto"/>
          <w:sz w:val="24"/>
        </w:rPr>
      </w:pPr>
      <w:r>
        <w:rPr>
          <w:color w:val="auto"/>
          <w:sz w:val="24"/>
        </w:rPr>
        <w:t>磋商小组所有成员应当集中与单一磋商响应供应商分别进行磋商，并给予所有参加磋商的磋商响应供应商平等的磋商机会。磋商完成后，要求其在规定时间内提交最后报价，提交最后报价的供应商可以为两家。</w:t>
      </w:r>
    </w:p>
    <w:p w14:paraId="09EAD544">
      <w:pPr>
        <w:pStyle w:val="38"/>
        <w:keepNext w:val="0"/>
        <w:keepLines w:val="0"/>
        <w:pageBreakBefore w:val="0"/>
        <w:widowControl w:val="0"/>
        <w:numPr>
          <w:ilvl w:val="1"/>
          <w:numId w:val="7"/>
        </w:numPr>
        <w:tabs>
          <w:tab w:val="left" w:pos="1281"/>
        </w:tabs>
        <w:kinsoku/>
        <w:wordWrap w:val="0"/>
        <w:overflowPunct/>
        <w:topLinePunct w:val="0"/>
        <w:bidi w:val="0"/>
        <w:adjustRightInd/>
        <w:snapToGrid/>
        <w:spacing w:line="480" w:lineRule="exact"/>
        <w:ind w:left="0" w:right="0" w:firstLine="480" w:firstLineChars="200"/>
        <w:jc w:val="left"/>
        <w:textAlignment w:val="auto"/>
        <w:rPr>
          <w:color w:val="auto"/>
          <w:sz w:val="24"/>
        </w:rPr>
      </w:pPr>
      <w:r>
        <w:rPr>
          <w:color w:val="auto"/>
          <w:sz w:val="24"/>
        </w:rPr>
        <w:t>经磋商确定最终采购需求和提交最后报价的磋商响应供应商后，磋商小组采用</w:t>
      </w:r>
      <w:r>
        <w:rPr>
          <w:color w:val="auto"/>
          <w:spacing w:val="6"/>
          <w:sz w:val="24"/>
        </w:rPr>
        <w:t>综合评分法对提交最后报价的磋商响应供应商的磋商响应文件和最后报价进行综合评分。</w:t>
      </w:r>
    </w:p>
    <w:p w14:paraId="3E7F8597">
      <w:pPr>
        <w:pStyle w:val="8"/>
        <w:keepNext w:val="0"/>
        <w:keepLines w:val="0"/>
        <w:pageBreakBefore w:val="0"/>
        <w:widowControl w:val="0"/>
        <w:kinsoku/>
        <w:wordWrap w:val="0"/>
        <w:overflowPunct/>
        <w:topLinePunct w:val="0"/>
        <w:bidi w:val="0"/>
        <w:adjustRightInd/>
        <w:snapToGrid/>
        <w:spacing w:line="480" w:lineRule="exact"/>
        <w:ind w:left="0" w:right="0" w:firstLine="456" w:firstLineChars="200"/>
        <w:jc w:val="left"/>
        <w:textAlignment w:val="auto"/>
        <w:rPr>
          <w:color w:val="auto"/>
        </w:rPr>
      </w:pPr>
      <w:r>
        <w:rPr>
          <w:rFonts w:hint="eastAsia"/>
          <w:color w:val="auto"/>
          <w:spacing w:val="-6"/>
        </w:rPr>
        <w:t>21.4</w:t>
      </w:r>
      <w:r>
        <w:rPr>
          <w:color w:val="auto"/>
          <w:spacing w:val="-6"/>
        </w:rPr>
        <w:t xml:space="preserve">磋商小组根据综合评分情况，按评审得分由高到低的顺序确定成交候选供应商， </w:t>
      </w:r>
      <w:r>
        <w:rPr>
          <w:color w:val="auto"/>
        </w:rPr>
        <w:t>确定排名第一的为成交供应商，并编写评审报告。评审得分相同的，按照最后报价由低到高的顺序确定，评审得分且最后报价相同的，按照技术指标优劣顺序确定成交候选供应商。评审报告由磋商小组全体人员签字。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2D22E647">
      <w:pPr>
        <w:pStyle w:val="8"/>
        <w:keepNext w:val="0"/>
        <w:keepLines w:val="0"/>
        <w:pageBreakBefore w:val="0"/>
        <w:widowControl w:val="0"/>
        <w:kinsoku/>
        <w:wordWrap w:val="0"/>
        <w:overflowPunct/>
        <w:topLinePunct w:val="0"/>
        <w:bidi w:val="0"/>
        <w:adjustRightInd/>
        <w:snapToGrid/>
        <w:spacing w:line="480" w:lineRule="exact"/>
        <w:ind w:left="0" w:right="0" w:firstLine="480" w:firstLineChars="200"/>
        <w:jc w:val="left"/>
        <w:textAlignment w:val="auto"/>
        <w:rPr>
          <w:color w:val="auto"/>
        </w:rPr>
      </w:pPr>
      <w:r>
        <w:rPr>
          <w:rFonts w:hint="eastAsia"/>
          <w:color w:val="auto"/>
        </w:rPr>
        <w:t>21.5</w:t>
      </w:r>
      <w:r>
        <w:rPr>
          <w:color w:val="auto"/>
        </w:rPr>
        <w:t>如果第一名供应商放弃成交资格或因不可抗力提出不能履行合同、竞争性磋商文件规定应当提交履约担保而在规定的期限内未能提交的，采购人将依序确定排名第二名的供应商为成交供应商，也可以重新开展政府采购活动。</w:t>
      </w:r>
    </w:p>
    <w:p w14:paraId="60FA6EE9">
      <w:pPr>
        <w:pStyle w:val="5"/>
        <w:keepNext w:val="0"/>
        <w:keepLines w:val="0"/>
        <w:pageBreakBefore w:val="0"/>
        <w:widowControl w:val="0"/>
        <w:kinsoku/>
        <w:wordWrap w:val="0"/>
        <w:overflowPunct/>
        <w:topLinePunct w:val="0"/>
        <w:bidi w:val="0"/>
        <w:adjustRightInd/>
        <w:snapToGrid/>
        <w:spacing w:line="480" w:lineRule="exact"/>
        <w:ind w:left="0" w:right="0" w:firstLine="482" w:firstLineChars="200"/>
        <w:jc w:val="left"/>
        <w:textAlignment w:val="auto"/>
        <w:rPr>
          <w:color w:val="auto"/>
        </w:rPr>
      </w:pPr>
      <w:bookmarkStart w:id="153" w:name="_Toc27346_WPSOffice_Level3"/>
      <w:r>
        <w:rPr>
          <w:color w:val="auto"/>
        </w:rPr>
        <w:t>22、磋商响应文件的澄清</w:t>
      </w:r>
      <w:bookmarkEnd w:id="153"/>
    </w:p>
    <w:p w14:paraId="100734D3">
      <w:pPr>
        <w:pStyle w:val="38"/>
        <w:keepNext w:val="0"/>
        <w:keepLines w:val="0"/>
        <w:pageBreakBefore w:val="0"/>
        <w:widowControl w:val="0"/>
        <w:numPr>
          <w:ilvl w:val="1"/>
          <w:numId w:val="8"/>
        </w:numPr>
        <w:tabs>
          <w:tab w:val="left" w:pos="1281"/>
        </w:tabs>
        <w:kinsoku/>
        <w:wordWrap w:val="0"/>
        <w:overflowPunct/>
        <w:topLinePunct w:val="0"/>
        <w:bidi w:val="0"/>
        <w:adjustRightInd/>
        <w:snapToGrid/>
        <w:spacing w:line="480" w:lineRule="exact"/>
        <w:ind w:left="0" w:right="0" w:firstLine="480" w:firstLineChars="200"/>
        <w:jc w:val="left"/>
        <w:textAlignment w:val="auto"/>
        <w:rPr>
          <w:color w:val="auto"/>
          <w:sz w:val="24"/>
        </w:rPr>
      </w:pPr>
      <w:r>
        <w:rPr>
          <w:color w:val="auto"/>
          <w:sz w:val="24"/>
        </w:rPr>
        <w:t>为了有助于对磋商响应文件进行审查、评估和比较，磋商小组有权向磋商响应供应商质疑。请磋商响应供应商澄清其磋商内容。磋商响应供应商有责任按照磋商小组通知的时间、地点、方式指派委托代理人进行答疑和澄清。</w:t>
      </w:r>
    </w:p>
    <w:p w14:paraId="32C81218">
      <w:pPr>
        <w:pStyle w:val="38"/>
        <w:keepNext w:val="0"/>
        <w:keepLines w:val="0"/>
        <w:pageBreakBefore w:val="0"/>
        <w:widowControl w:val="0"/>
        <w:numPr>
          <w:ilvl w:val="1"/>
          <w:numId w:val="8"/>
        </w:numPr>
        <w:tabs>
          <w:tab w:val="left" w:pos="1281"/>
        </w:tabs>
        <w:kinsoku/>
        <w:wordWrap w:val="0"/>
        <w:overflowPunct/>
        <w:topLinePunct w:val="0"/>
        <w:bidi w:val="0"/>
        <w:adjustRightInd/>
        <w:snapToGrid/>
        <w:spacing w:line="480" w:lineRule="exact"/>
        <w:ind w:left="0" w:right="0" w:firstLine="480" w:firstLineChars="200"/>
        <w:jc w:val="left"/>
        <w:textAlignment w:val="auto"/>
        <w:rPr>
          <w:color w:val="auto"/>
          <w:sz w:val="24"/>
        </w:rPr>
      </w:pPr>
      <w:r>
        <w:rPr>
          <w:color w:val="auto"/>
          <w:sz w:val="24"/>
        </w:rPr>
        <w:t>重要澄清的答复应是书面的，并由法定代表人或其委托代理人签字。</w:t>
      </w:r>
    </w:p>
    <w:p w14:paraId="3E0E6BFE">
      <w:pPr>
        <w:pStyle w:val="38"/>
        <w:keepNext w:val="0"/>
        <w:keepLines w:val="0"/>
        <w:pageBreakBefore w:val="0"/>
        <w:widowControl w:val="0"/>
        <w:numPr>
          <w:ilvl w:val="1"/>
          <w:numId w:val="8"/>
        </w:numPr>
        <w:tabs>
          <w:tab w:val="left" w:pos="1281"/>
        </w:tabs>
        <w:kinsoku/>
        <w:wordWrap w:val="0"/>
        <w:overflowPunct/>
        <w:topLinePunct w:val="0"/>
        <w:bidi w:val="0"/>
        <w:adjustRightInd/>
        <w:snapToGrid/>
        <w:spacing w:line="480" w:lineRule="exact"/>
        <w:ind w:left="0" w:right="0" w:firstLine="480" w:firstLineChars="200"/>
        <w:jc w:val="left"/>
        <w:textAlignment w:val="auto"/>
        <w:rPr>
          <w:color w:val="auto"/>
          <w:sz w:val="24"/>
        </w:rPr>
      </w:pPr>
      <w:r>
        <w:rPr>
          <w:color w:val="auto"/>
          <w:sz w:val="24"/>
        </w:rPr>
        <w:t>磋商响应供应商的澄清文件是磋商响应文件的组成部分，并取代磋商响应文件中被澄清的部分。</w:t>
      </w:r>
    </w:p>
    <w:p w14:paraId="4916C1B3">
      <w:pPr>
        <w:pStyle w:val="38"/>
        <w:keepNext w:val="0"/>
        <w:keepLines w:val="0"/>
        <w:pageBreakBefore w:val="0"/>
        <w:widowControl w:val="0"/>
        <w:numPr>
          <w:ilvl w:val="1"/>
          <w:numId w:val="8"/>
        </w:numPr>
        <w:tabs>
          <w:tab w:val="left" w:pos="1281"/>
        </w:tabs>
        <w:kinsoku/>
        <w:wordWrap w:val="0"/>
        <w:overflowPunct/>
        <w:topLinePunct w:val="0"/>
        <w:bidi w:val="0"/>
        <w:adjustRightInd/>
        <w:snapToGrid/>
        <w:spacing w:line="480" w:lineRule="exact"/>
        <w:ind w:left="0" w:right="0" w:firstLine="480" w:firstLineChars="200"/>
        <w:jc w:val="left"/>
        <w:textAlignment w:val="auto"/>
        <w:rPr>
          <w:color w:val="auto"/>
          <w:sz w:val="24"/>
        </w:rPr>
      </w:pPr>
      <w:r>
        <w:rPr>
          <w:color w:val="auto"/>
          <w:sz w:val="24"/>
        </w:rPr>
        <w:t>磋商响应文件澄清部分不得对磋商内容进行实质性修改。</w:t>
      </w:r>
    </w:p>
    <w:p w14:paraId="1A099783">
      <w:pPr>
        <w:pStyle w:val="5"/>
        <w:keepNext w:val="0"/>
        <w:keepLines w:val="0"/>
        <w:pageBreakBefore w:val="0"/>
        <w:widowControl w:val="0"/>
        <w:kinsoku/>
        <w:wordWrap w:val="0"/>
        <w:overflowPunct/>
        <w:topLinePunct w:val="0"/>
        <w:bidi w:val="0"/>
        <w:adjustRightInd/>
        <w:snapToGrid/>
        <w:spacing w:line="480" w:lineRule="exact"/>
        <w:ind w:left="0" w:right="0" w:firstLine="482" w:firstLineChars="200"/>
        <w:jc w:val="left"/>
        <w:textAlignment w:val="auto"/>
        <w:rPr>
          <w:color w:val="auto"/>
        </w:rPr>
      </w:pPr>
      <w:bookmarkStart w:id="154" w:name="_Toc10070_WPSOffice_Level3"/>
      <w:r>
        <w:rPr>
          <w:color w:val="auto"/>
        </w:rPr>
        <w:t>23、磋商原则和方法</w:t>
      </w:r>
      <w:bookmarkEnd w:id="154"/>
    </w:p>
    <w:p w14:paraId="04871DCB">
      <w:pPr>
        <w:pStyle w:val="38"/>
        <w:keepNext w:val="0"/>
        <w:keepLines w:val="0"/>
        <w:pageBreakBefore w:val="0"/>
        <w:widowControl w:val="0"/>
        <w:numPr>
          <w:ilvl w:val="1"/>
          <w:numId w:val="9"/>
        </w:numPr>
        <w:tabs>
          <w:tab w:val="left" w:pos="1281"/>
        </w:tabs>
        <w:kinsoku/>
        <w:wordWrap w:val="0"/>
        <w:overflowPunct/>
        <w:topLinePunct w:val="0"/>
        <w:bidi w:val="0"/>
        <w:adjustRightInd/>
        <w:snapToGrid/>
        <w:spacing w:line="480" w:lineRule="exact"/>
        <w:ind w:left="0" w:right="0" w:firstLine="480" w:firstLineChars="200"/>
        <w:jc w:val="left"/>
        <w:textAlignment w:val="auto"/>
        <w:rPr>
          <w:color w:val="auto"/>
          <w:sz w:val="24"/>
        </w:rPr>
      </w:pPr>
      <w:r>
        <w:rPr>
          <w:color w:val="auto"/>
          <w:sz w:val="24"/>
        </w:rPr>
        <w:t>坚持公开、公平、公正的原则。</w:t>
      </w:r>
    </w:p>
    <w:p w14:paraId="2FD03BFC">
      <w:pPr>
        <w:pStyle w:val="38"/>
        <w:keepNext w:val="0"/>
        <w:keepLines w:val="0"/>
        <w:pageBreakBefore w:val="0"/>
        <w:widowControl w:val="0"/>
        <w:numPr>
          <w:ilvl w:val="1"/>
          <w:numId w:val="9"/>
        </w:numPr>
        <w:tabs>
          <w:tab w:val="left" w:pos="1281"/>
        </w:tabs>
        <w:kinsoku/>
        <w:wordWrap w:val="0"/>
        <w:overflowPunct/>
        <w:topLinePunct w:val="0"/>
        <w:bidi w:val="0"/>
        <w:adjustRightInd/>
        <w:snapToGrid/>
        <w:spacing w:line="480" w:lineRule="exact"/>
        <w:ind w:left="0" w:right="0" w:firstLine="480" w:firstLineChars="200"/>
        <w:jc w:val="left"/>
        <w:textAlignment w:val="auto"/>
        <w:rPr>
          <w:color w:val="auto"/>
          <w:sz w:val="24"/>
        </w:rPr>
      </w:pPr>
      <w:r>
        <w:rPr>
          <w:color w:val="auto"/>
          <w:sz w:val="24"/>
        </w:rPr>
        <w:t>磋商在磋商小组应当集中与单一磋商响应供应商分别进行磋商，磋商小组将遵照磋商原则，公正、平等地对待所有磋商响应供应商。</w:t>
      </w:r>
    </w:p>
    <w:p w14:paraId="6BF2A077">
      <w:pPr>
        <w:pStyle w:val="38"/>
        <w:keepNext w:val="0"/>
        <w:keepLines w:val="0"/>
        <w:pageBreakBefore w:val="0"/>
        <w:widowControl w:val="0"/>
        <w:numPr>
          <w:ilvl w:val="1"/>
          <w:numId w:val="9"/>
        </w:numPr>
        <w:tabs>
          <w:tab w:val="left" w:pos="1281"/>
        </w:tabs>
        <w:kinsoku/>
        <w:wordWrap w:val="0"/>
        <w:overflowPunct/>
        <w:topLinePunct w:val="0"/>
        <w:bidi w:val="0"/>
        <w:adjustRightInd/>
        <w:snapToGrid/>
        <w:spacing w:line="480" w:lineRule="exact"/>
        <w:ind w:left="0" w:right="0" w:firstLine="480" w:firstLineChars="200"/>
        <w:jc w:val="left"/>
        <w:textAlignment w:val="auto"/>
        <w:rPr>
          <w:color w:val="auto"/>
          <w:sz w:val="24"/>
        </w:rPr>
      </w:pPr>
      <w:r>
        <w:rPr>
          <w:color w:val="auto"/>
          <w:sz w:val="24"/>
        </w:rPr>
        <w:t>评审方法</w:t>
      </w:r>
    </w:p>
    <w:p w14:paraId="6AC308AA">
      <w:pPr>
        <w:pStyle w:val="38"/>
        <w:keepNext w:val="0"/>
        <w:keepLines w:val="0"/>
        <w:pageBreakBefore w:val="0"/>
        <w:widowControl w:val="0"/>
        <w:numPr>
          <w:ilvl w:val="2"/>
          <w:numId w:val="9"/>
        </w:numPr>
        <w:tabs>
          <w:tab w:val="left" w:pos="1521"/>
        </w:tabs>
        <w:kinsoku/>
        <w:wordWrap w:val="0"/>
        <w:overflowPunct/>
        <w:topLinePunct w:val="0"/>
        <w:bidi w:val="0"/>
        <w:adjustRightInd/>
        <w:snapToGrid/>
        <w:spacing w:line="480" w:lineRule="exact"/>
        <w:ind w:left="0" w:right="0" w:firstLine="480" w:firstLineChars="200"/>
        <w:jc w:val="left"/>
        <w:textAlignment w:val="auto"/>
        <w:rPr>
          <w:color w:val="auto"/>
          <w:sz w:val="24"/>
        </w:rPr>
      </w:pPr>
      <w:r>
        <w:rPr>
          <w:color w:val="auto"/>
          <w:sz w:val="24"/>
        </w:rPr>
        <w:t>初步评审（是否响应竞争性磋商文件的要求</w:t>
      </w:r>
      <w:r>
        <w:rPr>
          <w:color w:val="auto"/>
          <w:spacing w:val="-120"/>
          <w:sz w:val="24"/>
        </w:rPr>
        <w:t>）</w:t>
      </w:r>
      <w:r>
        <w:rPr>
          <w:color w:val="auto"/>
          <w:sz w:val="24"/>
        </w:rPr>
        <w:t>，确定合格的磋商响应供应商。</w:t>
      </w:r>
    </w:p>
    <w:p w14:paraId="292D2270">
      <w:pPr>
        <w:pStyle w:val="38"/>
        <w:keepNext w:val="0"/>
        <w:keepLines w:val="0"/>
        <w:pageBreakBefore w:val="0"/>
        <w:widowControl w:val="0"/>
        <w:numPr>
          <w:ilvl w:val="2"/>
          <w:numId w:val="9"/>
        </w:numPr>
        <w:tabs>
          <w:tab w:val="left" w:pos="1521"/>
        </w:tabs>
        <w:kinsoku/>
        <w:wordWrap w:val="0"/>
        <w:overflowPunct/>
        <w:topLinePunct w:val="0"/>
        <w:bidi w:val="0"/>
        <w:adjustRightInd/>
        <w:snapToGrid/>
        <w:spacing w:line="480" w:lineRule="exact"/>
        <w:ind w:left="0" w:right="0" w:firstLine="480" w:firstLineChars="200"/>
        <w:jc w:val="left"/>
        <w:textAlignment w:val="auto"/>
        <w:rPr>
          <w:color w:val="auto"/>
          <w:sz w:val="24"/>
        </w:rPr>
      </w:pPr>
      <w:r>
        <w:rPr>
          <w:color w:val="auto"/>
          <w:sz w:val="24"/>
        </w:rPr>
        <w:t>各磋商响应供应商依据各自情况进行最后报价。</w:t>
      </w:r>
    </w:p>
    <w:p w14:paraId="75E8820B">
      <w:pPr>
        <w:pStyle w:val="38"/>
        <w:keepNext w:val="0"/>
        <w:keepLines w:val="0"/>
        <w:pageBreakBefore w:val="0"/>
        <w:widowControl w:val="0"/>
        <w:numPr>
          <w:ilvl w:val="2"/>
          <w:numId w:val="9"/>
        </w:numPr>
        <w:tabs>
          <w:tab w:val="left" w:pos="1521"/>
        </w:tabs>
        <w:kinsoku/>
        <w:wordWrap w:val="0"/>
        <w:overflowPunct/>
        <w:topLinePunct w:val="0"/>
        <w:bidi w:val="0"/>
        <w:adjustRightInd/>
        <w:snapToGrid/>
        <w:spacing w:line="480" w:lineRule="exact"/>
        <w:ind w:left="0" w:right="0" w:firstLine="480" w:firstLineChars="200"/>
        <w:jc w:val="left"/>
        <w:textAlignment w:val="auto"/>
        <w:rPr>
          <w:color w:val="auto"/>
          <w:sz w:val="24"/>
        </w:rPr>
      </w:pPr>
      <w:r>
        <w:rPr>
          <w:color w:val="auto"/>
          <w:sz w:val="24"/>
        </w:rPr>
        <w:t>经磋商确定最终采购需求和提交最后报价的磋商响应供应商，有磋商小组采用综合评分法对提交最后报价的磋商响应供应商的响应文件和最后报价进行综合评分。</w:t>
      </w:r>
    </w:p>
    <w:p w14:paraId="3CCCE483">
      <w:pPr>
        <w:pStyle w:val="5"/>
        <w:keepNext w:val="0"/>
        <w:keepLines w:val="0"/>
        <w:pageBreakBefore w:val="0"/>
        <w:widowControl w:val="0"/>
        <w:kinsoku/>
        <w:wordWrap w:val="0"/>
        <w:overflowPunct/>
        <w:topLinePunct w:val="0"/>
        <w:bidi w:val="0"/>
        <w:adjustRightInd/>
        <w:snapToGrid/>
        <w:spacing w:line="480" w:lineRule="exact"/>
        <w:ind w:left="0" w:right="0" w:firstLine="482" w:firstLineChars="200"/>
        <w:jc w:val="left"/>
        <w:textAlignment w:val="auto"/>
        <w:rPr>
          <w:color w:val="auto"/>
        </w:rPr>
      </w:pPr>
      <w:bookmarkStart w:id="155" w:name="_Toc5813_WPSOffice_Level3"/>
      <w:r>
        <w:rPr>
          <w:color w:val="auto"/>
        </w:rPr>
        <w:t>24、</w:t>
      </w:r>
      <w:r>
        <w:rPr>
          <w:rFonts w:hint="eastAsia"/>
          <w:color w:val="auto"/>
        </w:rPr>
        <w:t>推荐</w:t>
      </w:r>
      <w:r>
        <w:rPr>
          <w:color w:val="auto"/>
        </w:rPr>
        <w:t>成交供应商</w:t>
      </w:r>
      <w:bookmarkEnd w:id="155"/>
      <w:r>
        <w:rPr>
          <w:rFonts w:hint="eastAsia"/>
          <w:color w:val="auto"/>
        </w:rPr>
        <w:t>候选人</w:t>
      </w:r>
    </w:p>
    <w:p w14:paraId="76FEFCD1">
      <w:pPr>
        <w:pStyle w:val="8"/>
        <w:keepNext w:val="0"/>
        <w:keepLines w:val="0"/>
        <w:pageBreakBefore w:val="0"/>
        <w:widowControl w:val="0"/>
        <w:kinsoku/>
        <w:wordWrap w:val="0"/>
        <w:overflowPunct/>
        <w:topLinePunct w:val="0"/>
        <w:bidi w:val="0"/>
        <w:adjustRightInd/>
        <w:snapToGrid/>
        <w:spacing w:line="480" w:lineRule="exact"/>
        <w:ind w:left="0" w:right="0" w:firstLine="480" w:firstLineChars="200"/>
        <w:jc w:val="left"/>
        <w:textAlignment w:val="auto"/>
        <w:rPr>
          <w:color w:val="auto"/>
        </w:rPr>
      </w:pPr>
      <w:r>
        <w:rPr>
          <w:color w:val="auto"/>
        </w:rPr>
        <w:t>24.1</w:t>
      </w:r>
      <w:r>
        <w:rPr>
          <w:color w:val="auto"/>
          <w:spacing w:val="-5"/>
        </w:rPr>
        <w:t xml:space="preserve"> 磋商小组应当根据综合评分情况，按照评审有高到低的顺序推荐</w:t>
      </w:r>
      <w:r>
        <w:rPr>
          <w:rFonts w:hint="eastAsia"/>
          <w:color w:val="auto"/>
          <w:spacing w:val="-5"/>
        </w:rPr>
        <w:t>3名</w:t>
      </w:r>
      <w:r>
        <w:rPr>
          <w:color w:val="auto"/>
          <w:spacing w:val="-5"/>
        </w:rPr>
        <w:t>成交候选供应商，并向采购人提供书面评审报告</w:t>
      </w:r>
      <w:r>
        <w:rPr>
          <w:rFonts w:hint="eastAsia"/>
          <w:color w:val="auto"/>
          <w:spacing w:val="-5"/>
        </w:rPr>
        <w:t>。</w:t>
      </w:r>
    </w:p>
    <w:p w14:paraId="544E62C7">
      <w:pPr>
        <w:pStyle w:val="5"/>
        <w:keepNext w:val="0"/>
        <w:keepLines w:val="0"/>
        <w:pageBreakBefore w:val="0"/>
        <w:widowControl w:val="0"/>
        <w:kinsoku/>
        <w:wordWrap w:val="0"/>
        <w:overflowPunct/>
        <w:topLinePunct w:val="0"/>
        <w:bidi w:val="0"/>
        <w:adjustRightInd/>
        <w:snapToGrid/>
        <w:spacing w:line="480" w:lineRule="exact"/>
        <w:ind w:left="0" w:right="0" w:firstLine="482" w:firstLineChars="200"/>
        <w:jc w:val="left"/>
        <w:textAlignment w:val="auto"/>
        <w:rPr>
          <w:color w:val="auto"/>
        </w:rPr>
      </w:pPr>
      <w:bookmarkStart w:id="156" w:name="_Toc28609_WPSOffice_Level3"/>
      <w:r>
        <w:rPr>
          <w:color w:val="auto"/>
        </w:rPr>
        <w:t>25、保密及其它注意事项</w:t>
      </w:r>
      <w:bookmarkEnd w:id="156"/>
    </w:p>
    <w:p w14:paraId="3BECE1FB">
      <w:pPr>
        <w:pStyle w:val="38"/>
        <w:keepNext w:val="0"/>
        <w:keepLines w:val="0"/>
        <w:pageBreakBefore w:val="0"/>
        <w:widowControl w:val="0"/>
        <w:numPr>
          <w:ilvl w:val="1"/>
          <w:numId w:val="10"/>
        </w:numPr>
        <w:tabs>
          <w:tab w:val="left" w:pos="1281"/>
        </w:tabs>
        <w:kinsoku/>
        <w:wordWrap w:val="0"/>
        <w:overflowPunct/>
        <w:topLinePunct w:val="0"/>
        <w:bidi w:val="0"/>
        <w:adjustRightInd/>
        <w:snapToGrid/>
        <w:spacing w:line="480" w:lineRule="exact"/>
        <w:ind w:left="0" w:right="0" w:firstLine="480" w:firstLineChars="200"/>
        <w:jc w:val="left"/>
        <w:textAlignment w:val="auto"/>
        <w:rPr>
          <w:color w:val="auto"/>
          <w:sz w:val="24"/>
        </w:rPr>
      </w:pPr>
      <w:r>
        <w:rPr>
          <w:color w:val="auto"/>
          <w:sz w:val="24"/>
        </w:rPr>
        <w:t>评审工作是磋商工作的重要环节，评审工作在磋商小组内独立进行。</w:t>
      </w:r>
    </w:p>
    <w:p w14:paraId="16CD2CAD">
      <w:pPr>
        <w:pStyle w:val="8"/>
        <w:keepNext w:val="0"/>
        <w:keepLines w:val="0"/>
        <w:pageBreakBefore w:val="0"/>
        <w:widowControl w:val="0"/>
        <w:kinsoku/>
        <w:wordWrap w:val="0"/>
        <w:overflowPunct/>
        <w:topLinePunct w:val="0"/>
        <w:bidi w:val="0"/>
        <w:adjustRightInd/>
        <w:snapToGrid/>
        <w:spacing w:line="480" w:lineRule="exact"/>
        <w:ind w:left="0" w:right="0" w:firstLine="480" w:firstLineChars="200"/>
        <w:jc w:val="left"/>
        <w:textAlignment w:val="auto"/>
        <w:rPr>
          <w:color w:val="auto"/>
        </w:rPr>
      </w:pPr>
      <w:r>
        <w:rPr>
          <w:color w:val="auto"/>
        </w:rPr>
        <w:t>在评审期间，磋商响应供应商不得向磋商小组成员询问评审情况，不得进行影响评审结果的活动。否则其响应将会被拒绝。</w:t>
      </w:r>
    </w:p>
    <w:p w14:paraId="19F270D9">
      <w:pPr>
        <w:pStyle w:val="38"/>
        <w:keepNext w:val="0"/>
        <w:keepLines w:val="0"/>
        <w:pageBreakBefore w:val="0"/>
        <w:widowControl w:val="0"/>
        <w:numPr>
          <w:ilvl w:val="1"/>
          <w:numId w:val="10"/>
        </w:numPr>
        <w:tabs>
          <w:tab w:val="left" w:pos="1281"/>
        </w:tabs>
        <w:kinsoku/>
        <w:wordWrap w:val="0"/>
        <w:overflowPunct/>
        <w:topLinePunct w:val="0"/>
        <w:bidi w:val="0"/>
        <w:adjustRightInd/>
        <w:snapToGrid/>
        <w:spacing w:line="480" w:lineRule="exact"/>
        <w:ind w:left="0" w:right="0" w:firstLine="480" w:firstLineChars="200"/>
        <w:jc w:val="left"/>
        <w:textAlignment w:val="auto"/>
        <w:rPr>
          <w:color w:val="auto"/>
          <w:sz w:val="24"/>
        </w:rPr>
      </w:pPr>
      <w:r>
        <w:rPr>
          <w:color w:val="auto"/>
          <w:sz w:val="24"/>
        </w:rPr>
        <w:t>为保证评审的公正性，磋商开始后直至授予成交供应商合同，磋商小组成员不得与供应商私下交换意见。</w:t>
      </w:r>
    </w:p>
    <w:p w14:paraId="1A221107">
      <w:pPr>
        <w:pStyle w:val="38"/>
        <w:keepNext w:val="0"/>
        <w:keepLines w:val="0"/>
        <w:pageBreakBefore w:val="0"/>
        <w:widowControl w:val="0"/>
        <w:numPr>
          <w:ilvl w:val="1"/>
          <w:numId w:val="10"/>
        </w:numPr>
        <w:tabs>
          <w:tab w:val="left" w:pos="1281"/>
        </w:tabs>
        <w:kinsoku/>
        <w:wordWrap w:val="0"/>
        <w:overflowPunct/>
        <w:topLinePunct w:val="0"/>
        <w:bidi w:val="0"/>
        <w:adjustRightInd/>
        <w:snapToGrid/>
        <w:spacing w:line="480" w:lineRule="exact"/>
        <w:ind w:left="0" w:right="0" w:firstLine="480" w:firstLineChars="200"/>
        <w:jc w:val="left"/>
        <w:textAlignment w:val="auto"/>
        <w:rPr>
          <w:color w:val="auto"/>
          <w:sz w:val="24"/>
        </w:rPr>
      </w:pPr>
      <w:r>
        <w:rPr>
          <w:color w:val="auto"/>
          <w:sz w:val="24"/>
        </w:rPr>
        <w:t>在评审工作结束后，凡与评审情况有接触的任何人不得擅自将评审情况扩散出评审人员之外。</w:t>
      </w:r>
    </w:p>
    <w:p w14:paraId="5A8E7E4D">
      <w:pPr>
        <w:pStyle w:val="5"/>
        <w:keepNext w:val="0"/>
        <w:keepLines w:val="0"/>
        <w:pageBreakBefore w:val="0"/>
        <w:widowControl w:val="0"/>
        <w:kinsoku/>
        <w:wordWrap w:val="0"/>
        <w:overflowPunct/>
        <w:topLinePunct w:val="0"/>
        <w:bidi w:val="0"/>
        <w:adjustRightInd/>
        <w:snapToGrid/>
        <w:spacing w:line="480" w:lineRule="exact"/>
        <w:ind w:left="0" w:right="0" w:firstLine="482" w:firstLineChars="200"/>
        <w:jc w:val="left"/>
        <w:textAlignment w:val="auto"/>
        <w:rPr>
          <w:color w:val="auto"/>
        </w:rPr>
      </w:pPr>
      <w:bookmarkStart w:id="157" w:name="_Toc27984_WPSOffice_Level3"/>
      <w:r>
        <w:rPr>
          <w:color w:val="auto"/>
        </w:rPr>
        <w:t>26、</w:t>
      </w:r>
      <w:r>
        <w:rPr>
          <w:rFonts w:hint="eastAsia"/>
          <w:color w:val="auto"/>
        </w:rPr>
        <w:t>定标、</w:t>
      </w:r>
      <w:r>
        <w:rPr>
          <w:color w:val="auto"/>
        </w:rPr>
        <w:t>成交通知</w:t>
      </w:r>
      <w:bookmarkEnd w:id="157"/>
    </w:p>
    <w:p w14:paraId="1A0F03E9">
      <w:pPr>
        <w:pStyle w:val="5"/>
        <w:keepNext w:val="0"/>
        <w:keepLines w:val="0"/>
        <w:pageBreakBefore w:val="0"/>
        <w:widowControl w:val="0"/>
        <w:kinsoku/>
        <w:wordWrap w:val="0"/>
        <w:overflowPunct/>
        <w:topLinePunct w:val="0"/>
        <w:bidi w:val="0"/>
        <w:adjustRightInd/>
        <w:snapToGrid/>
        <w:spacing w:line="480" w:lineRule="exact"/>
        <w:ind w:left="0" w:leftChars="0" w:right="0" w:firstLine="436" w:firstLineChars="200"/>
        <w:jc w:val="left"/>
        <w:textAlignment w:val="auto"/>
        <w:rPr>
          <w:b w:val="0"/>
          <w:bCs w:val="0"/>
          <w:color w:val="auto"/>
          <w:spacing w:val="-11"/>
          <w:szCs w:val="22"/>
        </w:rPr>
      </w:pPr>
      <w:r>
        <w:rPr>
          <w:rFonts w:hint="eastAsia"/>
          <w:b w:val="0"/>
          <w:bCs w:val="0"/>
          <w:color w:val="auto"/>
          <w:spacing w:val="-11"/>
          <w:szCs w:val="22"/>
        </w:rPr>
        <w:t>26.1采购人依据磋商小组推荐的成交候选人确定成交人，磋商小组推荐3名成交候选人。采购人将依序确定排名第一的供应商为成交人，若排名第一的成交候选人放弃中标、因不可抗力不能履行合同，或者被查实存在影响成交结果的违法行为等情形，不符合成交条件的，采购人可以按照磋商小组提出的成交候选人名单排序依次确定其他成交候选人为成交人，也可以重新招标。</w:t>
      </w:r>
    </w:p>
    <w:p w14:paraId="4DEAFC59">
      <w:pPr>
        <w:pStyle w:val="38"/>
        <w:keepNext w:val="0"/>
        <w:keepLines w:val="0"/>
        <w:pageBreakBefore w:val="0"/>
        <w:widowControl w:val="0"/>
        <w:tabs>
          <w:tab w:val="left" w:pos="1281"/>
        </w:tabs>
        <w:kinsoku/>
        <w:wordWrap w:val="0"/>
        <w:overflowPunct/>
        <w:topLinePunct w:val="0"/>
        <w:bidi w:val="0"/>
        <w:adjustRightInd/>
        <w:snapToGrid/>
        <w:spacing w:line="480" w:lineRule="exact"/>
        <w:ind w:left="0" w:leftChars="0" w:right="0" w:firstLine="436" w:firstLineChars="200"/>
        <w:jc w:val="left"/>
        <w:textAlignment w:val="auto"/>
        <w:rPr>
          <w:color w:val="auto"/>
          <w:sz w:val="24"/>
        </w:rPr>
      </w:pPr>
      <w:r>
        <w:rPr>
          <w:rFonts w:hint="eastAsia"/>
          <w:color w:val="auto"/>
          <w:spacing w:val="-11"/>
          <w:sz w:val="24"/>
        </w:rPr>
        <w:t>26.2</w:t>
      </w:r>
      <w:r>
        <w:rPr>
          <w:color w:val="auto"/>
          <w:spacing w:val="-11"/>
          <w:sz w:val="24"/>
        </w:rPr>
        <w:t>成交供应商确定后，采购人向成交供应商签发《成交通知书》，并将成交结果通</w:t>
      </w:r>
      <w:r>
        <w:rPr>
          <w:color w:val="auto"/>
          <w:sz w:val="24"/>
        </w:rPr>
        <w:t>知所有未成交的磋商响应供应商。</w:t>
      </w:r>
    </w:p>
    <w:p w14:paraId="685C29F7">
      <w:pPr>
        <w:pStyle w:val="38"/>
        <w:keepNext w:val="0"/>
        <w:keepLines w:val="0"/>
        <w:pageBreakBefore w:val="0"/>
        <w:widowControl w:val="0"/>
        <w:tabs>
          <w:tab w:val="left" w:pos="1281"/>
        </w:tabs>
        <w:kinsoku/>
        <w:wordWrap w:val="0"/>
        <w:overflowPunct/>
        <w:topLinePunct w:val="0"/>
        <w:bidi w:val="0"/>
        <w:adjustRightInd/>
        <w:snapToGrid/>
        <w:spacing w:line="480" w:lineRule="exact"/>
        <w:ind w:left="0" w:leftChars="0" w:right="0" w:firstLine="476" w:firstLineChars="200"/>
        <w:jc w:val="left"/>
        <w:textAlignment w:val="auto"/>
        <w:rPr>
          <w:color w:val="auto"/>
          <w:sz w:val="24"/>
        </w:rPr>
      </w:pPr>
      <w:r>
        <w:rPr>
          <w:rFonts w:hint="eastAsia"/>
          <w:color w:val="auto"/>
          <w:spacing w:val="-1"/>
          <w:sz w:val="24"/>
        </w:rPr>
        <w:t>26.3</w:t>
      </w:r>
      <w:r>
        <w:rPr>
          <w:color w:val="auto"/>
          <w:spacing w:val="-1"/>
          <w:sz w:val="24"/>
        </w:rPr>
        <w:t xml:space="preserve">《成交通知书》作为签订合同的依据，对采购人和成交供应商均具有法律效力， </w:t>
      </w:r>
      <w:r>
        <w:rPr>
          <w:color w:val="auto"/>
          <w:sz w:val="24"/>
        </w:rPr>
        <w:t>成交通知书发出后，采购人改变成交结果或者成交供应商放弃项目，应依法承担法律责任。</w:t>
      </w:r>
    </w:p>
    <w:p w14:paraId="6988E44B">
      <w:pPr>
        <w:pStyle w:val="5"/>
        <w:keepNext w:val="0"/>
        <w:keepLines w:val="0"/>
        <w:pageBreakBefore w:val="0"/>
        <w:widowControl w:val="0"/>
        <w:kinsoku/>
        <w:wordWrap w:val="0"/>
        <w:overflowPunct/>
        <w:topLinePunct w:val="0"/>
        <w:bidi w:val="0"/>
        <w:adjustRightInd/>
        <w:snapToGrid/>
        <w:spacing w:line="480" w:lineRule="exact"/>
        <w:ind w:left="0" w:right="0" w:firstLine="482" w:firstLineChars="200"/>
        <w:jc w:val="left"/>
        <w:textAlignment w:val="auto"/>
        <w:rPr>
          <w:color w:val="auto"/>
        </w:rPr>
      </w:pPr>
      <w:bookmarkStart w:id="158" w:name="_Toc8188_WPSOffice_Level3"/>
      <w:r>
        <w:rPr>
          <w:color w:val="auto"/>
        </w:rPr>
        <w:t>27、授予合同时变更数量的权力</w:t>
      </w:r>
      <w:bookmarkEnd w:id="158"/>
    </w:p>
    <w:p w14:paraId="7A5B4A1E">
      <w:pPr>
        <w:pStyle w:val="8"/>
        <w:keepNext w:val="0"/>
        <w:keepLines w:val="0"/>
        <w:pageBreakBefore w:val="0"/>
        <w:widowControl w:val="0"/>
        <w:kinsoku/>
        <w:wordWrap w:val="0"/>
        <w:overflowPunct/>
        <w:topLinePunct w:val="0"/>
        <w:bidi w:val="0"/>
        <w:adjustRightInd/>
        <w:snapToGrid/>
        <w:spacing w:line="480" w:lineRule="exact"/>
        <w:ind w:left="0" w:right="0" w:firstLine="480" w:firstLineChars="200"/>
        <w:jc w:val="left"/>
        <w:textAlignment w:val="auto"/>
        <w:rPr>
          <w:color w:val="auto"/>
        </w:rPr>
      </w:pPr>
      <w:r>
        <w:rPr>
          <w:color w:val="auto"/>
        </w:rPr>
        <w:t>27.1 采购人在授予合同时，保留对货物数量予以适当增减的权利。成交供应商不得在此情况下对磋商响应文件做出修改，如价格、服务承诺等。</w:t>
      </w:r>
    </w:p>
    <w:p w14:paraId="74CEB8A2">
      <w:pPr>
        <w:pStyle w:val="5"/>
        <w:keepNext w:val="0"/>
        <w:keepLines w:val="0"/>
        <w:pageBreakBefore w:val="0"/>
        <w:widowControl w:val="0"/>
        <w:kinsoku/>
        <w:wordWrap w:val="0"/>
        <w:overflowPunct/>
        <w:topLinePunct w:val="0"/>
        <w:bidi w:val="0"/>
        <w:adjustRightInd/>
        <w:snapToGrid/>
        <w:spacing w:line="480" w:lineRule="exact"/>
        <w:ind w:left="0" w:right="0" w:firstLine="482" w:firstLineChars="200"/>
        <w:jc w:val="left"/>
        <w:textAlignment w:val="auto"/>
        <w:rPr>
          <w:color w:val="auto"/>
        </w:rPr>
      </w:pPr>
      <w:bookmarkStart w:id="159" w:name="_Toc30112_WPSOffice_Level3"/>
      <w:r>
        <w:rPr>
          <w:color w:val="auto"/>
        </w:rPr>
        <w:t>28、签订合同</w:t>
      </w:r>
      <w:bookmarkEnd w:id="159"/>
    </w:p>
    <w:p w14:paraId="4067BD1E">
      <w:pPr>
        <w:pStyle w:val="38"/>
        <w:keepNext w:val="0"/>
        <w:keepLines w:val="0"/>
        <w:pageBreakBefore w:val="0"/>
        <w:widowControl w:val="0"/>
        <w:numPr>
          <w:ilvl w:val="1"/>
          <w:numId w:val="11"/>
        </w:numPr>
        <w:tabs>
          <w:tab w:val="left" w:pos="1281"/>
        </w:tabs>
        <w:kinsoku/>
        <w:wordWrap w:val="0"/>
        <w:overflowPunct/>
        <w:topLinePunct w:val="0"/>
        <w:bidi w:val="0"/>
        <w:adjustRightInd/>
        <w:snapToGrid/>
        <w:spacing w:line="480" w:lineRule="exact"/>
        <w:ind w:left="0" w:right="0" w:firstLine="440" w:firstLineChars="200"/>
        <w:jc w:val="left"/>
        <w:textAlignment w:val="auto"/>
        <w:rPr>
          <w:color w:val="auto"/>
          <w:sz w:val="24"/>
        </w:rPr>
      </w:pPr>
      <w:r>
        <w:rPr>
          <w:color w:val="auto"/>
          <w:spacing w:val="-10"/>
          <w:sz w:val="24"/>
        </w:rPr>
        <w:t>成交供应商接到《成交通知书》后</w:t>
      </w:r>
      <w:r>
        <w:rPr>
          <w:color w:val="auto"/>
          <w:spacing w:val="-1"/>
          <w:sz w:val="24"/>
        </w:rPr>
        <w:t>按指定地点与采购人签订采购合同</w:t>
      </w:r>
      <w:r>
        <w:rPr>
          <w:rFonts w:hint="eastAsia"/>
          <w:color w:val="auto"/>
          <w:spacing w:val="-1"/>
          <w:sz w:val="24"/>
        </w:rPr>
        <w:t>；</w:t>
      </w:r>
    </w:p>
    <w:p w14:paraId="79F15473">
      <w:pPr>
        <w:pStyle w:val="38"/>
        <w:keepNext w:val="0"/>
        <w:keepLines w:val="0"/>
        <w:pageBreakBefore w:val="0"/>
        <w:widowControl w:val="0"/>
        <w:numPr>
          <w:ilvl w:val="1"/>
          <w:numId w:val="11"/>
        </w:numPr>
        <w:tabs>
          <w:tab w:val="left" w:pos="1281"/>
        </w:tabs>
        <w:kinsoku/>
        <w:wordWrap w:val="0"/>
        <w:overflowPunct/>
        <w:topLinePunct w:val="0"/>
        <w:bidi w:val="0"/>
        <w:adjustRightInd/>
        <w:snapToGrid/>
        <w:spacing w:line="480" w:lineRule="exact"/>
        <w:ind w:left="0" w:right="0" w:firstLine="480" w:firstLineChars="200"/>
        <w:jc w:val="left"/>
        <w:textAlignment w:val="auto"/>
        <w:rPr>
          <w:color w:val="auto"/>
          <w:sz w:val="24"/>
        </w:rPr>
      </w:pPr>
      <w:r>
        <w:rPr>
          <w:color w:val="auto"/>
          <w:sz w:val="24"/>
        </w:rPr>
        <w:t>采购人签发的成交通知书、竞争性磋商文件、成交供应商的磋商响应文件及其澄清文件等，均为签订合同的依据。</w:t>
      </w:r>
    </w:p>
    <w:p w14:paraId="6C77DE18">
      <w:pPr>
        <w:pStyle w:val="38"/>
        <w:keepNext w:val="0"/>
        <w:keepLines w:val="0"/>
        <w:pageBreakBefore w:val="0"/>
        <w:widowControl w:val="0"/>
        <w:numPr>
          <w:ilvl w:val="1"/>
          <w:numId w:val="11"/>
        </w:numPr>
        <w:tabs>
          <w:tab w:val="left" w:pos="1281"/>
        </w:tabs>
        <w:kinsoku/>
        <w:wordWrap w:val="0"/>
        <w:overflowPunct/>
        <w:topLinePunct w:val="0"/>
        <w:bidi w:val="0"/>
        <w:adjustRightInd/>
        <w:snapToGrid/>
        <w:spacing w:line="480" w:lineRule="exact"/>
        <w:ind w:left="0" w:right="0" w:firstLine="472" w:firstLineChars="200"/>
        <w:jc w:val="left"/>
        <w:textAlignment w:val="auto"/>
        <w:rPr>
          <w:color w:val="auto"/>
          <w:sz w:val="24"/>
        </w:rPr>
      </w:pPr>
      <w:r>
        <w:rPr>
          <w:color w:val="auto"/>
          <w:spacing w:val="-2"/>
          <w:sz w:val="24"/>
        </w:rPr>
        <w:t xml:space="preserve">如成交供应商拒签合同，则按违约处理，采购人对违约方收取成交金额 </w:t>
      </w:r>
      <w:r>
        <w:rPr>
          <w:color w:val="auto"/>
          <w:sz w:val="24"/>
        </w:rPr>
        <w:t>2%</w:t>
      </w:r>
      <w:r>
        <w:rPr>
          <w:color w:val="auto"/>
          <w:spacing w:val="-8"/>
          <w:sz w:val="24"/>
        </w:rPr>
        <w:t>的违</w:t>
      </w:r>
      <w:r>
        <w:rPr>
          <w:color w:val="auto"/>
          <w:sz w:val="24"/>
        </w:rPr>
        <w:t>约金。</w:t>
      </w:r>
    </w:p>
    <w:p w14:paraId="27D4CFDB">
      <w:pPr>
        <w:pStyle w:val="5"/>
        <w:keepNext w:val="0"/>
        <w:keepLines w:val="0"/>
        <w:pageBreakBefore w:val="0"/>
        <w:widowControl w:val="0"/>
        <w:kinsoku/>
        <w:wordWrap w:val="0"/>
        <w:overflowPunct/>
        <w:topLinePunct w:val="0"/>
        <w:bidi w:val="0"/>
        <w:adjustRightInd/>
        <w:snapToGrid/>
        <w:spacing w:line="480" w:lineRule="exact"/>
        <w:ind w:left="0" w:right="0" w:firstLine="482" w:firstLineChars="200"/>
        <w:jc w:val="left"/>
        <w:textAlignment w:val="auto"/>
        <w:rPr>
          <w:color w:val="auto"/>
        </w:rPr>
      </w:pPr>
      <w:bookmarkStart w:id="160" w:name="_Toc7342_WPSOffice_Level3"/>
      <w:r>
        <w:rPr>
          <w:rFonts w:hint="eastAsia"/>
          <w:color w:val="auto"/>
          <w:lang w:val="en-US"/>
        </w:rPr>
        <w:t>29、</w:t>
      </w:r>
      <w:r>
        <w:rPr>
          <w:color w:val="auto"/>
        </w:rPr>
        <w:t>特别注意事项：</w:t>
      </w:r>
      <w:bookmarkEnd w:id="160"/>
    </w:p>
    <w:p w14:paraId="2D0A408C">
      <w:pPr>
        <w:pStyle w:val="38"/>
        <w:keepNext w:val="0"/>
        <w:keepLines w:val="0"/>
        <w:pageBreakBefore w:val="0"/>
        <w:widowControl w:val="0"/>
        <w:numPr>
          <w:ilvl w:val="1"/>
          <w:numId w:val="12"/>
        </w:numPr>
        <w:tabs>
          <w:tab w:val="left" w:pos="1341"/>
        </w:tabs>
        <w:kinsoku/>
        <w:wordWrap w:val="0"/>
        <w:overflowPunct/>
        <w:topLinePunct w:val="0"/>
        <w:bidi w:val="0"/>
        <w:adjustRightInd/>
        <w:snapToGrid/>
        <w:spacing w:line="480" w:lineRule="exact"/>
        <w:ind w:left="0" w:right="0" w:firstLine="480" w:firstLineChars="200"/>
        <w:jc w:val="left"/>
        <w:textAlignment w:val="auto"/>
        <w:rPr>
          <w:color w:val="auto"/>
          <w:sz w:val="24"/>
        </w:rPr>
      </w:pPr>
      <w:r>
        <w:rPr>
          <w:color w:val="auto"/>
          <w:sz w:val="24"/>
        </w:rPr>
        <w:t>磋商响应供应商出现下列情形之一的，磋商小组可取消其磋商资格：</w:t>
      </w:r>
    </w:p>
    <w:p w14:paraId="061D30D2">
      <w:pPr>
        <w:pStyle w:val="38"/>
        <w:keepNext w:val="0"/>
        <w:keepLines w:val="0"/>
        <w:pageBreakBefore w:val="0"/>
        <w:widowControl w:val="0"/>
        <w:numPr>
          <w:ilvl w:val="0"/>
          <w:numId w:val="13"/>
        </w:numPr>
        <w:tabs>
          <w:tab w:val="left" w:pos="1342"/>
        </w:tabs>
        <w:kinsoku/>
        <w:wordWrap w:val="0"/>
        <w:overflowPunct/>
        <w:topLinePunct w:val="0"/>
        <w:bidi w:val="0"/>
        <w:adjustRightInd/>
        <w:snapToGrid/>
        <w:spacing w:line="480" w:lineRule="exact"/>
        <w:ind w:left="0" w:right="0" w:firstLine="480" w:firstLineChars="200"/>
        <w:jc w:val="left"/>
        <w:textAlignment w:val="auto"/>
        <w:rPr>
          <w:color w:val="auto"/>
          <w:sz w:val="24"/>
        </w:rPr>
      </w:pPr>
      <w:r>
        <w:rPr>
          <w:color w:val="auto"/>
          <w:sz w:val="24"/>
        </w:rPr>
        <w:t>未按磋商文件要求和规定提交实质性响应材料的；</w:t>
      </w:r>
    </w:p>
    <w:p w14:paraId="369B16C3">
      <w:pPr>
        <w:pStyle w:val="38"/>
        <w:keepNext w:val="0"/>
        <w:keepLines w:val="0"/>
        <w:pageBreakBefore w:val="0"/>
        <w:widowControl w:val="0"/>
        <w:numPr>
          <w:ilvl w:val="0"/>
          <w:numId w:val="13"/>
        </w:numPr>
        <w:tabs>
          <w:tab w:val="left" w:pos="1342"/>
        </w:tabs>
        <w:kinsoku/>
        <w:wordWrap w:val="0"/>
        <w:overflowPunct/>
        <w:topLinePunct w:val="0"/>
        <w:bidi w:val="0"/>
        <w:adjustRightInd/>
        <w:snapToGrid/>
        <w:spacing w:line="480" w:lineRule="exact"/>
        <w:ind w:left="0" w:right="0" w:firstLine="480" w:firstLineChars="200"/>
        <w:jc w:val="left"/>
        <w:textAlignment w:val="auto"/>
        <w:rPr>
          <w:color w:val="auto"/>
          <w:sz w:val="24"/>
        </w:rPr>
      </w:pPr>
      <w:r>
        <w:rPr>
          <w:color w:val="auto"/>
          <w:sz w:val="24"/>
        </w:rPr>
        <w:t>相互串通磋商的（有下列情形之一的，视为磋商响应供应商相互串通磋商</w:t>
      </w:r>
      <w:r>
        <w:rPr>
          <w:color w:val="auto"/>
          <w:spacing w:val="-120"/>
          <w:sz w:val="24"/>
        </w:rPr>
        <w:t>）</w:t>
      </w:r>
      <w:r>
        <w:rPr>
          <w:color w:val="auto"/>
          <w:sz w:val="24"/>
        </w:rPr>
        <w:t>；</w:t>
      </w:r>
    </w:p>
    <w:p w14:paraId="610E0BF3">
      <w:pPr>
        <w:pStyle w:val="8"/>
        <w:keepNext w:val="0"/>
        <w:keepLines w:val="0"/>
        <w:pageBreakBefore w:val="0"/>
        <w:widowControl w:val="0"/>
        <w:kinsoku/>
        <w:wordWrap w:val="0"/>
        <w:overflowPunct/>
        <w:topLinePunct w:val="0"/>
        <w:bidi w:val="0"/>
        <w:adjustRightInd/>
        <w:snapToGrid/>
        <w:spacing w:line="480" w:lineRule="exact"/>
        <w:ind w:left="0" w:right="0" w:firstLine="480" w:firstLineChars="200"/>
        <w:jc w:val="left"/>
        <w:textAlignment w:val="auto"/>
        <w:rPr>
          <w:color w:val="auto"/>
        </w:rPr>
      </w:pPr>
      <w:r>
        <w:rPr>
          <w:color w:val="auto"/>
        </w:rPr>
        <w:t>A、不同磋商响应供应商的响应文件由同一单位或者个人编制</w:t>
      </w:r>
    </w:p>
    <w:p w14:paraId="5F23C425">
      <w:pPr>
        <w:pStyle w:val="8"/>
        <w:keepNext w:val="0"/>
        <w:keepLines w:val="0"/>
        <w:pageBreakBefore w:val="0"/>
        <w:widowControl w:val="0"/>
        <w:kinsoku/>
        <w:wordWrap w:val="0"/>
        <w:overflowPunct/>
        <w:topLinePunct w:val="0"/>
        <w:bidi w:val="0"/>
        <w:adjustRightInd/>
        <w:snapToGrid/>
        <w:spacing w:line="480" w:lineRule="exact"/>
        <w:ind w:left="0" w:right="0" w:firstLine="480" w:firstLineChars="200"/>
        <w:jc w:val="left"/>
        <w:textAlignment w:val="auto"/>
        <w:rPr>
          <w:color w:val="auto"/>
        </w:rPr>
      </w:pPr>
      <w:r>
        <w:rPr>
          <w:color w:val="auto"/>
        </w:rPr>
        <w:t>B、不同磋商响应供应商委托同一单位或者个人办理磋商事宜</w:t>
      </w:r>
    </w:p>
    <w:p w14:paraId="44A71E87">
      <w:pPr>
        <w:pStyle w:val="8"/>
        <w:keepNext w:val="0"/>
        <w:keepLines w:val="0"/>
        <w:pageBreakBefore w:val="0"/>
        <w:widowControl w:val="0"/>
        <w:kinsoku/>
        <w:wordWrap w:val="0"/>
        <w:overflowPunct/>
        <w:topLinePunct w:val="0"/>
        <w:bidi w:val="0"/>
        <w:adjustRightInd/>
        <w:snapToGrid/>
        <w:spacing w:line="480" w:lineRule="exact"/>
        <w:ind w:left="0" w:right="0" w:firstLine="480" w:firstLineChars="200"/>
        <w:jc w:val="left"/>
        <w:textAlignment w:val="auto"/>
        <w:rPr>
          <w:color w:val="auto"/>
        </w:rPr>
      </w:pPr>
      <w:r>
        <w:rPr>
          <w:color w:val="auto"/>
        </w:rPr>
        <w:t>C、不同磋商响应供应商的响应文件载明的项目管理成员为同一人</w:t>
      </w:r>
    </w:p>
    <w:p w14:paraId="34B74FE7">
      <w:pPr>
        <w:pStyle w:val="8"/>
        <w:keepNext w:val="0"/>
        <w:keepLines w:val="0"/>
        <w:pageBreakBefore w:val="0"/>
        <w:widowControl w:val="0"/>
        <w:kinsoku/>
        <w:wordWrap w:val="0"/>
        <w:overflowPunct/>
        <w:topLinePunct w:val="0"/>
        <w:bidi w:val="0"/>
        <w:adjustRightInd/>
        <w:snapToGrid/>
        <w:spacing w:line="480" w:lineRule="exact"/>
        <w:ind w:left="0" w:right="0" w:firstLine="480" w:firstLineChars="200"/>
        <w:jc w:val="left"/>
        <w:textAlignment w:val="auto"/>
        <w:rPr>
          <w:color w:val="auto"/>
        </w:rPr>
      </w:pPr>
      <w:r>
        <w:rPr>
          <w:color w:val="auto"/>
        </w:rPr>
        <w:t>D、不同磋商响应供应商的响应文件异常一致或者磋商报价呈规律性差异</w:t>
      </w:r>
    </w:p>
    <w:p w14:paraId="52D49412">
      <w:pPr>
        <w:pStyle w:val="38"/>
        <w:keepNext w:val="0"/>
        <w:keepLines w:val="0"/>
        <w:pageBreakBefore w:val="0"/>
        <w:widowControl w:val="0"/>
        <w:numPr>
          <w:ilvl w:val="1"/>
          <w:numId w:val="12"/>
        </w:numPr>
        <w:tabs>
          <w:tab w:val="left" w:pos="1341"/>
        </w:tabs>
        <w:kinsoku/>
        <w:wordWrap w:val="0"/>
        <w:overflowPunct/>
        <w:topLinePunct w:val="0"/>
        <w:bidi w:val="0"/>
        <w:adjustRightInd/>
        <w:snapToGrid/>
        <w:spacing w:line="480" w:lineRule="exact"/>
        <w:ind w:left="0" w:right="0" w:firstLine="480" w:firstLineChars="200"/>
        <w:jc w:val="left"/>
        <w:textAlignment w:val="auto"/>
        <w:rPr>
          <w:color w:val="auto"/>
          <w:sz w:val="24"/>
        </w:rPr>
      </w:pPr>
      <w:r>
        <w:rPr>
          <w:color w:val="auto"/>
          <w:sz w:val="24"/>
        </w:rPr>
        <w:t>磋商响应供应商出现下列情形之一的，将被视为非实质性响应磋商文件要求：</w:t>
      </w:r>
    </w:p>
    <w:p w14:paraId="0B955481">
      <w:pPr>
        <w:pStyle w:val="38"/>
        <w:keepNext w:val="0"/>
        <w:keepLines w:val="0"/>
        <w:pageBreakBefore w:val="0"/>
        <w:widowControl w:val="0"/>
        <w:numPr>
          <w:ilvl w:val="0"/>
          <w:numId w:val="14"/>
        </w:numPr>
        <w:tabs>
          <w:tab w:val="left" w:pos="1221"/>
        </w:tabs>
        <w:kinsoku/>
        <w:wordWrap w:val="0"/>
        <w:overflowPunct/>
        <w:topLinePunct w:val="0"/>
        <w:bidi w:val="0"/>
        <w:adjustRightInd/>
        <w:snapToGrid/>
        <w:spacing w:line="480" w:lineRule="exact"/>
        <w:ind w:left="0" w:right="0" w:firstLine="480" w:firstLineChars="200"/>
        <w:jc w:val="left"/>
        <w:textAlignment w:val="auto"/>
        <w:rPr>
          <w:color w:val="auto"/>
          <w:sz w:val="24"/>
        </w:rPr>
      </w:pPr>
      <w:r>
        <w:rPr>
          <w:color w:val="auto"/>
          <w:sz w:val="24"/>
        </w:rPr>
        <w:t>交货（完成）期限不确切或不符合磋商文件要求的；</w:t>
      </w:r>
    </w:p>
    <w:p w14:paraId="34194CCA">
      <w:pPr>
        <w:pStyle w:val="38"/>
        <w:keepNext w:val="0"/>
        <w:keepLines w:val="0"/>
        <w:pageBreakBefore w:val="0"/>
        <w:widowControl w:val="0"/>
        <w:numPr>
          <w:ilvl w:val="0"/>
          <w:numId w:val="14"/>
        </w:numPr>
        <w:tabs>
          <w:tab w:val="left" w:pos="1221"/>
        </w:tabs>
        <w:kinsoku/>
        <w:wordWrap w:val="0"/>
        <w:overflowPunct/>
        <w:topLinePunct w:val="0"/>
        <w:bidi w:val="0"/>
        <w:adjustRightInd/>
        <w:snapToGrid/>
        <w:spacing w:line="480" w:lineRule="exact"/>
        <w:ind w:left="0" w:right="0" w:firstLine="480" w:firstLineChars="200"/>
        <w:jc w:val="left"/>
        <w:textAlignment w:val="auto"/>
        <w:rPr>
          <w:color w:val="auto"/>
          <w:sz w:val="24"/>
        </w:rPr>
      </w:pPr>
      <w:r>
        <w:rPr>
          <w:color w:val="auto"/>
          <w:sz w:val="24"/>
        </w:rPr>
        <w:t>最后报价有选择性的；</w:t>
      </w:r>
    </w:p>
    <w:p w14:paraId="67AF6DB0">
      <w:pPr>
        <w:pStyle w:val="38"/>
        <w:keepNext w:val="0"/>
        <w:keepLines w:val="0"/>
        <w:pageBreakBefore w:val="0"/>
        <w:widowControl w:val="0"/>
        <w:numPr>
          <w:ilvl w:val="0"/>
          <w:numId w:val="14"/>
        </w:numPr>
        <w:tabs>
          <w:tab w:val="left" w:pos="1221"/>
        </w:tabs>
        <w:kinsoku/>
        <w:wordWrap w:val="0"/>
        <w:overflowPunct/>
        <w:topLinePunct w:val="0"/>
        <w:bidi w:val="0"/>
        <w:adjustRightInd/>
        <w:snapToGrid/>
        <w:spacing w:line="480" w:lineRule="exact"/>
        <w:ind w:left="0" w:right="0" w:firstLine="480" w:firstLineChars="200"/>
        <w:jc w:val="left"/>
        <w:textAlignment w:val="auto"/>
        <w:rPr>
          <w:color w:val="auto"/>
          <w:sz w:val="24"/>
        </w:rPr>
      </w:pPr>
      <w:r>
        <w:rPr>
          <w:color w:val="auto"/>
          <w:sz w:val="24"/>
        </w:rPr>
        <w:t>最后报价超过采购预算金额的；</w:t>
      </w:r>
    </w:p>
    <w:p w14:paraId="584881AC">
      <w:pPr>
        <w:pStyle w:val="38"/>
        <w:keepNext w:val="0"/>
        <w:keepLines w:val="0"/>
        <w:pageBreakBefore w:val="0"/>
        <w:widowControl w:val="0"/>
        <w:numPr>
          <w:ilvl w:val="0"/>
          <w:numId w:val="14"/>
        </w:numPr>
        <w:tabs>
          <w:tab w:val="left" w:pos="1221"/>
        </w:tabs>
        <w:kinsoku/>
        <w:wordWrap w:val="0"/>
        <w:overflowPunct/>
        <w:topLinePunct w:val="0"/>
        <w:bidi w:val="0"/>
        <w:adjustRightInd/>
        <w:snapToGrid/>
        <w:spacing w:line="480" w:lineRule="exact"/>
        <w:ind w:left="0" w:right="0" w:firstLine="480" w:firstLineChars="200"/>
        <w:jc w:val="left"/>
        <w:textAlignment w:val="auto"/>
        <w:rPr>
          <w:color w:val="auto"/>
          <w:sz w:val="24"/>
        </w:rPr>
      </w:pPr>
      <w:r>
        <w:rPr>
          <w:color w:val="auto"/>
          <w:sz w:val="24"/>
        </w:rPr>
        <w:t>被磋商小组认定存在重大负偏离的；</w:t>
      </w:r>
    </w:p>
    <w:p w14:paraId="5CE1592C">
      <w:pPr>
        <w:pStyle w:val="8"/>
        <w:keepNext w:val="0"/>
        <w:keepLines w:val="0"/>
        <w:pageBreakBefore w:val="0"/>
        <w:widowControl w:val="0"/>
        <w:kinsoku/>
        <w:wordWrap w:val="0"/>
        <w:overflowPunct/>
        <w:topLinePunct w:val="0"/>
        <w:bidi w:val="0"/>
        <w:adjustRightInd/>
        <w:snapToGrid/>
        <w:spacing w:line="480" w:lineRule="exact"/>
        <w:ind w:left="0" w:right="0" w:firstLine="436" w:firstLineChars="200"/>
        <w:jc w:val="left"/>
        <w:textAlignment w:val="auto"/>
        <w:rPr>
          <w:color w:val="auto"/>
        </w:rPr>
      </w:pPr>
      <w:r>
        <w:rPr>
          <w:color w:val="auto"/>
          <w:spacing w:val="-11"/>
        </w:rPr>
        <w:t>注：所谓重大负偏离是指磋商响应供应商对磋商文件的响应在范围、质量、数量和交</w:t>
      </w:r>
      <w:r>
        <w:rPr>
          <w:color w:val="auto"/>
        </w:rPr>
        <w:t>货（完成）期限、技术规格要求等方面明显不能满足采购需求的。重大负偏离的认定须经磋商小组三分之二以上同意。</w:t>
      </w:r>
    </w:p>
    <w:p w14:paraId="1F700D2D">
      <w:pPr>
        <w:pStyle w:val="5"/>
        <w:keepNext w:val="0"/>
        <w:keepLines w:val="0"/>
        <w:pageBreakBefore w:val="0"/>
        <w:widowControl w:val="0"/>
        <w:numPr>
          <w:ilvl w:val="0"/>
          <w:numId w:val="12"/>
        </w:numPr>
        <w:tabs>
          <w:tab w:val="left" w:pos="1222"/>
        </w:tabs>
        <w:kinsoku/>
        <w:wordWrap w:val="0"/>
        <w:overflowPunct/>
        <w:topLinePunct w:val="0"/>
        <w:bidi w:val="0"/>
        <w:adjustRightInd/>
        <w:snapToGrid/>
        <w:spacing w:line="480" w:lineRule="exact"/>
        <w:ind w:left="0" w:right="0" w:firstLine="482" w:firstLineChars="200"/>
        <w:jc w:val="left"/>
        <w:textAlignment w:val="auto"/>
        <w:rPr>
          <w:color w:val="auto"/>
          <w:sz w:val="22"/>
        </w:rPr>
      </w:pPr>
      <w:bookmarkStart w:id="161" w:name="_Toc7366_WPSOffice_Level3"/>
      <w:r>
        <w:rPr>
          <w:color w:val="auto"/>
        </w:rPr>
        <w:t>询问</w:t>
      </w:r>
      <w:bookmarkEnd w:id="161"/>
    </w:p>
    <w:p w14:paraId="70092EB0">
      <w:pPr>
        <w:pStyle w:val="38"/>
        <w:keepNext w:val="0"/>
        <w:keepLines w:val="0"/>
        <w:pageBreakBefore w:val="0"/>
        <w:widowControl w:val="0"/>
        <w:numPr>
          <w:ilvl w:val="1"/>
          <w:numId w:val="12"/>
        </w:numPr>
        <w:tabs>
          <w:tab w:val="left" w:pos="1341"/>
        </w:tabs>
        <w:kinsoku/>
        <w:wordWrap w:val="0"/>
        <w:overflowPunct/>
        <w:topLinePunct w:val="0"/>
        <w:bidi w:val="0"/>
        <w:adjustRightInd/>
        <w:snapToGrid/>
        <w:spacing w:line="480" w:lineRule="exact"/>
        <w:ind w:left="0" w:right="0" w:firstLine="476" w:firstLineChars="200"/>
        <w:jc w:val="left"/>
        <w:textAlignment w:val="auto"/>
        <w:rPr>
          <w:color w:val="auto"/>
          <w:sz w:val="24"/>
        </w:rPr>
      </w:pPr>
      <w:r>
        <w:rPr>
          <w:color w:val="auto"/>
          <w:spacing w:val="-1"/>
          <w:sz w:val="24"/>
        </w:rPr>
        <w:t>磋商响应供应商对采购事项有疑问，可以按照《政府采购法》的相关规定向采</w:t>
      </w:r>
      <w:r>
        <w:rPr>
          <w:color w:val="auto"/>
          <w:sz w:val="24"/>
        </w:rPr>
        <w:t>购人或采购机构提出询问。</w:t>
      </w:r>
    </w:p>
    <w:p w14:paraId="7D15CA65">
      <w:pPr>
        <w:pStyle w:val="5"/>
        <w:keepNext w:val="0"/>
        <w:keepLines w:val="0"/>
        <w:pageBreakBefore w:val="0"/>
        <w:widowControl w:val="0"/>
        <w:numPr>
          <w:ilvl w:val="0"/>
          <w:numId w:val="12"/>
        </w:numPr>
        <w:tabs>
          <w:tab w:val="left" w:pos="1222"/>
        </w:tabs>
        <w:kinsoku/>
        <w:wordWrap w:val="0"/>
        <w:overflowPunct/>
        <w:topLinePunct w:val="0"/>
        <w:bidi w:val="0"/>
        <w:adjustRightInd/>
        <w:snapToGrid/>
        <w:spacing w:line="480" w:lineRule="exact"/>
        <w:ind w:left="0" w:right="0" w:firstLine="482" w:firstLineChars="200"/>
        <w:jc w:val="left"/>
        <w:textAlignment w:val="auto"/>
        <w:rPr>
          <w:rFonts w:ascii="宋体" w:hAnsi="宋体" w:eastAsia="宋体" w:cs="宋体"/>
          <w:color w:val="auto"/>
        </w:rPr>
      </w:pPr>
      <w:r>
        <w:rPr>
          <w:rFonts w:hint="eastAsia" w:ascii="宋体" w:hAnsi="宋体" w:eastAsia="宋体" w:cs="宋体"/>
          <w:color w:val="auto"/>
        </w:rPr>
        <w:t>重新招标</w:t>
      </w:r>
    </w:p>
    <w:p w14:paraId="1991F875">
      <w:pPr>
        <w:keepNext w:val="0"/>
        <w:keepLines w:val="0"/>
        <w:pageBreakBefore w:val="0"/>
        <w:widowControl w:val="0"/>
        <w:kinsoku/>
        <w:wordWrap w:val="0"/>
        <w:overflowPunct/>
        <w:topLinePunct w:val="0"/>
        <w:autoSpaceDE/>
        <w:autoSpaceDN/>
        <w:bidi w:val="0"/>
        <w:adjustRightInd/>
        <w:snapToGrid/>
        <w:spacing w:line="480" w:lineRule="exact"/>
        <w:ind w:left="0" w:leftChars="0" w:right="0" w:firstLine="480" w:firstLineChars="200"/>
        <w:jc w:val="left"/>
        <w:textAlignment w:val="auto"/>
        <w:rPr>
          <w:rFonts w:hint="eastAsia" w:ascii="宋体" w:hAnsi="宋体" w:eastAsia="宋体" w:cs="宋体"/>
          <w:b w:val="0"/>
          <w:bCs w:val="0"/>
          <w:color w:val="auto"/>
          <w:kern w:val="1"/>
          <w:sz w:val="24"/>
          <w:szCs w:val="24"/>
          <w:lang w:val="en-US" w:eastAsia="zh-CN" w:bidi="ar-SA"/>
        </w:rPr>
      </w:pPr>
      <w:bookmarkStart w:id="162" w:name="_Toc391284777"/>
      <w:bookmarkStart w:id="163" w:name="_Toc438797215"/>
      <w:bookmarkStart w:id="164" w:name="_Toc438797980"/>
      <w:r>
        <w:rPr>
          <w:rFonts w:hint="eastAsia" w:ascii="宋体" w:hAnsi="宋体" w:eastAsia="宋体" w:cs="宋体"/>
          <w:b w:val="0"/>
          <w:bCs w:val="0"/>
          <w:color w:val="auto"/>
          <w:kern w:val="1"/>
          <w:sz w:val="24"/>
          <w:szCs w:val="24"/>
          <w:lang w:val="en-US" w:eastAsia="zh-CN" w:bidi="ar-SA"/>
        </w:rPr>
        <w:t xml:space="preserve">出现下列情形之一的，将终止竞争性磋商磋商活动，发布项目终止公告并说明原因，重新开展磋商活动： </w:t>
      </w:r>
    </w:p>
    <w:p w14:paraId="345637A4">
      <w:pPr>
        <w:keepNext w:val="0"/>
        <w:keepLines w:val="0"/>
        <w:pageBreakBefore w:val="0"/>
        <w:widowControl w:val="0"/>
        <w:kinsoku/>
        <w:wordWrap w:val="0"/>
        <w:overflowPunct/>
        <w:topLinePunct w:val="0"/>
        <w:autoSpaceDE/>
        <w:autoSpaceDN/>
        <w:bidi w:val="0"/>
        <w:adjustRightInd/>
        <w:snapToGrid/>
        <w:spacing w:line="480" w:lineRule="exact"/>
        <w:ind w:left="0" w:right="0" w:firstLine="480" w:firstLineChars="200"/>
        <w:jc w:val="left"/>
        <w:textAlignment w:val="auto"/>
        <w:rPr>
          <w:rFonts w:hint="eastAsia" w:ascii="宋体" w:hAnsi="宋体" w:eastAsia="宋体" w:cs="宋体"/>
          <w:b w:val="0"/>
          <w:bCs w:val="0"/>
          <w:color w:val="auto"/>
          <w:kern w:val="1"/>
          <w:sz w:val="24"/>
          <w:szCs w:val="24"/>
          <w:lang w:val="en-US" w:eastAsia="zh-CN" w:bidi="ar-SA"/>
        </w:rPr>
      </w:pPr>
      <w:r>
        <w:rPr>
          <w:rFonts w:hint="eastAsia" w:ascii="宋体" w:hAnsi="宋体" w:eastAsia="宋体" w:cs="宋体"/>
          <w:b w:val="0"/>
          <w:bCs w:val="0"/>
          <w:color w:val="auto"/>
          <w:kern w:val="1"/>
          <w:sz w:val="24"/>
          <w:szCs w:val="24"/>
          <w:lang w:val="en-US" w:eastAsia="zh-CN" w:bidi="ar-SA"/>
        </w:rPr>
        <w:t xml:space="preserve">（1）因情况变化，不再符合规定的竞争性磋商磋商方式,适用情形的；出现 </w:t>
      </w:r>
    </w:p>
    <w:p w14:paraId="538829F4">
      <w:pPr>
        <w:keepNext w:val="0"/>
        <w:keepLines w:val="0"/>
        <w:pageBreakBefore w:val="0"/>
        <w:widowControl w:val="0"/>
        <w:kinsoku/>
        <w:wordWrap w:val="0"/>
        <w:overflowPunct/>
        <w:topLinePunct w:val="0"/>
        <w:autoSpaceDE/>
        <w:autoSpaceDN/>
        <w:bidi w:val="0"/>
        <w:adjustRightInd/>
        <w:snapToGrid/>
        <w:spacing w:line="480" w:lineRule="exact"/>
        <w:ind w:left="0" w:leftChars="0" w:right="0" w:firstLine="480" w:firstLineChars="200"/>
        <w:jc w:val="left"/>
        <w:textAlignment w:val="auto"/>
        <w:rPr>
          <w:rFonts w:hint="eastAsia" w:ascii="宋体" w:hAnsi="宋体" w:eastAsia="宋体" w:cs="宋体"/>
          <w:b w:val="0"/>
          <w:bCs w:val="0"/>
          <w:color w:val="auto"/>
          <w:kern w:val="1"/>
          <w:sz w:val="24"/>
          <w:szCs w:val="24"/>
          <w:lang w:val="en-US" w:eastAsia="zh-CN" w:bidi="ar-SA"/>
        </w:rPr>
      </w:pPr>
      <w:r>
        <w:rPr>
          <w:rFonts w:hint="eastAsia" w:ascii="宋体" w:hAnsi="宋体" w:eastAsia="宋体" w:cs="宋体"/>
          <w:b w:val="0"/>
          <w:bCs w:val="0"/>
          <w:color w:val="auto"/>
          <w:kern w:val="1"/>
          <w:sz w:val="24"/>
          <w:szCs w:val="24"/>
          <w:lang w:val="en-US" w:eastAsia="zh-CN" w:bidi="ar-SA"/>
        </w:rPr>
        <w:t xml:space="preserve">影响磋商公正的违法、违规行为的； </w:t>
      </w:r>
    </w:p>
    <w:p w14:paraId="71BCCA8B">
      <w:pPr>
        <w:keepNext w:val="0"/>
        <w:keepLines w:val="0"/>
        <w:pageBreakBefore w:val="0"/>
        <w:widowControl w:val="0"/>
        <w:kinsoku/>
        <w:wordWrap w:val="0"/>
        <w:overflowPunct/>
        <w:topLinePunct w:val="0"/>
        <w:autoSpaceDE/>
        <w:autoSpaceDN/>
        <w:bidi w:val="0"/>
        <w:adjustRightInd/>
        <w:snapToGrid/>
        <w:spacing w:line="480" w:lineRule="exact"/>
        <w:ind w:left="0" w:right="0" w:firstLine="480" w:firstLineChars="200"/>
        <w:jc w:val="left"/>
        <w:textAlignment w:val="auto"/>
        <w:rPr>
          <w:rFonts w:hint="eastAsia" w:ascii="宋体" w:hAnsi="宋体" w:eastAsia="宋体" w:cs="宋体"/>
          <w:b w:val="0"/>
          <w:bCs w:val="0"/>
          <w:color w:val="auto"/>
          <w:kern w:val="1"/>
          <w:sz w:val="24"/>
          <w:szCs w:val="24"/>
          <w:lang w:val="en-US" w:eastAsia="zh-CN" w:bidi="ar-SA"/>
        </w:rPr>
      </w:pPr>
      <w:r>
        <w:rPr>
          <w:rFonts w:hint="eastAsia" w:ascii="宋体" w:hAnsi="宋体" w:eastAsia="宋体" w:cs="宋体"/>
          <w:b w:val="0"/>
          <w:bCs w:val="0"/>
          <w:color w:val="auto"/>
          <w:kern w:val="1"/>
          <w:sz w:val="24"/>
          <w:szCs w:val="24"/>
          <w:lang w:val="en-US" w:eastAsia="zh-CN" w:bidi="ar-SA"/>
        </w:rPr>
        <w:t xml:space="preserve">（2）不符合法律、法规和竞争性磋商文件规定的其他实质性要求的； </w:t>
      </w:r>
    </w:p>
    <w:p w14:paraId="4F1FE274">
      <w:pPr>
        <w:keepNext w:val="0"/>
        <w:keepLines w:val="0"/>
        <w:pageBreakBefore w:val="0"/>
        <w:widowControl w:val="0"/>
        <w:kinsoku/>
        <w:wordWrap w:val="0"/>
        <w:overflowPunct/>
        <w:topLinePunct w:val="0"/>
        <w:autoSpaceDE/>
        <w:autoSpaceDN/>
        <w:bidi w:val="0"/>
        <w:adjustRightInd/>
        <w:snapToGrid/>
        <w:spacing w:line="480" w:lineRule="exact"/>
        <w:ind w:left="0" w:right="0" w:firstLine="480" w:firstLineChars="200"/>
        <w:jc w:val="left"/>
        <w:textAlignment w:val="auto"/>
        <w:rPr>
          <w:rFonts w:hint="eastAsia" w:ascii="宋体" w:hAnsi="宋体" w:eastAsia="宋体" w:cs="宋体"/>
          <w:b w:val="0"/>
          <w:bCs w:val="0"/>
          <w:color w:val="auto"/>
          <w:kern w:val="1"/>
          <w:sz w:val="24"/>
          <w:szCs w:val="24"/>
          <w:lang w:val="en-US" w:eastAsia="zh-CN" w:bidi="ar-SA"/>
        </w:rPr>
      </w:pPr>
      <w:r>
        <w:rPr>
          <w:rFonts w:hint="eastAsia" w:ascii="宋体" w:hAnsi="宋体" w:eastAsia="宋体" w:cs="宋体"/>
          <w:b w:val="0"/>
          <w:bCs w:val="0"/>
          <w:color w:val="auto"/>
          <w:kern w:val="1"/>
          <w:sz w:val="24"/>
          <w:szCs w:val="24"/>
          <w:lang w:val="en-US" w:eastAsia="zh-CN" w:bidi="ar-SA"/>
        </w:rPr>
        <w:t>（3）其他法律、法规及本竞争性磋商文件规定的属响应无效的情形，终止竞争性磋商磋商活动的条款等；</w:t>
      </w:r>
    </w:p>
    <w:p w14:paraId="33D81DB1">
      <w:pPr>
        <w:keepNext w:val="0"/>
        <w:keepLines w:val="0"/>
        <w:pageBreakBefore w:val="0"/>
        <w:widowControl w:val="0"/>
        <w:kinsoku/>
        <w:wordWrap w:val="0"/>
        <w:overflowPunct/>
        <w:topLinePunct w:val="0"/>
        <w:autoSpaceDE/>
        <w:autoSpaceDN/>
        <w:bidi w:val="0"/>
        <w:adjustRightInd/>
        <w:snapToGrid/>
        <w:spacing w:line="480" w:lineRule="exact"/>
        <w:ind w:left="0" w:right="0" w:firstLine="480" w:firstLineChars="200"/>
        <w:jc w:val="left"/>
        <w:textAlignment w:val="auto"/>
        <w:rPr>
          <w:color w:val="auto"/>
          <w:sz w:val="24"/>
        </w:rPr>
      </w:pPr>
      <w:r>
        <w:rPr>
          <w:rFonts w:hint="eastAsia" w:ascii="宋体" w:hAnsi="宋体" w:eastAsia="宋体" w:cs="宋体"/>
          <w:b w:val="0"/>
          <w:bCs w:val="0"/>
          <w:color w:val="auto"/>
          <w:kern w:val="1"/>
          <w:sz w:val="24"/>
          <w:szCs w:val="24"/>
          <w:lang w:val="en-US" w:eastAsia="zh-CN" w:bidi="ar-SA"/>
        </w:rPr>
        <w:t>（4）磋商截止时间后参加</w:t>
      </w:r>
      <w:r>
        <w:rPr>
          <w:rFonts w:hint="eastAsia" w:ascii="宋体" w:hAnsi="宋体" w:cs="宋体"/>
          <w:b w:val="0"/>
          <w:bCs w:val="0"/>
          <w:color w:val="auto"/>
          <w:kern w:val="1"/>
          <w:sz w:val="24"/>
          <w:szCs w:val="24"/>
          <w:lang w:val="en-US" w:eastAsia="zh-CN" w:bidi="ar-SA"/>
        </w:rPr>
        <w:t>开标的</w:t>
      </w:r>
      <w:r>
        <w:rPr>
          <w:rFonts w:hint="eastAsia" w:ascii="宋体" w:hAnsi="宋体" w:eastAsia="宋体" w:cs="宋体"/>
          <w:b w:val="0"/>
          <w:bCs w:val="0"/>
          <w:color w:val="auto"/>
          <w:kern w:val="1"/>
          <w:sz w:val="24"/>
          <w:szCs w:val="24"/>
          <w:lang w:val="en-US" w:eastAsia="zh-CN" w:bidi="ar-SA"/>
        </w:rPr>
        <w:t>供应商不足3家的，应重新组织采购，评审期间</w:t>
      </w:r>
      <w:r>
        <w:rPr>
          <w:rFonts w:hint="eastAsia" w:ascii="宋体" w:hAnsi="宋体" w:cs="宋体"/>
          <w:b w:val="0"/>
          <w:bCs w:val="0"/>
          <w:color w:val="auto"/>
          <w:kern w:val="1"/>
          <w:sz w:val="24"/>
          <w:szCs w:val="24"/>
          <w:lang w:val="en-US" w:eastAsia="zh-CN" w:bidi="ar-SA"/>
        </w:rPr>
        <w:t>通过资格审查</w:t>
      </w:r>
      <w:r>
        <w:rPr>
          <w:rFonts w:hint="eastAsia" w:ascii="宋体" w:hAnsi="宋体" w:eastAsia="宋体" w:cs="宋体"/>
          <w:b w:val="0"/>
          <w:bCs w:val="0"/>
          <w:color w:val="auto"/>
          <w:kern w:val="1"/>
          <w:sz w:val="24"/>
          <w:szCs w:val="24"/>
          <w:lang w:val="en-US" w:eastAsia="zh-CN" w:bidi="ar-SA"/>
        </w:rPr>
        <w:t>的供应商或者对磋商响应文件作出实质响应的供应商不足3家的，应重新组织采购。</w:t>
      </w:r>
      <w:bookmarkEnd w:id="162"/>
      <w:bookmarkEnd w:id="163"/>
      <w:bookmarkEnd w:id="164"/>
    </w:p>
    <w:p w14:paraId="679D9615">
      <w:pPr>
        <w:pStyle w:val="5"/>
        <w:keepNext w:val="0"/>
        <w:keepLines w:val="0"/>
        <w:pageBreakBefore w:val="0"/>
        <w:widowControl w:val="0"/>
        <w:numPr>
          <w:ilvl w:val="0"/>
          <w:numId w:val="12"/>
        </w:numPr>
        <w:tabs>
          <w:tab w:val="left" w:pos="1105"/>
        </w:tabs>
        <w:kinsoku/>
        <w:wordWrap w:val="0"/>
        <w:overflowPunct/>
        <w:topLinePunct w:val="0"/>
        <w:bidi w:val="0"/>
        <w:adjustRightInd/>
        <w:snapToGrid/>
        <w:spacing w:line="480" w:lineRule="exact"/>
        <w:ind w:left="0" w:right="0" w:firstLine="482" w:firstLineChars="200"/>
        <w:jc w:val="left"/>
        <w:textAlignment w:val="auto"/>
        <w:rPr>
          <w:color w:val="auto"/>
          <w:sz w:val="22"/>
        </w:rPr>
      </w:pPr>
      <w:bookmarkStart w:id="165" w:name="_Toc13604_WPSOffice_Level3"/>
      <w:r>
        <w:rPr>
          <w:color w:val="auto"/>
        </w:rPr>
        <w:t>质疑程序及处理</w:t>
      </w:r>
      <w:bookmarkEnd w:id="165"/>
    </w:p>
    <w:p w14:paraId="054D8BB5">
      <w:pPr>
        <w:pStyle w:val="38"/>
        <w:keepNext w:val="0"/>
        <w:keepLines w:val="0"/>
        <w:pageBreakBefore w:val="0"/>
        <w:widowControl w:val="0"/>
        <w:numPr>
          <w:ilvl w:val="1"/>
          <w:numId w:val="12"/>
        </w:numPr>
        <w:tabs>
          <w:tab w:val="left" w:pos="1341"/>
        </w:tabs>
        <w:kinsoku/>
        <w:wordWrap w:val="0"/>
        <w:overflowPunct/>
        <w:topLinePunct w:val="0"/>
        <w:bidi w:val="0"/>
        <w:adjustRightInd/>
        <w:snapToGrid/>
        <w:spacing w:line="480" w:lineRule="exact"/>
        <w:ind w:left="0" w:right="0" w:firstLine="476" w:firstLineChars="200"/>
        <w:jc w:val="left"/>
        <w:textAlignment w:val="auto"/>
        <w:rPr>
          <w:color w:val="auto"/>
          <w:sz w:val="24"/>
        </w:rPr>
      </w:pPr>
      <w:r>
        <w:rPr>
          <w:color w:val="auto"/>
          <w:spacing w:val="-1"/>
          <w:sz w:val="24"/>
        </w:rPr>
        <w:t>若竞争性磋商响应人认为其磋商未获公平评审或磋商文件、采购过程和成交结</w:t>
      </w:r>
      <w:r>
        <w:rPr>
          <w:color w:val="auto"/>
          <w:spacing w:val="-4"/>
          <w:sz w:val="24"/>
        </w:rPr>
        <w:t xml:space="preserve">果使自己的合法权益受到损害，可以在知道或者应知其权益受到损害之日起 </w:t>
      </w:r>
      <w:r>
        <w:rPr>
          <w:color w:val="auto"/>
          <w:sz w:val="24"/>
        </w:rPr>
        <w:t>7</w:t>
      </w:r>
      <w:r>
        <w:rPr>
          <w:color w:val="auto"/>
          <w:spacing w:val="-4"/>
          <w:sz w:val="24"/>
        </w:rPr>
        <w:t xml:space="preserve"> 个工作日</w:t>
      </w:r>
      <w:r>
        <w:rPr>
          <w:color w:val="auto"/>
          <w:sz w:val="24"/>
        </w:rPr>
        <w:t>内，将质疑书原件送达采购人或采购代理机构。提出质疑期限的计算，依照下列规定办理：</w:t>
      </w:r>
    </w:p>
    <w:p w14:paraId="7E705B19">
      <w:pPr>
        <w:pStyle w:val="8"/>
        <w:keepNext w:val="0"/>
        <w:keepLines w:val="0"/>
        <w:pageBreakBefore w:val="0"/>
        <w:widowControl w:val="0"/>
        <w:kinsoku/>
        <w:wordWrap w:val="0"/>
        <w:overflowPunct/>
        <w:topLinePunct w:val="0"/>
        <w:bidi w:val="0"/>
        <w:adjustRightInd/>
        <w:snapToGrid/>
        <w:spacing w:line="480" w:lineRule="exact"/>
        <w:ind w:left="0" w:right="0" w:firstLine="480" w:firstLineChars="200"/>
        <w:jc w:val="left"/>
        <w:textAlignment w:val="auto"/>
        <w:rPr>
          <w:color w:val="auto"/>
        </w:rPr>
      </w:pPr>
      <w:r>
        <w:rPr>
          <w:color w:val="auto"/>
        </w:rPr>
        <w:t>（一</w:t>
      </w:r>
      <w:r>
        <w:rPr>
          <w:color w:val="auto"/>
          <w:spacing w:val="-58"/>
        </w:rPr>
        <w:t>）</w:t>
      </w:r>
      <w:r>
        <w:rPr>
          <w:color w:val="auto"/>
          <w:spacing w:val="-5"/>
        </w:rPr>
        <w:t>对可以质疑的磋商文件提出质疑的，为收到磋商文件之日或者磋商文件公告期</w:t>
      </w:r>
      <w:r>
        <w:rPr>
          <w:color w:val="auto"/>
        </w:rPr>
        <w:t>限届满之日；</w:t>
      </w:r>
    </w:p>
    <w:p w14:paraId="4E8F6247">
      <w:pPr>
        <w:pStyle w:val="8"/>
        <w:keepNext w:val="0"/>
        <w:keepLines w:val="0"/>
        <w:pageBreakBefore w:val="0"/>
        <w:widowControl w:val="0"/>
        <w:kinsoku/>
        <w:wordWrap w:val="0"/>
        <w:overflowPunct/>
        <w:topLinePunct w:val="0"/>
        <w:bidi w:val="0"/>
        <w:adjustRightInd/>
        <w:snapToGrid/>
        <w:spacing w:line="480" w:lineRule="exact"/>
        <w:ind w:left="0" w:right="0" w:firstLine="480" w:firstLineChars="200"/>
        <w:jc w:val="left"/>
        <w:textAlignment w:val="auto"/>
        <w:rPr>
          <w:color w:val="auto"/>
        </w:rPr>
      </w:pPr>
      <w:r>
        <w:rPr>
          <w:color w:val="auto"/>
        </w:rPr>
        <w:t>（二）对采购过程提出质疑的，为各采购程序环节结束之日；</w:t>
      </w:r>
    </w:p>
    <w:p w14:paraId="71AC5208">
      <w:pPr>
        <w:pStyle w:val="8"/>
        <w:keepNext w:val="0"/>
        <w:keepLines w:val="0"/>
        <w:pageBreakBefore w:val="0"/>
        <w:widowControl w:val="0"/>
        <w:kinsoku/>
        <w:wordWrap w:val="0"/>
        <w:overflowPunct/>
        <w:topLinePunct w:val="0"/>
        <w:bidi w:val="0"/>
        <w:adjustRightInd/>
        <w:snapToGrid/>
        <w:spacing w:line="480" w:lineRule="exact"/>
        <w:ind w:left="0" w:right="0" w:firstLine="480" w:firstLineChars="200"/>
        <w:jc w:val="left"/>
        <w:textAlignment w:val="auto"/>
        <w:rPr>
          <w:color w:val="auto"/>
        </w:rPr>
      </w:pPr>
      <w:r>
        <w:rPr>
          <w:color w:val="auto"/>
        </w:rPr>
        <w:t>（三）对成交结果提出质疑的，为成交结果公告期限届满之日。</w:t>
      </w:r>
    </w:p>
    <w:p w14:paraId="2532064A">
      <w:pPr>
        <w:pStyle w:val="38"/>
        <w:keepNext w:val="0"/>
        <w:keepLines w:val="0"/>
        <w:pageBreakBefore w:val="0"/>
        <w:widowControl w:val="0"/>
        <w:numPr>
          <w:ilvl w:val="1"/>
          <w:numId w:val="12"/>
        </w:numPr>
        <w:tabs>
          <w:tab w:val="left" w:pos="1341"/>
        </w:tabs>
        <w:kinsoku/>
        <w:wordWrap w:val="0"/>
        <w:overflowPunct/>
        <w:topLinePunct w:val="0"/>
        <w:bidi w:val="0"/>
        <w:adjustRightInd/>
        <w:snapToGrid/>
        <w:spacing w:line="480" w:lineRule="exact"/>
        <w:ind w:left="0" w:right="0" w:firstLine="476" w:firstLineChars="200"/>
        <w:jc w:val="left"/>
        <w:textAlignment w:val="auto"/>
        <w:rPr>
          <w:color w:val="auto"/>
          <w:sz w:val="24"/>
        </w:rPr>
      </w:pPr>
      <w:r>
        <w:rPr>
          <w:color w:val="auto"/>
          <w:spacing w:val="-1"/>
          <w:sz w:val="24"/>
        </w:rPr>
        <w:t>质疑书应当包括下列主要内容，并按照“谁主张、谁举证”的原则，附上相关</w:t>
      </w:r>
      <w:r>
        <w:rPr>
          <w:color w:val="auto"/>
          <w:sz w:val="24"/>
        </w:rPr>
        <w:t>证明材料。否则，采购人不予受理：</w:t>
      </w:r>
    </w:p>
    <w:p w14:paraId="4FCF77DE">
      <w:pPr>
        <w:pStyle w:val="8"/>
        <w:keepNext w:val="0"/>
        <w:keepLines w:val="0"/>
        <w:pageBreakBefore w:val="0"/>
        <w:widowControl w:val="0"/>
        <w:kinsoku/>
        <w:wordWrap w:val="0"/>
        <w:overflowPunct/>
        <w:topLinePunct w:val="0"/>
        <w:bidi w:val="0"/>
        <w:adjustRightInd/>
        <w:snapToGrid/>
        <w:spacing w:line="480" w:lineRule="exact"/>
        <w:ind w:left="0" w:right="0" w:firstLine="480" w:firstLineChars="200"/>
        <w:jc w:val="left"/>
        <w:textAlignment w:val="auto"/>
        <w:rPr>
          <w:color w:val="auto"/>
        </w:rPr>
      </w:pPr>
      <w:r>
        <w:rPr>
          <w:color w:val="auto"/>
        </w:rPr>
        <w:t>（一</w:t>
      </w:r>
      <w:r>
        <w:rPr>
          <w:color w:val="auto"/>
          <w:spacing w:val="-24"/>
        </w:rPr>
        <w:t>）</w:t>
      </w:r>
      <w:r>
        <w:rPr>
          <w:color w:val="auto"/>
          <w:spacing w:val="-7"/>
        </w:rPr>
        <w:t>质疑磋商响应供应商全称、地址、法定代表人、联系人及联系电话、邮政编码</w:t>
      </w:r>
      <w:r>
        <w:rPr>
          <w:color w:val="auto"/>
        </w:rPr>
        <w:t>等；</w:t>
      </w:r>
    </w:p>
    <w:p w14:paraId="46D7C8F8">
      <w:pPr>
        <w:pStyle w:val="8"/>
        <w:keepNext w:val="0"/>
        <w:keepLines w:val="0"/>
        <w:pageBreakBefore w:val="0"/>
        <w:widowControl w:val="0"/>
        <w:kinsoku/>
        <w:wordWrap w:val="0"/>
        <w:overflowPunct/>
        <w:topLinePunct w:val="0"/>
        <w:bidi w:val="0"/>
        <w:adjustRightInd/>
        <w:snapToGrid/>
        <w:spacing w:line="480" w:lineRule="exact"/>
        <w:ind w:left="0" w:right="0" w:firstLine="480" w:firstLineChars="200"/>
        <w:jc w:val="left"/>
        <w:textAlignment w:val="auto"/>
        <w:rPr>
          <w:color w:val="auto"/>
        </w:rPr>
      </w:pPr>
      <w:r>
        <w:rPr>
          <w:color w:val="auto"/>
        </w:rPr>
        <w:t>（二）被质疑采购项目的名称、编号；</w:t>
      </w:r>
    </w:p>
    <w:p w14:paraId="1669A318">
      <w:pPr>
        <w:pStyle w:val="8"/>
        <w:keepNext w:val="0"/>
        <w:keepLines w:val="0"/>
        <w:pageBreakBefore w:val="0"/>
        <w:widowControl w:val="0"/>
        <w:kinsoku/>
        <w:wordWrap w:val="0"/>
        <w:overflowPunct/>
        <w:topLinePunct w:val="0"/>
        <w:bidi w:val="0"/>
        <w:adjustRightInd/>
        <w:snapToGrid/>
        <w:spacing w:line="480" w:lineRule="exact"/>
        <w:ind w:left="0" w:right="0" w:firstLine="480" w:firstLineChars="200"/>
        <w:jc w:val="left"/>
        <w:textAlignment w:val="auto"/>
        <w:rPr>
          <w:color w:val="auto"/>
        </w:rPr>
      </w:pPr>
      <w:r>
        <w:rPr>
          <w:color w:val="auto"/>
        </w:rPr>
        <w:t>（三）质疑的具体事项、明确的请求和主张；</w:t>
      </w:r>
    </w:p>
    <w:p w14:paraId="1C070223">
      <w:pPr>
        <w:pStyle w:val="8"/>
        <w:keepNext w:val="0"/>
        <w:keepLines w:val="0"/>
        <w:pageBreakBefore w:val="0"/>
        <w:widowControl w:val="0"/>
        <w:kinsoku/>
        <w:wordWrap w:val="0"/>
        <w:overflowPunct/>
        <w:topLinePunct w:val="0"/>
        <w:bidi w:val="0"/>
        <w:adjustRightInd/>
        <w:snapToGrid/>
        <w:spacing w:line="480" w:lineRule="exact"/>
        <w:ind w:left="0" w:right="0" w:firstLine="480" w:firstLineChars="200"/>
        <w:jc w:val="left"/>
        <w:textAlignment w:val="auto"/>
        <w:rPr>
          <w:color w:val="auto"/>
        </w:rPr>
      </w:pPr>
      <w:r>
        <w:rPr>
          <w:color w:val="auto"/>
        </w:rPr>
        <w:t>（四）质疑所依据的法律依据（具体条款</w:t>
      </w:r>
      <w:r>
        <w:rPr>
          <w:color w:val="auto"/>
          <w:spacing w:val="-120"/>
        </w:rPr>
        <w:t>）</w:t>
      </w:r>
      <w:r>
        <w:rPr>
          <w:color w:val="auto"/>
          <w:spacing w:val="-1"/>
        </w:rPr>
        <w:t>、具体事实和具体理由。质疑书依据理由</w:t>
      </w:r>
      <w:r>
        <w:rPr>
          <w:color w:val="auto"/>
        </w:rPr>
        <w:t>部分只有主观陈述、推理、猜测等，而没有提供客观事实依据、法律依据的；</w:t>
      </w:r>
    </w:p>
    <w:p w14:paraId="348B44D3">
      <w:pPr>
        <w:pStyle w:val="8"/>
        <w:keepNext w:val="0"/>
        <w:keepLines w:val="0"/>
        <w:pageBreakBefore w:val="0"/>
        <w:widowControl w:val="0"/>
        <w:kinsoku/>
        <w:wordWrap w:val="0"/>
        <w:overflowPunct/>
        <w:topLinePunct w:val="0"/>
        <w:bidi w:val="0"/>
        <w:adjustRightInd/>
        <w:snapToGrid/>
        <w:spacing w:line="480" w:lineRule="exact"/>
        <w:ind w:left="0" w:right="0" w:firstLine="480" w:firstLineChars="200"/>
        <w:jc w:val="left"/>
        <w:textAlignment w:val="auto"/>
        <w:rPr>
          <w:color w:val="auto"/>
        </w:rPr>
      </w:pPr>
      <w:r>
        <w:rPr>
          <w:color w:val="auto"/>
        </w:rPr>
        <w:t>（五）质疑事项按照有关法律、法规和规章规定及竞争性磋商文件要求属于保密或者处于保密阶段的事项，磋商响应供应商必须提供正常的信息来源或有效证据，磋商响应供应商不能提供或者拒绝提供合法的信息来源或有效证据的；</w:t>
      </w:r>
    </w:p>
    <w:p w14:paraId="566A0D4A">
      <w:pPr>
        <w:pStyle w:val="8"/>
        <w:keepNext w:val="0"/>
        <w:keepLines w:val="0"/>
        <w:pageBreakBefore w:val="0"/>
        <w:widowControl w:val="0"/>
        <w:kinsoku/>
        <w:wordWrap w:val="0"/>
        <w:overflowPunct/>
        <w:topLinePunct w:val="0"/>
        <w:bidi w:val="0"/>
        <w:adjustRightInd/>
        <w:snapToGrid/>
        <w:spacing w:line="480" w:lineRule="exact"/>
        <w:ind w:left="0" w:right="0" w:firstLine="480" w:firstLineChars="200"/>
        <w:jc w:val="left"/>
        <w:textAlignment w:val="auto"/>
        <w:rPr>
          <w:color w:val="auto"/>
        </w:rPr>
      </w:pPr>
      <w:r>
        <w:rPr>
          <w:color w:val="auto"/>
        </w:rPr>
        <w:t>（六）充足有效的相关证明材料；如果涉及到产品功能或技术指标的，应出具相关制造商的证明文件；</w:t>
      </w:r>
    </w:p>
    <w:p w14:paraId="43F7D955">
      <w:pPr>
        <w:pStyle w:val="8"/>
        <w:keepNext w:val="0"/>
        <w:keepLines w:val="0"/>
        <w:pageBreakBefore w:val="0"/>
        <w:widowControl w:val="0"/>
        <w:kinsoku/>
        <w:wordWrap w:val="0"/>
        <w:overflowPunct/>
        <w:topLinePunct w:val="0"/>
        <w:bidi w:val="0"/>
        <w:adjustRightInd/>
        <w:snapToGrid/>
        <w:spacing w:line="480" w:lineRule="exact"/>
        <w:ind w:left="0" w:right="0" w:firstLine="480" w:firstLineChars="200"/>
        <w:jc w:val="left"/>
        <w:textAlignment w:val="auto"/>
        <w:rPr>
          <w:color w:val="auto"/>
        </w:rPr>
      </w:pPr>
      <w:r>
        <w:rPr>
          <w:color w:val="auto"/>
        </w:rPr>
        <w:t>（七）质疑材料中有外文资料的，应一并附上中文译本，并以中文译本为准。</w:t>
      </w:r>
    </w:p>
    <w:p w14:paraId="250F7DD7">
      <w:pPr>
        <w:pStyle w:val="8"/>
        <w:keepNext w:val="0"/>
        <w:keepLines w:val="0"/>
        <w:pageBreakBefore w:val="0"/>
        <w:widowControl w:val="0"/>
        <w:kinsoku/>
        <w:wordWrap w:val="0"/>
        <w:overflowPunct/>
        <w:topLinePunct w:val="0"/>
        <w:bidi w:val="0"/>
        <w:adjustRightInd/>
        <w:snapToGrid/>
        <w:spacing w:line="480" w:lineRule="exact"/>
        <w:ind w:left="0" w:right="0" w:firstLine="480" w:firstLineChars="200"/>
        <w:jc w:val="left"/>
        <w:textAlignment w:val="auto"/>
        <w:rPr>
          <w:color w:val="auto"/>
        </w:rPr>
      </w:pPr>
      <w:r>
        <w:rPr>
          <w:color w:val="auto"/>
        </w:rPr>
        <w:t>（八）提起质疑的日期</w:t>
      </w:r>
    </w:p>
    <w:p w14:paraId="7C5E385E">
      <w:pPr>
        <w:pStyle w:val="8"/>
        <w:keepNext w:val="0"/>
        <w:keepLines w:val="0"/>
        <w:pageBreakBefore w:val="0"/>
        <w:widowControl w:val="0"/>
        <w:kinsoku/>
        <w:wordWrap w:val="0"/>
        <w:overflowPunct/>
        <w:topLinePunct w:val="0"/>
        <w:bidi w:val="0"/>
        <w:adjustRightInd/>
        <w:snapToGrid/>
        <w:spacing w:line="480" w:lineRule="exact"/>
        <w:ind w:left="0" w:right="0" w:firstLine="480" w:firstLineChars="200"/>
        <w:jc w:val="left"/>
        <w:textAlignment w:val="auto"/>
        <w:rPr>
          <w:color w:val="auto"/>
        </w:rPr>
      </w:pPr>
      <w:r>
        <w:rPr>
          <w:color w:val="auto"/>
        </w:rPr>
        <w:t>磋商响应供应商质疑实行实名制并须在质疑书上署名。磋商响应供应商不得进行虚假、恶意质疑，不得以质疑为手段获取不当得利、实现非法目的。磋商响应供应商为自然人的，应当由本人签字；磋商响应供应商为法人的，应当由法定代表人签字或盖章并加盖公章；磋商响应供应商为其他组织的，应当由主要负责人签字或盖章并加盖公章。磋商响应供应商其他工作人员或代理人员在质疑书上的署名不具有法律效力。</w:t>
      </w:r>
    </w:p>
    <w:p w14:paraId="5D95DFD9">
      <w:pPr>
        <w:pStyle w:val="38"/>
        <w:keepNext w:val="0"/>
        <w:keepLines w:val="0"/>
        <w:pageBreakBefore w:val="0"/>
        <w:widowControl w:val="0"/>
        <w:numPr>
          <w:ilvl w:val="1"/>
          <w:numId w:val="12"/>
        </w:numPr>
        <w:tabs>
          <w:tab w:val="left" w:pos="1341"/>
        </w:tabs>
        <w:kinsoku/>
        <w:wordWrap w:val="0"/>
        <w:overflowPunct/>
        <w:topLinePunct w:val="0"/>
        <w:bidi w:val="0"/>
        <w:adjustRightInd/>
        <w:snapToGrid/>
        <w:spacing w:line="480" w:lineRule="exact"/>
        <w:ind w:left="0" w:right="0" w:firstLine="476" w:firstLineChars="200"/>
        <w:jc w:val="left"/>
        <w:textAlignment w:val="auto"/>
        <w:rPr>
          <w:color w:val="auto"/>
          <w:sz w:val="24"/>
        </w:rPr>
      </w:pPr>
      <w:r>
        <w:rPr>
          <w:color w:val="auto"/>
          <w:spacing w:val="-1"/>
          <w:sz w:val="24"/>
        </w:rPr>
        <w:t>磋商响应供应商委托代理人办理质疑事宜，应当提交授权委托书，并载明委托</w:t>
      </w:r>
      <w:r>
        <w:rPr>
          <w:color w:val="auto"/>
          <w:sz w:val="24"/>
        </w:rPr>
        <w:t>代理的具体权限和事项。授权委托书应当由委托人签字并加盖单位公章。</w:t>
      </w:r>
    </w:p>
    <w:p w14:paraId="67B22011">
      <w:pPr>
        <w:pStyle w:val="38"/>
        <w:keepNext w:val="0"/>
        <w:keepLines w:val="0"/>
        <w:pageBreakBefore w:val="0"/>
        <w:widowControl w:val="0"/>
        <w:numPr>
          <w:ilvl w:val="1"/>
          <w:numId w:val="12"/>
        </w:numPr>
        <w:tabs>
          <w:tab w:val="left" w:pos="1341"/>
        </w:tabs>
        <w:kinsoku/>
        <w:wordWrap w:val="0"/>
        <w:overflowPunct/>
        <w:topLinePunct w:val="0"/>
        <w:bidi w:val="0"/>
        <w:adjustRightInd/>
        <w:snapToGrid/>
        <w:spacing w:line="480" w:lineRule="exact"/>
        <w:ind w:left="0" w:right="0" w:firstLine="476" w:firstLineChars="200"/>
        <w:jc w:val="left"/>
        <w:textAlignment w:val="auto"/>
        <w:rPr>
          <w:color w:val="auto"/>
          <w:sz w:val="24"/>
        </w:rPr>
      </w:pPr>
      <w:r>
        <w:rPr>
          <w:color w:val="auto"/>
          <w:spacing w:val="-1"/>
          <w:sz w:val="24"/>
        </w:rPr>
        <w:t>提交质疑书时，磋商响应供应商应同时提交本人身份证，委托他人代理质疑事</w:t>
      </w:r>
      <w:r>
        <w:rPr>
          <w:color w:val="auto"/>
          <w:sz w:val="24"/>
        </w:rPr>
        <w:t>宜的，还应提交被委托人的身份证。磋商响应供应商是法人的，应一并提交法人营业执照和法定代表人身份证；磋商响应供应商是其他组织的，应一并提交其他组织经营许可证和主要负责人身份证。磋商响应供应商应当提供上述证明材料的原件及复印件，原件经采购人核对无误后返还。</w:t>
      </w:r>
    </w:p>
    <w:p w14:paraId="69D8C200">
      <w:pPr>
        <w:pStyle w:val="38"/>
        <w:keepNext w:val="0"/>
        <w:keepLines w:val="0"/>
        <w:pageBreakBefore w:val="0"/>
        <w:widowControl w:val="0"/>
        <w:numPr>
          <w:ilvl w:val="1"/>
          <w:numId w:val="12"/>
        </w:numPr>
        <w:tabs>
          <w:tab w:val="left" w:pos="1341"/>
        </w:tabs>
        <w:kinsoku/>
        <w:wordWrap w:val="0"/>
        <w:overflowPunct/>
        <w:topLinePunct w:val="0"/>
        <w:bidi w:val="0"/>
        <w:adjustRightInd/>
        <w:snapToGrid/>
        <w:spacing w:line="480" w:lineRule="exact"/>
        <w:ind w:left="0" w:right="0" w:firstLine="476" w:firstLineChars="200"/>
        <w:jc w:val="left"/>
        <w:textAlignment w:val="auto"/>
        <w:rPr>
          <w:color w:val="auto"/>
          <w:sz w:val="24"/>
        </w:rPr>
      </w:pPr>
      <w:r>
        <w:rPr>
          <w:color w:val="auto"/>
          <w:spacing w:val="-1"/>
          <w:sz w:val="24"/>
        </w:rPr>
        <w:t>质疑书提交方式。磋商响应供应商或者其委托代理人应当当面提交质疑书及相</w:t>
      </w:r>
      <w:r>
        <w:rPr>
          <w:color w:val="auto"/>
          <w:sz w:val="24"/>
        </w:rPr>
        <w:t>关证明材料。磋商响应供应商以电子邮件、传真等其他方式提交质疑书及相关证明材料的，或者不是磋商响应供应商或者其委托代理人提交质疑书及相关证明材料的，采购人或采购机构可以拒收。</w:t>
      </w:r>
    </w:p>
    <w:p w14:paraId="66EC3939">
      <w:pPr>
        <w:pStyle w:val="38"/>
        <w:keepNext w:val="0"/>
        <w:keepLines w:val="0"/>
        <w:pageBreakBefore w:val="0"/>
        <w:widowControl w:val="0"/>
        <w:numPr>
          <w:ilvl w:val="1"/>
          <w:numId w:val="12"/>
        </w:numPr>
        <w:tabs>
          <w:tab w:val="left" w:pos="1341"/>
        </w:tabs>
        <w:kinsoku/>
        <w:wordWrap w:val="0"/>
        <w:overflowPunct/>
        <w:topLinePunct w:val="0"/>
        <w:bidi w:val="0"/>
        <w:adjustRightInd/>
        <w:snapToGrid/>
        <w:spacing w:line="480" w:lineRule="exact"/>
        <w:ind w:left="0" w:right="0" w:firstLine="476" w:firstLineChars="200"/>
        <w:jc w:val="left"/>
        <w:textAlignment w:val="auto"/>
        <w:rPr>
          <w:color w:val="auto"/>
          <w:sz w:val="24"/>
        </w:rPr>
      </w:pPr>
      <w:r>
        <w:rPr>
          <w:color w:val="auto"/>
          <w:spacing w:val="-1"/>
          <w:sz w:val="24"/>
        </w:rPr>
        <w:t>磋商响应供应商不得虚假质疑和恶意质疑，并对质疑内容的真实性承担责任。</w:t>
      </w:r>
      <w:r>
        <w:rPr>
          <w:color w:val="auto"/>
          <w:sz w:val="24"/>
        </w:rPr>
        <w:t>磋商响应供应商或者其他利害关系人通过捏造事实、伪造证明材料等方式提出异议或投诉，阻碍招磋商活动正常进行的，属于严重不良行为，采购人将提请财政部门将其列入不良行为记录名单，并依法予以处罚。</w:t>
      </w:r>
    </w:p>
    <w:p w14:paraId="0F592725">
      <w:pPr>
        <w:pStyle w:val="38"/>
        <w:keepNext w:val="0"/>
        <w:keepLines w:val="0"/>
        <w:pageBreakBefore w:val="0"/>
        <w:widowControl w:val="0"/>
        <w:numPr>
          <w:ilvl w:val="1"/>
          <w:numId w:val="12"/>
        </w:numPr>
        <w:tabs>
          <w:tab w:val="left" w:pos="1341"/>
        </w:tabs>
        <w:kinsoku/>
        <w:wordWrap w:val="0"/>
        <w:overflowPunct/>
        <w:topLinePunct w:val="0"/>
        <w:bidi w:val="0"/>
        <w:adjustRightInd/>
        <w:snapToGrid/>
        <w:spacing w:line="480" w:lineRule="exact"/>
        <w:ind w:left="0" w:right="0" w:firstLine="480" w:firstLineChars="200"/>
        <w:jc w:val="left"/>
        <w:textAlignment w:val="auto"/>
        <w:rPr>
          <w:color w:val="auto"/>
          <w:sz w:val="24"/>
        </w:rPr>
      </w:pPr>
      <w:r>
        <w:rPr>
          <w:color w:val="auto"/>
          <w:sz w:val="24"/>
        </w:rPr>
        <w:t>采购人将在收到符合上述条件的书面质疑后 7</w:t>
      </w:r>
      <w:r>
        <w:rPr>
          <w:color w:val="auto"/>
          <w:spacing w:val="-9"/>
          <w:sz w:val="24"/>
        </w:rPr>
        <w:t xml:space="preserve"> 个工作日内审查质疑事项，作出答复或相关处理决定，并以书面形式通知质疑磋商响应供应商和其他有关磋商响应供应商，但答复的内容不涉及商业秘密。若质疑涉及磋商制度或程序，将被转交政府采购的</w:t>
      </w:r>
      <w:r>
        <w:rPr>
          <w:color w:val="auto"/>
          <w:spacing w:val="-12"/>
          <w:sz w:val="24"/>
        </w:rPr>
        <w:t>管理部门审查。采购人遵循“谁过错谁负担”的原则，有过错的一方承担调查论证费用。</w:t>
      </w:r>
    </w:p>
    <w:p w14:paraId="2ACDF0CC">
      <w:pPr>
        <w:pStyle w:val="38"/>
        <w:keepNext w:val="0"/>
        <w:keepLines w:val="0"/>
        <w:pageBreakBefore w:val="0"/>
        <w:widowControl w:val="0"/>
        <w:numPr>
          <w:ilvl w:val="1"/>
          <w:numId w:val="12"/>
        </w:numPr>
        <w:tabs>
          <w:tab w:val="left" w:pos="1341"/>
        </w:tabs>
        <w:kinsoku/>
        <w:wordWrap w:val="0"/>
        <w:overflowPunct/>
        <w:topLinePunct w:val="0"/>
        <w:bidi w:val="0"/>
        <w:adjustRightInd/>
        <w:snapToGrid/>
        <w:spacing w:line="480" w:lineRule="exact"/>
        <w:ind w:left="0" w:right="0" w:firstLine="476" w:firstLineChars="200"/>
        <w:jc w:val="left"/>
        <w:textAlignment w:val="auto"/>
        <w:rPr>
          <w:color w:val="auto"/>
          <w:highlight w:val="none"/>
        </w:rPr>
      </w:pPr>
      <w:r>
        <w:rPr>
          <w:color w:val="auto"/>
          <w:spacing w:val="-1"/>
          <w:sz w:val="24"/>
          <w:highlight w:val="none"/>
        </w:rPr>
        <w:t>质疑供应商对采购人的答复不满意以及采购人未在规定的时间内做出答复的，</w:t>
      </w:r>
      <w:r>
        <w:rPr>
          <w:color w:val="auto"/>
          <w:spacing w:val="-7"/>
          <w:sz w:val="24"/>
          <w:highlight w:val="none"/>
        </w:rPr>
        <w:t>可以在答复期满后</w:t>
      </w:r>
      <w:r>
        <w:rPr>
          <w:color w:val="auto"/>
          <w:sz w:val="24"/>
          <w:highlight w:val="none"/>
        </w:rPr>
        <w:t>15</w:t>
      </w:r>
      <w:r>
        <w:rPr>
          <w:color w:val="auto"/>
          <w:spacing w:val="-8"/>
          <w:sz w:val="24"/>
          <w:highlight w:val="none"/>
        </w:rPr>
        <w:t>个工作日内向财政部门投诉。</w:t>
      </w:r>
    </w:p>
    <w:p w14:paraId="4D6453DC">
      <w:pPr>
        <w:pStyle w:val="38"/>
        <w:keepNext w:val="0"/>
        <w:keepLines w:val="0"/>
        <w:pageBreakBefore w:val="0"/>
        <w:widowControl w:val="0"/>
        <w:numPr>
          <w:ilvl w:val="0"/>
          <w:numId w:val="0"/>
        </w:numPr>
        <w:tabs>
          <w:tab w:val="left" w:pos="1341"/>
        </w:tabs>
        <w:kinsoku/>
        <w:wordWrap w:val="0"/>
        <w:overflowPunct/>
        <w:topLinePunct w:val="0"/>
        <w:autoSpaceDE w:val="0"/>
        <w:autoSpaceDN w:val="0"/>
        <w:bidi w:val="0"/>
        <w:adjustRightInd/>
        <w:snapToGrid/>
        <w:spacing w:line="480" w:lineRule="exact"/>
        <w:ind w:left="0" w:right="0" w:rightChars="0" w:firstLine="478" w:firstLineChars="200"/>
        <w:jc w:val="left"/>
        <w:textAlignment w:val="auto"/>
        <w:rPr>
          <w:rFonts w:hint="default" w:ascii="宋体" w:hAnsi="宋体" w:eastAsia="宋体" w:cs="宋体"/>
          <w:b/>
          <w:bCs/>
          <w:color w:val="auto"/>
          <w:spacing w:val="-1"/>
          <w:sz w:val="24"/>
          <w:highlight w:val="none"/>
          <w:lang w:val="en-US" w:eastAsia="zh-CN"/>
        </w:rPr>
      </w:pPr>
      <w:r>
        <w:rPr>
          <w:rFonts w:hint="eastAsia" w:ascii="宋体" w:hAnsi="宋体" w:eastAsia="宋体" w:cs="宋体"/>
          <w:b/>
          <w:bCs/>
          <w:color w:val="auto"/>
          <w:spacing w:val="-1"/>
          <w:sz w:val="24"/>
          <w:highlight w:val="none"/>
          <w:lang w:val="en-US" w:eastAsia="zh-CN"/>
        </w:rPr>
        <w:t>33.招标代理服务收费参照豫招协[2023]002号河南省招标投标协会关于印发《河南省招标代理服务收费指导意见》规定的收费标准收取中标服务费。</w:t>
      </w:r>
    </w:p>
    <w:p w14:paraId="11728A3C">
      <w:pPr>
        <w:pStyle w:val="38"/>
        <w:keepNext w:val="0"/>
        <w:keepLines w:val="0"/>
        <w:pageBreakBefore w:val="0"/>
        <w:widowControl w:val="0"/>
        <w:numPr>
          <w:ilvl w:val="0"/>
          <w:numId w:val="0"/>
        </w:numPr>
        <w:tabs>
          <w:tab w:val="left" w:pos="1341"/>
        </w:tabs>
        <w:kinsoku/>
        <w:wordWrap w:val="0"/>
        <w:overflowPunct/>
        <w:topLinePunct w:val="0"/>
        <w:autoSpaceDE w:val="0"/>
        <w:autoSpaceDN w:val="0"/>
        <w:bidi w:val="0"/>
        <w:adjustRightInd/>
        <w:snapToGrid/>
        <w:spacing w:line="480" w:lineRule="exact"/>
        <w:ind w:left="0" w:right="0" w:rightChars="0" w:firstLine="478" w:firstLineChars="200"/>
        <w:jc w:val="left"/>
        <w:textAlignment w:val="auto"/>
        <w:outlineLvl w:val="0"/>
        <w:rPr>
          <w:rFonts w:hint="default" w:ascii="宋体" w:hAnsi="宋体" w:eastAsia="宋体" w:cs="宋体"/>
          <w:b/>
          <w:bCs/>
          <w:color w:val="auto"/>
          <w:spacing w:val="-1"/>
          <w:sz w:val="24"/>
          <w:highlight w:val="none"/>
          <w:lang w:val="en-US" w:eastAsia="zh-CN"/>
        </w:rPr>
      </w:pPr>
      <w:bookmarkStart w:id="166" w:name="_Toc10193"/>
      <w:r>
        <w:rPr>
          <w:rFonts w:hint="eastAsia" w:ascii="宋体" w:hAnsi="宋体" w:eastAsia="宋体" w:cs="宋体"/>
          <w:b/>
          <w:bCs/>
          <w:color w:val="auto"/>
          <w:spacing w:val="-1"/>
          <w:sz w:val="24"/>
          <w:highlight w:val="none"/>
          <w:lang w:val="en-US" w:eastAsia="zh-CN"/>
        </w:rPr>
        <w:t>河南省招标代理服务费计算标准</w:t>
      </w:r>
      <w:bookmarkEnd w:id="166"/>
    </w:p>
    <w:tbl>
      <w:tblPr>
        <w:tblStyle w:val="20"/>
        <w:tblpPr w:leftFromText="180" w:rightFromText="180" w:vertAnchor="text" w:horzAnchor="page" w:tblpX="1468" w:tblpY="396"/>
        <w:tblOverlap w:val="never"/>
        <w:tblW w:w="87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
      <w:tblGrid>
        <w:gridCol w:w="3994"/>
        <w:gridCol w:w="1642"/>
        <w:gridCol w:w="1433"/>
        <w:gridCol w:w="1711"/>
      </w:tblGrid>
      <w:tr w14:paraId="668F8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vAlign w:val="center"/>
          </w:tcPr>
          <w:p w14:paraId="5B96C3A8">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项目类型/（金额万元）</w:t>
            </w:r>
          </w:p>
        </w:tc>
        <w:tc>
          <w:tcPr>
            <w:tcW w:w="1642" w:type="dxa"/>
            <w:tcBorders>
              <w:top w:val="single" w:color="000000" w:sz="4" w:space="0"/>
              <w:left w:val="single" w:color="000000" w:sz="4" w:space="0"/>
              <w:bottom w:val="single" w:color="000000" w:sz="4" w:space="0"/>
              <w:right w:val="single" w:color="000000" w:sz="4" w:space="0"/>
            </w:tcBorders>
            <w:vAlign w:val="center"/>
          </w:tcPr>
          <w:p w14:paraId="10B664F8">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工程</w:t>
            </w:r>
          </w:p>
        </w:tc>
        <w:tc>
          <w:tcPr>
            <w:tcW w:w="1433" w:type="dxa"/>
            <w:tcBorders>
              <w:top w:val="single" w:color="000000" w:sz="4" w:space="0"/>
              <w:left w:val="single" w:color="000000" w:sz="4" w:space="0"/>
              <w:bottom w:val="single" w:color="000000" w:sz="4" w:space="0"/>
              <w:right w:val="single" w:color="000000" w:sz="4" w:space="0"/>
            </w:tcBorders>
            <w:vAlign w:val="center"/>
          </w:tcPr>
          <w:p w14:paraId="5A5D6782">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货物</w:t>
            </w:r>
          </w:p>
        </w:tc>
        <w:tc>
          <w:tcPr>
            <w:tcW w:w="1711" w:type="dxa"/>
            <w:tcBorders>
              <w:top w:val="single" w:color="000000" w:sz="4" w:space="0"/>
              <w:left w:val="single" w:color="000000" w:sz="4" w:space="0"/>
              <w:bottom w:val="single" w:color="000000" w:sz="4" w:space="0"/>
              <w:right w:val="single" w:color="000000" w:sz="4" w:space="0"/>
            </w:tcBorders>
            <w:vAlign w:val="center"/>
          </w:tcPr>
          <w:p w14:paraId="674663B5">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服务</w:t>
            </w:r>
          </w:p>
        </w:tc>
      </w:tr>
      <w:tr w14:paraId="5AC63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89" w:hRule="atLeast"/>
        </w:trPr>
        <w:tc>
          <w:tcPr>
            <w:tcW w:w="3994" w:type="dxa"/>
            <w:tcBorders>
              <w:top w:val="single" w:color="000000" w:sz="4" w:space="0"/>
              <w:left w:val="single" w:color="000000" w:sz="4" w:space="0"/>
              <w:bottom w:val="single" w:color="000000" w:sz="4" w:space="0"/>
              <w:right w:val="single" w:color="000000" w:sz="4" w:space="0"/>
            </w:tcBorders>
            <w:vAlign w:val="center"/>
          </w:tcPr>
          <w:p w14:paraId="68CEF91F">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100万元以下（含100万元）</w:t>
            </w:r>
          </w:p>
        </w:tc>
        <w:tc>
          <w:tcPr>
            <w:tcW w:w="1642" w:type="dxa"/>
            <w:tcBorders>
              <w:top w:val="single" w:color="000000" w:sz="4" w:space="0"/>
              <w:left w:val="single" w:color="000000" w:sz="4" w:space="0"/>
              <w:bottom w:val="single" w:color="000000" w:sz="4" w:space="0"/>
              <w:right w:val="single" w:color="000000" w:sz="4" w:space="0"/>
            </w:tcBorders>
            <w:vAlign w:val="center"/>
          </w:tcPr>
          <w:p w14:paraId="32EC8EC5">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1.20%</w:t>
            </w:r>
          </w:p>
        </w:tc>
        <w:tc>
          <w:tcPr>
            <w:tcW w:w="1433" w:type="dxa"/>
            <w:tcBorders>
              <w:top w:val="single" w:color="000000" w:sz="4" w:space="0"/>
              <w:left w:val="single" w:color="000000" w:sz="4" w:space="0"/>
              <w:bottom w:val="single" w:color="000000" w:sz="4" w:space="0"/>
              <w:right w:val="single" w:color="000000" w:sz="4" w:space="0"/>
            </w:tcBorders>
            <w:vAlign w:val="center"/>
          </w:tcPr>
          <w:p w14:paraId="69850EE8">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1.70%</w:t>
            </w:r>
          </w:p>
        </w:tc>
        <w:tc>
          <w:tcPr>
            <w:tcW w:w="1711" w:type="dxa"/>
            <w:tcBorders>
              <w:top w:val="single" w:color="000000" w:sz="4" w:space="0"/>
              <w:left w:val="single" w:color="000000" w:sz="4" w:space="0"/>
              <w:bottom w:val="single" w:color="000000" w:sz="4" w:space="0"/>
              <w:right w:val="single" w:color="000000" w:sz="4" w:space="0"/>
            </w:tcBorders>
            <w:vAlign w:val="center"/>
          </w:tcPr>
          <w:p w14:paraId="0D54A0B0">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1.70%</w:t>
            </w:r>
          </w:p>
        </w:tc>
      </w:tr>
      <w:tr w14:paraId="05480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504" w:hRule="atLeast"/>
        </w:trPr>
        <w:tc>
          <w:tcPr>
            <w:tcW w:w="3994" w:type="dxa"/>
            <w:tcBorders>
              <w:top w:val="single" w:color="000000" w:sz="4" w:space="0"/>
              <w:left w:val="single" w:color="000000" w:sz="4" w:space="0"/>
              <w:bottom w:val="single" w:color="000000" w:sz="4" w:space="0"/>
              <w:right w:val="single" w:color="000000" w:sz="4" w:space="0"/>
            </w:tcBorders>
            <w:vAlign w:val="center"/>
          </w:tcPr>
          <w:p w14:paraId="6429E387">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100-500万元（含500万元）</w:t>
            </w:r>
          </w:p>
        </w:tc>
        <w:tc>
          <w:tcPr>
            <w:tcW w:w="1642" w:type="dxa"/>
            <w:tcBorders>
              <w:top w:val="single" w:color="000000" w:sz="4" w:space="0"/>
              <w:left w:val="single" w:color="000000" w:sz="4" w:space="0"/>
              <w:bottom w:val="single" w:color="000000" w:sz="4" w:space="0"/>
              <w:right w:val="single" w:color="000000" w:sz="4" w:space="0"/>
            </w:tcBorders>
            <w:vAlign w:val="center"/>
          </w:tcPr>
          <w:p w14:paraId="374841C9">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1.00%</w:t>
            </w:r>
          </w:p>
        </w:tc>
        <w:tc>
          <w:tcPr>
            <w:tcW w:w="1433" w:type="dxa"/>
            <w:tcBorders>
              <w:top w:val="single" w:color="000000" w:sz="4" w:space="0"/>
              <w:left w:val="single" w:color="000000" w:sz="4" w:space="0"/>
              <w:bottom w:val="single" w:color="000000" w:sz="4" w:space="0"/>
              <w:right w:val="single" w:color="000000" w:sz="4" w:space="0"/>
            </w:tcBorders>
            <w:vAlign w:val="center"/>
          </w:tcPr>
          <w:p w14:paraId="49131615">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1.20%</w:t>
            </w:r>
          </w:p>
        </w:tc>
        <w:tc>
          <w:tcPr>
            <w:tcW w:w="1711" w:type="dxa"/>
            <w:tcBorders>
              <w:top w:val="single" w:color="000000" w:sz="4" w:space="0"/>
              <w:left w:val="single" w:color="000000" w:sz="4" w:space="0"/>
              <w:bottom w:val="single" w:color="000000" w:sz="4" w:space="0"/>
              <w:right w:val="single" w:color="000000" w:sz="4" w:space="0"/>
            </w:tcBorders>
            <w:vAlign w:val="center"/>
          </w:tcPr>
          <w:p w14:paraId="6285C327">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1.20%</w:t>
            </w:r>
          </w:p>
        </w:tc>
      </w:tr>
      <w:tr w14:paraId="3BCE0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44" w:hRule="atLeast"/>
        </w:trPr>
        <w:tc>
          <w:tcPr>
            <w:tcW w:w="3994" w:type="dxa"/>
            <w:tcBorders>
              <w:top w:val="single" w:color="000000" w:sz="4" w:space="0"/>
              <w:left w:val="single" w:color="000000" w:sz="4" w:space="0"/>
              <w:bottom w:val="single" w:color="000000" w:sz="4" w:space="0"/>
              <w:right w:val="single" w:color="000000" w:sz="4" w:space="0"/>
            </w:tcBorders>
            <w:vAlign w:val="center"/>
          </w:tcPr>
          <w:p w14:paraId="2A12C38F">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500-1000万元（含1000万元）</w:t>
            </w:r>
          </w:p>
        </w:tc>
        <w:tc>
          <w:tcPr>
            <w:tcW w:w="1642" w:type="dxa"/>
            <w:tcBorders>
              <w:top w:val="single" w:color="000000" w:sz="4" w:space="0"/>
              <w:left w:val="single" w:color="000000" w:sz="4" w:space="0"/>
              <w:bottom w:val="single" w:color="000000" w:sz="4" w:space="0"/>
              <w:right w:val="single" w:color="000000" w:sz="4" w:space="0"/>
            </w:tcBorders>
            <w:vAlign w:val="center"/>
          </w:tcPr>
          <w:p w14:paraId="5D47F716">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0.70%</w:t>
            </w:r>
          </w:p>
        </w:tc>
        <w:tc>
          <w:tcPr>
            <w:tcW w:w="1433" w:type="dxa"/>
            <w:tcBorders>
              <w:top w:val="single" w:color="000000" w:sz="4" w:space="0"/>
              <w:left w:val="single" w:color="000000" w:sz="4" w:space="0"/>
              <w:bottom w:val="single" w:color="000000" w:sz="4" w:space="0"/>
              <w:right w:val="single" w:color="000000" w:sz="4" w:space="0"/>
            </w:tcBorders>
            <w:vAlign w:val="center"/>
          </w:tcPr>
          <w:p w14:paraId="5906FBA5">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0.80%</w:t>
            </w:r>
          </w:p>
        </w:tc>
        <w:tc>
          <w:tcPr>
            <w:tcW w:w="1711" w:type="dxa"/>
            <w:tcBorders>
              <w:top w:val="single" w:color="000000" w:sz="4" w:space="0"/>
              <w:left w:val="single" w:color="000000" w:sz="4" w:space="0"/>
              <w:bottom w:val="single" w:color="000000" w:sz="4" w:space="0"/>
              <w:right w:val="single" w:color="000000" w:sz="4" w:space="0"/>
            </w:tcBorders>
            <w:vAlign w:val="center"/>
          </w:tcPr>
          <w:p w14:paraId="6E6CED2B">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0.70%</w:t>
            </w:r>
          </w:p>
        </w:tc>
      </w:tr>
      <w:tr w14:paraId="0BEF5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74" w:hRule="atLeast"/>
        </w:trPr>
        <w:tc>
          <w:tcPr>
            <w:tcW w:w="3994" w:type="dxa"/>
            <w:tcBorders>
              <w:top w:val="single" w:color="000000" w:sz="4" w:space="0"/>
              <w:left w:val="single" w:color="000000" w:sz="4" w:space="0"/>
              <w:bottom w:val="single" w:color="auto" w:sz="4" w:space="0"/>
              <w:right w:val="single" w:color="000000" w:sz="4" w:space="0"/>
            </w:tcBorders>
            <w:vAlign w:val="center"/>
          </w:tcPr>
          <w:p w14:paraId="4BE0E381">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1000-5000万元（含5000万元）</w:t>
            </w:r>
          </w:p>
        </w:tc>
        <w:tc>
          <w:tcPr>
            <w:tcW w:w="1642" w:type="dxa"/>
            <w:tcBorders>
              <w:top w:val="single" w:color="000000" w:sz="4" w:space="0"/>
              <w:left w:val="single" w:color="000000" w:sz="4" w:space="0"/>
              <w:bottom w:val="single" w:color="auto" w:sz="4" w:space="0"/>
              <w:right w:val="single" w:color="000000" w:sz="4" w:space="0"/>
            </w:tcBorders>
            <w:vAlign w:val="center"/>
          </w:tcPr>
          <w:p w14:paraId="623CE888">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0.40%</w:t>
            </w:r>
          </w:p>
        </w:tc>
        <w:tc>
          <w:tcPr>
            <w:tcW w:w="1433" w:type="dxa"/>
            <w:tcBorders>
              <w:top w:val="single" w:color="000000" w:sz="4" w:space="0"/>
              <w:left w:val="single" w:color="000000" w:sz="4" w:space="0"/>
              <w:bottom w:val="single" w:color="auto" w:sz="4" w:space="0"/>
              <w:right w:val="single" w:color="000000" w:sz="4" w:space="0"/>
            </w:tcBorders>
            <w:vAlign w:val="center"/>
          </w:tcPr>
          <w:p w14:paraId="2D415EA4">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0.50%</w:t>
            </w:r>
          </w:p>
        </w:tc>
        <w:tc>
          <w:tcPr>
            <w:tcW w:w="1711" w:type="dxa"/>
            <w:tcBorders>
              <w:top w:val="single" w:color="000000" w:sz="4" w:space="0"/>
              <w:left w:val="single" w:color="000000" w:sz="4" w:space="0"/>
              <w:bottom w:val="single" w:color="auto" w:sz="4" w:space="0"/>
              <w:right w:val="single" w:color="000000" w:sz="4" w:space="0"/>
            </w:tcBorders>
            <w:vAlign w:val="center"/>
          </w:tcPr>
          <w:p w14:paraId="205B34B6">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0.40%</w:t>
            </w:r>
          </w:p>
        </w:tc>
      </w:tr>
      <w:tr w14:paraId="09720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504" w:hRule="atLeast"/>
        </w:trPr>
        <w:tc>
          <w:tcPr>
            <w:tcW w:w="3994" w:type="dxa"/>
            <w:tcBorders>
              <w:top w:val="single" w:color="auto" w:sz="4" w:space="0"/>
              <w:left w:val="single" w:color="auto" w:sz="4" w:space="0"/>
              <w:bottom w:val="single" w:color="auto" w:sz="4" w:space="0"/>
              <w:right w:val="single" w:color="auto" w:sz="4" w:space="0"/>
            </w:tcBorders>
            <w:vAlign w:val="center"/>
          </w:tcPr>
          <w:p w14:paraId="5B652B21">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5000万元--1亿元（含1亿元）</w:t>
            </w:r>
          </w:p>
        </w:tc>
        <w:tc>
          <w:tcPr>
            <w:tcW w:w="1642" w:type="dxa"/>
            <w:tcBorders>
              <w:top w:val="single" w:color="auto" w:sz="4" w:space="0"/>
              <w:left w:val="single" w:color="auto" w:sz="4" w:space="0"/>
              <w:bottom w:val="single" w:color="auto" w:sz="4" w:space="0"/>
              <w:right w:val="single" w:color="auto" w:sz="4" w:space="0"/>
            </w:tcBorders>
            <w:vAlign w:val="center"/>
          </w:tcPr>
          <w:p w14:paraId="2DCA05AA">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0.25%</w:t>
            </w:r>
          </w:p>
        </w:tc>
        <w:tc>
          <w:tcPr>
            <w:tcW w:w="1433" w:type="dxa"/>
            <w:tcBorders>
              <w:top w:val="single" w:color="auto" w:sz="4" w:space="0"/>
              <w:left w:val="single" w:color="auto" w:sz="4" w:space="0"/>
              <w:bottom w:val="single" w:color="auto" w:sz="4" w:space="0"/>
              <w:right w:val="single" w:color="auto" w:sz="4" w:space="0"/>
            </w:tcBorders>
            <w:vAlign w:val="center"/>
          </w:tcPr>
          <w:p w14:paraId="69FF4102">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0.30%</w:t>
            </w:r>
          </w:p>
        </w:tc>
        <w:tc>
          <w:tcPr>
            <w:tcW w:w="1711" w:type="dxa"/>
            <w:tcBorders>
              <w:top w:val="single" w:color="auto" w:sz="4" w:space="0"/>
              <w:left w:val="single" w:color="auto" w:sz="4" w:space="0"/>
              <w:bottom w:val="single" w:color="auto" w:sz="4" w:space="0"/>
              <w:right w:val="single" w:color="auto" w:sz="4" w:space="0"/>
            </w:tcBorders>
            <w:vAlign w:val="center"/>
          </w:tcPr>
          <w:p w14:paraId="6307FDED">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0.25%</w:t>
            </w:r>
          </w:p>
        </w:tc>
      </w:tr>
      <w:tr w14:paraId="7C6FC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89" w:hRule="atLeast"/>
        </w:trPr>
        <w:tc>
          <w:tcPr>
            <w:tcW w:w="3994" w:type="dxa"/>
            <w:tcBorders>
              <w:top w:val="single" w:color="auto" w:sz="4" w:space="0"/>
              <w:left w:val="single" w:color="auto" w:sz="4" w:space="0"/>
              <w:bottom w:val="single" w:color="auto" w:sz="4" w:space="0"/>
              <w:right w:val="single" w:color="auto" w:sz="4" w:space="0"/>
            </w:tcBorders>
            <w:vAlign w:val="center"/>
          </w:tcPr>
          <w:p w14:paraId="31B71B73">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1亿--5亿元（含5亿元）</w:t>
            </w:r>
          </w:p>
        </w:tc>
        <w:tc>
          <w:tcPr>
            <w:tcW w:w="1642" w:type="dxa"/>
            <w:tcBorders>
              <w:top w:val="single" w:color="auto" w:sz="4" w:space="0"/>
              <w:left w:val="single" w:color="auto" w:sz="4" w:space="0"/>
              <w:bottom w:val="single" w:color="auto" w:sz="4" w:space="0"/>
              <w:right w:val="single" w:color="auto" w:sz="4" w:space="0"/>
            </w:tcBorders>
            <w:vAlign w:val="center"/>
          </w:tcPr>
          <w:p w14:paraId="2EF685EC">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0.10%</w:t>
            </w:r>
          </w:p>
        </w:tc>
        <w:tc>
          <w:tcPr>
            <w:tcW w:w="1433" w:type="dxa"/>
            <w:tcBorders>
              <w:top w:val="single" w:color="auto" w:sz="4" w:space="0"/>
              <w:left w:val="single" w:color="auto" w:sz="4" w:space="0"/>
              <w:bottom w:val="single" w:color="auto" w:sz="4" w:space="0"/>
              <w:right w:val="single" w:color="auto" w:sz="4" w:space="0"/>
            </w:tcBorders>
            <w:vAlign w:val="center"/>
          </w:tcPr>
          <w:p w14:paraId="2BD3DB56">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0.10%</w:t>
            </w:r>
          </w:p>
        </w:tc>
        <w:tc>
          <w:tcPr>
            <w:tcW w:w="1711" w:type="dxa"/>
            <w:tcBorders>
              <w:top w:val="single" w:color="auto" w:sz="4" w:space="0"/>
              <w:left w:val="single" w:color="auto" w:sz="4" w:space="0"/>
              <w:bottom w:val="single" w:color="auto" w:sz="4" w:space="0"/>
              <w:right w:val="single" w:color="auto" w:sz="4" w:space="0"/>
            </w:tcBorders>
            <w:vAlign w:val="center"/>
          </w:tcPr>
          <w:p w14:paraId="2F471EFE">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0.10%</w:t>
            </w:r>
          </w:p>
        </w:tc>
      </w:tr>
      <w:tr w14:paraId="2184C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549" w:hRule="atLeast"/>
        </w:trPr>
        <w:tc>
          <w:tcPr>
            <w:tcW w:w="3994" w:type="dxa"/>
            <w:tcBorders>
              <w:top w:val="single" w:color="auto" w:sz="4" w:space="0"/>
              <w:left w:val="single" w:color="auto" w:sz="4" w:space="0"/>
              <w:bottom w:val="single" w:color="auto" w:sz="4" w:space="0"/>
              <w:right w:val="single" w:color="auto" w:sz="4" w:space="0"/>
            </w:tcBorders>
            <w:vAlign w:val="center"/>
          </w:tcPr>
          <w:p w14:paraId="125B7172">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5亿--10亿元（含10亿元）</w:t>
            </w:r>
          </w:p>
        </w:tc>
        <w:tc>
          <w:tcPr>
            <w:tcW w:w="1642" w:type="dxa"/>
            <w:tcBorders>
              <w:top w:val="single" w:color="auto" w:sz="4" w:space="0"/>
              <w:left w:val="single" w:color="auto" w:sz="4" w:space="0"/>
              <w:bottom w:val="single" w:color="auto" w:sz="4" w:space="0"/>
              <w:right w:val="single" w:color="auto" w:sz="4" w:space="0"/>
            </w:tcBorders>
            <w:vAlign w:val="center"/>
          </w:tcPr>
          <w:p w14:paraId="61363D0E">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0.045%</w:t>
            </w:r>
          </w:p>
        </w:tc>
        <w:tc>
          <w:tcPr>
            <w:tcW w:w="1433" w:type="dxa"/>
            <w:tcBorders>
              <w:top w:val="single" w:color="auto" w:sz="4" w:space="0"/>
              <w:left w:val="single" w:color="auto" w:sz="4" w:space="0"/>
              <w:bottom w:val="single" w:color="auto" w:sz="4" w:space="0"/>
              <w:right w:val="single" w:color="auto" w:sz="4" w:space="0"/>
            </w:tcBorders>
            <w:vAlign w:val="center"/>
          </w:tcPr>
          <w:p w14:paraId="1C34EA2E">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0.045%</w:t>
            </w:r>
          </w:p>
        </w:tc>
        <w:tc>
          <w:tcPr>
            <w:tcW w:w="1711" w:type="dxa"/>
            <w:tcBorders>
              <w:top w:val="single" w:color="auto" w:sz="4" w:space="0"/>
              <w:left w:val="single" w:color="auto" w:sz="4" w:space="0"/>
              <w:bottom w:val="single" w:color="auto" w:sz="4" w:space="0"/>
              <w:right w:val="single" w:color="auto" w:sz="4" w:space="0"/>
            </w:tcBorders>
            <w:vAlign w:val="center"/>
          </w:tcPr>
          <w:p w14:paraId="5E1F9491">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0.045%</w:t>
            </w:r>
          </w:p>
        </w:tc>
      </w:tr>
      <w:tr w14:paraId="748AF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89" w:hRule="atLeast"/>
        </w:trPr>
        <w:tc>
          <w:tcPr>
            <w:tcW w:w="3994" w:type="dxa"/>
            <w:tcBorders>
              <w:top w:val="single" w:color="auto" w:sz="4" w:space="0"/>
              <w:left w:val="single" w:color="000000" w:sz="4" w:space="0"/>
              <w:bottom w:val="single" w:color="000000" w:sz="4" w:space="0"/>
              <w:right w:val="single" w:color="000000" w:sz="4" w:space="0"/>
            </w:tcBorders>
            <w:vAlign w:val="center"/>
          </w:tcPr>
          <w:p w14:paraId="68D0A617">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10亿--50亿元（含50亿元）</w:t>
            </w:r>
          </w:p>
        </w:tc>
        <w:tc>
          <w:tcPr>
            <w:tcW w:w="1642" w:type="dxa"/>
            <w:tcBorders>
              <w:top w:val="single" w:color="auto" w:sz="4" w:space="0"/>
              <w:left w:val="single" w:color="000000" w:sz="4" w:space="0"/>
              <w:bottom w:val="single" w:color="000000" w:sz="4" w:space="0"/>
              <w:right w:val="single" w:color="000000" w:sz="4" w:space="0"/>
            </w:tcBorders>
            <w:vAlign w:val="center"/>
          </w:tcPr>
          <w:p w14:paraId="09954B79">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0.010%</w:t>
            </w:r>
          </w:p>
        </w:tc>
        <w:tc>
          <w:tcPr>
            <w:tcW w:w="1433" w:type="dxa"/>
            <w:tcBorders>
              <w:top w:val="single" w:color="auto" w:sz="4" w:space="0"/>
              <w:left w:val="single" w:color="000000" w:sz="4" w:space="0"/>
              <w:bottom w:val="single" w:color="000000" w:sz="4" w:space="0"/>
              <w:right w:val="single" w:color="000000" w:sz="4" w:space="0"/>
            </w:tcBorders>
            <w:vAlign w:val="center"/>
          </w:tcPr>
          <w:p w14:paraId="6948194D">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0.010%</w:t>
            </w:r>
          </w:p>
        </w:tc>
        <w:tc>
          <w:tcPr>
            <w:tcW w:w="1711" w:type="dxa"/>
            <w:tcBorders>
              <w:top w:val="single" w:color="auto" w:sz="4" w:space="0"/>
              <w:left w:val="single" w:color="000000" w:sz="4" w:space="0"/>
              <w:bottom w:val="single" w:color="000000" w:sz="4" w:space="0"/>
              <w:right w:val="single" w:color="000000" w:sz="4" w:space="0"/>
            </w:tcBorders>
            <w:vAlign w:val="center"/>
          </w:tcPr>
          <w:p w14:paraId="6BD66A6A">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0.010%</w:t>
            </w:r>
          </w:p>
        </w:tc>
      </w:tr>
      <w:tr w14:paraId="4E5B2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549" w:hRule="atLeast"/>
        </w:trPr>
        <w:tc>
          <w:tcPr>
            <w:tcW w:w="3994" w:type="dxa"/>
            <w:tcBorders>
              <w:top w:val="single" w:color="000000" w:sz="4" w:space="0"/>
              <w:left w:val="single" w:color="000000" w:sz="4" w:space="0"/>
              <w:bottom w:val="single" w:color="000000" w:sz="4" w:space="0"/>
              <w:right w:val="single" w:color="000000" w:sz="4" w:space="0"/>
            </w:tcBorders>
            <w:vAlign w:val="center"/>
          </w:tcPr>
          <w:p w14:paraId="2B545DE4">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50亿--100亿元（含</w:t>
            </w:r>
            <w:r>
              <w:rPr>
                <w:rFonts w:hint="eastAsia" w:ascii="宋体" w:hAnsi="宋体"/>
                <w:b w:val="0"/>
                <w:i w:val="0"/>
                <w:snapToGrid/>
                <w:color w:val="auto"/>
                <w:sz w:val="24"/>
                <w:szCs w:val="18"/>
                <w:u w:val="none"/>
                <w:lang w:val="en-US" w:eastAsia="zh-CN"/>
              </w:rPr>
              <w:t>100</w:t>
            </w:r>
            <w:r>
              <w:rPr>
                <w:rFonts w:hint="default" w:ascii="宋体" w:hAnsi="宋体" w:eastAsia="宋体"/>
                <w:b w:val="0"/>
                <w:i w:val="0"/>
                <w:snapToGrid/>
                <w:color w:val="auto"/>
                <w:sz w:val="24"/>
                <w:szCs w:val="18"/>
                <w:u w:val="none"/>
                <w:lang w:eastAsia="zh-CN"/>
              </w:rPr>
              <w:t>亿元）</w:t>
            </w:r>
          </w:p>
        </w:tc>
        <w:tc>
          <w:tcPr>
            <w:tcW w:w="1642" w:type="dxa"/>
            <w:tcBorders>
              <w:top w:val="single" w:color="000000" w:sz="4" w:space="0"/>
              <w:left w:val="single" w:color="000000" w:sz="4" w:space="0"/>
              <w:bottom w:val="single" w:color="000000" w:sz="4" w:space="0"/>
              <w:right w:val="single" w:color="000000" w:sz="4" w:space="0"/>
            </w:tcBorders>
            <w:vAlign w:val="center"/>
          </w:tcPr>
          <w:p w14:paraId="78462F13">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0.008%</w:t>
            </w:r>
          </w:p>
        </w:tc>
        <w:tc>
          <w:tcPr>
            <w:tcW w:w="1433" w:type="dxa"/>
            <w:tcBorders>
              <w:top w:val="single" w:color="000000" w:sz="4" w:space="0"/>
              <w:left w:val="single" w:color="000000" w:sz="4" w:space="0"/>
              <w:bottom w:val="single" w:color="000000" w:sz="4" w:space="0"/>
              <w:right w:val="single" w:color="000000" w:sz="4" w:space="0"/>
            </w:tcBorders>
            <w:vAlign w:val="center"/>
          </w:tcPr>
          <w:p w14:paraId="269A2648">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0.008%</w:t>
            </w:r>
          </w:p>
        </w:tc>
        <w:tc>
          <w:tcPr>
            <w:tcW w:w="1711" w:type="dxa"/>
            <w:tcBorders>
              <w:top w:val="single" w:color="000000" w:sz="4" w:space="0"/>
              <w:left w:val="single" w:color="000000" w:sz="4" w:space="0"/>
              <w:bottom w:val="single" w:color="000000" w:sz="4" w:space="0"/>
              <w:right w:val="single" w:color="000000" w:sz="4" w:space="0"/>
            </w:tcBorders>
            <w:vAlign w:val="center"/>
          </w:tcPr>
          <w:p w14:paraId="2C134C7C">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0.008%</w:t>
            </w:r>
          </w:p>
        </w:tc>
      </w:tr>
      <w:tr w14:paraId="3104B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579" w:hRule="atLeast"/>
        </w:trPr>
        <w:tc>
          <w:tcPr>
            <w:tcW w:w="3994" w:type="dxa"/>
            <w:tcBorders>
              <w:top w:val="single" w:color="000000" w:sz="4" w:space="0"/>
              <w:left w:val="single" w:color="000000" w:sz="4" w:space="0"/>
              <w:bottom w:val="single" w:color="000000" w:sz="4" w:space="0"/>
              <w:right w:val="single" w:color="000000" w:sz="4" w:space="0"/>
            </w:tcBorders>
            <w:vAlign w:val="center"/>
          </w:tcPr>
          <w:p w14:paraId="7FB42EDF">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100亿元以上</w:t>
            </w:r>
          </w:p>
        </w:tc>
        <w:tc>
          <w:tcPr>
            <w:tcW w:w="1642" w:type="dxa"/>
            <w:tcBorders>
              <w:top w:val="single" w:color="000000" w:sz="4" w:space="0"/>
              <w:left w:val="single" w:color="000000" w:sz="4" w:space="0"/>
              <w:bottom w:val="single" w:color="000000" w:sz="4" w:space="0"/>
              <w:right w:val="single" w:color="000000" w:sz="4" w:space="0"/>
            </w:tcBorders>
            <w:vAlign w:val="center"/>
          </w:tcPr>
          <w:p w14:paraId="26728274">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0.004%</w:t>
            </w:r>
          </w:p>
        </w:tc>
        <w:tc>
          <w:tcPr>
            <w:tcW w:w="1433" w:type="dxa"/>
            <w:tcBorders>
              <w:top w:val="single" w:color="000000" w:sz="4" w:space="0"/>
              <w:left w:val="single" w:color="000000" w:sz="4" w:space="0"/>
              <w:bottom w:val="single" w:color="000000" w:sz="4" w:space="0"/>
              <w:right w:val="single" w:color="000000" w:sz="4" w:space="0"/>
            </w:tcBorders>
            <w:vAlign w:val="center"/>
          </w:tcPr>
          <w:p w14:paraId="77425342">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0.004%</w:t>
            </w:r>
          </w:p>
        </w:tc>
        <w:tc>
          <w:tcPr>
            <w:tcW w:w="1711" w:type="dxa"/>
            <w:tcBorders>
              <w:top w:val="single" w:color="000000" w:sz="4" w:space="0"/>
              <w:left w:val="single" w:color="000000" w:sz="4" w:space="0"/>
              <w:bottom w:val="single" w:color="000000" w:sz="4" w:space="0"/>
              <w:right w:val="single" w:color="000000" w:sz="4" w:space="0"/>
            </w:tcBorders>
            <w:vAlign w:val="center"/>
          </w:tcPr>
          <w:p w14:paraId="6FB95C53">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0.004%</w:t>
            </w:r>
          </w:p>
        </w:tc>
      </w:tr>
      <w:tr w14:paraId="24B70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21" w:hRule="atLeast"/>
        </w:trPr>
        <w:tc>
          <w:tcPr>
            <w:tcW w:w="8780" w:type="dxa"/>
            <w:gridSpan w:val="4"/>
            <w:vAlign w:val="center"/>
          </w:tcPr>
          <w:p w14:paraId="3D56FFD5">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u w:val="none"/>
                <w:lang w:eastAsia="zh-CN"/>
              </w:rPr>
            </w:pPr>
            <w:r>
              <w:rPr>
                <w:rFonts w:hint="default" w:ascii="宋体" w:hAnsi="宋体" w:eastAsia="宋体"/>
                <w:b w:val="0"/>
                <w:i w:val="0"/>
                <w:snapToGrid/>
                <w:color w:val="auto"/>
                <w:sz w:val="24"/>
                <w:szCs w:val="24"/>
                <w:u w:val="none"/>
                <w:lang w:eastAsia="zh-CN"/>
              </w:rPr>
              <w:t>注：1.按本表费率计算的收费金额为招标代理服务费的基准价格，不含工程量清单、最高投标限价（招标控制价）或标底的编制费用。</w:t>
            </w:r>
          </w:p>
          <w:p w14:paraId="6BB05EA5">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u w:val="none"/>
                <w:lang w:val="en-US" w:eastAsia="zh-CN"/>
              </w:rPr>
            </w:pPr>
            <w:r>
              <w:rPr>
                <w:rFonts w:hint="eastAsia" w:ascii="宋体" w:hAnsi="宋体" w:eastAsia="宋体"/>
                <w:b w:val="0"/>
                <w:i w:val="0"/>
                <w:snapToGrid/>
                <w:color w:val="auto"/>
                <w:sz w:val="24"/>
                <w:szCs w:val="24"/>
                <w:u w:val="none"/>
                <w:lang w:val="en-US" w:eastAsia="zh-CN"/>
              </w:rPr>
              <w:t>2.招标代理服务收费按差额定率累进法计算。</w:t>
            </w:r>
          </w:p>
          <w:p w14:paraId="183C23EC">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u w:val="none"/>
                <w:lang w:eastAsia="zh-CN"/>
              </w:rPr>
            </w:pPr>
            <w:r>
              <w:rPr>
                <w:rFonts w:hint="default" w:ascii="宋体" w:hAnsi="宋体" w:eastAsia="宋体"/>
                <w:b w:val="0"/>
                <w:i w:val="0"/>
                <w:snapToGrid/>
                <w:color w:val="auto"/>
                <w:sz w:val="24"/>
                <w:szCs w:val="24"/>
                <w:u w:val="none"/>
                <w:lang w:eastAsia="zh-CN"/>
              </w:rPr>
              <w:t>例如: 某工程招标代理业务，项目预算金额（招标控制价）为10000 万元，招标代理服务收费计算如下:</w:t>
            </w:r>
          </w:p>
          <w:p w14:paraId="15B69334">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u w:val="none"/>
                <w:lang w:eastAsia="zh-CN"/>
              </w:rPr>
            </w:pPr>
            <w:r>
              <w:rPr>
                <w:rFonts w:hint="eastAsia" w:ascii="宋体" w:hAnsi="宋体"/>
                <w:b w:val="0"/>
                <w:i w:val="0"/>
                <w:snapToGrid/>
                <w:color w:val="auto"/>
                <w:sz w:val="24"/>
                <w:szCs w:val="24"/>
                <w:u w:val="none"/>
                <w:lang w:val="en-US" w:eastAsia="zh-CN"/>
              </w:rPr>
              <w:t xml:space="preserve"> </w:t>
            </w:r>
            <w:r>
              <w:rPr>
                <w:rFonts w:hint="default" w:ascii="宋体" w:hAnsi="宋体" w:eastAsia="宋体"/>
                <w:b w:val="0"/>
                <w:i w:val="0"/>
                <w:snapToGrid/>
                <w:color w:val="auto"/>
                <w:sz w:val="24"/>
                <w:szCs w:val="24"/>
                <w:u w:val="none"/>
                <w:lang w:eastAsia="zh-CN"/>
              </w:rPr>
              <w:t>100万元×1.2%=1.2万元</w:t>
            </w:r>
          </w:p>
          <w:p w14:paraId="521D6F55">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u w:val="none"/>
                <w:lang w:eastAsia="zh-CN"/>
              </w:rPr>
            </w:pPr>
            <w:r>
              <w:rPr>
                <w:rFonts w:hint="default" w:ascii="宋体" w:hAnsi="宋体" w:eastAsia="宋体"/>
                <w:b w:val="0"/>
                <w:i w:val="0"/>
                <w:snapToGrid/>
                <w:color w:val="auto"/>
                <w:sz w:val="24"/>
                <w:szCs w:val="24"/>
                <w:u w:val="none"/>
                <w:lang w:eastAsia="zh-CN"/>
              </w:rPr>
              <w:t>（500-100）万元×1.0%=4万元</w:t>
            </w:r>
          </w:p>
          <w:p w14:paraId="153C02F4">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u w:val="none"/>
                <w:lang w:eastAsia="zh-CN"/>
              </w:rPr>
            </w:pPr>
            <w:r>
              <w:rPr>
                <w:rFonts w:hint="default" w:ascii="宋体" w:hAnsi="宋体" w:eastAsia="宋体"/>
                <w:b w:val="0"/>
                <w:i w:val="0"/>
                <w:snapToGrid/>
                <w:color w:val="auto"/>
                <w:sz w:val="24"/>
                <w:szCs w:val="24"/>
                <w:u w:val="none"/>
                <w:lang w:eastAsia="zh-CN"/>
              </w:rPr>
              <w:t>（1000-500）×0.7%=3.5万元</w:t>
            </w:r>
          </w:p>
          <w:p w14:paraId="19470042">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u w:val="none"/>
                <w:lang w:eastAsia="zh-CN"/>
              </w:rPr>
            </w:pPr>
            <w:r>
              <w:rPr>
                <w:rFonts w:hint="default" w:ascii="宋体" w:hAnsi="宋体" w:eastAsia="宋体"/>
                <w:b w:val="0"/>
                <w:i w:val="0"/>
                <w:snapToGrid/>
                <w:color w:val="auto"/>
                <w:sz w:val="24"/>
                <w:szCs w:val="24"/>
                <w:u w:val="none"/>
                <w:lang w:eastAsia="zh-CN"/>
              </w:rPr>
              <w:t>（5000-1000）×0.4%=16万元</w:t>
            </w:r>
          </w:p>
          <w:p w14:paraId="0C35B9D1">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u w:val="none"/>
                <w:lang w:eastAsia="zh-CN"/>
              </w:rPr>
            </w:pPr>
            <w:r>
              <w:rPr>
                <w:rFonts w:hint="default" w:ascii="宋体" w:hAnsi="宋体" w:eastAsia="宋体"/>
                <w:b w:val="0"/>
                <w:i w:val="0"/>
                <w:snapToGrid/>
                <w:color w:val="auto"/>
                <w:sz w:val="24"/>
                <w:szCs w:val="24"/>
                <w:u w:val="none"/>
                <w:lang w:eastAsia="zh-CN"/>
              </w:rPr>
              <w:t>（10000-5000）×0.25%=12.5万元</w:t>
            </w:r>
          </w:p>
          <w:p w14:paraId="1BC6BCCD">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1"/>
                <w:szCs w:val="18"/>
                <w:u w:val="none"/>
                <w:lang w:eastAsia="zh-CN"/>
              </w:rPr>
            </w:pPr>
            <w:r>
              <w:rPr>
                <w:rFonts w:hint="default" w:ascii="宋体" w:hAnsi="宋体" w:eastAsia="宋体"/>
                <w:b w:val="0"/>
                <w:i w:val="0"/>
                <w:snapToGrid/>
                <w:color w:val="auto"/>
                <w:sz w:val="24"/>
                <w:szCs w:val="24"/>
                <w:u w:val="none"/>
                <w:lang w:eastAsia="zh-CN"/>
              </w:rPr>
              <w:t>合计收费=1.2+4+3.5+16+12.5=37.2万元</w:t>
            </w:r>
          </w:p>
        </w:tc>
      </w:tr>
    </w:tbl>
    <w:p w14:paraId="737BDCE9">
      <w:pPr>
        <w:pStyle w:val="38"/>
        <w:widowControl w:val="0"/>
        <w:numPr>
          <w:ilvl w:val="0"/>
          <w:numId w:val="0"/>
        </w:numPr>
        <w:tabs>
          <w:tab w:val="left" w:pos="1341"/>
        </w:tabs>
        <w:autoSpaceDE w:val="0"/>
        <w:autoSpaceDN w:val="0"/>
        <w:spacing w:line="328" w:lineRule="auto"/>
        <w:ind w:right="338" w:rightChars="0"/>
        <w:jc w:val="both"/>
        <w:rPr>
          <w:color w:val="auto"/>
        </w:rPr>
      </w:pPr>
    </w:p>
    <w:p w14:paraId="5DFBE944">
      <w:pPr>
        <w:pStyle w:val="38"/>
        <w:widowControl w:val="0"/>
        <w:numPr>
          <w:ilvl w:val="0"/>
          <w:numId w:val="0"/>
        </w:numPr>
        <w:tabs>
          <w:tab w:val="left" w:pos="1341"/>
        </w:tabs>
        <w:autoSpaceDE w:val="0"/>
        <w:autoSpaceDN w:val="0"/>
        <w:spacing w:line="328" w:lineRule="auto"/>
        <w:ind w:right="338" w:rightChars="0"/>
        <w:jc w:val="both"/>
        <w:rPr>
          <w:color w:val="auto"/>
        </w:rPr>
        <w:sectPr>
          <w:footerReference r:id="rId6" w:type="default"/>
          <w:pgSz w:w="11910" w:h="16840"/>
          <w:pgMar w:top="1440" w:right="1800" w:bottom="1440" w:left="1800" w:header="0" w:footer="640" w:gutter="0"/>
          <w:pgNumType w:fmt="decimal"/>
          <w:cols w:space="720" w:num="1"/>
        </w:sectPr>
      </w:pPr>
    </w:p>
    <w:p w14:paraId="3B147139">
      <w:pPr>
        <w:keepNext w:val="0"/>
        <w:keepLines w:val="0"/>
        <w:pageBreakBefore w:val="0"/>
        <w:widowControl w:val="0"/>
        <w:numPr>
          <w:ilvl w:val="0"/>
          <w:numId w:val="0"/>
        </w:numPr>
        <w:kinsoku/>
        <w:wordWrap/>
        <w:overflowPunct/>
        <w:topLinePunct w:val="0"/>
        <w:bidi w:val="0"/>
        <w:adjustRightInd w:val="0"/>
        <w:snapToGrid w:val="0"/>
        <w:spacing w:before="0" w:after="0" w:line="360" w:lineRule="auto"/>
        <w:outlineLvl w:val="9"/>
        <w:rPr>
          <w:rFonts w:hint="eastAsia" w:ascii="宋体" w:hAnsi="宋体" w:eastAsia="宋体" w:cs="宋体"/>
          <w:color w:val="auto"/>
          <w:sz w:val="24"/>
          <w:szCs w:val="24"/>
          <w:highlight w:val="none"/>
          <w:lang w:eastAsia="zh-CN"/>
        </w:rPr>
      </w:pPr>
      <w:bookmarkStart w:id="167" w:name="_Toc25877"/>
      <w:bookmarkStart w:id="168" w:name="_Toc29960"/>
      <w:r>
        <w:rPr>
          <w:rFonts w:hint="eastAsia" w:ascii="宋体" w:hAnsi="宋体" w:eastAsia="宋体" w:cs="宋体"/>
          <w:color w:val="auto"/>
          <w:sz w:val="24"/>
          <w:szCs w:val="24"/>
          <w:highlight w:val="none"/>
        </w:rPr>
        <w:t>附件</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：河南省政府采购合同融资政策告知函</w:t>
      </w:r>
    </w:p>
    <w:p w14:paraId="446D7478">
      <w:pPr>
        <w:keepNext w:val="0"/>
        <w:keepLines w:val="0"/>
        <w:pageBreakBefore w:val="0"/>
        <w:widowControl w:val="0"/>
        <w:kinsoku/>
        <w:wordWrap/>
        <w:overflowPunct/>
        <w:topLinePunct w:val="0"/>
        <w:bidi w:val="0"/>
        <w:adjustRightInd w:val="0"/>
        <w:snapToGrid w:val="0"/>
        <w:spacing w:line="360" w:lineRule="auto"/>
        <w:ind w:firstLine="482" w:firstLineChars="200"/>
        <w:jc w:val="center"/>
        <w:rPr>
          <w:rFonts w:hint="eastAsia" w:ascii="宋体" w:hAnsi="宋体" w:eastAsia="宋体" w:cs="宋体"/>
          <w:b/>
          <w:bCs/>
          <w:color w:val="auto"/>
          <w:sz w:val="24"/>
          <w:szCs w:val="24"/>
          <w:highlight w:val="none"/>
        </w:rPr>
      </w:pPr>
      <w:bookmarkStart w:id="169" w:name="_Toc19399"/>
      <w:bookmarkStart w:id="170" w:name="_Toc7567"/>
    </w:p>
    <w:p w14:paraId="3DF91D9D">
      <w:pPr>
        <w:keepNext w:val="0"/>
        <w:keepLines w:val="0"/>
        <w:pageBreakBefore w:val="0"/>
        <w:widowControl w:val="0"/>
        <w:kinsoku/>
        <w:wordWrap/>
        <w:overflowPunct/>
        <w:topLinePunct w:val="0"/>
        <w:bidi w:val="0"/>
        <w:adjustRightInd w:val="0"/>
        <w:snapToGrid w:val="0"/>
        <w:spacing w:line="360" w:lineRule="auto"/>
        <w:ind w:firstLine="482" w:firstLineChars="200"/>
        <w:jc w:val="center"/>
        <w:outlineLvl w:val="0"/>
        <w:rPr>
          <w:rFonts w:hint="eastAsia" w:ascii="宋体" w:hAnsi="宋体" w:eastAsia="宋体" w:cs="宋体"/>
          <w:color w:val="auto"/>
          <w:sz w:val="24"/>
          <w:szCs w:val="24"/>
          <w:highlight w:val="none"/>
        </w:rPr>
      </w:pPr>
      <w:bookmarkStart w:id="171" w:name="_Toc32579"/>
      <w:r>
        <w:rPr>
          <w:rFonts w:hint="eastAsia" w:ascii="宋体" w:hAnsi="宋体" w:eastAsia="宋体" w:cs="宋体"/>
          <w:b/>
          <w:bCs/>
          <w:color w:val="auto"/>
          <w:sz w:val="24"/>
          <w:szCs w:val="24"/>
          <w:highlight w:val="none"/>
        </w:rPr>
        <w:t>河南省政府采购合同融资政策告知函</w:t>
      </w:r>
      <w:bookmarkEnd w:id="169"/>
      <w:bookmarkEnd w:id="170"/>
      <w:bookmarkEnd w:id="171"/>
    </w:p>
    <w:p w14:paraId="47E3FE35">
      <w:pPr>
        <w:keepNext w:val="0"/>
        <w:keepLines w:val="0"/>
        <w:pageBreakBefore w:val="0"/>
        <w:widowControl w:val="0"/>
        <w:kinsoku/>
        <w:wordWrap/>
        <w:overflowPunct/>
        <w:topLinePunct w:val="0"/>
        <w:bidi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p>
    <w:p w14:paraId="5BC49507">
      <w:pPr>
        <w:keepNext w:val="0"/>
        <w:keepLines w:val="0"/>
        <w:pageBreakBefore w:val="0"/>
        <w:widowControl w:val="0"/>
        <w:kinsoku/>
        <w:wordWrap/>
        <w:overflowPunct/>
        <w:topLinePunct w:val="0"/>
        <w:bidi w:val="0"/>
        <w:adjustRightInd w:val="0"/>
        <w:snapToGrid w:val="0"/>
        <w:spacing w:line="360" w:lineRule="auto"/>
        <w:ind w:firstLine="480" w:firstLineChars="200"/>
        <w:jc w:val="left"/>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各</w:t>
      </w:r>
      <w:r>
        <w:rPr>
          <w:rFonts w:hint="eastAsia" w:ascii="宋体" w:hAnsi="宋体" w:eastAsia="宋体" w:cs="宋体"/>
          <w:b w:val="0"/>
          <w:bCs w:val="0"/>
          <w:color w:val="auto"/>
          <w:sz w:val="24"/>
          <w:szCs w:val="24"/>
          <w:highlight w:val="none"/>
          <w:lang w:eastAsia="zh-CN"/>
        </w:rPr>
        <w:t>投标人</w:t>
      </w:r>
      <w:r>
        <w:rPr>
          <w:rFonts w:hint="eastAsia" w:ascii="宋体" w:hAnsi="宋体" w:eastAsia="宋体" w:cs="宋体"/>
          <w:b w:val="0"/>
          <w:bCs w:val="0"/>
          <w:color w:val="auto"/>
          <w:sz w:val="24"/>
          <w:szCs w:val="24"/>
          <w:highlight w:val="none"/>
        </w:rPr>
        <w:t>：</w:t>
      </w:r>
    </w:p>
    <w:p w14:paraId="2B2CFCB1">
      <w:pPr>
        <w:keepNext w:val="0"/>
        <w:keepLines w:val="0"/>
        <w:pageBreakBefore w:val="0"/>
        <w:widowControl w:val="0"/>
        <w:kinsoku/>
        <w:wordWrap/>
        <w:overflowPunct/>
        <w:topLinePunct w:val="0"/>
        <w:bidi w:val="0"/>
        <w:adjustRightInd w:val="0"/>
        <w:snapToGrid w:val="0"/>
        <w:spacing w:line="360" w:lineRule="auto"/>
        <w:ind w:firstLine="480" w:firstLineChars="200"/>
        <w:jc w:val="left"/>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欢迎贵公司参与河南省政府采购活动！</w:t>
      </w:r>
    </w:p>
    <w:p w14:paraId="3DBDE011">
      <w:pPr>
        <w:keepNext w:val="0"/>
        <w:keepLines w:val="0"/>
        <w:pageBreakBefore w:val="0"/>
        <w:widowControl w:val="0"/>
        <w:kinsoku/>
        <w:wordWrap/>
        <w:overflowPunct/>
        <w:topLinePunct w:val="0"/>
        <w:bidi w:val="0"/>
        <w:adjustRightInd w:val="0"/>
        <w:snapToGrid w:val="0"/>
        <w:spacing w:line="360" w:lineRule="auto"/>
        <w:ind w:firstLine="480" w:firstLineChars="200"/>
        <w:jc w:val="left"/>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政府采购合同融资是河南省财政厅支持中小微企业发展，针对参与政府采购活动的</w:t>
      </w:r>
      <w:r>
        <w:rPr>
          <w:rFonts w:hint="eastAsia" w:ascii="宋体" w:hAnsi="宋体" w:eastAsia="宋体" w:cs="宋体"/>
          <w:b w:val="0"/>
          <w:bCs w:val="0"/>
          <w:color w:val="auto"/>
          <w:sz w:val="24"/>
          <w:szCs w:val="24"/>
          <w:highlight w:val="none"/>
          <w:lang w:eastAsia="zh-CN"/>
        </w:rPr>
        <w:t>投标人</w:t>
      </w:r>
      <w:r>
        <w:rPr>
          <w:rFonts w:hint="eastAsia" w:ascii="宋体" w:hAnsi="宋体" w:eastAsia="宋体" w:cs="宋体"/>
          <w:b w:val="0"/>
          <w:bCs w:val="0"/>
          <w:color w:val="auto"/>
          <w:sz w:val="24"/>
          <w:szCs w:val="24"/>
          <w:highlight w:val="none"/>
        </w:rPr>
        <w:t>融资难、融资贵问题推出的一项融资政策。贵公司若成为本次政府采购项目的中标供应商，可持政府采购合同向金融机构申请贷款，无需抵押、担保，融资机构将根据《河南省政府采购合同融资工作实施方案》（豫财购〔2017〕10号），按照双方自愿的原则提供便捷、优惠的贷款服务。</w:t>
      </w:r>
    </w:p>
    <w:p w14:paraId="054BA279">
      <w:pPr>
        <w:pStyle w:val="39"/>
        <w:keepNext w:val="0"/>
        <w:keepLines w:val="0"/>
        <w:pageBreakBefore w:val="0"/>
        <w:widowControl w:val="0"/>
        <w:kinsoku/>
        <w:wordWrap/>
        <w:overflowPunct/>
        <w:topLinePunct w:val="0"/>
        <w:bidi w:val="0"/>
        <w:adjustRightInd w:val="0"/>
        <w:snapToGrid w:val="0"/>
        <w:spacing w:line="360" w:lineRule="auto"/>
        <w:ind w:firstLine="480" w:firstLineChars="200"/>
        <w:jc w:val="left"/>
        <w:outlineLvl w:val="9"/>
        <w:rPr>
          <w:rFonts w:hint="eastAsia" w:ascii="宋体" w:hAnsi="宋体" w:eastAsia="宋体" w:cs="宋体"/>
          <w:b w:val="0"/>
          <w:bCs w:val="0"/>
          <w:sz w:val="21"/>
          <w:szCs w:val="21"/>
        </w:rPr>
      </w:pPr>
      <w:bookmarkStart w:id="172" w:name="_Toc15196"/>
      <w:r>
        <w:rPr>
          <w:rFonts w:hint="eastAsia" w:ascii="宋体" w:hAnsi="宋体" w:eastAsia="宋体" w:cs="宋体"/>
          <w:b w:val="0"/>
          <w:bCs w:val="0"/>
          <w:color w:val="auto"/>
          <w:sz w:val="24"/>
          <w:szCs w:val="24"/>
          <w:highlight w:val="none"/>
        </w:rPr>
        <w:t>贷款渠道和提供贷款的金融机构，可在河南省政府采购网“河南省政府采购合同融资平台”查询联系。</w:t>
      </w:r>
      <w:bookmarkEnd w:id="172"/>
    </w:p>
    <w:p w14:paraId="3A2F5111">
      <w:pPr>
        <w:rPr>
          <w:rFonts w:ascii="宋体" w:hAnsi="宋体" w:cs="宋体"/>
          <w:sz w:val="24"/>
        </w:rPr>
      </w:pPr>
    </w:p>
    <w:p w14:paraId="670EA26D">
      <w:pPr>
        <w:widowControl w:val="0"/>
        <w:jc w:val="both"/>
        <w:textAlignment w:val="auto"/>
        <w:rPr>
          <w:rFonts w:hint="eastAsia" w:ascii="宋体" w:hAnsi="宋体" w:cs="宋体"/>
          <w:color w:val="auto"/>
          <w:kern w:val="0"/>
          <w:sz w:val="24"/>
          <w:szCs w:val="24"/>
          <w:highlight w:val="none"/>
          <w:shd w:val="clear" w:color="auto" w:fill="F9F9F9"/>
          <w:lang w:val="en-US" w:eastAsia="zh-CN"/>
        </w:rPr>
      </w:pPr>
      <w:r>
        <w:rPr>
          <w:rFonts w:hint="eastAsia" w:ascii="宋体" w:hAnsi="宋体" w:eastAsia="宋体" w:cs="宋体"/>
          <w:color w:val="auto"/>
          <w:kern w:val="0"/>
          <w:sz w:val="21"/>
          <w:szCs w:val="21"/>
          <w:highlight w:val="none"/>
          <w:shd w:val="clear" w:color="auto" w:fill="F9F9F9"/>
        </w:rPr>
        <w:br w:type="page"/>
      </w:r>
      <w:r>
        <w:rPr>
          <w:rFonts w:hint="eastAsia" w:ascii="宋体" w:hAnsi="宋体" w:eastAsia="宋体" w:cs="宋体"/>
          <w:color w:val="auto"/>
          <w:sz w:val="24"/>
          <w:szCs w:val="24"/>
          <w:highlight w:val="none"/>
          <w:lang w:eastAsia="zh-CN"/>
        </w:rPr>
        <w:t>附件</w:t>
      </w:r>
      <w:r>
        <w:rPr>
          <w:rFonts w:hint="eastAsia" w:ascii="宋体" w:hAnsi="宋体" w:eastAsia="宋体" w:cs="宋体"/>
          <w:color w:val="auto"/>
          <w:sz w:val="24"/>
          <w:szCs w:val="24"/>
          <w:highlight w:val="none"/>
          <w:lang w:val="en-US" w:eastAsia="zh-CN"/>
        </w:rPr>
        <w:t>2：卢氏县政府采购合同融资政策告知书</w:t>
      </w:r>
    </w:p>
    <w:p w14:paraId="6B180569">
      <w:pPr>
        <w:keepNext w:val="0"/>
        <w:keepLines w:val="0"/>
        <w:pageBreakBefore w:val="0"/>
        <w:widowControl w:val="0"/>
        <w:kinsoku/>
        <w:wordWrap/>
        <w:overflowPunct/>
        <w:topLinePunct w:val="0"/>
        <w:bidi w:val="0"/>
        <w:adjustRightInd w:val="0"/>
        <w:snapToGrid w:val="0"/>
        <w:spacing w:line="360" w:lineRule="auto"/>
        <w:ind w:firstLine="480" w:firstLineChars="200"/>
        <w:jc w:val="left"/>
        <w:outlineLvl w:val="9"/>
        <w:rPr>
          <w:rFonts w:hint="eastAsia" w:ascii="宋体" w:hAnsi="宋体" w:eastAsia="宋体" w:cs="宋体"/>
          <w:b w:val="0"/>
          <w:bCs w:val="0"/>
          <w:color w:val="auto"/>
          <w:sz w:val="24"/>
          <w:szCs w:val="24"/>
          <w:highlight w:val="none"/>
          <w:lang w:val="en-US" w:eastAsia="zh-CN"/>
        </w:rPr>
      </w:pPr>
    </w:p>
    <w:p w14:paraId="0CF6C122">
      <w:pPr>
        <w:keepNext w:val="0"/>
        <w:keepLines w:val="0"/>
        <w:pageBreakBefore w:val="0"/>
        <w:widowControl w:val="0"/>
        <w:kinsoku/>
        <w:wordWrap/>
        <w:overflowPunct/>
        <w:topLinePunct w:val="0"/>
        <w:bidi w:val="0"/>
        <w:adjustRightInd w:val="0"/>
        <w:snapToGrid w:val="0"/>
        <w:spacing w:line="360" w:lineRule="auto"/>
        <w:ind w:firstLine="482" w:firstLineChars="200"/>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卢氏县政府采购合同融资政策告知书</w:t>
      </w:r>
    </w:p>
    <w:p w14:paraId="3672C439">
      <w:pPr>
        <w:keepNext w:val="0"/>
        <w:keepLines w:val="0"/>
        <w:pageBreakBefore w:val="0"/>
        <w:widowControl w:val="0"/>
        <w:kinsoku/>
        <w:wordWrap/>
        <w:overflowPunct/>
        <w:topLinePunct w:val="0"/>
        <w:bidi w:val="0"/>
        <w:adjustRightInd w:val="0"/>
        <w:snapToGrid w:val="0"/>
        <w:spacing w:line="360" w:lineRule="auto"/>
        <w:ind w:firstLine="480" w:firstLineChars="200"/>
        <w:jc w:val="left"/>
        <w:outlineLvl w:val="9"/>
        <w:rPr>
          <w:rFonts w:hint="eastAsia" w:ascii="宋体" w:hAnsi="宋体" w:eastAsia="宋体" w:cs="宋体"/>
          <w:b w:val="0"/>
          <w:bCs w:val="0"/>
          <w:color w:val="auto"/>
          <w:sz w:val="24"/>
          <w:szCs w:val="24"/>
          <w:highlight w:val="none"/>
          <w:lang w:val="en-US" w:eastAsia="zh-CN"/>
        </w:rPr>
      </w:pPr>
    </w:p>
    <w:p w14:paraId="0ED30D71">
      <w:pPr>
        <w:keepNext w:val="0"/>
        <w:keepLines w:val="0"/>
        <w:pageBreakBefore w:val="0"/>
        <w:widowControl w:val="0"/>
        <w:kinsoku/>
        <w:wordWrap/>
        <w:overflowPunct/>
        <w:topLinePunct w:val="0"/>
        <w:bidi w:val="0"/>
        <w:adjustRightInd w:val="0"/>
        <w:snapToGrid w:val="0"/>
        <w:spacing w:line="360" w:lineRule="auto"/>
        <w:ind w:firstLine="480" w:firstLineChars="200"/>
        <w:jc w:val="left"/>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各供应商:</w:t>
      </w:r>
    </w:p>
    <w:p w14:paraId="39767A71">
      <w:pPr>
        <w:keepNext w:val="0"/>
        <w:keepLines w:val="0"/>
        <w:pageBreakBefore w:val="0"/>
        <w:widowControl w:val="0"/>
        <w:kinsoku/>
        <w:wordWrap/>
        <w:overflowPunct/>
        <w:topLinePunct w:val="0"/>
        <w:bidi w:val="0"/>
        <w:adjustRightInd w:val="0"/>
        <w:snapToGrid w:val="0"/>
        <w:spacing w:line="360" w:lineRule="auto"/>
        <w:ind w:firstLine="480" w:firstLineChars="200"/>
        <w:jc w:val="left"/>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欢迎贵公司参与卢氏县政府采购活动!近年来，卢氏县积极发挥政府采购政策功能，加大对中小企业支持力度，创新运用“政采贷”信贷产品，畅通中小企业融资“绿色通道”，为企业发展提质增效注入金融活水。为更好满足中小微供应商短、频、急的资金需求，帮助中小微企业解决融资难题，提升金融服务实体经济能力，服务市场主体推动经济稳健发展，我县各金融机构着力优化产品服务、无需抵押担保、简化审贷程序、缩短审贷周期，为供应商合同融资贷款提供便利条件，现编制《卢氏县政府采购合同融资政策告知书》，方便中小企业供应商朋友们进一步了解政府采购融资政策和获取贷款的流程。</w:t>
      </w:r>
    </w:p>
    <w:p w14:paraId="3B2DF48B">
      <w:pPr>
        <w:keepNext w:val="0"/>
        <w:keepLines w:val="0"/>
        <w:pageBreakBefore w:val="0"/>
        <w:widowControl w:val="0"/>
        <w:kinsoku/>
        <w:wordWrap/>
        <w:overflowPunct/>
        <w:topLinePunct w:val="0"/>
        <w:bidi w:val="0"/>
        <w:adjustRightInd w:val="0"/>
        <w:snapToGrid w:val="0"/>
        <w:spacing w:line="360" w:lineRule="auto"/>
        <w:ind w:firstLine="480" w:firstLineChars="200"/>
        <w:jc w:val="left"/>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特别提醒:该告知书仅统计了我县部分可以提供线上融资的金融机构，凡参与我县政府采购项目，有融资需求的本地或外地中标(成交)供应商，均可通过“河南省政府采购网”进入“河南省政府采购合同融资平台”，申请融资服务，凡在政府采购合同融资平台登记的金融机构均可开展融资贷款业务。对“政采贷”工作开展过程中发现的新问题、新情况或者建议意见，及时向我县财政部门反馈</w:t>
      </w:r>
    </w:p>
    <w:p w14:paraId="226C04A4">
      <w:pPr>
        <w:keepNext w:val="0"/>
        <w:keepLines w:val="0"/>
        <w:pageBreakBefore w:val="0"/>
        <w:widowControl w:val="0"/>
        <w:kinsoku/>
        <w:wordWrap/>
        <w:overflowPunct/>
        <w:topLinePunct w:val="0"/>
        <w:bidi w:val="0"/>
        <w:adjustRightInd w:val="0"/>
        <w:snapToGrid w:val="0"/>
        <w:spacing w:line="360" w:lineRule="auto"/>
        <w:ind w:firstLine="480" w:firstLineChars="200"/>
        <w:jc w:val="left"/>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联系电话:0398-7863556</w:t>
      </w:r>
    </w:p>
    <w:p w14:paraId="2034E30C">
      <w:pPr>
        <w:keepNext w:val="0"/>
        <w:keepLines w:val="0"/>
        <w:pageBreakBefore w:val="0"/>
        <w:widowControl w:val="0"/>
        <w:kinsoku/>
        <w:wordWrap/>
        <w:overflowPunct/>
        <w:topLinePunct w:val="0"/>
        <w:bidi w:val="0"/>
        <w:adjustRightInd w:val="0"/>
        <w:snapToGrid w:val="0"/>
        <w:spacing w:line="360" w:lineRule="auto"/>
        <w:ind w:firstLine="480" w:firstLineChars="200"/>
        <w:jc w:val="left"/>
        <w:outlineLvl w:val="9"/>
        <w:rPr>
          <w:rFonts w:hint="eastAsia" w:ascii="宋体" w:hAnsi="宋体" w:eastAsia="宋体" w:cs="宋体"/>
          <w:b w:val="0"/>
          <w:bCs w:val="0"/>
          <w:color w:val="auto"/>
          <w:sz w:val="24"/>
          <w:szCs w:val="24"/>
          <w:highlight w:val="none"/>
          <w:lang w:val="en-US" w:eastAsia="zh-CN"/>
        </w:rPr>
      </w:pPr>
    </w:p>
    <w:p w14:paraId="11EE1036">
      <w:pPr>
        <w:keepNext w:val="0"/>
        <w:keepLines w:val="0"/>
        <w:pageBreakBefore w:val="0"/>
        <w:widowControl w:val="0"/>
        <w:kinsoku/>
        <w:wordWrap/>
        <w:overflowPunct/>
        <w:topLinePunct w:val="0"/>
        <w:bidi w:val="0"/>
        <w:adjustRightInd w:val="0"/>
        <w:snapToGrid w:val="0"/>
        <w:spacing w:line="360" w:lineRule="auto"/>
        <w:ind w:firstLine="480" w:firstLineChars="200"/>
        <w:jc w:val="left"/>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承接银行联系方式</w:t>
      </w:r>
    </w:p>
    <w:tbl>
      <w:tblPr>
        <w:tblStyle w:val="21"/>
        <w:tblW w:w="91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65"/>
        <w:gridCol w:w="3065"/>
        <w:gridCol w:w="3066"/>
      </w:tblGrid>
      <w:tr w14:paraId="62A3C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5" w:type="dxa"/>
            <w:noWrap w:val="0"/>
            <w:vAlign w:val="center"/>
          </w:tcPr>
          <w:p w14:paraId="13486B44">
            <w:pPr>
              <w:keepNext w:val="0"/>
              <w:keepLines w:val="0"/>
              <w:pageBreakBefore w:val="0"/>
              <w:widowControl w:val="0"/>
              <w:kinsoku/>
              <w:wordWrap/>
              <w:overflowPunct/>
              <w:topLinePunct w:val="0"/>
              <w:bidi w:val="0"/>
              <w:adjustRightInd w:val="0"/>
              <w:snapToGrid w:val="0"/>
              <w:spacing w:line="360" w:lineRule="auto"/>
              <w:jc w:val="center"/>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单位名称</w:t>
            </w:r>
          </w:p>
        </w:tc>
        <w:tc>
          <w:tcPr>
            <w:tcW w:w="3065" w:type="dxa"/>
            <w:noWrap w:val="0"/>
            <w:vAlign w:val="center"/>
          </w:tcPr>
          <w:p w14:paraId="46E23CAD">
            <w:pPr>
              <w:keepNext w:val="0"/>
              <w:keepLines w:val="0"/>
              <w:pageBreakBefore w:val="0"/>
              <w:widowControl w:val="0"/>
              <w:kinsoku/>
              <w:wordWrap/>
              <w:overflowPunct/>
              <w:topLinePunct w:val="0"/>
              <w:bidi w:val="0"/>
              <w:adjustRightInd w:val="0"/>
              <w:snapToGrid w:val="0"/>
              <w:spacing w:line="360" w:lineRule="auto"/>
              <w:jc w:val="center"/>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联系人</w:t>
            </w:r>
          </w:p>
        </w:tc>
        <w:tc>
          <w:tcPr>
            <w:tcW w:w="3066" w:type="dxa"/>
            <w:noWrap w:val="0"/>
            <w:vAlign w:val="center"/>
          </w:tcPr>
          <w:p w14:paraId="326DACD7">
            <w:pPr>
              <w:keepNext w:val="0"/>
              <w:keepLines w:val="0"/>
              <w:pageBreakBefore w:val="0"/>
              <w:widowControl w:val="0"/>
              <w:kinsoku/>
              <w:wordWrap/>
              <w:overflowPunct/>
              <w:topLinePunct w:val="0"/>
              <w:bidi w:val="0"/>
              <w:adjustRightInd w:val="0"/>
              <w:snapToGrid w:val="0"/>
              <w:spacing w:line="360" w:lineRule="auto"/>
              <w:jc w:val="center"/>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联系方式</w:t>
            </w:r>
          </w:p>
        </w:tc>
      </w:tr>
      <w:tr w14:paraId="1C8F0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5" w:type="dxa"/>
            <w:noWrap w:val="0"/>
            <w:vAlign w:val="center"/>
          </w:tcPr>
          <w:p w14:paraId="7774A384">
            <w:pPr>
              <w:keepNext w:val="0"/>
              <w:keepLines w:val="0"/>
              <w:pageBreakBefore w:val="0"/>
              <w:widowControl w:val="0"/>
              <w:kinsoku/>
              <w:wordWrap/>
              <w:overflowPunct/>
              <w:topLinePunct w:val="0"/>
              <w:bidi w:val="0"/>
              <w:adjustRightInd w:val="0"/>
              <w:snapToGrid w:val="0"/>
              <w:spacing w:line="360" w:lineRule="auto"/>
              <w:jc w:val="center"/>
              <w:outlineLvl w:val="9"/>
              <w:rPr>
                <w:rFonts w:hint="eastAsia" w:ascii="宋体" w:hAnsi="宋体" w:eastAsia="宋体" w:cs="宋体"/>
                <w:sz w:val="24"/>
                <w:szCs w:val="24"/>
              </w:rPr>
            </w:pPr>
            <w:r>
              <w:rPr>
                <w:rFonts w:hint="eastAsia" w:ascii="宋体" w:hAnsi="宋体" w:eastAsia="宋体" w:cs="宋体"/>
                <w:sz w:val="24"/>
                <w:szCs w:val="24"/>
              </w:rPr>
              <w:t>中国建设银行股份有限公司卢氏支行</w:t>
            </w:r>
          </w:p>
        </w:tc>
        <w:tc>
          <w:tcPr>
            <w:tcW w:w="3065" w:type="dxa"/>
            <w:noWrap w:val="0"/>
            <w:vAlign w:val="center"/>
          </w:tcPr>
          <w:p w14:paraId="701212F1">
            <w:pPr>
              <w:keepNext w:val="0"/>
              <w:keepLines w:val="0"/>
              <w:pageBreakBefore w:val="0"/>
              <w:widowControl w:val="0"/>
              <w:kinsoku/>
              <w:wordWrap/>
              <w:overflowPunct/>
              <w:topLinePunct w:val="0"/>
              <w:bidi w:val="0"/>
              <w:adjustRightInd w:val="0"/>
              <w:snapToGrid w:val="0"/>
              <w:spacing w:line="360" w:lineRule="auto"/>
              <w:jc w:val="center"/>
              <w:outlineLvl w:val="9"/>
              <w:rPr>
                <w:rFonts w:hint="eastAsia" w:ascii="宋体" w:hAnsi="宋体" w:eastAsia="宋体" w:cs="宋体"/>
                <w:color w:val="auto"/>
                <w:kern w:val="0"/>
                <w:sz w:val="24"/>
                <w:szCs w:val="24"/>
                <w:highlight w:val="none"/>
                <w:shd w:val="clear" w:color="auto" w:fill="F9F9F9"/>
                <w:vertAlign w:val="baseline"/>
              </w:rPr>
            </w:pPr>
            <w:r>
              <w:rPr>
                <w:rFonts w:hint="eastAsia" w:ascii="宋体" w:hAnsi="宋体" w:eastAsia="宋体" w:cs="宋体"/>
                <w:sz w:val="24"/>
                <w:szCs w:val="24"/>
              </w:rPr>
              <w:t>张江涛</w:t>
            </w:r>
          </w:p>
        </w:tc>
        <w:tc>
          <w:tcPr>
            <w:tcW w:w="3066" w:type="dxa"/>
            <w:noWrap w:val="0"/>
            <w:vAlign w:val="center"/>
          </w:tcPr>
          <w:p w14:paraId="2E7A08E9">
            <w:pPr>
              <w:keepNext w:val="0"/>
              <w:keepLines w:val="0"/>
              <w:pageBreakBefore w:val="0"/>
              <w:widowControl w:val="0"/>
              <w:kinsoku/>
              <w:wordWrap/>
              <w:overflowPunct/>
              <w:topLinePunct w:val="0"/>
              <w:bidi w:val="0"/>
              <w:adjustRightInd w:val="0"/>
              <w:snapToGrid w:val="0"/>
              <w:spacing w:line="360" w:lineRule="auto"/>
              <w:jc w:val="center"/>
              <w:outlineLvl w:val="9"/>
              <w:rPr>
                <w:rFonts w:hint="eastAsia" w:ascii="宋体" w:hAnsi="宋体" w:eastAsia="宋体" w:cs="宋体"/>
                <w:color w:val="auto"/>
                <w:kern w:val="0"/>
                <w:sz w:val="24"/>
                <w:szCs w:val="24"/>
                <w:highlight w:val="none"/>
                <w:shd w:val="clear" w:color="auto" w:fill="F9F9F9"/>
                <w:vertAlign w:val="baseline"/>
              </w:rPr>
            </w:pPr>
            <w:r>
              <w:rPr>
                <w:rFonts w:hint="eastAsia" w:ascii="宋体" w:hAnsi="宋体" w:eastAsia="宋体" w:cs="宋体"/>
                <w:sz w:val="24"/>
                <w:szCs w:val="24"/>
              </w:rPr>
              <w:t>18739850204</w:t>
            </w:r>
          </w:p>
        </w:tc>
      </w:tr>
      <w:tr w14:paraId="1C081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5" w:type="dxa"/>
            <w:noWrap w:val="0"/>
            <w:vAlign w:val="center"/>
          </w:tcPr>
          <w:p w14:paraId="5FA0BCC1">
            <w:pPr>
              <w:keepNext w:val="0"/>
              <w:keepLines w:val="0"/>
              <w:pageBreakBefore w:val="0"/>
              <w:widowControl w:val="0"/>
              <w:kinsoku/>
              <w:wordWrap/>
              <w:overflowPunct/>
              <w:topLinePunct w:val="0"/>
              <w:bidi w:val="0"/>
              <w:adjustRightInd w:val="0"/>
              <w:snapToGrid w:val="0"/>
              <w:spacing w:line="360" w:lineRule="auto"/>
              <w:jc w:val="center"/>
              <w:outlineLvl w:val="9"/>
              <w:rPr>
                <w:rFonts w:hint="eastAsia" w:ascii="宋体" w:hAnsi="宋体" w:eastAsia="宋体" w:cs="宋体"/>
                <w:sz w:val="24"/>
                <w:szCs w:val="24"/>
              </w:rPr>
            </w:pPr>
            <w:r>
              <w:rPr>
                <w:rFonts w:hint="eastAsia" w:ascii="宋体" w:hAnsi="宋体" w:eastAsia="宋体" w:cs="宋体"/>
                <w:sz w:val="24"/>
                <w:szCs w:val="24"/>
              </w:rPr>
              <w:t>中国农业银行股份有限公司卢氏县支行</w:t>
            </w:r>
          </w:p>
        </w:tc>
        <w:tc>
          <w:tcPr>
            <w:tcW w:w="3065" w:type="dxa"/>
            <w:noWrap w:val="0"/>
            <w:vAlign w:val="center"/>
          </w:tcPr>
          <w:p w14:paraId="6F6EF227">
            <w:pPr>
              <w:keepNext w:val="0"/>
              <w:keepLines w:val="0"/>
              <w:pageBreakBefore w:val="0"/>
              <w:widowControl w:val="0"/>
              <w:kinsoku/>
              <w:wordWrap/>
              <w:overflowPunct/>
              <w:topLinePunct w:val="0"/>
              <w:bidi w:val="0"/>
              <w:adjustRightInd w:val="0"/>
              <w:snapToGrid w:val="0"/>
              <w:spacing w:line="360" w:lineRule="auto"/>
              <w:jc w:val="center"/>
              <w:outlineLvl w:val="9"/>
              <w:rPr>
                <w:rFonts w:hint="eastAsia" w:ascii="宋体" w:hAnsi="宋体" w:eastAsia="宋体" w:cs="宋体"/>
                <w:color w:val="auto"/>
                <w:kern w:val="0"/>
                <w:sz w:val="24"/>
                <w:szCs w:val="24"/>
                <w:highlight w:val="none"/>
                <w:shd w:val="clear" w:color="auto" w:fill="F9F9F9"/>
                <w:vertAlign w:val="baseline"/>
              </w:rPr>
            </w:pPr>
            <w:r>
              <w:rPr>
                <w:rFonts w:hint="eastAsia" w:ascii="宋体" w:hAnsi="宋体" w:eastAsia="宋体" w:cs="宋体"/>
                <w:sz w:val="24"/>
                <w:szCs w:val="24"/>
              </w:rPr>
              <w:t>代仁旺</w:t>
            </w:r>
          </w:p>
        </w:tc>
        <w:tc>
          <w:tcPr>
            <w:tcW w:w="3066" w:type="dxa"/>
            <w:noWrap w:val="0"/>
            <w:vAlign w:val="center"/>
          </w:tcPr>
          <w:p w14:paraId="682EBE1B">
            <w:pPr>
              <w:keepNext w:val="0"/>
              <w:keepLines w:val="0"/>
              <w:pageBreakBefore w:val="0"/>
              <w:widowControl w:val="0"/>
              <w:kinsoku/>
              <w:wordWrap/>
              <w:overflowPunct/>
              <w:topLinePunct w:val="0"/>
              <w:bidi w:val="0"/>
              <w:adjustRightInd w:val="0"/>
              <w:snapToGrid w:val="0"/>
              <w:spacing w:line="360" w:lineRule="auto"/>
              <w:jc w:val="center"/>
              <w:outlineLvl w:val="9"/>
              <w:rPr>
                <w:rFonts w:hint="eastAsia" w:ascii="宋体" w:hAnsi="宋体" w:eastAsia="宋体" w:cs="宋体"/>
                <w:color w:val="auto"/>
                <w:kern w:val="0"/>
                <w:sz w:val="24"/>
                <w:szCs w:val="24"/>
                <w:highlight w:val="none"/>
                <w:shd w:val="clear" w:color="auto" w:fill="F9F9F9"/>
                <w:vertAlign w:val="baseline"/>
              </w:rPr>
            </w:pPr>
            <w:r>
              <w:rPr>
                <w:rFonts w:hint="eastAsia" w:ascii="宋体" w:hAnsi="宋体" w:eastAsia="宋体" w:cs="宋体"/>
                <w:sz w:val="24"/>
                <w:szCs w:val="24"/>
              </w:rPr>
              <w:t>18939062604</w:t>
            </w:r>
          </w:p>
        </w:tc>
      </w:tr>
      <w:tr w14:paraId="38DD4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5" w:type="dxa"/>
            <w:noWrap w:val="0"/>
            <w:vAlign w:val="center"/>
          </w:tcPr>
          <w:p w14:paraId="68C468FF">
            <w:pPr>
              <w:keepNext w:val="0"/>
              <w:keepLines w:val="0"/>
              <w:pageBreakBefore w:val="0"/>
              <w:widowControl w:val="0"/>
              <w:kinsoku/>
              <w:wordWrap/>
              <w:overflowPunct/>
              <w:topLinePunct w:val="0"/>
              <w:bidi w:val="0"/>
              <w:adjustRightInd w:val="0"/>
              <w:snapToGrid w:val="0"/>
              <w:spacing w:line="360" w:lineRule="auto"/>
              <w:jc w:val="center"/>
              <w:outlineLvl w:val="9"/>
              <w:rPr>
                <w:rFonts w:hint="eastAsia" w:ascii="宋体" w:hAnsi="宋体" w:eastAsia="宋体" w:cs="宋体"/>
                <w:sz w:val="24"/>
                <w:szCs w:val="24"/>
              </w:rPr>
            </w:pPr>
            <w:r>
              <w:rPr>
                <w:rFonts w:hint="eastAsia" w:ascii="宋体" w:hAnsi="宋体" w:eastAsia="宋体" w:cs="宋体"/>
                <w:sz w:val="24"/>
                <w:szCs w:val="24"/>
              </w:rPr>
              <w:t>中原银行股份有限公司</w:t>
            </w:r>
          </w:p>
          <w:p w14:paraId="45005805">
            <w:pPr>
              <w:keepNext w:val="0"/>
              <w:keepLines w:val="0"/>
              <w:pageBreakBefore w:val="0"/>
              <w:widowControl w:val="0"/>
              <w:kinsoku/>
              <w:wordWrap/>
              <w:overflowPunct/>
              <w:topLinePunct w:val="0"/>
              <w:bidi w:val="0"/>
              <w:adjustRightInd w:val="0"/>
              <w:snapToGrid w:val="0"/>
              <w:spacing w:line="360" w:lineRule="auto"/>
              <w:jc w:val="center"/>
              <w:outlineLvl w:val="9"/>
              <w:rPr>
                <w:rFonts w:hint="eastAsia" w:ascii="宋体" w:hAnsi="宋体" w:eastAsia="宋体" w:cs="宋体"/>
                <w:sz w:val="24"/>
                <w:szCs w:val="24"/>
              </w:rPr>
            </w:pPr>
            <w:r>
              <w:rPr>
                <w:rFonts w:hint="eastAsia" w:ascii="宋体" w:hAnsi="宋体" w:eastAsia="宋体" w:cs="宋体"/>
                <w:sz w:val="24"/>
                <w:szCs w:val="24"/>
              </w:rPr>
              <w:t>卢氏支行</w:t>
            </w:r>
          </w:p>
        </w:tc>
        <w:tc>
          <w:tcPr>
            <w:tcW w:w="3065" w:type="dxa"/>
            <w:noWrap w:val="0"/>
            <w:vAlign w:val="center"/>
          </w:tcPr>
          <w:p w14:paraId="1134D430">
            <w:pPr>
              <w:keepNext w:val="0"/>
              <w:keepLines w:val="0"/>
              <w:pageBreakBefore w:val="0"/>
              <w:widowControl w:val="0"/>
              <w:kinsoku/>
              <w:wordWrap/>
              <w:overflowPunct/>
              <w:topLinePunct w:val="0"/>
              <w:bidi w:val="0"/>
              <w:adjustRightInd w:val="0"/>
              <w:snapToGrid w:val="0"/>
              <w:spacing w:line="360" w:lineRule="auto"/>
              <w:jc w:val="center"/>
              <w:outlineLvl w:val="9"/>
              <w:rPr>
                <w:rFonts w:hint="eastAsia" w:ascii="宋体" w:hAnsi="宋体" w:eastAsia="宋体" w:cs="宋体"/>
                <w:color w:val="auto"/>
                <w:kern w:val="0"/>
                <w:sz w:val="24"/>
                <w:szCs w:val="24"/>
                <w:highlight w:val="none"/>
                <w:shd w:val="clear" w:color="auto" w:fill="F9F9F9"/>
                <w:vertAlign w:val="baseline"/>
              </w:rPr>
            </w:pPr>
            <w:r>
              <w:rPr>
                <w:rFonts w:hint="eastAsia" w:ascii="宋体" w:hAnsi="宋体" w:eastAsia="宋体" w:cs="宋体"/>
                <w:sz w:val="24"/>
                <w:szCs w:val="24"/>
              </w:rPr>
              <w:t>李 博</w:t>
            </w:r>
          </w:p>
        </w:tc>
        <w:tc>
          <w:tcPr>
            <w:tcW w:w="3066" w:type="dxa"/>
            <w:noWrap w:val="0"/>
            <w:vAlign w:val="center"/>
          </w:tcPr>
          <w:p w14:paraId="6A53ED5A">
            <w:pPr>
              <w:keepNext w:val="0"/>
              <w:keepLines w:val="0"/>
              <w:pageBreakBefore w:val="0"/>
              <w:widowControl w:val="0"/>
              <w:kinsoku/>
              <w:wordWrap/>
              <w:overflowPunct/>
              <w:topLinePunct w:val="0"/>
              <w:bidi w:val="0"/>
              <w:adjustRightInd w:val="0"/>
              <w:snapToGrid w:val="0"/>
              <w:spacing w:line="360" w:lineRule="auto"/>
              <w:jc w:val="center"/>
              <w:outlineLvl w:val="9"/>
              <w:rPr>
                <w:rFonts w:hint="eastAsia" w:ascii="宋体" w:hAnsi="宋体" w:eastAsia="宋体" w:cs="宋体"/>
                <w:color w:val="auto"/>
                <w:kern w:val="0"/>
                <w:sz w:val="24"/>
                <w:szCs w:val="24"/>
                <w:highlight w:val="none"/>
                <w:shd w:val="clear" w:color="auto" w:fill="F9F9F9"/>
                <w:vertAlign w:val="baseline"/>
              </w:rPr>
            </w:pPr>
            <w:r>
              <w:rPr>
                <w:rFonts w:hint="eastAsia" w:ascii="宋体" w:hAnsi="宋体" w:eastAsia="宋体" w:cs="宋体"/>
                <w:sz w:val="24"/>
                <w:szCs w:val="24"/>
              </w:rPr>
              <w:t>15839857887</w:t>
            </w:r>
          </w:p>
        </w:tc>
      </w:tr>
    </w:tbl>
    <w:p w14:paraId="6D5D87FB">
      <w:pPr>
        <w:jc w:val="both"/>
        <w:rPr>
          <w:rFonts w:hint="eastAsia" w:ascii="宋体" w:hAnsi="宋体" w:cs="宋体"/>
          <w:b/>
          <w:bCs/>
          <w:color w:val="auto"/>
          <w:highlight w:val="none"/>
          <w:lang w:eastAsia="zh-CN"/>
        </w:rPr>
      </w:pPr>
    </w:p>
    <w:p w14:paraId="2C8491EF">
      <w:pPr>
        <w:rPr>
          <w:rFonts w:hint="eastAsia" w:ascii="宋体" w:hAnsi="宋体" w:cs="宋体"/>
          <w:b/>
          <w:bCs/>
          <w:color w:val="auto"/>
          <w:highlight w:val="none"/>
          <w:lang w:eastAsia="zh-CN"/>
        </w:rPr>
      </w:pPr>
    </w:p>
    <w:p w14:paraId="13B12262">
      <w:pPr>
        <w:rPr>
          <w:rFonts w:hint="eastAsia" w:ascii="宋体" w:hAnsi="宋体" w:eastAsia="宋体" w:cs="宋体"/>
          <w:b/>
          <w:bCs/>
          <w:color w:val="auto"/>
          <w:lang w:val="en-US" w:eastAsia="zh-CN"/>
        </w:rPr>
      </w:pPr>
    </w:p>
    <w:p w14:paraId="497E9985">
      <w:pPr>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br w:type="page"/>
      </w:r>
    </w:p>
    <w:p w14:paraId="08A59493">
      <w:pPr>
        <w:pStyle w:val="2"/>
        <w:keepNext w:val="0"/>
        <w:keepLines w:val="0"/>
        <w:pageBreakBefore w:val="0"/>
        <w:widowControl w:val="0"/>
        <w:kinsoku/>
        <w:wordWrap w:val="0"/>
        <w:overflowPunct/>
        <w:topLinePunct w:val="0"/>
        <w:autoSpaceDE w:val="0"/>
        <w:autoSpaceDN w:val="0"/>
        <w:bidi w:val="0"/>
        <w:adjustRightInd/>
        <w:snapToGrid/>
        <w:spacing w:line="540" w:lineRule="exact"/>
        <w:ind w:left="0"/>
        <w:textAlignment w:val="auto"/>
        <w:rPr>
          <w:rFonts w:hint="eastAsia" w:ascii="宋体" w:hAnsi="宋体" w:eastAsia="宋体" w:cs="宋体"/>
          <w:b/>
          <w:bCs/>
          <w:color w:val="auto"/>
          <w:sz w:val="36"/>
          <w:szCs w:val="28"/>
          <w:lang w:val="en-US" w:eastAsia="zh-CN"/>
        </w:rPr>
      </w:pPr>
      <w:r>
        <w:rPr>
          <w:rFonts w:hint="eastAsia" w:ascii="宋体" w:hAnsi="宋体" w:eastAsia="宋体" w:cs="宋体"/>
          <w:b/>
          <w:bCs/>
          <w:color w:val="auto"/>
          <w:sz w:val="36"/>
          <w:szCs w:val="28"/>
          <w:lang w:val="en-US" w:eastAsia="zh-CN"/>
        </w:rPr>
        <w:t xml:space="preserve">第三章 </w:t>
      </w:r>
      <w:bookmarkEnd w:id="167"/>
      <w:r>
        <w:rPr>
          <w:rFonts w:hint="eastAsia" w:ascii="宋体" w:hAnsi="宋体" w:eastAsia="宋体" w:cs="宋体"/>
          <w:b/>
          <w:bCs/>
          <w:color w:val="auto"/>
          <w:sz w:val="36"/>
          <w:szCs w:val="28"/>
          <w:lang w:val="en-US" w:eastAsia="zh-CN"/>
        </w:rPr>
        <w:t>服务需求</w:t>
      </w:r>
      <w:bookmarkEnd w:id="168"/>
    </w:p>
    <w:p w14:paraId="020F07D9">
      <w:pPr>
        <w:rPr>
          <w:color w:val="auto"/>
        </w:rPr>
      </w:pPr>
    </w:p>
    <w:p w14:paraId="58AF993E">
      <w:pPr>
        <w:pStyle w:val="15"/>
        <w:keepNext w:val="0"/>
        <w:keepLines w:val="0"/>
        <w:pageBreakBefore w:val="0"/>
        <w:widowControl w:val="0"/>
        <w:kinsoku/>
        <w:wordWrap w:val="0"/>
        <w:overflowPunct/>
        <w:topLinePunct w:val="0"/>
        <w:autoSpaceDE w:val="0"/>
        <w:autoSpaceDN w:val="0"/>
        <w:bidi w:val="0"/>
        <w:adjustRightInd/>
        <w:snapToGrid/>
        <w:spacing w:line="560" w:lineRule="exact"/>
        <w:ind w:firstLine="482"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一、项目概况：</w:t>
      </w:r>
    </w:p>
    <w:p w14:paraId="44DCBFE1">
      <w:pPr>
        <w:pStyle w:val="8"/>
        <w:keepNext w:val="0"/>
        <w:keepLines w:val="0"/>
        <w:pageBreakBefore w:val="0"/>
        <w:widowControl w:val="0"/>
        <w:numPr>
          <w:ilvl w:val="0"/>
          <w:numId w:val="0"/>
        </w:numPr>
        <w:kinsoku/>
        <w:wordWrap w:val="0"/>
        <w:overflowPunct/>
        <w:topLinePunct w:val="0"/>
        <w:autoSpaceDE w:val="0"/>
        <w:autoSpaceDN w:val="0"/>
        <w:bidi w:val="0"/>
        <w:adjustRightInd/>
        <w:snapToGrid/>
        <w:spacing w:before="161" w:line="560" w:lineRule="exact"/>
        <w:ind w:firstLine="480" w:firstLineChars="200"/>
        <w:textAlignment w:val="auto"/>
        <w:rPr>
          <w:rFonts w:hint="eastAsia" w:ascii="宋体" w:hAnsi="宋体" w:cs="宋体"/>
          <w:color w:val="auto"/>
          <w:sz w:val="24"/>
          <w:szCs w:val="24"/>
          <w:lang w:val="en-US" w:eastAsia="zh-CN"/>
        </w:rPr>
      </w:pPr>
      <w:r>
        <w:rPr>
          <w:rFonts w:hint="eastAsia" w:ascii="宋体" w:hAnsi="宋体" w:eastAsia="宋体" w:cs="宋体"/>
          <w:color w:val="auto"/>
          <w:sz w:val="24"/>
          <w:szCs w:val="24"/>
          <w:lang w:val="en-US" w:eastAsia="zh-CN"/>
        </w:rPr>
        <w:t>1、采购人：</w:t>
      </w:r>
      <w:r>
        <w:rPr>
          <w:rFonts w:hint="eastAsia" w:ascii="宋体" w:hAnsi="宋体" w:cs="宋体"/>
          <w:color w:val="auto"/>
          <w:sz w:val="24"/>
          <w:szCs w:val="24"/>
          <w:lang w:val="en-US" w:eastAsia="zh-CN"/>
        </w:rPr>
        <w:t>卢氏县汤河乡人民政府</w:t>
      </w:r>
    </w:p>
    <w:p w14:paraId="303750FC">
      <w:pPr>
        <w:pStyle w:val="8"/>
        <w:keepNext w:val="0"/>
        <w:keepLines w:val="0"/>
        <w:pageBreakBefore w:val="0"/>
        <w:widowControl w:val="0"/>
        <w:numPr>
          <w:ilvl w:val="0"/>
          <w:numId w:val="0"/>
        </w:numPr>
        <w:kinsoku/>
        <w:wordWrap w:val="0"/>
        <w:overflowPunct/>
        <w:topLinePunct w:val="0"/>
        <w:autoSpaceDE w:val="0"/>
        <w:autoSpaceDN w:val="0"/>
        <w:bidi w:val="0"/>
        <w:adjustRightInd/>
        <w:snapToGrid/>
        <w:spacing w:line="650" w:lineRule="exact"/>
        <w:ind w:firstLine="480" w:firstLineChars="200"/>
        <w:textAlignment w:val="auto"/>
        <w:rPr>
          <w:rFonts w:hint="eastAsia" w:ascii="宋体" w:hAnsi="宋体" w:cs="宋体"/>
          <w:color w:val="auto"/>
          <w:sz w:val="24"/>
          <w:szCs w:val="24"/>
          <w:lang w:val="en-US" w:eastAsia="zh-CN"/>
        </w:rPr>
      </w:pPr>
      <w:r>
        <w:rPr>
          <w:rFonts w:hint="eastAsia" w:ascii="宋体" w:hAnsi="宋体" w:eastAsia="宋体" w:cs="宋体"/>
          <w:color w:val="auto"/>
          <w:sz w:val="24"/>
          <w:szCs w:val="24"/>
          <w:lang w:val="en-US" w:eastAsia="zh-CN"/>
        </w:rPr>
        <w:t>2、项目名称：</w:t>
      </w:r>
      <w:r>
        <w:rPr>
          <w:rFonts w:hint="eastAsia" w:ascii="宋体" w:hAnsi="宋体" w:cs="宋体"/>
          <w:color w:val="auto"/>
          <w:sz w:val="24"/>
          <w:szCs w:val="24"/>
          <w:lang w:val="en-US" w:eastAsia="zh-CN"/>
        </w:rPr>
        <w:t>丹江口库区上游老灌河流域卢氏县水环境综合治理及生态修复项目设计服务</w:t>
      </w:r>
    </w:p>
    <w:p w14:paraId="32B92CD9">
      <w:pPr>
        <w:pStyle w:val="8"/>
        <w:keepNext w:val="0"/>
        <w:keepLines w:val="0"/>
        <w:pageBreakBefore w:val="0"/>
        <w:widowControl w:val="0"/>
        <w:numPr>
          <w:ilvl w:val="0"/>
          <w:numId w:val="0"/>
        </w:numPr>
        <w:kinsoku/>
        <w:wordWrap w:val="0"/>
        <w:overflowPunct/>
        <w:topLinePunct w:val="0"/>
        <w:autoSpaceDE w:val="0"/>
        <w:autoSpaceDN w:val="0"/>
        <w:bidi w:val="0"/>
        <w:adjustRightInd/>
        <w:snapToGrid/>
        <w:spacing w:before="161" w:line="560" w:lineRule="exact"/>
        <w:ind w:firstLine="480" w:firstLineChars="200"/>
        <w:textAlignment w:val="auto"/>
        <w:rPr>
          <w:rFonts w:hint="eastAsia" w:ascii="宋体" w:hAnsi="宋体" w:cs="宋体"/>
          <w:color w:val="auto"/>
          <w:sz w:val="24"/>
          <w:szCs w:val="24"/>
          <w:lang w:val="en-US" w:eastAsia="zh-CN"/>
        </w:rPr>
      </w:pPr>
      <w:r>
        <w:rPr>
          <w:rFonts w:hint="eastAsia" w:ascii="宋体" w:hAnsi="宋体" w:eastAsia="宋体" w:cs="宋体"/>
          <w:color w:val="auto"/>
          <w:sz w:val="24"/>
          <w:szCs w:val="24"/>
          <w:lang w:val="en-US" w:eastAsia="zh-CN"/>
        </w:rPr>
        <w:t>3、项目预算金额：</w:t>
      </w:r>
      <w:r>
        <w:rPr>
          <w:rFonts w:hint="eastAsia" w:ascii="宋体" w:hAnsi="宋体" w:cs="宋体"/>
          <w:color w:val="auto"/>
          <w:sz w:val="24"/>
          <w:szCs w:val="24"/>
          <w:lang w:val="en-US" w:eastAsia="zh-CN"/>
        </w:rPr>
        <w:t>912600.00元</w:t>
      </w:r>
    </w:p>
    <w:p w14:paraId="1AB09A97">
      <w:pPr>
        <w:pStyle w:val="8"/>
        <w:keepNext w:val="0"/>
        <w:keepLines w:val="0"/>
        <w:pageBreakBefore w:val="0"/>
        <w:widowControl w:val="0"/>
        <w:numPr>
          <w:ilvl w:val="0"/>
          <w:numId w:val="0"/>
        </w:numPr>
        <w:kinsoku/>
        <w:wordWrap w:val="0"/>
        <w:overflowPunct/>
        <w:topLinePunct w:val="0"/>
        <w:autoSpaceDE w:val="0"/>
        <w:autoSpaceDN w:val="0"/>
        <w:bidi w:val="0"/>
        <w:adjustRightInd/>
        <w:snapToGrid/>
        <w:spacing w:before="161" w:line="56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4、项目规模：对老灌河流域的河岸两侧进行生态步道建设，生态隔离带种植，生态护岸防护，生态湿地建设，沿线相关村庄铺设污水管网等基础设施建设</w:t>
      </w:r>
    </w:p>
    <w:p w14:paraId="61E5803D">
      <w:pPr>
        <w:pStyle w:val="8"/>
        <w:keepNext w:val="0"/>
        <w:keepLines w:val="0"/>
        <w:pageBreakBefore w:val="0"/>
        <w:widowControl w:val="0"/>
        <w:numPr>
          <w:ilvl w:val="0"/>
          <w:numId w:val="0"/>
        </w:numPr>
        <w:kinsoku/>
        <w:wordWrap w:val="0"/>
        <w:overflowPunct/>
        <w:topLinePunct w:val="0"/>
        <w:autoSpaceDE w:val="0"/>
        <w:autoSpaceDN w:val="0"/>
        <w:bidi w:val="0"/>
        <w:adjustRightInd/>
        <w:snapToGrid/>
        <w:spacing w:before="161" w:line="560" w:lineRule="exact"/>
        <w:ind w:firstLine="480" w:firstLineChars="200"/>
        <w:textAlignment w:val="auto"/>
        <w:rPr>
          <w:rFonts w:hint="eastAsia" w:ascii="宋体" w:hAnsi="宋体" w:cs="宋体"/>
          <w:color w:val="auto"/>
          <w:sz w:val="24"/>
          <w:szCs w:val="24"/>
          <w:lang w:val="en-US" w:eastAsia="zh-CN"/>
        </w:rPr>
      </w:pPr>
      <w:r>
        <w:rPr>
          <w:rFonts w:hint="eastAsia" w:ascii="宋体" w:hAnsi="宋体" w:eastAsia="宋体" w:cs="宋体"/>
          <w:color w:val="auto"/>
          <w:sz w:val="24"/>
          <w:szCs w:val="24"/>
          <w:lang w:val="en-US" w:eastAsia="zh-CN"/>
        </w:rPr>
        <w:t>5、服务内容：主要包含该项目的工程测绘、工程设计、工程预算等</w:t>
      </w:r>
    </w:p>
    <w:p w14:paraId="3F3B4A3D">
      <w:pPr>
        <w:pStyle w:val="8"/>
        <w:keepNext w:val="0"/>
        <w:keepLines w:val="0"/>
        <w:pageBreakBefore w:val="0"/>
        <w:widowControl w:val="0"/>
        <w:numPr>
          <w:ilvl w:val="0"/>
          <w:numId w:val="0"/>
        </w:numPr>
        <w:kinsoku/>
        <w:wordWrap w:val="0"/>
        <w:overflowPunct/>
        <w:topLinePunct w:val="0"/>
        <w:autoSpaceDE w:val="0"/>
        <w:autoSpaceDN w:val="0"/>
        <w:bidi w:val="0"/>
        <w:adjustRightInd/>
        <w:snapToGrid/>
        <w:spacing w:before="161" w:line="56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6、标段划分：本项目共分</w:t>
      </w:r>
      <w:r>
        <w:rPr>
          <w:rFonts w:hint="eastAsia" w:ascii="宋体" w:hAnsi="宋体" w:cs="宋体"/>
          <w:color w:val="auto"/>
          <w:sz w:val="24"/>
          <w:szCs w:val="24"/>
          <w:lang w:val="en-US" w:eastAsia="zh-CN"/>
        </w:rPr>
        <w:t>1</w:t>
      </w:r>
      <w:r>
        <w:rPr>
          <w:rFonts w:hint="eastAsia" w:ascii="宋体" w:hAnsi="宋体" w:eastAsia="宋体" w:cs="宋体"/>
          <w:color w:val="auto"/>
          <w:sz w:val="24"/>
          <w:szCs w:val="24"/>
          <w:lang w:val="en-US" w:eastAsia="zh-CN"/>
        </w:rPr>
        <w:t>个标段。</w:t>
      </w:r>
    </w:p>
    <w:p w14:paraId="21F89130">
      <w:pPr>
        <w:pStyle w:val="8"/>
        <w:keepNext w:val="0"/>
        <w:keepLines w:val="0"/>
        <w:pageBreakBefore w:val="0"/>
        <w:widowControl w:val="0"/>
        <w:numPr>
          <w:ilvl w:val="0"/>
          <w:numId w:val="0"/>
        </w:numPr>
        <w:kinsoku/>
        <w:wordWrap w:val="0"/>
        <w:overflowPunct/>
        <w:topLinePunct w:val="0"/>
        <w:autoSpaceDE w:val="0"/>
        <w:autoSpaceDN w:val="0"/>
        <w:bidi w:val="0"/>
        <w:adjustRightInd/>
        <w:snapToGrid/>
        <w:spacing w:before="161" w:line="56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7、资金来源：财政资金，已落实；</w:t>
      </w:r>
    </w:p>
    <w:p w14:paraId="4E969B76">
      <w:pPr>
        <w:pStyle w:val="8"/>
        <w:keepNext w:val="0"/>
        <w:keepLines w:val="0"/>
        <w:pageBreakBefore w:val="0"/>
        <w:widowControl w:val="0"/>
        <w:numPr>
          <w:ilvl w:val="0"/>
          <w:numId w:val="0"/>
        </w:numPr>
        <w:kinsoku/>
        <w:wordWrap w:val="0"/>
        <w:overflowPunct/>
        <w:topLinePunct w:val="0"/>
        <w:autoSpaceDE w:val="0"/>
        <w:autoSpaceDN w:val="0"/>
        <w:bidi w:val="0"/>
        <w:adjustRightInd/>
        <w:snapToGrid/>
        <w:spacing w:before="161" w:line="56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8、设计周期：合同签订后</w:t>
      </w:r>
      <w:r>
        <w:rPr>
          <w:rFonts w:hint="eastAsia" w:ascii="宋体" w:hAnsi="宋体" w:cs="宋体"/>
          <w:color w:val="auto"/>
          <w:sz w:val="24"/>
          <w:szCs w:val="24"/>
          <w:lang w:val="en-US" w:eastAsia="zh-CN"/>
        </w:rPr>
        <w:t>10</w:t>
      </w:r>
      <w:r>
        <w:rPr>
          <w:rFonts w:hint="eastAsia" w:ascii="宋体" w:hAnsi="宋体" w:eastAsia="宋体" w:cs="宋体"/>
          <w:color w:val="auto"/>
          <w:sz w:val="24"/>
          <w:szCs w:val="24"/>
          <w:lang w:val="en-US" w:eastAsia="zh-CN"/>
        </w:rPr>
        <w:t>日历天完成；</w:t>
      </w:r>
    </w:p>
    <w:p w14:paraId="6B954B28">
      <w:pPr>
        <w:pStyle w:val="8"/>
        <w:keepNext w:val="0"/>
        <w:keepLines w:val="0"/>
        <w:pageBreakBefore w:val="0"/>
        <w:widowControl w:val="0"/>
        <w:numPr>
          <w:ilvl w:val="0"/>
          <w:numId w:val="0"/>
        </w:numPr>
        <w:kinsoku/>
        <w:wordWrap w:val="0"/>
        <w:overflowPunct/>
        <w:topLinePunct w:val="0"/>
        <w:autoSpaceDE w:val="0"/>
        <w:autoSpaceDN w:val="0"/>
        <w:bidi w:val="0"/>
        <w:adjustRightInd/>
        <w:snapToGrid/>
        <w:spacing w:before="161" w:line="56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9、质量要求：符合国家现行规范和标准，并满足采购人要求；</w:t>
      </w:r>
    </w:p>
    <w:p w14:paraId="6923048B">
      <w:pPr>
        <w:pStyle w:val="15"/>
        <w:keepNext w:val="0"/>
        <w:keepLines w:val="0"/>
        <w:pageBreakBefore w:val="0"/>
        <w:widowControl w:val="0"/>
        <w:kinsoku/>
        <w:wordWrap w:val="0"/>
        <w:overflowPunct/>
        <w:topLinePunct w:val="0"/>
        <w:autoSpaceDE w:val="0"/>
        <w:autoSpaceDN w:val="0"/>
        <w:bidi w:val="0"/>
        <w:adjustRightInd/>
        <w:snapToGrid/>
        <w:spacing w:line="560" w:lineRule="exact"/>
        <w:ind w:firstLine="482"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二、设计内容：</w:t>
      </w:r>
    </w:p>
    <w:p w14:paraId="7AB3EBDD">
      <w:pPr>
        <w:pStyle w:val="8"/>
        <w:keepNext w:val="0"/>
        <w:keepLines w:val="0"/>
        <w:pageBreakBefore w:val="0"/>
        <w:widowControl w:val="0"/>
        <w:numPr>
          <w:ilvl w:val="0"/>
          <w:numId w:val="0"/>
        </w:numPr>
        <w:kinsoku/>
        <w:wordWrap w:val="0"/>
        <w:overflowPunct/>
        <w:topLinePunct w:val="0"/>
        <w:autoSpaceDE w:val="0"/>
        <w:autoSpaceDN w:val="0"/>
        <w:bidi w:val="0"/>
        <w:adjustRightInd/>
        <w:snapToGrid/>
        <w:spacing w:before="161" w:line="560" w:lineRule="exact"/>
        <w:ind w:firstLine="480" w:firstLineChars="200"/>
        <w:textAlignment w:val="auto"/>
        <w:rPr>
          <w:rFonts w:hint="eastAsia" w:ascii="宋体" w:hAnsi="宋体" w:eastAsia="宋体" w:cs="宋体"/>
          <w:color w:val="auto"/>
          <w:sz w:val="24"/>
          <w:szCs w:val="24"/>
          <w:lang w:val="en-US" w:eastAsia="zh-CN"/>
        </w:rPr>
      </w:pPr>
      <w:bookmarkStart w:id="173" w:name="_Toc27530"/>
      <w:bookmarkStart w:id="174" w:name="_Toc4566"/>
      <w:bookmarkStart w:id="175" w:name="_Toc31041"/>
      <w:bookmarkStart w:id="176" w:name="_Toc22914"/>
      <w:bookmarkStart w:id="177" w:name="_Toc20597"/>
      <w:bookmarkStart w:id="178" w:name="_Toc373253036"/>
      <w:bookmarkStart w:id="179" w:name="_Toc267495621"/>
      <w:r>
        <w:rPr>
          <w:rFonts w:hint="eastAsia" w:ascii="宋体" w:hAnsi="宋体" w:eastAsia="宋体" w:cs="宋体"/>
          <w:color w:val="auto"/>
          <w:sz w:val="24"/>
          <w:szCs w:val="24"/>
          <w:lang w:val="en-US" w:eastAsia="zh-CN"/>
        </w:rPr>
        <w:t>1.设计依据</w:t>
      </w:r>
      <w:bookmarkEnd w:id="173"/>
      <w:bookmarkEnd w:id="174"/>
      <w:bookmarkEnd w:id="175"/>
      <w:bookmarkEnd w:id="176"/>
      <w:bookmarkEnd w:id="177"/>
      <w:bookmarkEnd w:id="178"/>
    </w:p>
    <w:p w14:paraId="2940D2BD">
      <w:pPr>
        <w:pStyle w:val="8"/>
        <w:keepNext w:val="0"/>
        <w:keepLines w:val="0"/>
        <w:pageBreakBefore w:val="0"/>
        <w:widowControl w:val="0"/>
        <w:numPr>
          <w:ilvl w:val="0"/>
          <w:numId w:val="0"/>
        </w:numPr>
        <w:kinsoku/>
        <w:wordWrap w:val="0"/>
        <w:overflowPunct/>
        <w:topLinePunct w:val="0"/>
        <w:autoSpaceDE w:val="0"/>
        <w:autoSpaceDN w:val="0"/>
        <w:bidi w:val="0"/>
        <w:adjustRightInd/>
        <w:snapToGrid/>
        <w:spacing w:before="161" w:line="56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采用的主要标准及规范(不限于此)</w:t>
      </w:r>
    </w:p>
    <w:p w14:paraId="79C24F61">
      <w:pPr>
        <w:pStyle w:val="8"/>
        <w:keepNext w:val="0"/>
        <w:keepLines w:val="0"/>
        <w:pageBreakBefore w:val="0"/>
        <w:widowControl w:val="0"/>
        <w:numPr>
          <w:ilvl w:val="0"/>
          <w:numId w:val="0"/>
        </w:numPr>
        <w:kinsoku/>
        <w:wordWrap w:val="0"/>
        <w:overflowPunct/>
        <w:topLinePunct w:val="0"/>
        <w:autoSpaceDE w:val="0"/>
        <w:autoSpaceDN w:val="0"/>
        <w:bidi w:val="0"/>
        <w:adjustRightInd/>
        <w:snapToGrid/>
        <w:spacing w:before="161" w:line="56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1、国家现行规范、规程，行业标准以及（省、市）地方标准</w:t>
      </w:r>
      <w:r>
        <w:rPr>
          <w:rFonts w:hint="eastAsia" w:ascii="宋体" w:hAnsi="宋体" w:cs="宋体"/>
          <w:color w:val="auto"/>
          <w:sz w:val="24"/>
          <w:szCs w:val="24"/>
          <w:lang w:val="en-US" w:eastAsia="zh-CN"/>
        </w:rPr>
        <w:t>；</w:t>
      </w:r>
    </w:p>
    <w:p w14:paraId="2007C861">
      <w:pPr>
        <w:pStyle w:val="8"/>
        <w:keepNext w:val="0"/>
        <w:keepLines w:val="0"/>
        <w:pageBreakBefore w:val="0"/>
        <w:widowControl w:val="0"/>
        <w:numPr>
          <w:ilvl w:val="0"/>
          <w:numId w:val="0"/>
        </w:numPr>
        <w:kinsoku/>
        <w:wordWrap w:val="0"/>
        <w:overflowPunct/>
        <w:topLinePunct w:val="0"/>
        <w:autoSpaceDE w:val="0"/>
        <w:autoSpaceDN w:val="0"/>
        <w:bidi w:val="0"/>
        <w:adjustRightInd/>
        <w:snapToGrid/>
        <w:spacing w:before="161" w:line="56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2、采购人与供应商签订的工程设计合同:</w:t>
      </w:r>
    </w:p>
    <w:p w14:paraId="6435914C">
      <w:pPr>
        <w:pStyle w:val="8"/>
        <w:keepNext w:val="0"/>
        <w:keepLines w:val="0"/>
        <w:pageBreakBefore w:val="0"/>
        <w:widowControl w:val="0"/>
        <w:numPr>
          <w:ilvl w:val="0"/>
          <w:numId w:val="0"/>
        </w:numPr>
        <w:kinsoku/>
        <w:wordWrap w:val="0"/>
        <w:overflowPunct/>
        <w:topLinePunct w:val="0"/>
        <w:autoSpaceDE w:val="0"/>
        <w:autoSpaceDN w:val="0"/>
        <w:bidi w:val="0"/>
        <w:adjustRightInd/>
        <w:snapToGrid/>
        <w:spacing w:before="161" w:line="56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以上规范如有变化，以最新发布的为准。</w:t>
      </w:r>
    </w:p>
    <w:p w14:paraId="2D4793AB">
      <w:pPr>
        <w:pStyle w:val="8"/>
        <w:keepNext w:val="0"/>
        <w:keepLines w:val="0"/>
        <w:pageBreakBefore w:val="0"/>
        <w:widowControl w:val="0"/>
        <w:numPr>
          <w:ilvl w:val="0"/>
          <w:numId w:val="0"/>
        </w:numPr>
        <w:kinsoku/>
        <w:wordWrap w:val="0"/>
        <w:overflowPunct/>
        <w:topLinePunct w:val="0"/>
        <w:autoSpaceDE w:val="0"/>
        <w:autoSpaceDN w:val="0"/>
        <w:bidi w:val="0"/>
        <w:adjustRightInd/>
        <w:snapToGrid/>
        <w:spacing w:before="161" w:line="56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设计依据（不限于此）仅供投标人编制响应文件时参考。若由于采用所列设计依据而导致任何后果，均由响应人自行负责。</w:t>
      </w:r>
      <w:bookmarkEnd w:id="179"/>
      <w:bookmarkStart w:id="180" w:name="_Toc6577"/>
      <w:bookmarkStart w:id="181" w:name="_Toc15088"/>
      <w:bookmarkStart w:id="182" w:name="_Toc23807"/>
      <w:bookmarkStart w:id="183" w:name="_Toc13"/>
      <w:bookmarkStart w:id="184" w:name="_Toc14508"/>
      <w:bookmarkStart w:id="185" w:name="_Toc373253037"/>
    </w:p>
    <w:p w14:paraId="21614192">
      <w:pPr>
        <w:pStyle w:val="8"/>
        <w:keepNext w:val="0"/>
        <w:keepLines w:val="0"/>
        <w:pageBreakBefore w:val="0"/>
        <w:widowControl w:val="0"/>
        <w:numPr>
          <w:ilvl w:val="0"/>
          <w:numId w:val="0"/>
        </w:numPr>
        <w:kinsoku/>
        <w:wordWrap w:val="0"/>
        <w:overflowPunct/>
        <w:topLinePunct w:val="0"/>
        <w:autoSpaceDE w:val="0"/>
        <w:autoSpaceDN w:val="0"/>
        <w:bidi w:val="0"/>
        <w:adjustRightInd/>
        <w:snapToGrid/>
        <w:spacing w:before="161" w:line="56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2.设计基本要求</w:t>
      </w:r>
      <w:bookmarkEnd w:id="180"/>
      <w:bookmarkEnd w:id="181"/>
      <w:bookmarkEnd w:id="182"/>
      <w:bookmarkEnd w:id="183"/>
      <w:bookmarkEnd w:id="184"/>
      <w:bookmarkEnd w:id="185"/>
    </w:p>
    <w:p w14:paraId="51FD9860">
      <w:pPr>
        <w:pStyle w:val="8"/>
        <w:keepNext w:val="0"/>
        <w:keepLines w:val="0"/>
        <w:pageBreakBefore w:val="0"/>
        <w:widowControl w:val="0"/>
        <w:numPr>
          <w:ilvl w:val="0"/>
          <w:numId w:val="0"/>
        </w:numPr>
        <w:kinsoku/>
        <w:wordWrap w:val="0"/>
        <w:overflowPunct/>
        <w:topLinePunct w:val="0"/>
        <w:autoSpaceDE w:val="0"/>
        <w:autoSpaceDN w:val="0"/>
        <w:bidi w:val="0"/>
        <w:adjustRightInd/>
        <w:snapToGrid/>
        <w:spacing w:before="161" w:line="5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（1）严格按照上级部门批准的方案。</w:t>
      </w:r>
    </w:p>
    <w:p w14:paraId="1795FF3E">
      <w:pPr>
        <w:pStyle w:val="8"/>
        <w:keepNext w:val="0"/>
        <w:keepLines w:val="0"/>
        <w:pageBreakBefore w:val="0"/>
        <w:widowControl w:val="0"/>
        <w:numPr>
          <w:ilvl w:val="0"/>
          <w:numId w:val="0"/>
        </w:numPr>
        <w:kinsoku/>
        <w:wordWrap w:val="0"/>
        <w:overflowPunct/>
        <w:topLinePunct w:val="0"/>
        <w:autoSpaceDE w:val="0"/>
        <w:autoSpaceDN w:val="0"/>
        <w:bidi w:val="0"/>
        <w:adjustRightInd/>
        <w:snapToGrid/>
        <w:spacing w:before="161" w:line="560" w:lineRule="exact"/>
        <w:ind w:firstLine="480" w:firstLineChars="200"/>
        <w:textAlignment w:val="auto"/>
        <w:rPr>
          <w:rFonts w:hint="default"/>
          <w:highlight w:val="none"/>
          <w:lang w:val="en-US" w:eastAsia="zh-CN"/>
        </w:rPr>
      </w:pPr>
      <w:r>
        <w:rPr>
          <w:rFonts w:hint="eastAsia" w:cs="宋体"/>
          <w:color w:val="auto"/>
          <w:sz w:val="24"/>
          <w:szCs w:val="24"/>
          <w:highlight w:val="none"/>
          <w:lang w:val="en-US" w:eastAsia="zh-CN"/>
        </w:rPr>
        <w:t>（2）设计成果符合图纸预算要求</w:t>
      </w:r>
    </w:p>
    <w:p w14:paraId="0ABA3AC7">
      <w:pPr>
        <w:pStyle w:val="8"/>
        <w:keepNext w:val="0"/>
        <w:keepLines w:val="0"/>
        <w:pageBreakBefore w:val="0"/>
        <w:widowControl w:val="0"/>
        <w:numPr>
          <w:ilvl w:val="0"/>
          <w:numId w:val="0"/>
        </w:numPr>
        <w:kinsoku/>
        <w:wordWrap w:val="0"/>
        <w:overflowPunct/>
        <w:topLinePunct w:val="0"/>
        <w:autoSpaceDE w:val="0"/>
        <w:autoSpaceDN w:val="0"/>
        <w:bidi w:val="0"/>
        <w:adjustRightInd/>
        <w:snapToGrid/>
        <w:spacing w:before="161" w:line="5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）设计的质量和深度必须满足各相关部门的技术审查要求。</w:t>
      </w:r>
    </w:p>
    <w:p w14:paraId="77FB1DC3">
      <w:pPr>
        <w:pStyle w:val="8"/>
        <w:keepNext w:val="0"/>
        <w:keepLines w:val="0"/>
        <w:pageBreakBefore w:val="0"/>
        <w:widowControl w:val="0"/>
        <w:numPr>
          <w:ilvl w:val="0"/>
          <w:numId w:val="0"/>
        </w:numPr>
        <w:kinsoku/>
        <w:wordWrap w:val="0"/>
        <w:overflowPunct/>
        <w:topLinePunct w:val="0"/>
        <w:autoSpaceDE w:val="0"/>
        <w:autoSpaceDN w:val="0"/>
        <w:bidi w:val="0"/>
        <w:adjustRightInd/>
        <w:snapToGrid/>
        <w:spacing w:before="161" w:line="5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）设计周期必须满足竞争性磋商文件要求的时间。</w:t>
      </w:r>
    </w:p>
    <w:p w14:paraId="4C53E320">
      <w:pPr>
        <w:pStyle w:val="8"/>
        <w:keepNext w:val="0"/>
        <w:keepLines w:val="0"/>
        <w:pageBreakBefore w:val="0"/>
        <w:widowControl w:val="0"/>
        <w:numPr>
          <w:ilvl w:val="0"/>
          <w:numId w:val="0"/>
        </w:numPr>
        <w:kinsoku/>
        <w:wordWrap w:val="0"/>
        <w:overflowPunct/>
        <w:topLinePunct w:val="0"/>
        <w:autoSpaceDE w:val="0"/>
        <w:autoSpaceDN w:val="0"/>
        <w:bidi w:val="0"/>
        <w:adjustRightInd/>
        <w:snapToGrid/>
        <w:spacing w:before="161" w:line="560" w:lineRule="exact"/>
        <w:ind w:firstLine="480" w:firstLineChars="200"/>
        <w:textAlignment w:val="auto"/>
        <w:rPr>
          <w:rFonts w:hint="eastAsia" w:ascii="宋体" w:hAnsi="宋体" w:eastAsia="宋体" w:cs="宋体"/>
          <w:color w:val="auto"/>
          <w:sz w:val="24"/>
          <w:szCs w:val="24"/>
          <w:highlight w:val="yellow"/>
          <w:lang w:val="en-US" w:eastAsia="zh-CN"/>
        </w:rPr>
      </w:pPr>
      <w:bookmarkStart w:id="186" w:name="_Toc22448"/>
      <w:bookmarkStart w:id="187" w:name="_Toc30570"/>
      <w:bookmarkStart w:id="188" w:name="_Toc2414"/>
    </w:p>
    <w:p w14:paraId="4A07F363">
      <w:pPr>
        <w:pStyle w:val="8"/>
        <w:keepNext w:val="0"/>
        <w:keepLines w:val="0"/>
        <w:pageBreakBefore w:val="0"/>
        <w:widowControl w:val="0"/>
        <w:numPr>
          <w:ilvl w:val="0"/>
          <w:numId w:val="0"/>
        </w:numPr>
        <w:kinsoku/>
        <w:wordWrap w:val="0"/>
        <w:overflowPunct/>
        <w:topLinePunct w:val="0"/>
        <w:autoSpaceDE w:val="0"/>
        <w:autoSpaceDN w:val="0"/>
        <w:bidi w:val="0"/>
        <w:adjustRightInd/>
        <w:snapToGrid/>
        <w:spacing w:before="161" w:line="560" w:lineRule="exact"/>
        <w:ind w:firstLine="480" w:firstLineChars="200"/>
        <w:textAlignment w:val="auto"/>
        <w:rPr>
          <w:rFonts w:hint="eastAsia" w:ascii="宋体" w:hAnsi="宋体" w:eastAsia="宋体" w:cs="宋体"/>
          <w:color w:val="auto"/>
          <w:sz w:val="24"/>
          <w:szCs w:val="24"/>
          <w:highlight w:val="yellow"/>
          <w:lang w:val="en-US" w:eastAsia="zh-CN"/>
        </w:rPr>
      </w:pPr>
    </w:p>
    <w:p w14:paraId="782F8DF3">
      <w:pPr>
        <w:pStyle w:val="8"/>
        <w:keepNext w:val="0"/>
        <w:keepLines w:val="0"/>
        <w:pageBreakBefore w:val="0"/>
        <w:widowControl w:val="0"/>
        <w:numPr>
          <w:ilvl w:val="0"/>
          <w:numId w:val="0"/>
        </w:numPr>
        <w:kinsoku/>
        <w:wordWrap w:val="0"/>
        <w:overflowPunct/>
        <w:topLinePunct w:val="0"/>
        <w:autoSpaceDE w:val="0"/>
        <w:autoSpaceDN w:val="0"/>
        <w:bidi w:val="0"/>
        <w:adjustRightInd/>
        <w:snapToGrid/>
        <w:spacing w:before="161" w:line="560" w:lineRule="exact"/>
        <w:ind w:firstLine="480" w:firstLineChars="200"/>
        <w:textAlignment w:val="auto"/>
        <w:rPr>
          <w:rFonts w:hint="eastAsia" w:ascii="宋体" w:hAnsi="宋体" w:eastAsia="宋体" w:cs="宋体"/>
          <w:color w:val="auto"/>
          <w:sz w:val="24"/>
          <w:szCs w:val="24"/>
          <w:highlight w:val="yellow"/>
          <w:lang w:val="en-US" w:eastAsia="zh-CN"/>
        </w:rPr>
      </w:pPr>
    </w:p>
    <w:p w14:paraId="614A43DB">
      <w:pPr>
        <w:pStyle w:val="8"/>
        <w:keepNext w:val="0"/>
        <w:keepLines w:val="0"/>
        <w:pageBreakBefore w:val="0"/>
        <w:widowControl w:val="0"/>
        <w:numPr>
          <w:ilvl w:val="0"/>
          <w:numId w:val="0"/>
        </w:numPr>
        <w:kinsoku/>
        <w:wordWrap w:val="0"/>
        <w:overflowPunct/>
        <w:topLinePunct w:val="0"/>
        <w:autoSpaceDE w:val="0"/>
        <w:autoSpaceDN w:val="0"/>
        <w:bidi w:val="0"/>
        <w:adjustRightInd/>
        <w:snapToGrid/>
        <w:spacing w:before="161" w:line="560" w:lineRule="exact"/>
        <w:ind w:firstLine="480" w:firstLineChars="200"/>
        <w:textAlignment w:val="auto"/>
        <w:rPr>
          <w:rFonts w:hint="eastAsia" w:ascii="宋体" w:hAnsi="宋体" w:eastAsia="宋体" w:cs="宋体"/>
          <w:color w:val="auto"/>
          <w:sz w:val="24"/>
          <w:szCs w:val="24"/>
          <w:highlight w:val="yellow"/>
          <w:lang w:val="en-US" w:eastAsia="zh-CN"/>
        </w:rPr>
      </w:pPr>
    </w:p>
    <w:p w14:paraId="701F58F9">
      <w:pPr>
        <w:pStyle w:val="8"/>
        <w:keepNext w:val="0"/>
        <w:keepLines w:val="0"/>
        <w:pageBreakBefore w:val="0"/>
        <w:widowControl w:val="0"/>
        <w:numPr>
          <w:ilvl w:val="0"/>
          <w:numId w:val="0"/>
        </w:numPr>
        <w:kinsoku/>
        <w:wordWrap w:val="0"/>
        <w:overflowPunct/>
        <w:topLinePunct w:val="0"/>
        <w:autoSpaceDE w:val="0"/>
        <w:autoSpaceDN w:val="0"/>
        <w:bidi w:val="0"/>
        <w:adjustRightInd/>
        <w:snapToGrid/>
        <w:spacing w:before="161" w:line="560" w:lineRule="exact"/>
        <w:ind w:firstLine="480" w:firstLineChars="200"/>
        <w:textAlignment w:val="auto"/>
        <w:rPr>
          <w:rFonts w:hint="eastAsia" w:ascii="宋体" w:hAnsi="宋体" w:eastAsia="宋体" w:cs="宋体"/>
          <w:color w:val="auto"/>
          <w:sz w:val="24"/>
          <w:szCs w:val="24"/>
          <w:highlight w:val="yellow"/>
          <w:lang w:val="en-US" w:eastAsia="zh-CN"/>
        </w:rPr>
      </w:pPr>
    </w:p>
    <w:p w14:paraId="25F23B52">
      <w:pPr>
        <w:pStyle w:val="8"/>
        <w:keepNext w:val="0"/>
        <w:keepLines w:val="0"/>
        <w:pageBreakBefore w:val="0"/>
        <w:widowControl w:val="0"/>
        <w:numPr>
          <w:ilvl w:val="0"/>
          <w:numId w:val="0"/>
        </w:numPr>
        <w:kinsoku/>
        <w:wordWrap w:val="0"/>
        <w:overflowPunct/>
        <w:topLinePunct w:val="0"/>
        <w:autoSpaceDE w:val="0"/>
        <w:autoSpaceDN w:val="0"/>
        <w:bidi w:val="0"/>
        <w:adjustRightInd/>
        <w:snapToGrid/>
        <w:spacing w:before="161" w:line="560" w:lineRule="exact"/>
        <w:ind w:firstLine="480" w:firstLineChars="200"/>
        <w:textAlignment w:val="auto"/>
        <w:rPr>
          <w:rFonts w:hint="eastAsia" w:ascii="宋体" w:hAnsi="宋体" w:eastAsia="宋体" w:cs="宋体"/>
          <w:color w:val="auto"/>
          <w:sz w:val="24"/>
          <w:szCs w:val="24"/>
          <w:highlight w:val="yellow"/>
          <w:lang w:val="en-US" w:eastAsia="zh-CN"/>
        </w:rPr>
      </w:pPr>
    </w:p>
    <w:p w14:paraId="741FD802">
      <w:pPr>
        <w:pStyle w:val="8"/>
        <w:keepNext w:val="0"/>
        <w:keepLines w:val="0"/>
        <w:pageBreakBefore w:val="0"/>
        <w:widowControl w:val="0"/>
        <w:numPr>
          <w:ilvl w:val="0"/>
          <w:numId w:val="0"/>
        </w:numPr>
        <w:kinsoku/>
        <w:wordWrap w:val="0"/>
        <w:overflowPunct/>
        <w:topLinePunct w:val="0"/>
        <w:autoSpaceDE w:val="0"/>
        <w:autoSpaceDN w:val="0"/>
        <w:bidi w:val="0"/>
        <w:adjustRightInd/>
        <w:snapToGrid/>
        <w:spacing w:before="161" w:line="560" w:lineRule="exact"/>
        <w:ind w:firstLine="480" w:firstLineChars="200"/>
        <w:textAlignment w:val="auto"/>
        <w:rPr>
          <w:rFonts w:hint="eastAsia" w:ascii="宋体" w:hAnsi="宋体" w:eastAsia="宋体" w:cs="宋体"/>
          <w:color w:val="auto"/>
          <w:sz w:val="24"/>
          <w:szCs w:val="24"/>
          <w:highlight w:val="yellow"/>
          <w:lang w:val="en-US" w:eastAsia="zh-CN"/>
        </w:rPr>
      </w:pPr>
    </w:p>
    <w:p w14:paraId="2FB08E69">
      <w:pPr>
        <w:pStyle w:val="8"/>
        <w:keepNext w:val="0"/>
        <w:keepLines w:val="0"/>
        <w:pageBreakBefore w:val="0"/>
        <w:widowControl w:val="0"/>
        <w:numPr>
          <w:ilvl w:val="0"/>
          <w:numId w:val="0"/>
        </w:numPr>
        <w:kinsoku/>
        <w:wordWrap w:val="0"/>
        <w:overflowPunct/>
        <w:topLinePunct w:val="0"/>
        <w:autoSpaceDE w:val="0"/>
        <w:autoSpaceDN w:val="0"/>
        <w:bidi w:val="0"/>
        <w:adjustRightInd/>
        <w:snapToGrid/>
        <w:spacing w:before="161" w:line="560" w:lineRule="exact"/>
        <w:ind w:firstLine="480" w:firstLineChars="200"/>
        <w:textAlignment w:val="auto"/>
        <w:rPr>
          <w:rFonts w:hint="eastAsia" w:ascii="宋体" w:hAnsi="宋体" w:eastAsia="宋体" w:cs="宋体"/>
          <w:color w:val="auto"/>
          <w:sz w:val="24"/>
          <w:szCs w:val="24"/>
          <w:highlight w:val="yellow"/>
          <w:lang w:val="en-US" w:eastAsia="zh-CN"/>
        </w:rPr>
      </w:pPr>
    </w:p>
    <w:p w14:paraId="62DDCF3D">
      <w:pPr>
        <w:pStyle w:val="8"/>
        <w:keepNext w:val="0"/>
        <w:keepLines w:val="0"/>
        <w:pageBreakBefore w:val="0"/>
        <w:widowControl w:val="0"/>
        <w:numPr>
          <w:ilvl w:val="0"/>
          <w:numId w:val="0"/>
        </w:numPr>
        <w:kinsoku/>
        <w:wordWrap w:val="0"/>
        <w:overflowPunct/>
        <w:topLinePunct w:val="0"/>
        <w:autoSpaceDE w:val="0"/>
        <w:autoSpaceDN w:val="0"/>
        <w:bidi w:val="0"/>
        <w:adjustRightInd/>
        <w:snapToGrid/>
        <w:spacing w:before="161" w:line="560" w:lineRule="exact"/>
        <w:ind w:firstLine="480" w:firstLineChars="200"/>
        <w:textAlignment w:val="auto"/>
        <w:rPr>
          <w:rFonts w:hint="eastAsia" w:ascii="宋体" w:hAnsi="宋体" w:eastAsia="宋体" w:cs="宋体"/>
          <w:color w:val="auto"/>
          <w:sz w:val="24"/>
          <w:szCs w:val="24"/>
          <w:highlight w:val="yellow"/>
          <w:lang w:val="en-US" w:eastAsia="zh-CN"/>
        </w:rPr>
      </w:pPr>
    </w:p>
    <w:p w14:paraId="6A067FA0">
      <w:pPr>
        <w:rPr>
          <w:rFonts w:hint="eastAsia"/>
          <w:b/>
          <w:bCs/>
          <w:color w:val="auto"/>
        </w:rPr>
      </w:pPr>
      <w:r>
        <w:rPr>
          <w:rFonts w:hint="eastAsia"/>
          <w:b/>
          <w:bCs/>
          <w:color w:val="auto"/>
        </w:rPr>
        <w:br w:type="page"/>
      </w:r>
    </w:p>
    <w:p w14:paraId="761874D7">
      <w:pPr>
        <w:pStyle w:val="2"/>
        <w:keepNext w:val="0"/>
        <w:keepLines w:val="0"/>
        <w:pageBreakBefore w:val="0"/>
        <w:widowControl w:val="0"/>
        <w:kinsoku/>
        <w:wordWrap w:val="0"/>
        <w:overflowPunct/>
        <w:topLinePunct w:val="0"/>
        <w:autoSpaceDE w:val="0"/>
        <w:autoSpaceDN w:val="0"/>
        <w:bidi w:val="0"/>
        <w:adjustRightInd/>
        <w:snapToGrid/>
        <w:spacing w:line="540" w:lineRule="exact"/>
        <w:ind w:left="0"/>
        <w:textAlignment w:val="auto"/>
        <w:rPr>
          <w:rFonts w:hint="eastAsia" w:ascii="宋体" w:hAnsi="宋体" w:eastAsia="宋体" w:cs="宋体"/>
          <w:b/>
          <w:bCs/>
          <w:color w:val="auto"/>
          <w:sz w:val="36"/>
          <w:szCs w:val="28"/>
          <w:lang w:val="en-US" w:eastAsia="zh-CN"/>
        </w:rPr>
      </w:pPr>
      <w:r>
        <w:rPr>
          <w:rFonts w:hint="eastAsia" w:ascii="宋体" w:hAnsi="宋体" w:eastAsia="宋体" w:cs="宋体"/>
          <w:b/>
          <w:bCs/>
          <w:color w:val="auto"/>
          <w:sz w:val="36"/>
          <w:szCs w:val="28"/>
          <w:lang w:val="en-US" w:eastAsia="zh-CN"/>
        </w:rPr>
        <w:t>第四章 评审办法</w:t>
      </w:r>
      <w:bookmarkEnd w:id="186"/>
      <w:bookmarkEnd w:id="187"/>
    </w:p>
    <w:p w14:paraId="63E5F7A5">
      <w:pPr>
        <w:spacing w:line="460" w:lineRule="exact"/>
        <w:jc w:val="center"/>
        <w:rPr>
          <w:rFonts w:hint="eastAsia" w:eastAsia="宋体"/>
          <w:color w:val="auto"/>
          <w:sz w:val="28"/>
          <w:szCs w:val="28"/>
          <w:lang w:val="en-US" w:eastAsia="zh-CN"/>
        </w:rPr>
      </w:pPr>
      <w:bookmarkStart w:id="189" w:name="_Toc28583_WPSOffice_Level2"/>
      <w:r>
        <w:rPr>
          <w:rFonts w:hint="eastAsia"/>
          <w:color w:val="auto"/>
          <w:sz w:val="28"/>
          <w:szCs w:val="28"/>
        </w:rPr>
        <w:t>评标办法前附表</w:t>
      </w:r>
      <w:bookmarkEnd w:id="189"/>
    </w:p>
    <w:tbl>
      <w:tblPr>
        <w:tblStyle w:val="20"/>
        <w:tblW w:w="9075" w:type="dxa"/>
        <w:tblInd w:w="-2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975"/>
        <w:gridCol w:w="2130"/>
        <w:gridCol w:w="5130"/>
      </w:tblGrid>
      <w:tr w14:paraId="21209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1815" w:type="dxa"/>
            <w:gridSpan w:val="2"/>
            <w:vAlign w:val="center"/>
          </w:tcPr>
          <w:p w14:paraId="16DC9D47">
            <w:pPr>
              <w:jc w:val="center"/>
              <w:rPr>
                <w:b/>
                <w:color w:val="auto"/>
                <w:szCs w:val="21"/>
              </w:rPr>
            </w:pPr>
            <w:r>
              <w:rPr>
                <w:rFonts w:hint="eastAsia"/>
                <w:b/>
                <w:color w:val="auto"/>
                <w:szCs w:val="21"/>
              </w:rPr>
              <w:t>条款号</w:t>
            </w:r>
          </w:p>
        </w:tc>
        <w:tc>
          <w:tcPr>
            <w:tcW w:w="2130" w:type="dxa"/>
            <w:vAlign w:val="center"/>
          </w:tcPr>
          <w:p w14:paraId="7D15A16D">
            <w:pPr>
              <w:jc w:val="center"/>
              <w:rPr>
                <w:b/>
                <w:color w:val="auto"/>
                <w:szCs w:val="21"/>
              </w:rPr>
            </w:pPr>
            <w:r>
              <w:rPr>
                <w:rFonts w:hint="eastAsia"/>
                <w:b/>
                <w:color w:val="auto"/>
                <w:szCs w:val="21"/>
              </w:rPr>
              <w:t>评审因素</w:t>
            </w:r>
          </w:p>
        </w:tc>
        <w:tc>
          <w:tcPr>
            <w:tcW w:w="5130" w:type="dxa"/>
            <w:vAlign w:val="center"/>
          </w:tcPr>
          <w:p w14:paraId="2799ADCC">
            <w:pPr>
              <w:jc w:val="center"/>
              <w:rPr>
                <w:b/>
                <w:color w:val="auto"/>
                <w:szCs w:val="21"/>
              </w:rPr>
            </w:pPr>
            <w:r>
              <w:rPr>
                <w:rFonts w:hint="eastAsia"/>
                <w:b/>
                <w:color w:val="auto"/>
                <w:szCs w:val="21"/>
              </w:rPr>
              <w:t>评审标准</w:t>
            </w:r>
          </w:p>
        </w:tc>
      </w:tr>
      <w:tr w14:paraId="4EA38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7" w:hRule="atLeast"/>
        </w:trPr>
        <w:tc>
          <w:tcPr>
            <w:tcW w:w="840" w:type="dxa"/>
            <w:vMerge w:val="restart"/>
            <w:vAlign w:val="center"/>
          </w:tcPr>
          <w:p w14:paraId="45C32D3F">
            <w:pPr>
              <w:jc w:val="center"/>
              <w:rPr>
                <w:color w:val="auto"/>
                <w:szCs w:val="21"/>
              </w:rPr>
            </w:pPr>
            <w:r>
              <w:rPr>
                <w:rFonts w:hint="eastAsia"/>
                <w:color w:val="auto"/>
                <w:szCs w:val="21"/>
              </w:rPr>
              <w:t>2.1.1</w:t>
            </w:r>
          </w:p>
        </w:tc>
        <w:tc>
          <w:tcPr>
            <w:tcW w:w="975" w:type="dxa"/>
            <w:vMerge w:val="restart"/>
            <w:vAlign w:val="center"/>
          </w:tcPr>
          <w:p w14:paraId="30EDFC87">
            <w:pPr>
              <w:jc w:val="center"/>
              <w:rPr>
                <w:color w:val="auto"/>
                <w:szCs w:val="21"/>
              </w:rPr>
            </w:pPr>
            <w:r>
              <w:rPr>
                <w:rFonts w:hint="eastAsia"/>
                <w:color w:val="auto"/>
                <w:szCs w:val="21"/>
              </w:rPr>
              <w:t>形式评审标准</w:t>
            </w:r>
          </w:p>
        </w:tc>
        <w:tc>
          <w:tcPr>
            <w:tcW w:w="2130" w:type="dxa"/>
            <w:vAlign w:val="center"/>
          </w:tcPr>
          <w:p w14:paraId="0DCD1CB0">
            <w:pPr>
              <w:spacing w:line="240" w:lineRule="auto"/>
              <w:ind w:firstLine="220" w:firstLineChars="100"/>
              <w:jc w:val="center"/>
              <w:rPr>
                <w:color w:val="auto"/>
                <w:szCs w:val="21"/>
              </w:rPr>
            </w:pPr>
            <w:r>
              <w:rPr>
                <w:rFonts w:hint="eastAsia"/>
                <w:color w:val="auto"/>
                <w:szCs w:val="21"/>
              </w:rPr>
              <w:t>供应商名称</w:t>
            </w:r>
          </w:p>
        </w:tc>
        <w:tc>
          <w:tcPr>
            <w:tcW w:w="5130" w:type="dxa"/>
            <w:vAlign w:val="center"/>
          </w:tcPr>
          <w:p w14:paraId="2315EBF1">
            <w:pPr>
              <w:spacing w:line="240" w:lineRule="auto"/>
              <w:rPr>
                <w:bCs/>
                <w:color w:val="auto"/>
                <w:szCs w:val="21"/>
                <w:lang w:val="en-US"/>
              </w:rPr>
            </w:pPr>
            <w:r>
              <w:rPr>
                <w:rFonts w:hint="eastAsia"/>
                <w:bCs/>
                <w:color w:val="auto"/>
                <w:szCs w:val="21"/>
                <w:lang w:val="en-US"/>
              </w:rPr>
              <w:t>与营业执照等一致</w:t>
            </w:r>
          </w:p>
        </w:tc>
      </w:tr>
      <w:tr w14:paraId="7E007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5" w:hRule="atLeast"/>
        </w:trPr>
        <w:tc>
          <w:tcPr>
            <w:tcW w:w="840" w:type="dxa"/>
            <w:vMerge w:val="continue"/>
            <w:vAlign w:val="top"/>
          </w:tcPr>
          <w:p w14:paraId="486D5E09">
            <w:pPr>
              <w:rPr>
                <w:color w:val="auto"/>
                <w:szCs w:val="21"/>
              </w:rPr>
            </w:pPr>
          </w:p>
        </w:tc>
        <w:tc>
          <w:tcPr>
            <w:tcW w:w="975" w:type="dxa"/>
            <w:vMerge w:val="continue"/>
            <w:vAlign w:val="top"/>
          </w:tcPr>
          <w:p w14:paraId="4F0FD742">
            <w:pPr>
              <w:rPr>
                <w:color w:val="auto"/>
                <w:szCs w:val="21"/>
              </w:rPr>
            </w:pPr>
          </w:p>
        </w:tc>
        <w:tc>
          <w:tcPr>
            <w:tcW w:w="2130" w:type="dxa"/>
            <w:vAlign w:val="center"/>
          </w:tcPr>
          <w:p w14:paraId="49ADB66C">
            <w:pPr>
              <w:spacing w:line="240" w:lineRule="auto"/>
              <w:jc w:val="center"/>
              <w:rPr>
                <w:color w:val="auto"/>
                <w:szCs w:val="21"/>
              </w:rPr>
            </w:pPr>
            <w:r>
              <w:rPr>
                <w:rFonts w:hint="eastAsia"/>
                <w:color w:val="auto"/>
                <w:szCs w:val="21"/>
              </w:rPr>
              <w:t>投标函签章</w:t>
            </w:r>
          </w:p>
        </w:tc>
        <w:tc>
          <w:tcPr>
            <w:tcW w:w="5130" w:type="dxa"/>
            <w:vAlign w:val="center"/>
          </w:tcPr>
          <w:p w14:paraId="03115BEF">
            <w:pPr>
              <w:spacing w:line="240" w:lineRule="auto"/>
              <w:rPr>
                <w:bCs/>
                <w:color w:val="auto"/>
                <w:szCs w:val="21"/>
                <w:lang w:val="en-US"/>
              </w:rPr>
            </w:pPr>
            <w:r>
              <w:rPr>
                <w:rFonts w:hint="eastAsia"/>
                <w:bCs/>
                <w:color w:val="auto"/>
                <w:szCs w:val="21"/>
                <w:lang w:val="en-US"/>
              </w:rPr>
              <w:t>符合竞争性磋商文件要求的签章或标注的内容</w:t>
            </w:r>
          </w:p>
        </w:tc>
      </w:tr>
      <w:tr w14:paraId="33224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trPr>
        <w:tc>
          <w:tcPr>
            <w:tcW w:w="840" w:type="dxa"/>
            <w:vMerge w:val="continue"/>
            <w:vAlign w:val="top"/>
          </w:tcPr>
          <w:p w14:paraId="444C7E0F">
            <w:pPr>
              <w:rPr>
                <w:color w:val="auto"/>
                <w:szCs w:val="21"/>
              </w:rPr>
            </w:pPr>
          </w:p>
        </w:tc>
        <w:tc>
          <w:tcPr>
            <w:tcW w:w="975" w:type="dxa"/>
            <w:vMerge w:val="continue"/>
            <w:vAlign w:val="top"/>
          </w:tcPr>
          <w:p w14:paraId="66CF7585">
            <w:pPr>
              <w:rPr>
                <w:color w:val="auto"/>
                <w:szCs w:val="21"/>
              </w:rPr>
            </w:pPr>
          </w:p>
        </w:tc>
        <w:tc>
          <w:tcPr>
            <w:tcW w:w="2130" w:type="dxa"/>
            <w:vAlign w:val="center"/>
          </w:tcPr>
          <w:p w14:paraId="24B6082F">
            <w:pPr>
              <w:spacing w:line="240" w:lineRule="auto"/>
              <w:ind w:firstLine="220" w:firstLineChars="100"/>
              <w:jc w:val="center"/>
              <w:rPr>
                <w:color w:val="auto"/>
                <w:szCs w:val="21"/>
              </w:rPr>
            </w:pPr>
            <w:r>
              <w:rPr>
                <w:rFonts w:hint="eastAsia"/>
                <w:color w:val="auto"/>
                <w:szCs w:val="21"/>
              </w:rPr>
              <w:t>响应文件格式</w:t>
            </w:r>
          </w:p>
        </w:tc>
        <w:tc>
          <w:tcPr>
            <w:tcW w:w="5130" w:type="dxa"/>
            <w:vAlign w:val="center"/>
          </w:tcPr>
          <w:p w14:paraId="68DE76DB">
            <w:pPr>
              <w:spacing w:line="240" w:lineRule="auto"/>
              <w:rPr>
                <w:bCs/>
                <w:color w:val="auto"/>
                <w:szCs w:val="21"/>
                <w:lang w:val="en-US"/>
              </w:rPr>
            </w:pPr>
            <w:r>
              <w:rPr>
                <w:rFonts w:hint="eastAsia"/>
                <w:bCs/>
                <w:color w:val="auto"/>
                <w:szCs w:val="21"/>
                <w:lang w:val="en-US"/>
              </w:rPr>
              <w:t>符合“响应文件格式”的要求</w:t>
            </w:r>
          </w:p>
        </w:tc>
      </w:tr>
      <w:tr w14:paraId="68517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3" w:hRule="atLeast"/>
        </w:trPr>
        <w:tc>
          <w:tcPr>
            <w:tcW w:w="840" w:type="dxa"/>
            <w:vMerge w:val="continue"/>
            <w:vAlign w:val="top"/>
          </w:tcPr>
          <w:p w14:paraId="3307AFC7">
            <w:pPr>
              <w:rPr>
                <w:color w:val="auto"/>
                <w:szCs w:val="21"/>
              </w:rPr>
            </w:pPr>
          </w:p>
        </w:tc>
        <w:tc>
          <w:tcPr>
            <w:tcW w:w="975" w:type="dxa"/>
            <w:vMerge w:val="continue"/>
            <w:vAlign w:val="top"/>
          </w:tcPr>
          <w:p w14:paraId="0C075B4F">
            <w:pPr>
              <w:rPr>
                <w:color w:val="auto"/>
                <w:szCs w:val="21"/>
              </w:rPr>
            </w:pPr>
          </w:p>
        </w:tc>
        <w:tc>
          <w:tcPr>
            <w:tcW w:w="2130" w:type="dxa"/>
            <w:vAlign w:val="center"/>
          </w:tcPr>
          <w:p w14:paraId="1A16D15E">
            <w:pPr>
              <w:spacing w:line="240" w:lineRule="auto"/>
              <w:ind w:firstLine="440" w:firstLineChars="200"/>
              <w:jc w:val="center"/>
              <w:rPr>
                <w:color w:val="auto"/>
                <w:szCs w:val="21"/>
              </w:rPr>
            </w:pPr>
            <w:r>
              <w:rPr>
                <w:rFonts w:hint="eastAsia"/>
                <w:color w:val="auto"/>
                <w:szCs w:val="21"/>
              </w:rPr>
              <w:t>报价唯一</w:t>
            </w:r>
          </w:p>
        </w:tc>
        <w:tc>
          <w:tcPr>
            <w:tcW w:w="5130" w:type="dxa"/>
            <w:vAlign w:val="center"/>
          </w:tcPr>
          <w:p w14:paraId="6AFB6521">
            <w:pPr>
              <w:spacing w:line="240" w:lineRule="auto"/>
              <w:rPr>
                <w:bCs/>
                <w:color w:val="auto"/>
                <w:szCs w:val="21"/>
                <w:lang w:val="en-US"/>
              </w:rPr>
            </w:pPr>
            <w:r>
              <w:rPr>
                <w:rFonts w:hint="eastAsia"/>
                <w:bCs/>
                <w:color w:val="auto"/>
                <w:szCs w:val="21"/>
                <w:lang w:val="en-US"/>
              </w:rPr>
              <w:t>只能有一个有效报价</w:t>
            </w:r>
          </w:p>
        </w:tc>
      </w:tr>
      <w:tr w14:paraId="5E8F3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5" w:hRule="atLeast"/>
        </w:trPr>
        <w:tc>
          <w:tcPr>
            <w:tcW w:w="840" w:type="dxa"/>
            <w:vMerge w:val="restart"/>
            <w:vAlign w:val="center"/>
          </w:tcPr>
          <w:p w14:paraId="4F0DE9D9">
            <w:pPr>
              <w:jc w:val="center"/>
              <w:rPr>
                <w:color w:val="auto"/>
                <w:szCs w:val="21"/>
              </w:rPr>
            </w:pPr>
            <w:r>
              <w:rPr>
                <w:rFonts w:hint="eastAsia"/>
                <w:color w:val="auto"/>
                <w:szCs w:val="21"/>
              </w:rPr>
              <w:t>2.1.2</w:t>
            </w:r>
          </w:p>
        </w:tc>
        <w:tc>
          <w:tcPr>
            <w:tcW w:w="975" w:type="dxa"/>
            <w:vMerge w:val="restart"/>
            <w:vAlign w:val="center"/>
          </w:tcPr>
          <w:p w14:paraId="6752C82B">
            <w:pPr>
              <w:jc w:val="center"/>
              <w:rPr>
                <w:color w:val="auto"/>
                <w:szCs w:val="21"/>
              </w:rPr>
            </w:pPr>
            <w:r>
              <w:rPr>
                <w:rFonts w:hint="eastAsia"/>
                <w:color w:val="auto"/>
                <w:szCs w:val="21"/>
              </w:rPr>
              <w:t>资格评审标准</w:t>
            </w:r>
          </w:p>
        </w:tc>
        <w:tc>
          <w:tcPr>
            <w:tcW w:w="2130" w:type="dxa"/>
            <w:vAlign w:val="center"/>
          </w:tcPr>
          <w:p w14:paraId="6D9190D8">
            <w:pPr>
              <w:spacing w:line="240" w:lineRule="auto"/>
              <w:jc w:val="center"/>
              <w:rPr>
                <w:color w:val="auto"/>
                <w:szCs w:val="21"/>
              </w:rPr>
            </w:pPr>
            <w:r>
              <w:rPr>
                <w:rFonts w:hint="eastAsia"/>
                <w:color w:val="auto"/>
                <w:szCs w:val="21"/>
              </w:rPr>
              <w:t>落实政府采购政策满足的资格要求</w:t>
            </w:r>
          </w:p>
        </w:tc>
        <w:tc>
          <w:tcPr>
            <w:tcW w:w="5130" w:type="dxa"/>
            <w:vAlign w:val="center"/>
          </w:tcPr>
          <w:p w14:paraId="3FC4FE36">
            <w:pPr>
              <w:spacing w:line="240" w:lineRule="auto"/>
              <w:jc w:val="both"/>
              <w:rPr>
                <w:bCs/>
                <w:color w:val="auto"/>
                <w:szCs w:val="21"/>
                <w:lang w:val="en-US"/>
              </w:rPr>
            </w:pPr>
            <w:r>
              <w:rPr>
                <w:rFonts w:hint="eastAsia"/>
                <w:bCs/>
                <w:color w:val="auto"/>
                <w:szCs w:val="21"/>
                <w:lang w:val="en-US"/>
              </w:rPr>
              <w:t>根据《政府采购促进中小企业发展管理办法》（财库〔2020〕46号）规定，本项目专门面向中小企业采购；同时投标供应商须提供《中小企业声明函》</w:t>
            </w:r>
          </w:p>
        </w:tc>
      </w:tr>
      <w:tr w14:paraId="45613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9" w:hRule="atLeast"/>
        </w:trPr>
        <w:tc>
          <w:tcPr>
            <w:tcW w:w="840" w:type="dxa"/>
            <w:vMerge w:val="continue"/>
            <w:vAlign w:val="center"/>
          </w:tcPr>
          <w:p w14:paraId="51F6C2D6">
            <w:pPr>
              <w:jc w:val="center"/>
              <w:rPr>
                <w:color w:val="auto"/>
                <w:szCs w:val="21"/>
              </w:rPr>
            </w:pPr>
          </w:p>
        </w:tc>
        <w:tc>
          <w:tcPr>
            <w:tcW w:w="975" w:type="dxa"/>
            <w:vMerge w:val="continue"/>
            <w:vAlign w:val="center"/>
          </w:tcPr>
          <w:p w14:paraId="22DE2118">
            <w:pPr>
              <w:spacing w:line="360" w:lineRule="auto"/>
              <w:rPr>
                <w:color w:val="auto"/>
                <w:szCs w:val="21"/>
              </w:rPr>
            </w:pPr>
          </w:p>
        </w:tc>
        <w:tc>
          <w:tcPr>
            <w:tcW w:w="2130" w:type="dxa"/>
            <w:vAlign w:val="center"/>
          </w:tcPr>
          <w:p w14:paraId="0A085826">
            <w:pPr>
              <w:spacing w:line="240" w:lineRule="auto"/>
              <w:ind w:firstLine="440" w:firstLineChars="200"/>
              <w:jc w:val="center"/>
              <w:rPr>
                <w:rFonts w:hint="eastAsia" w:ascii="宋体" w:hAnsi="宋体" w:eastAsia="宋体" w:cs="宋体"/>
                <w:color w:val="auto"/>
                <w:sz w:val="22"/>
                <w:szCs w:val="21"/>
                <w:lang w:val="zh-CN" w:eastAsia="zh-CN" w:bidi="zh-CN"/>
              </w:rPr>
            </w:pPr>
            <w:r>
              <w:rPr>
                <w:rFonts w:hint="eastAsia"/>
                <w:color w:val="auto"/>
                <w:szCs w:val="21"/>
              </w:rPr>
              <w:t>营业执照</w:t>
            </w:r>
          </w:p>
        </w:tc>
        <w:tc>
          <w:tcPr>
            <w:tcW w:w="5130" w:type="dxa"/>
            <w:vAlign w:val="center"/>
          </w:tcPr>
          <w:p w14:paraId="2E09E37E">
            <w:pPr>
              <w:spacing w:line="240" w:lineRule="auto"/>
              <w:jc w:val="both"/>
              <w:rPr>
                <w:rFonts w:ascii="宋体" w:hAnsi="宋体" w:eastAsia="宋体" w:cs="宋体"/>
                <w:bCs/>
                <w:color w:val="auto"/>
                <w:sz w:val="22"/>
                <w:szCs w:val="21"/>
                <w:lang w:val="en-US" w:eastAsia="zh-CN" w:bidi="zh-CN"/>
              </w:rPr>
            </w:pPr>
            <w:r>
              <w:rPr>
                <w:rFonts w:hint="eastAsia" w:ascii="宋体" w:hAnsi="宋体" w:eastAsia="宋体" w:cs="宋体"/>
                <w:color w:val="auto"/>
                <w:szCs w:val="21"/>
                <w:lang w:val="en-US" w:eastAsia="zh-CN"/>
              </w:rPr>
              <w:t>具有有效的营业执照、税务登记证、组织机构代码证（或有效的统一社会信用代码三证合一营业执照）或事业单位法人证书</w:t>
            </w:r>
          </w:p>
        </w:tc>
      </w:tr>
      <w:tr w14:paraId="10023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840" w:type="dxa"/>
            <w:vMerge w:val="continue"/>
            <w:vAlign w:val="center"/>
          </w:tcPr>
          <w:p w14:paraId="42958CA6">
            <w:pPr>
              <w:jc w:val="center"/>
              <w:rPr>
                <w:color w:val="auto"/>
                <w:szCs w:val="21"/>
              </w:rPr>
            </w:pPr>
          </w:p>
        </w:tc>
        <w:tc>
          <w:tcPr>
            <w:tcW w:w="975" w:type="dxa"/>
            <w:vMerge w:val="continue"/>
            <w:vAlign w:val="center"/>
          </w:tcPr>
          <w:p w14:paraId="53BB1CC9">
            <w:pPr>
              <w:spacing w:line="360" w:lineRule="auto"/>
              <w:rPr>
                <w:color w:val="auto"/>
                <w:szCs w:val="21"/>
              </w:rPr>
            </w:pPr>
          </w:p>
        </w:tc>
        <w:tc>
          <w:tcPr>
            <w:tcW w:w="2130" w:type="dxa"/>
            <w:vAlign w:val="center"/>
          </w:tcPr>
          <w:p w14:paraId="107C244E">
            <w:pPr>
              <w:spacing w:line="240" w:lineRule="auto"/>
              <w:ind w:firstLine="440" w:firstLineChars="200"/>
              <w:jc w:val="center"/>
              <w:rPr>
                <w:color w:val="auto"/>
                <w:szCs w:val="21"/>
                <w:highlight w:val="none"/>
              </w:rPr>
            </w:pPr>
            <w:r>
              <w:rPr>
                <w:rFonts w:hint="eastAsia"/>
                <w:color w:val="auto"/>
                <w:szCs w:val="21"/>
                <w:highlight w:val="none"/>
              </w:rPr>
              <w:t>供应商资质</w:t>
            </w:r>
          </w:p>
        </w:tc>
        <w:tc>
          <w:tcPr>
            <w:tcW w:w="5130" w:type="dxa"/>
            <w:vAlign w:val="center"/>
          </w:tcPr>
          <w:p w14:paraId="2B80579F">
            <w:pPr>
              <w:bidi w:val="0"/>
              <w:rPr>
                <w:bCs/>
                <w:color w:val="auto"/>
                <w:sz w:val="20"/>
                <w:szCs w:val="18"/>
                <w:highlight w:val="none"/>
              </w:rPr>
            </w:pPr>
            <w:r>
              <w:rPr>
                <w:rFonts w:hint="eastAsia" w:ascii="宋体" w:hAnsi="宋体" w:eastAsia="宋体" w:cs="宋体"/>
                <w:color w:val="auto"/>
                <w:szCs w:val="21"/>
                <w:lang w:val="en-US" w:eastAsia="zh-CN"/>
              </w:rPr>
              <w:t>投标供应商须具有水利行业设计乙级及以上资质；</w:t>
            </w:r>
          </w:p>
        </w:tc>
      </w:tr>
      <w:tr w14:paraId="27627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2" w:hRule="atLeast"/>
        </w:trPr>
        <w:tc>
          <w:tcPr>
            <w:tcW w:w="840" w:type="dxa"/>
            <w:vMerge w:val="continue"/>
            <w:vAlign w:val="center"/>
          </w:tcPr>
          <w:p w14:paraId="6717EFF3">
            <w:pPr>
              <w:jc w:val="center"/>
              <w:rPr>
                <w:color w:val="auto"/>
                <w:szCs w:val="21"/>
              </w:rPr>
            </w:pPr>
          </w:p>
        </w:tc>
        <w:tc>
          <w:tcPr>
            <w:tcW w:w="975" w:type="dxa"/>
            <w:vMerge w:val="continue"/>
            <w:vAlign w:val="center"/>
          </w:tcPr>
          <w:p w14:paraId="7FFB687A">
            <w:pPr>
              <w:spacing w:line="360" w:lineRule="auto"/>
              <w:rPr>
                <w:color w:val="auto"/>
                <w:szCs w:val="21"/>
              </w:rPr>
            </w:pPr>
          </w:p>
        </w:tc>
        <w:tc>
          <w:tcPr>
            <w:tcW w:w="2130" w:type="dxa"/>
            <w:vAlign w:val="center"/>
          </w:tcPr>
          <w:p w14:paraId="38AAD6B8">
            <w:pPr>
              <w:spacing w:line="240" w:lineRule="auto"/>
              <w:ind w:firstLine="440" w:firstLineChars="200"/>
              <w:jc w:val="center"/>
              <w:rPr>
                <w:rFonts w:hint="eastAsia" w:eastAsia="宋体"/>
                <w:color w:val="auto"/>
                <w:szCs w:val="21"/>
                <w:highlight w:val="none"/>
                <w:lang w:eastAsia="zh-CN"/>
              </w:rPr>
            </w:pPr>
            <w:r>
              <w:rPr>
                <w:rFonts w:hint="eastAsia"/>
                <w:color w:val="auto"/>
                <w:szCs w:val="21"/>
                <w:highlight w:val="none"/>
                <w:lang w:eastAsia="zh-CN"/>
              </w:rPr>
              <w:t>项目负责人</w:t>
            </w:r>
          </w:p>
        </w:tc>
        <w:tc>
          <w:tcPr>
            <w:tcW w:w="5130" w:type="dxa"/>
            <w:vAlign w:val="center"/>
          </w:tcPr>
          <w:p w14:paraId="330C85AA">
            <w:pPr>
              <w:spacing w:line="240" w:lineRule="auto"/>
              <w:jc w:val="both"/>
              <w:rPr>
                <w:rFonts w:hint="eastAsia"/>
                <w:bCs/>
                <w:color w:val="auto"/>
                <w:sz w:val="20"/>
                <w:szCs w:val="18"/>
                <w:highlight w:val="none"/>
                <w:lang w:val="en-US" w:eastAsia="zh-CN"/>
              </w:rPr>
            </w:pPr>
            <w:r>
              <w:rPr>
                <w:rFonts w:hint="eastAsia" w:ascii="宋体" w:hAnsi="宋体" w:eastAsia="宋体" w:cs="宋体"/>
                <w:color w:val="auto"/>
                <w:szCs w:val="21"/>
                <w:lang w:val="en-US" w:eastAsia="zh-CN"/>
              </w:rPr>
              <w:t>投标供应商拟派项目负责人须具备</w:t>
            </w:r>
            <w:r>
              <w:rPr>
                <w:rFonts w:hint="eastAsia" w:cs="宋体"/>
                <w:color w:val="auto"/>
                <w:szCs w:val="21"/>
                <w:lang w:val="en-US" w:eastAsia="zh-CN"/>
              </w:rPr>
              <w:t>水利水电专业</w:t>
            </w:r>
            <w:r>
              <w:rPr>
                <w:rFonts w:hint="eastAsia" w:ascii="宋体" w:hAnsi="宋体" w:eastAsia="宋体" w:cs="宋体"/>
                <w:color w:val="auto"/>
                <w:szCs w:val="21"/>
                <w:lang w:val="en-US" w:eastAsia="zh-CN"/>
              </w:rPr>
              <w:t>高级</w:t>
            </w:r>
            <w:r>
              <w:rPr>
                <w:rFonts w:hint="eastAsia" w:cs="宋体"/>
                <w:color w:val="auto"/>
                <w:szCs w:val="21"/>
                <w:lang w:val="en-US" w:eastAsia="zh-CN"/>
              </w:rPr>
              <w:t>及以上</w:t>
            </w:r>
            <w:r>
              <w:rPr>
                <w:rFonts w:hint="eastAsia" w:ascii="宋体" w:hAnsi="宋体" w:eastAsia="宋体" w:cs="宋体"/>
                <w:color w:val="auto"/>
                <w:szCs w:val="21"/>
                <w:lang w:val="en-US" w:eastAsia="zh-CN"/>
              </w:rPr>
              <w:t>职称，为本单位员工且已缴纳社保（提供劳动合同及个人社保权益单）；</w:t>
            </w:r>
          </w:p>
        </w:tc>
      </w:tr>
      <w:tr w14:paraId="75D85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16" w:hRule="atLeast"/>
        </w:trPr>
        <w:tc>
          <w:tcPr>
            <w:tcW w:w="840" w:type="dxa"/>
            <w:vMerge w:val="continue"/>
            <w:vAlign w:val="center"/>
          </w:tcPr>
          <w:p w14:paraId="38056D11">
            <w:pPr>
              <w:jc w:val="center"/>
              <w:rPr>
                <w:color w:val="auto"/>
                <w:szCs w:val="21"/>
              </w:rPr>
            </w:pPr>
          </w:p>
        </w:tc>
        <w:tc>
          <w:tcPr>
            <w:tcW w:w="975" w:type="dxa"/>
            <w:vMerge w:val="continue"/>
            <w:vAlign w:val="center"/>
          </w:tcPr>
          <w:p w14:paraId="4FB9EEFB">
            <w:pPr>
              <w:spacing w:line="360" w:lineRule="auto"/>
              <w:rPr>
                <w:color w:val="auto"/>
                <w:szCs w:val="21"/>
              </w:rPr>
            </w:pPr>
          </w:p>
        </w:tc>
        <w:tc>
          <w:tcPr>
            <w:tcW w:w="2130" w:type="dxa"/>
            <w:vAlign w:val="center"/>
          </w:tcPr>
          <w:p w14:paraId="5B4ACFDF">
            <w:pPr>
              <w:spacing w:line="360" w:lineRule="auto"/>
              <w:ind w:firstLine="440" w:firstLineChars="200"/>
              <w:jc w:val="center"/>
              <w:rPr>
                <w:color w:val="auto"/>
                <w:szCs w:val="21"/>
              </w:rPr>
            </w:pPr>
            <w:r>
              <w:rPr>
                <w:rFonts w:hint="eastAsia"/>
                <w:color w:val="auto"/>
                <w:szCs w:val="21"/>
              </w:rPr>
              <w:t>企业税收</w:t>
            </w:r>
          </w:p>
        </w:tc>
        <w:tc>
          <w:tcPr>
            <w:tcW w:w="5130" w:type="dxa"/>
            <w:vAlign w:val="center"/>
          </w:tcPr>
          <w:p w14:paraId="6C97D59D">
            <w:pPr>
              <w:spacing w:line="360" w:lineRule="auto"/>
              <w:jc w:val="both"/>
              <w:rPr>
                <w:rFonts w:hint="eastAsia" w:eastAsia="宋体"/>
                <w:bCs/>
                <w:color w:val="auto"/>
                <w:szCs w:val="21"/>
                <w:lang w:val="en-US" w:eastAsia="zh-CN"/>
              </w:rPr>
            </w:pPr>
            <w:r>
              <w:rPr>
                <w:rFonts w:hint="eastAsia"/>
                <w:bCs/>
                <w:color w:val="auto"/>
                <w:szCs w:val="21"/>
                <w:lang w:val="en-US"/>
              </w:rPr>
              <w:t>须提供企业近半年任意连续三个月依法缴纳税收的证明资料（新成立的企业从成立之日起计算）主要是指缴纳增值税或企业所得税或企业附加税的缴费证明，依法免税的投标响应人，应提供相应文件证明其依法免税</w:t>
            </w:r>
            <w:r>
              <w:rPr>
                <w:rFonts w:hint="eastAsia"/>
                <w:bCs/>
                <w:color w:val="auto"/>
                <w:szCs w:val="21"/>
                <w:lang w:val="en-US" w:eastAsia="zh-CN"/>
              </w:rPr>
              <w:t>；</w:t>
            </w:r>
          </w:p>
        </w:tc>
      </w:tr>
      <w:tr w14:paraId="1B312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trPr>
        <w:tc>
          <w:tcPr>
            <w:tcW w:w="840" w:type="dxa"/>
            <w:vMerge w:val="continue"/>
            <w:vAlign w:val="center"/>
          </w:tcPr>
          <w:p w14:paraId="34863E3E">
            <w:pPr>
              <w:jc w:val="center"/>
              <w:rPr>
                <w:color w:val="auto"/>
                <w:szCs w:val="21"/>
              </w:rPr>
            </w:pPr>
          </w:p>
        </w:tc>
        <w:tc>
          <w:tcPr>
            <w:tcW w:w="975" w:type="dxa"/>
            <w:vMerge w:val="continue"/>
            <w:vAlign w:val="center"/>
          </w:tcPr>
          <w:p w14:paraId="406FDDDE">
            <w:pPr>
              <w:spacing w:line="360" w:lineRule="auto"/>
              <w:rPr>
                <w:color w:val="auto"/>
                <w:szCs w:val="21"/>
              </w:rPr>
            </w:pPr>
          </w:p>
        </w:tc>
        <w:tc>
          <w:tcPr>
            <w:tcW w:w="2130" w:type="dxa"/>
            <w:vAlign w:val="center"/>
          </w:tcPr>
          <w:p w14:paraId="10B1B069">
            <w:pPr>
              <w:spacing w:line="240" w:lineRule="atLeast"/>
              <w:rPr>
                <w:rFonts w:hint="eastAsia"/>
                <w:color w:val="auto"/>
                <w:szCs w:val="21"/>
                <w:lang w:eastAsia="zh-CN"/>
              </w:rPr>
            </w:pPr>
            <w:r>
              <w:rPr>
                <w:rFonts w:hint="eastAsia"/>
                <w:color w:val="auto"/>
                <w:szCs w:val="21"/>
                <w:lang w:eastAsia="zh-CN"/>
              </w:rPr>
              <w:t>诚信承诺及网站查询</w:t>
            </w:r>
          </w:p>
        </w:tc>
        <w:tc>
          <w:tcPr>
            <w:tcW w:w="5130" w:type="dxa"/>
            <w:vAlign w:val="center"/>
          </w:tcPr>
          <w:p w14:paraId="30B21C43">
            <w:pPr>
              <w:tabs>
                <w:tab w:val="left" w:pos="360"/>
              </w:tabs>
              <w:wordWrap w:val="0"/>
              <w:spacing w:line="320" w:lineRule="exact"/>
              <w:rPr>
                <w:color w:val="auto"/>
                <w:szCs w:val="21"/>
                <w:lang w:val="en-US"/>
              </w:rPr>
            </w:pPr>
            <w:r>
              <w:rPr>
                <w:rFonts w:hint="eastAsia"/>
                <w:color w:val="auto"/>
                <w:szCs w:val="21"/>
                <w:lang w:val="en-US"/>
              </w:rPr>
              <w:t>1、参加政府采购活动前3年内无行贿犯罪记录、商业贿赂、不正当竞争行为、骗取中标、严重违约等问题承诺；</w:t>
            </w:r>
          </w:p>
          <w:p w14:paraId="79939AED">
            <w:pPr>
              <w:tabs>
                <w:tab w:val="left" w:pos="360"/>
              </w:tabs>
              <w:wordWrap w:val="0"/>
              <w:spacing w:line="320" w:lineRule="exact"/>
              <w:rPr>
                <w:color w:val="auto"/>
                <w:szCs w:val="21"/>
                <w:lang w:val="en-US"/>
              </w:rPr>
            </w:pPr>
            <w:r>
              <w:rPr>
                <w:rFonts w:hint="eastAsia"/>
                <w:color w:val="auto"/>
                <w:szCs w:val="21"/>
                <w:lang w:val="en-US"/>
              </w:rPr>
              <w:t>2、供应商出具无行贿犯罪记录在中国裁判文书网自行查询或自行承诺（查询对象：企业、法定代表人）；</w:t>
            </w:r>
          </w:p>
          <w:p w14:paraId="500003D5">
            <w:pPr>
              <w:tabs>
                <w:tab w:val="left" w:pos="360"/>
              </w:tabs>
              <w:wordWrap w:val="0"/>
              <w:spacing w:line="320" w:lineRule="exact"/>
              <w:rPr>
                <w:color w:val="auto"/>
                <w:szCs w:val="21"/>
                <w:lang w:val="en-US"/>
              </w:rPr>
            </w:pPr>
            <w:r>
              <w:rPr>
                <w:rFonts w:hint="eastAsia"/>
                <w:color w:val="auto"/>
                <w:szCs w:val="21"/>
                <w:lang w:val="en-US"/>
              </w:rPr>
              <w:t>3、提供企业注册地工商管理部门出具的无商业贿赂和不正当竞争行为的查询证明（若当地工商管理部门不办理此项业务，供应商须自行出具本企业无商业贿赂和不正当竞争行为承诺书）；</w:t>
            </w:r>
          </w:p>
          <w:p w14:paraId="68CED15A">
            <w:pPr>
              <w:tabs>
                <w:tab w:val="left" w:pos="360"/>
              </w:tabs>
              <w:wordWrap w:val="0"/>
              <w:spacing w:line="320" w:lineRule="exact"/>
              <w:rPr>
                <w:rFonts w:hint="eastAsia"/>
                <w:lang w:val="en-US"/>
              </w:rPr>
            </w:pPr>
            <w:r>
              <w:rPr>
                <w:rFonts w:hint="eastAsia"/>
                <w:color w:val="auto"/>
                <w:szCs w:val="21"/>
                <w:lang w:val="en-US"/>
              </w:rPr>
              <w:t>4、据《关于在政府采购活动中查询及使用信用记录有关问题的通知》(财库[2016]125号)和豫财购【2016】15号的规定，企业没有被列入“信用中国”网站的“失信被执行人”、“重大税收违法失信主体”、“政府采购严重违法失信行为记录名单”及“中国政府采购网”网站的“政府采购严重违法失信行为信息记录”的响应人；（查询渠道：“信用中国”网站（www.creditchina.gov.cn）、中国政府采购网（www.ccgp.gov.cn）；提供网站的查询信息截图；(注：査询时间必须是磋商公告发布以后开标时间以前并提供网站查询网页截图，查询结果清晰可见)；</w:t>
            </w:r>
          </w:p>
        </w:tc>
      </w:tr>
      <w:tr w14:paraId="33C95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trPr>
        <w:tc>
          <w:tcPr>
            <w:tcW w:w="840" w:type="dxa"/>
            <w:vMerge w:val="continue"/>
            <w:vAlign w:val="center"/>
          </w:tcPr>
          <w:p w14:paraId="028495F8">
            <w:pPr>
              <w:jc w:val="center"/>
              <w:rPr>
                <w:color w:val="auto"/>
                <w:szCs w:val="21"/>
              </w:rPr>
            </w:pPr>
          </w:p>
        </w:tc>
        <w:tc>
          <w:tcPr>
            <w:tcW w:w="975" w:type="dxa"/>
            <w:vMerge w:val="continue"/>
            <w:vAlign w:val="center"/>
          </w:tcPr>
          <w:p w14:paraId="68B98A56">
            <w:pPr>
              <w:spacing w:line="360" w:lineRule="auto"/>
              <w:rPr>
                <w:color w:val="auto"/>
                <w:szCs w:val="21"/>
              </w:rPr>
            </w:pPr>
          </w:p>
        </w:tc>
        <w:tc>
          <w:tcPr>
            <w:tcW w:w="2130" w:type="dxa"/>
            <w:vAlign w:val="center"/>
          </w:tcPr>
          <w:p w14:paraId="11267C0A">
            <w:pPr>
              <w:spacing w:line="240" w:lineRule="atLeast"/>
              <w:jc w:val="center"/>
              <w:rPr>
                <w:rFonts w:hint="eastAsia" w:eastAsia="宋体"/>
                <w:color w:val="auto"/>
                <w:szCs w:val="21"/>
                <w:lang w:eastAsia="zh-CN"/>
              </w:rPr>
            </w:pPr>
            <w:r>
              <w:rPr>
                <w:rFonts w:hint="eastAsia"/>
                <w:color w:val="auto"/>
                <w:szCs w:val="21"/>
                <w:lang w:eastAsia="zh-CN"/>
              </w:rPr>
              <w:t>其他内容</w:t>
            </w:r>
          </w:p>
        </w:tc>
        <w:tc>
          <w:tcPr>
            <w:tcW w:w="5130" w:type="dxa"/>
            <w:vAlign w:val="center"/>
          </w:tcPr>
          <w:p w14:paraId="35CD53D9">
            <w:pPr>
              <w:numPr>
                <w:ilvl w:val="0"/>
                <w:numId w:val="15"/>
              </w:numPr>
              <w:tabs>
                <w:tab w:val="left" w:pos="360"/>
              </w:tabs>
              <w:wordWrap w:val="0"/>
              <w:spacing w:line="320" w:lineRule="exact"/>
              <w:rPr>
                <w:rFonts w:hint="eastAsia"/>
                <w:color w:val="auto"/>
                <w:szCs w:val="21"/>
                <w:lang w:val="en-US" w:eastAsia="zh-CN"/>
              </w:rPr>
            </w:pPr>
            <w:r>
              <w:rPr>
                <w:rFonts w:hint="eastAsia"/>
                <w:color w:val="auto"/>
                <w:szCs w:val="21"/>
                <w:lang w:val="en-US" w:eastAsia="zh-CN"/>
              </w:rPr>
              <w:t>本项目不接受联合体投标；</w:t>
            </w:r>
          </w:p>
          <w:p w14:paraId="0DF21FEC">
            <w:pPr>
              <w:numPr>
                <w:ilvl w:val="0"/>
                <w:numId w:val="15"/>
              </w:numPr>
              <w:tabs>
                <w:tab w:val="left" w:pos="360"/>
              </w:tabs>
              <w:wordWrap w:val="0"/>
              <w:spacing w:line="320" w:lineRule="exact"/>
              <w:rPr>
                <w:rFonts w:hint="eastAsia" w:eastAsia="宋体"/>
                <w:color w:val="auto"/>
                <w:szCs w:val="21"/>
                <w:lang w:val="en-US" w:eastAsia="zh-CN"/>
              </w:rPr>
            </w:pPr>
            <w:r>
              <w:rPr>
                <w:rFonts w:hint="eastAsia"/>
                <w:color w:val="auto"/>
                <w:szCs w:val="21"/>
                <w:lang w:val="en-US" w:eastAsia="zh-CN"/>
              </w:rPr>
              <w:t>竞争性磋商文件规定的其他资格要求资料</w:t>
            </w:r>
          </w:p>
        </w:tc>
      </w:tr>
      <w:tr w14:paraId="7B6BA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840" w:type="dxa"/>
            <w:vMerge w:val="restart"/>
            <w:vAlign w:val="center"/>
          </w:tcPr>
          <w:p w14:paraId="4BD173EC">
            <w:pPr>
              <w:jc w:val="center"/>
              <w:rPr>
                <w:color w:val="auto"/>
                <w:szCs w:val="21"/>
              </w:rPr>
            </w:pPr>
            <w:r>
              <w:rPr>
                <w:rFonts w:hint="eastAsia"/>
                <w:color w:val="auto"/>
                <w:szCs w:val="21"/>
              </w:rPr>
              <w:t>2.1.3</w:t>
            </w:r>
          </w:p>
        </w:tc>
        <w:tc>
          <w:tcPr>
            <w:tcW w:w="975" w:type="dxa"/>
            <w:vMerge w:val="restart"/>
            <w:vAlign w:val="center"/>
          </w:tcPr>
          <w:p w14:paraId="2E214955">
            <w:pPr>
              <w:jc w:val="center"/>
              <w:rPr>
                <w:color w:val="auto"/>
                <w:szCs w:val="21"/>
              </w:rPr>
            </w:pPr>
            <w:r>
              <w:rPr>
                <w:rFonts w:hint="eastAsia"/>
                <w:color w:val="auto"/>
                <w:szCs w:val="21"/>
              </w:rPr>
              <w:t>响应性评审标准</w:t>
            </w:r>
          </w:p>
        </w:tc>
        <w:tc>
          <w:tcPr>
            <w:tcW w:w="2130" w:type="dxa"/>
            <w:vAlign w:val="center"/>
          </w:tcPr>
          <w:p w14:paraId="65E1744E">
            <w:pPr>
              <w:spacing w:line="360" w:lineRule="auto"/>
              <w:jc w:val="center"/>
              <w:rPr>
                <w:color w:val="auto"/>
                <w:szCs w:val="21"/>
              </w:rPr>
            </w:pPr>
            <w:r>
              <w:rPr>
                <w:rFonts w:hint="eastAsia"/>
                <w:color w:val="auto"/>
                <w:szCs w:val="21"/>
              </w:rPr>
              <w:t>投标内容</w:t>
            </w:r>
          </w:p>
        </w:tc>
        <w:tc>
          <w:tcPr>
            <w:tcW w:w="5130" w:type="dxa"/>
            <w:vAlign w:val="center"/>
          </w:tcPr>
          <w:p w14:paraId="270B758C">
            <w:pPr>
              <w:spacing w:line="360" w:lineRule="auto"/>
              <w:jc w:val="both"/>
              <w:rPr>
                <w:color w:val="auto"/>
                <w:szCs w:val="21"/>
              </w:rPr>
            </w:pPr>
            <w:r>
              <w:rPr>
                <w:rFonts w:hint="eastAsia"/>
                <w:color w:val="auto"/>
                <w:szCs w:val="21"/>
              </w:rPr>
              <w:t>符合第二章“供应商须知”规定</w:t>
            </w:r>
          </w:p>
        </w:tc>
      </w:tr>
      <w:tr w14:paraId="118FA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trPr>
        <w:tc>
          <w:tcPr>
            <w:tcW w:w="840" w:type="dxa"/>
            <w:vMerge w:val="continue"/>
            <w:vAlign w:val="top"/>
          </w:tcPr>
          <w:p w14:paraId="4BC7710C">
            <w:pPr>
              <w:rPr>
                <w:color w:val="auto"/>
                <w:szCs w:val="21"/>
              </w:rPr>
            </w:pPr>
          </w:p>
        </w:tc>
        <w:tc>
          <w:tcPr>
            <w:tcW w:w="975" w:type="dxa"/>
            <w:vMerge w:val="continue"/>
            <w:vAlign w:val="top"/>
          </w:tcPr>
          <w:p w14:paraId="543EC35C">
            <w:pPr>
              <w:rPr>
                <w:color w:val="auto"/>
                <w:szCs w:val="21"/>
              </w:rPr>
            </w:pPr>
          </w:p>
        </w:tc>
        <w:tc>
          <w:tcPr>
            <w:tcW w:w="2130" w:type="dxa"/>
            <w:vAlign w:val="center"/>
          </w:tcPr>
          <w:p w14:paraId="57B10323">
            <w:pPr>
              <w:spacing w:line="360" w:lineRule="auto"/>
              <w:jc w:val="center"/>
              <w:rPr>
                <w:rFonts w:hint="eastAsia" w:eastAsia="宋体"/>
                <w:color w:val="auto"/>
                <w:szCs w:val="21"/>
                <w:lang w:eastAsia="zh-CN"/>
              </w:rPr>
            </w:pPr>
            <w:r>
              <w:rPr>
                <w:rFonts w:hint="eastAsia"/>
                <w:color w:val="auto"/>
                <w:szCs w:val="21"/>
                <w:lang w:eastAsia="zh-CN"/>
              </w:rPr>
              <w:t>设计周期</w:t>
            </w:r>
          </w:p>
        </w:tc>
        <w:tc>
          <w:tcPr>
            <w:tcW w:w="5130" w:type="dxa"/>
            <w:vAlign w:val="center"/>
          </w:tcPr>
          <w:p w14:paraId="70CBEBBA">
            <w:pPr>
              <w:spacing w:line="360" w:lineRule="auto"/>
              <w:jc w:val="both"/>
              <w:rPr>
                <w:color w:val="auto"/>
                <w:szCs w:val="21"/>
              </w:rPr>
            </w:pPr>
            <w:r>
              <w:rPr>
                <w:rFonts w:hint="eastAsia"/>
                <w:color w:val="auto"/>
                <w:szCs w:val="21"/>
              </w:rPr>
              <w:t>符合第二章“供应商须知”规定</w:t>
            </w:r>
          </w:p>
        </w:tc>
      </w:tr>
      <w:tr w14:paraId="66B34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trPr>
        <w:tc>
          <w:tcPr>
            <w:tcW w:w="840" w:type="dxa"/>
            <w:vMerge w:val="continue"/>
            <w:vAlign w:val="top"/>
          </w:tcPr>
          <w:p w14:paraId="6C692E71">
            <w:pPr>
              <w:rPr>
                <w:color w:val="auto"/>
                <w:szCs w:val="21"/>
              </w:rPr>
            </w:pPr>
          </w:p>
        </w:tc>
        <w:tc>
          <w:tcPr>
            <w:tcW w:w="975" w:type="dxa"/>
            <w:vMerge w:val="continue"/>
            <w:vAlign w:val="top"/>
          </w:tcPr>
          <w:p w14:paraId="35140D8F">
            <w:pPr>
              <w:rPr>
                <w:color w:val="auto"/>
                <w:szCs w:val="21"/>
              </w:rPr>
            </w:pPr>
          </w:p>
        </w:tc>
        <w:tc>
          <w:tcPr>
            <w:tcW w:w="2130" w:type="dxa"/>
            <w:vAlign w:val="center"/>
          </w:tcPr>
          <w:p w14:paraId="3E676C09">
            <w:pPr>
              <w:spacing w:line="360" w:lineRule="auto"/>
              <w:jc w:val="center"/>
              <w:rPr>
                <w:color w:val="auto"/>
                <w:szCs w:val="21"/>
              </w:rPr>
            </w:pPr>
            <w:r>
              <w:rPr>
                <w:rFonts w:hint="eastAsia"/>
                <w:color w:val="auto"/>
                <w:szCs w:val="21"/>
              </w:rPr>
              <w:t>质量要求</w:t>
            </w:r>
          </w:p>
        </w:tc>
        <w:tc>
          <w:tcPr>
            <w:tcW w:w="5130" w:type="dxa"/>
            <w:vAlign w:val="center"/>
          </w:tcPr>
          <w:p w14:paraId="09ED7C51">
            <w:pPr>
              <w:spacing w:line="360" w:lineRule="auto"/>
              <w:jc w:val="both"/>
              <w:rPr>
                <w:color w:val="auto"/>
                <w:szCs w:val="21"/>
              </w:rPr>
            </w:pPr>
            <w:r>
              <w:rPr>
                <w:rFonts w:hint="eastAsia"/>
                <w:color w:val="auto"/>
                <w:szCs w:val="21"/>
              </w:rPr>
              <w:t>符合第二章“供应商须知”规定</w:t>
            </w:r>
          </w:p>
        </w:tc>
      </w:tr>
      <w:tr w14:paraId="2B24A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trPr>
        <w:tc>
          <w:tcPr>
            <w:tcW w:w="840" w:type="dxa"/>
            <w:vMerge w:val="continue"/>
            <w:vAlign w:val="top"/>
          </w:tcPr>
          <w:p w14:paraId="246A3493">
            <w:pPr>
              <w:rPr>
                <w:color w:val="auto"/>
                <w:szCs w:val="21"/>
              </w:rPr>
            </w:pPr>
          </w:p>
        </w:tc>
        <w:tc>
          <w:tcPr>
            <w:tcW w:w="975" w:type="dxa"/>
            <w:vMerge w:val="continue"/>
            <w:vAlign w:val="top"/>
          </w:tcPr>
          <w:p w14:paraId="79766270">
            <w:pPr>
              <w:rPr>
                <w:color w:val="auto"/>
                <w:szCs w:val="21"/>
              </w:rPr>
            </w:pPr>
          </w:p>
        </w:tc>
        <w:tc>
          <w:tcPr>
            <w:tcW w:w="2130" w:type="dxa"/>
            <w:vAlign w:val="center"/>
          </w:tcPr>
          <w:p w14:paraId="5E633044">
            <w:pPr>
              <w:spacing w:line="360" w:lineRule="auto"/>
              <w:jc w:val="center"/>
              <w:rPr>
                <w:color w:val="auto"/>
                <w:szCs w:val="21"/>
              </w:rPr>
            </w:pPr>
            <w:r>
              <w:rPr>
                <w:rFonts w:hint="eastAsia"/>
                <w:color w:val="auto"/>
                <w:szCs w:val="21"/>
              </w:rPr>
              <w:t>投标有效期</w:t>
            </w:r>
          </w:p>
        </w:tc>
        <w:tc>
          <w:tcPr>
            <w:tcW w:w="5130" w:type="dxa"/>
            <w:vAlign w:val="center"/>
          </w:tcPr>
          <w:p w14:paraId="37927F38">
            <w:pPr>
              <w:spacing w:line="360" w:lineRule="auto"/>
              <w:jc w:val="both"/>
              <w:rPr>
                <w:color w:val="auto"/>
                <w:szCs w:val="21"/>
              </w:rPr>
            </w:pPr>
            <w:r>
              <w:rPr>
                <w:rFonts w:hint="eastAsia"/>
                <w:color w:val="auto"/>
                <w:szCs w:val="21"/>
              </w:rPr>
              <w:t>符合第二章“供应商须知”规定</w:t>
            </w:r>
          </w:p>
        </w:tc>
      </w:tr>
      <w:tr w14:paraId="6C0B5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trPr>
        <w:tc>
          <w:tcPr>
            <w:tcW w:w="840" w:type="dxa"/>
            <w:vMerge w:val="continue"/>
            <w:vAlign w:val="top"/>
          </w:tcPr>
          <w:p w14:paraId="2E9EE2FF">
            <w:pPr>
              <w:rPr>
                <w:color w:val="auto"/>
                <w:szCs w:val="21"/>
              </w:rPr>
            </w:pPr>
          </w:p>
        </w:tc>
        <w:tc>
          <w:tcPr>
            <w:tcW w:w="975" w:type="dxa"/>
            <w:vMerge w:val="continue"/>
            <w:vAlign w:val="top"/>
          </w:tcPr>
          <w:p w14:paraId="49B739AC">
            <w:pPr>
              <w:rPr>
                <w:color w:val="auto"/>
                <w:szCs w:val="21"/>
              </w:rPr>
            </w:pPr>
          </w:p>
        </w:tc>
        <w:tc>
          <w:tcPr>
            <w:tcW w:w="2130" w:type="dxa"/>
            <w:vAlign w:val="center"/>
          </w:tcPr>
          <w:p w14:paraId="5BDE368B">
            <w:pPr>
              <w:spacing w:line="360" w:lineRule="auto"/>
              <w:jc w:val="center"/>
              <w:rPr>
                <w:rFonts w:hint="eastAsia" w:ascii="宋体" w:hAnsi="宋体" w:eastAsia="宋体" w:cs="宋体"/>
                <w:color w:val="auto"/>
                <w:sz w:val="22"/>
                <w:szCs w:val="21"/>
                <w:lang w:val="zh-CN" w:eastAsia="zh-CN" w:bidi="zh-CN"/>
              </w:rPr>
            </w:pPr>
            <w:r>
              <w:rPr>
                <w:rFonts w:hint="eastAsia"/>
                <w:color w:val="auto"/>
                <w:szCs w:val="21"/>
              </w:rPr>
              <w:t>投标承诺书</w:t>
            </w:r>
          </w:p>
        </w:tc>
        <w:tc>
          <w:tcPr>
            <w:tcW w:w="5130" w:type="dxa"/>
            <w:vAlign w:val="center"/>
          </w:tcPr>
          <w:p w14:paraId="376D7829">
            <w:pPr>
              <w:spacing w:line="360" w:lineRule="auto"/>
              <w:jc w:val="both"/>
              <w:rPr>
                <w:rFonts w:hint="eastAsia" w:ascii="宋体" w:hAnsi="宋体" w:eastAsia="宋体" w:cs="宋体"/>
                <w:color w:val="auto"/>
                <w:sz w:val="22"/>
                <w:szCs w:val="21"/>
                <w:lang w:val="zh-CN" w:eastAsia="zh-CN" w:bidi="zh-CN"/>
              </w:rPr>
            </w:pPr>
            <w:r>
              <w:rPr>
                <w:rFonts w:hint="eastAsia"/>
                <w:color w:val="auto"/>
                <w:szCs w:val="21"/>
              </w:rPr>
              <w:t>符合第二章“供应商须知”规定</w:t>
            </w:r>
          </w:p>
        </w:tc>
      </w:tr>
      <w:tr w14:paraId="09BDE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trPr>
        <w:tc>
          <w:tcPr>
            <w:tcW w:w="840" w:type="dxa"/>
            <w:vMerge w:val="continue"/>
            <w:vAlign w:val="top"/>
          </w:tcPr>
          <w:p w14:paraId="3260F416">
            <w:pPr>
              <w:rPr>
                <w:color w:val="auto"/>
                <w:szCs w:val="21"/>
              </w:rPr>
            </w:pPr>
          </w:p>
        </w:tc>
        <w:tc>
          <w:tcPr>
            <w:tcW w:w="975" w:type="dxa"/>
            <w:vMerge w:val="continue"/>
            <w:vAlign w:val="top"/>
          </w:tcPr>
          <w:p w14:paraId="0552E1BA">
            <w:pPr>
              <w:rPr>
                <w:color w:val="auto"/>
                <w:szCs w:val="21"/>
              </w:rPr>
            </w:pPr>
          </w:p>
        </w:tc>
        <w:tc>
          <w:tcPr>
            <w:tcW w:w="2130" w:type="dxa"/>
            <w:vAlign w:val="center"/>
          </w:tcPr>
          <w:p w14:paraId="30B55989">
            <w:pPr>
              <w:spacing w:line="360" w:lineRule="auto"/>
              <w:jc w:val="center"/>
              <w:rPr>
                <w:rFonts w:hint="eastAsia" w:eastAsia="宋体"/>
                <w:color w:val="auto"/>
                <w:szCs w:val="21"/>
                <w:lang w:eastAsia="zh-CN"/>
              </w:rPr>
            </w:pPr>
            <w:r>
              <w:rPr>
                <w:rFonts w:hint="eastAsia"/>
                <w:color w:val="auto"/>
                <w:szCs w:val="21"/>
                <w:lang w:eastAsia="zh-CN"/>
              </w:rPr>
              <w:t>其他内容</w:t>
            </w:r>
          </w:p>
        </w:tc>
        <w:tc>
          <w:tcPr>
            <w:tcW w:w="5130" w:type="dxa"/>
            <w:vAlign w:val="center"/>
          </w:tcPr>
          <w:p w14:paraId="6328C931">
            <w:pPr>
              <w:spacing w:line="360" w:lineRule="auto"/>
              <w:jc w:val="both"/>
              <w:rPr>
                <w:color w:val="auto"/>
                <w:szCs w:val="21"/>
              </w:rPr>
            </w:pPr>
            <w:r>
              <w:rPr>
                <w:rFonts w:hint="eastAsia"/>
                <w:color w:val="auto"/>
                <w:szCs w:val="21"/>
              </w:rPr>
              <w:t>符合第二章“供应商须知”规定</w:t>
            </w:r>
          </w:p>
        </w:tc>
      </w:tr>
      <w:tr w14:paraId="6F717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trPr>
        <w:tc>
          <w:tcPr>
            <w:tcW w:w="1815" w:type="dxa"/>
            <w:gridSpan w:val="2"/>
            <w:vAlign w:val="center"/>
          </w:tcPr>
          <w:p w14:paraId="5B9E7660">
            <w:pPr>
              <w:spacing w:line="360" w:lineRule="auto"/>
              <w:jc w:val="center"/>
              <w:rPr>
                <w:color w:val="auto"/>
                <w:szCs w:val="21"/>
              </w:rPr>
            </w:pPr>
            <w:r>
              <w:rPr>
                <w:rFonts w:hint="eastAsia"/>
                <w:color w:val="auto"/>
                <w:szCs w:val="21"/>
              </w:rPr>
              <w:t>2.2.1</w:t>
            </w:r>
          </w:p>
        </w:tc>
        <w:tc>
          <w:tcPr>
            <w:tcW w:w="2130" w:type="dxa"/>
            <w:vAlign w:val="center"/>
          </w:tcPr>
          <w:p w14:paraId="317D517C">
            <w:pPr>
              <w:spacing w:line="360" w:lineRule="auto"/>
              <w:ind w:firstLine="440" w:firstLineChars="200"/>
              <w:jc w:val="both"/>
              <w:rPr>
                <w:color w:val="auto"/>
                <w:szCs w:val="21"/>
              </w:rPr>
            </w:pPr>
            <w:r>
              <w:rPr>
                <w:rFonts w:hint="eastAsia"/>
                <w:color w:val="auto"/>
                <w:szCs w:val="21"/>
              </w:rPr>
              <w:t>分值构成</w:t>
            </w:r>
          </w:p>
          <w:p w14:paraId="29D7338C">
            <w:pPr>
              <w:spacing w:line="360" w:lineRule="auto"/>
              <w:jc w:val="center"/>
              <w:rPr>
                <w:color w:val="auto"/>
                <w:szCs w:val="21"/>
              </w:rPr>
            </w:pPr>
            <w:r>
              <w:rPr>
                <w:rFonts w:hint="eastAsia"/>
                <w:color w:val="auto"/>
                <w:szCs w:val="21"/>
              </w:rPr>
              <w:t>(总分100分)</w:t>
            </w:r>
          </w:p>
        </w:tc>
        <w:tc>
          <w:tcPr>
            <w:tcW w:w="5130" w:type="dxa"/>
            <w:vAlign w:val="center"/>
          </w:tcPr>
          <w:p w14:paraId="08A56135">
            <w:pPr>
              <w:spacing w:line="360" w:lineRule="auto"/>
              <w:jc w:val="both"/>
              <w:rPr>
                <w:color w:val="auto"/>
                <w:szCs w:val="21"/>
              </w:rPr>
            </w:pPr>
            <w:r>
              <w:rPr>
                <w:rFonts w:hint="eastAsia"/>
                <w:color w:val="auto"/>
                <w:szCs w:val="21"/>
              </w:rPr>
              <w:t>投标报价：</w:t>
            </w:r>
            <w:r>
              <w:rPr>
                <w:rFonts w:hint="eastAsia"/>
                <w:color w:val="auto"/>
                <w:szCs w:val="21"/>
                <w:u w:val="single"/>
                <w:lang w:val="en-US" w:eastAsia="zh-CN"/>
              </w:rPr>
              <w:t>30</w:t>
            </w:r>
            <w:r>
              <w:rPr>
                <w:rFonts w:hint="eastAsia"/>
                <w:color w:val="auto"/>
                <w:szCs w:val="21"/>
              </w:rPr>
              <w:t>分</w:t>
            </w:r>
          </w:p>
          <w:p w14:paraId="030D6F45">
            <w:pPr>
              <w:spacing w:line="360" w:lineRule="auto"/>
              <w:jc w:val="both"/>
              <w:rPr>
                <w:color w:val="auto"/>
                <w:szCs w:val="21"/>
              </w:rPr>
            </w:pPr>
            <w:r>
              <w:rPr>
                <w:rFonts w:hint="eastAsia"/>
                <w:color w:val="auto"/>
                <w:szCs w:val="21"/>
              </w:rPr>
              <w:t>技术部分：</w:t>
            </w:r>
            <w:r>
              <w:rPr>
                <w:rFonts w:hint="eastAsia"/>
                <w:color w:val="auto"/>
                <w:szCs w:val="21"/>
                <w:u w:val="single"/>
                <w:lang w:val="en-US" w:eastAsia="zh-CN"/>
              </w:rPr>
              <w:t>50</w:t>
            </w:r>
            <w:r>
              <w:rPr>
                <w:rFonts w:hint="eastAsia"/>
                <w:color w:val="auto"/>
                <w:szCs w:val="21"/>
              </w:rPr>
              <w:t>分</w:t>
            </w:r>
          </w:p>
          <w:p w14:paraId="561DFCDB">
            <w:pPr>
              <w:spacing w:line="360" w:lineRule="auto"/>
              <w:jc w:val="both"/>
              <w:rPr>
                <w:color w:val="auto"/>
                <w:szCs w:val="21"/>
                <w:u w:val="single"/>
              </w:rPr>
            </w:pPr>
            <w:r>
              <w:rPr>
                <w:rFonts w:hint="eastAsia"/>
                <w:color w:val="auto"/>
                <w:szCs w:val="21"/>
              </w:rPr>
              <w:t>商务部分：</w:t>
            </w:r>
            <w:r>
              <w:rPr>
                <w:rFonts w:hint="eastAsia"/>
                <w:color w:val="auto"/>
                <w:szCs w:val="21"/>
                <w:u w:val="single"/>
                <w:lang w:val="en-US" w:eastAsia="zh-CN"/>
              </w:rPr>
              <w:t>20</w:t>
            </w:r>
            <w:r>
              <w:rPr>
                <w:rFonts w:hint="eastAsia"/>
                <w:color w:val="auto"/>
                <w:szCs w:val="21"/>
              </w:rPr>
              <w:t>分</w:t>
            </w:r>
          </w:p>
        </w:tc>
      </w:tr>
    </w:tbl>
    <w:p w14:paraId="7E10AF66">
      <w:pPr>
        <w:rPr>
          <w:color w:val="auto"/>
        </w:rPr>
      </w:pPr>
    </w:p>
    <w:p w14:paraId="1BE9E530">
      <w:pPr>
        <w:pStyle w:val="8"/>
        <w:rPr>
          <w:color w:val="auto"/>
        </w:rPr>
      </w:pPr>
    </w:p>
    <w:tbl>
      <w:tblPr>
        <w:tblStyle w:val="20"/>
        <w:tblW w:w="9405" w:type="dxa"/>
        <w:tblInd w:w="-4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5"/>
        <w:gridCol w:w="1230"/>
        <w:gridCol w:w="1680"/>
        <w:gridCol w:w="5580"/>
      </w:tblGrid>
      <w:tr w14:paraId="32921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9" w:hRule="atLeast"/>
        </w:trPr>
        <w:tc>
          <w:tcPr>
            <w:tcW w:w="915" w:type="dxa"/>
            <w:vAlign w:val="center"/>
          </w:tcPr>
          <w:p w14:paraId="41C65ACC">
            <w:pPr>
              <w:spacing w:line="400" w:lineRule="exact"/>
              <w:ind w:firstLine="28"/>
              <w:jc w:val="center"/>
              <w:rPr>
                <w:b/>
                <w:color w:val="auto"/>
                <w:szCs w:val="21"/>
              </w:rPr>
            </w:pPr>
            <w:r>
              <w:rPr>
                <w:rFonts w:hint="eastAsia"/>
                <w:b/>
                <w:color w:val="auto"/>
                <w:szCs w:val="21"/>
              </w:rPr>
              <w:t>序号</w:t>
            </w:r>
          </w:p>
        </w:tc>
        <w:tc>
          <w:tcPr>
            <w:tcW w:w="1230" w:type="dxa"/>
            <w:vAlign w:val="center"/>
          </w:tcPr>
          <w:p w14:paraId="55FEECAC">
            <w:pPr>
              <w:spacing w:line="400" w:lineRule="exact"/>
              <w:ind w:firstLine="28"/>
              <w:jc w:val="center"/>
              <w:rPr>
                <w:b/>
                <w:color w:val="auto"/>
                <w:szCs w:val="21"/>
              </w:rPr>
            </w:pPr>
            <w:r>
              <w:rPr>
                <w:rFonts w:hint="eastAsia"/>
                <w:b/>
                <w:color w:val="auto"/>
                <w:szCs w:val="21"/>
              </w:rPr>
              <w:t>评分因素</w:t>
            </w:r>
          </w:p>
          <w:p w14:paraId="1969EA34">
            <w:pPr>
              <w:spacing w:line="400" w:lineRule="exact"/>
              <w:ind w:firstLine="28"/>
              <w:jc w:val="center"/>
              <w:rPr>
                <w:b/>
                <w:color w:val="auto"/>
                <w:szCs w:val="21"/>
              </w:rPr>
            </w:pPr>
            <w:r>
              <w:rPr>
                <w:rFonts w:hint="eastAsia"/>
                <w:b/>
                <w:color w:val="auto"/>
                <w:szCs w:val="21"/>
              </w:rPr>
              <w:t>及分值</w:t>
            </w:r>
          </w:p>
        </w:tc>
        <w:tc>
          <w:tcPr>
            <w:tcW w:w="7260" w:type="dxa"/>
            <w:gridSpan w:val="2"/>
            <w:vAlign w:val="center"/>
          </w:tcPr>
          <w:p w14:paraId="6C4A541F">
            <w:pPr>
              <w:spacing w:line="400" w:lineRule="exact"/>
              <w:ind w:firstLine="28"/>
              <w:jc w:val="center"/>
              <w:rPr>
                <w:b/>
                <w:color w:val="auto"/>
                <w:szCs w:val="21"/>
              </w:rPr>
            </w:pPr>
            <w:r>
              <w:rPr>
                <w:rFonts w:hint="eastAsia"/>
                <w:b/>
                <w:color w:val="auto"/>
                <w:szCs w:val="21"/>
              </w:rPr>
              <w:t>评分标准</w:t>
            </w:r>
          </w:p>
        </w:tc>
      </w:tr>
      <w:tr w14:paraId="7DF36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1" w:hRule="atLeast"/>
        </w:trPr>
        <w:tc>
          <w:tcPr>
            <w:tcW w:w="915" w:type="dxa"/>
            <w:vAlign w:val="center"/>
          </w:tcPr>
          <w:p w14:paraId="1AC6CD00">
            <w:pPr>
              <w:spacing w:line="400" w:lineRule="exact"/>
              <w:ind w:firstLine="28"/>
              <w:jc w:val="center"/>
              <w:rPr>
                <w:color w:val="auto"/>
                <w:szCs w:val="21"/>
              </w:rPr>
            </w:pPr>
            <w:r>
              <w:rPr>
                <w:rFonts w:hint="eastAsia"/>
                <w:color w:val="auto"/>
                <w:szCs w:val="21"/>
                <w:lang w:val="en-US"/>
              </w:rPr>
              <w:t>2.2.2</w:t>
            </w:r>
          </w:p>
        </w:tc>
        <w:tc>
          <w:tcPr>
            <w:tcW w:w="1230" w:type="dxa"/>
            <w:vAlign w:val="center"/>
          </w:tcPr>
          <w:p w14:paraId="45B2700D">
            <w:pPr>
              <w:spacing w:line="400" w:lineRule="exact"/>
              <w:ind w:firstLine="28"/>
              <w:jc w:val="center"/>
              <w:rPr>
                <w:rFonts w:hint="eastAsia"/>
                <w:color w:val="auto"/>
                <w:szCs w:val="21"/>
              </w:rPr>
            </w:pPr>
            <w:r>
              <w:rPr>
                <w:rFonts w:hint="eastAsia"/>
                <w:color w:val="auto"/>
                <w:szCs w:val="21"/>
              </w:rPr>
              <w:t>报价</w:t>
            </w:r>
          </w:p>
          <w:p w14:paraId="0440525D">
            <w:pPr>
              <w:spacing w:line="400" w:lineRule="exact"/>
              <w:ind w:firstLine="28"/>
              <w:jc w:val="center"/>
              <w:rPr>
                <w:color w:val="auto"/>
                <w:szCs w:val="21"/>
              </w:rPr>
            </w:pPr>
            <w:r>
              <w:rPr>
                <w:rFonts w:hint="eastAsia"/>
                <w:color w:val="auto"/>
                <w:szCs w:val="21"/>
              </w:rPr>
              <w:t>（</w:t>
            </w:r>
            <w:r>
              <w:rPr>
                <w:rFonts w:hint="eastAsia"/>
                <w:color w:val="auto"/>
                <w:szCs w:val="21"/>
                <w:lang w:val="en-US" w:eastAsia="zh-CN"/>
              </w:rPr>
              <w:t>30</w:t>
            </w:r>
            <w:r>
              <w:rPr>
                <w:rFonts w:hint="eastAsia"/>
                <w:color w:val="auto"/>
                <w:szCs w:val="21"/>
              </w:rPr>
              <w:t>分）</w:t>
            </w:r>
          </w:p>
        </w:tc>
        <w:tc>
          <w:tcPr>
            <w:tcW w:w="7260" w:type="dxa"/>
            <w:gridSpan w:val="2"/>
            <w:vAlign w:val="center"/>
          </w:tcPr>
          <w:p w14:paraId="30A6140A">
            <w:pPr>
              <w:spacing w:line="360" w:lineRule="auto"/>
              <w:rPr>
                <w:rFonts w:hint="eastAsia" w:eastAsia="宋体"/>
                <w:color w:val="auto"/>
                <w:sz w:val="22"/>
                <w:szCs w:val="22"/>
                <w:lang w:val="en-US" w:eastAsia="zh-CN"/>
              </w:rPr>
            </w:pPr>
            <w:r>
              <w:rPr>
                <w:rFonts w:hint="eastAsia" w:eastAsia="宋体"/>
                <w:color w:val="auto"/>
                <w:sz w:val="22"/>
                <w:szCs w:val="22"/>
                <w:lang w:val="en-US" w:eastAsia="zh-CN"/>
              </w:rPr>
              <w:t>1、价格分采用低价优先法计算，即通过资格性和初步审查且第二轮投标价格最低的投标报价为评标基准价，其价格得分为满分</w:t>
            </w:r>
            <w:r>
              <w:rPr>
                <w:rFonts w:hint="eastAsia"/>
                <w:color w:val="auto"/>
                <w:sz w:val="22"/>
                <w:szCs w:val="22"/>
                <w:lang w:val="en-US" w:eastAsia="zh-CN"/>
              </w:rPr>
              <w:t>30</w:t>
            </w:r>
            <w:r>
              <w:rPr>
                <w:rFonts w:hint="eastAsia" w:eastAsia="宋体"/>
                <w:color w:val="auto"/>
                <w:sz w:val="22"/>
                <w:szCs w:val="22"/>
                <w:lang w:val="en-US" w:eastAsia="zh-CN"/>
              </w:rPr>
              <w:t>分。</w:t>
            </w:r>
          </w:p>
          <w:p w14:paraId="414D2B5A">
            <w:pPr>
              <w:spacing w:line="360" w:lineRule="auto"/>
              <w:rPr>
                <w:rFonts w:hint="eastAsia" w:eastAsia="宋体"/>
                <w:color w:val="auto"/>
                <w:sz w:val="22"/>
                <w:szCs w:val="22"/>
                <w:lang w:val="en-US" w:eastAsia="zh-CN"/>
              </w:rPr>
            </w:pPr>
            <w:r>
              <w:rPr>
                <w:rFonts w:hint="eastAsia" w:eastAsia="宋体"/>
                <w:color w:val="auto"/>
                <w:sz w:val="22"/>
                <w:szCs w:val="22"/>
                <w:lang w:val="en-US" w:eastAsia="zh-CN"/>
              </w:rPr>
              <w:t>其他投标供应商的价格分统一按照下列公式计算：</w:t>
            </w:r>
          </w:p>
          <w:p w14:paraId="79293911">
            <w:pPr>
              <w:spacing w:line="360" w:lineRule="auto"/>
              <w:rPr>
                <w:rFonts w:hint="eastAsia" w:eastAsia="宋体"/>
                <w:color w:val="auto"/>
                <w:sz w:val="22"/>
                <w:szCs w:val="22"/>
                <w:lang w:val="en-US" w:eastAsia="zh-CN"/>
              </w:rPr>
            </w:pPr>
            <w:r>
              <w:rPr>
                <w:rFonts w:hint="eastAsia" w:eastAsia="宋体"/>
                <w:color w:val="auto"/>
                <w:sz w:val="22"/>
                <w:szCs w:val="22"/>
                <w:lang w:val="en-US" w:eastAsia="zh-CN"/>
              </w:rPr>
              <w:t>投标报价得分＝（评标基准价/投标报价）×</w:t>
            </w:r>
            <w:r>
              <w:rPr>
                <w:rFonts w:hint="eastAsia"/>
                <w:color w:val="auto"/>
                <w:sz w:val="22"/>
                <w:szCs w:val="22"/>
                <w:lang w:val="en-US" w:eastAsia="zh-CN"/>
              </w:rPr>
              <w:t>30</w:t>
            </w:r>
            <w:r>
              <w:rPr>
                <w:rFonts w:hint="eastAsia" w:eastAsia="宋体"/>
                <w:color w:val="auto"/>
                <w:sz w:val="22"/>
                <w:szCs w:val="22"/>
                <w:lang w:val="en-US" w:eastAsia="zh-CN"/>
              </w:rPr>
              <w:t>％×100</w:t>
            </w:r>
          </w:p>
          <w:p w14:paraId="0584214E">
            <w:pPr>
              <w:spacing w:line="360" w:lineRule="auto"/>
              <w:rPr>
                <w:rFonts w:hint="eastAsia" w:eastAsia="宋体"/>
                <w:color w:val="auto"/>
                <w:sz w:val="22"/>
                <w:szCs w:val="22"/>
                <w:lang w:val="en-US" w:eastAsia="zh-CN"/>
              </w:rPr>
            </w:pPr>
            <w:r>
              <w:rPr>
                <w:rFonts w:hint="eastAsia" w:eastAsia="宋体"/>
                <w:color w:val="auto"/>
                <w:sz w:val="22"/>
                <w:szCs w:val="22"/>
                <w:lang w:val="en-US" w:eastAsia="zh-CN"/>
              </w:rPr>
              <w:t>2、磋商小组认为响应人的报价明显低于其他通过符合性审查响应人的报价，有可能影响项目实施进度或者不能诚信履约的，应当要求其在评标现场合理的时间内提供书面说明，必要时提交相关证明材料；响应人不能证明其报价合理性的，磋商小组应当将其作为无效投标处理。</w:t>
            </w:r>
          </w:p>
          <w:p w14:paraId="41246C2D">
            <w:pPr>
              <w:spacing w:line="360" w:lineRule="auto"/>
              <w:rPr>
                <w:rFonts w:hint="eastAsia" w:eastAsia="宋体"/>
                <w:color w:val="auto"/>
                <w:sz w:val="22"/>
                <w:szCs w:val="22"/>
                <w:lang w:val="en-US" w:eastAsia="zh-CN"/>
              </w:rPr>
            </w:pPr>
            <w:r>
              <w:rPr>
                <w:rFonts w:hint="eastAsia" w:eastAsia="宋体"/>
                <w:color w:val="auto"/>
                <w:sz w:val="22"/>
                <w:szCs w:val="22"/>
                <w:lang w:val="en-US" w:eastAsia="zh-CN"/>
              </w:rPr>
              <w:t>3、超出采购人预算价的响应报价为无效报价。</w:t>
            </w:r>
          </w:p>
        </w:tc>
      </w:tr>
      <w:tr w14:paraId="131D8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8" w:hRule="atLeast"/>
        </w:trPr>
        <w:tc>
          <w:tcPr>
            <w:tcW w:w="915" w:type="dxa"/>
            <w:vMerge w:val="restart"/>
            <w:vAlign w:val="center"/>
          </w:tcPr>
          <w:p w14:paraId="6E902831">
            <w:pPr>
              <w:spacing w:line="400" w:lineRule="exact"/>
              <w:ind w:firstLine="28"/>
              <w:jc w:val="center"/>
              <w:rPr>
                <w:color w:val="auto"/>
                <w:szCs w:val="21"/>
                <w:lang w:val="en-US"/>
              </w:rPr>
            </w:pPr>
            <w:r>
              <w:rPr>
                <w:rFonts w:hint="eastAsia"/>
                <w:color w:val="auto"/>
                <w:szCs w:val="21"/>
              </w:rPr>
              <w:t>2</w:t>
            </w:r>
            <w:r>
              <w:rPr>
                <w:rFonts w:hint="eastAsia"/>
                <w:color w:val="auto"/>
                <w:szCs w:val="21"/>
                <w:lang w:val="en-US"/>
              </w:rPr>
              <w:t>.2.3</w:t>
            </w:r>
          </w:p>
        </w:tc>
        <w:tc>
          <w:tcPr>
            <w:tcW w:w="1230" w:type="dxa"/>
            <w:vMerge w:val="restart"/>
            <w:vAlign w:val="center"/>
          </w:tcPr>
          <w:p w14:paraId="1D834B3D">
            <w:pPr>
              <w:spacing w:line="400" w:lineRule="exact"/>
              <w:ind w:firstLine="28"/>
              <w:jc w:val="center"/>
              <w:rPr>
                <w:rFonts w:hint="eastAsia" w:ascii="宋体" w:hAnsi="宋体" w:eastAsia="宋体" w:cs="宋体"/>
                <w:color w:val="auto"/>
                <w:sz w:val="22"/>
                <w:szCs w:val="22"/>
              </w:rPr>
            </w:pPr>
            <w:r>
              <w:rPr>
                <w:rFonts w:hint="eastAsia" w:ascii="宋体" w:hAnsi="宋体" w:eastAsia="宋体" w:cs="宋体"/>
                <w:color w:val="auto"/>
                <w:sz w:val="22"/>
                <w:szCs w:val="22"/>
              </w:rPr>
              <w:t>技术标（</w:t>
            </w:r>
            <w:r>
              <w:rPr>
                <w:rFonts w:hint="eastAsia" w:cs="宋体"/>
                <w:color w:val="auto"/>
                <w:sz w:val="22"/>
                <w:szCs w:val="22"/>
                <w:lang w:val="en-US" w:eastAsia="zh-CN"/>
              </w:rPr>
              <w:t>50</w:t>
            </w:r>
            <w:r>
              <w:rPr>
                <w:rFonts w:hint="eastAsia" w:ascii="宋体" w:hAnsi="宋体" w:eastAsia="宋体" w:cs="宋体"/>
                <w:color w:val="auto"/>
                <w:sz w:val="22"/>
                <w:szCs w:val="22"/>
              </w:rPr>
              <w:t>分）</w:t>
            </w:r>
          </w:p>
        </w:tc>
        <w:tc>
          <w:tcPr>
            <w:tcW w:w="1680" w:type="dxa"/>
            <w:vAlign w:val="center"/>
          </w:tcPr>
          <w:p w14:paraId="4D29EB7D">
            <w:pPr>
              <w:spacing w:line="360" w:lineRule="auto"/>
              <w:jc w:val="center"/>
              <w:rPr>
                <w:rFonts w:hint="eastAsia" w:ascii="宋体" w:hAnsi="宋体" w:eastAsia="宋体" w:cs="宋体"/>
                <w:color w:val="auto"/>
                <w:kern w:val="2"/>
                <w:sz w:val="22"/>
                <w:szCs w:val="22"/>
                <w:lang w:val="en-US"/>
              </w:rPr>
            </w:pPr>
            <w:r>
              <w:rPr>
                <w:rFonts w:hint="eastAsia" w:ascii="宋体" w:hAnsi="宋体" w:eastAsia="宋体" w:cs="宋体"/>
                <w:color w:val="auto"/>
                <w:spacing w:val="-6"/>
                <w:sz w:val="22"/>
                <w:szCs w:val="22"/>
                <w:lang w:val="en-US" w:eastAsia="zh-CN"/>
              </w:rPr>
              <w:t>对本项目的认识、理解（</w:t>
            </w:r>
            <w:r>
              <w:rPr>
                <w:rFonts w:hint="eastAsia" w:cs="宋体"/>
                <w:color w:val="auto"/>
                <w:spacing w:val="-6"/>
                <w:sz w:val="22"/>
                <w:szCs w:val="22"/>
                <w:lang w:val="en-US" w:eastAsia="zh-CN"/>
              </w:rPr>
              <w:t>8</w:t>
            </w:r>
            <w:r>
              <w:rPr>
                <w:rFonts w:hint="eastAsia" w:ascii="宋体" w:hAnsi="宋体" w:eastAsia="宋体" w:cs="宋体"/>
                <w:color w:val="auto"/>
                <w:spacing w:val="-6"/>
                <w:sz w:val="22"/>
                <w:szCs w:val="22"/>
                <w:lang w:val="en-US" w:eastAsia="zh-CN"/>
              </w:rPr>
              <w:t>分）</w:t>
            </w:r>
          </w:p>
        </w:tc>
        <w:tc>
          <w:tcPr>
            <w:tcW w:w="5580" w:type="dxa"/>
            <w:vAlign w:val="center"/>
          </w:tcPr>
          <w:p w14:paraId="40425017">
            <w:pPr>
              <w:spacing w:line="360" w:lineRule="auto"/>
              <w:jc w:val="left"/>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根据供应商对本项目背景、现状、工作重点、工作难点、预期效果的理解和认识等方面进行综合评分：1.对项目背景及现状理解透彻、具体、全面，工作思路及重点、难点分析清晰，针对性强，可行性强，得</w:t>
            </w:r>
            <w:r>
              <w:rPr>
                <w:rFonts w:hint="eastAsia" w:cs="宋体"/>
                <w:color w:val="auto"/>
                <w:sz w:val="22"/>
                <w:szCs w:val="22"/>
                <w:lang w:val="en-US" w:eastAsia="zh-CN"/>
              </w:rPr>
              <w:t>8</w:t>
            </w:r>
            <w:r>
              <w:rPr>
                <w:rFonts w:hint="eastAsia" w:ascii="宋体" w:hAnsi="宋体" w:eastAsia="宋体" w:cs="宋体"/>
                <w:color w:val="auto"/>
                <w:sz w:val="22"/>
                <w:szCs w:val="22"/>
                <w:lang w:val="en-US" w:eastAsia="zh-CN"/>
              </w:rPr>
              <w:t>分。2.对项目背景及现状理解清晰、具体，工作思路及重点、难点分析较清晰，针对性较强，可行性较强，得</w:t>
            </w:r>
            <w:r>
              <w:rPr>
                <w:rFonts w:hint="eastAsia" w:cs="宋体"/>
                <w:color w:val="auto"/>
                <w:sz w:val="22"/>
                <w:szCs w:val="22"/>
                <w:lang w:val="en-US" w:eastAsia="zh-CN"/>
              </w:rPr>
              <w:t>5</w:t>
            </w:r>
            <w:r>
              <w:rPr>
                <w:rFonts w:hint="eastAsia" w:ascii="宋体" w:hAnsi="宋体" w:eastAsia="宋体" w:cs="宋体"/>
                <w:color w:val="auto"/>
                <w:sz w:val="22"/>
                <w:szCs w:val="22"/>
                <w:lang w:val="en-US" w:eastAsia="zh-CN"/>
              </w:rPr>
              <w:t>分。3.对项目背景及现状理解不全面，工作思路及重点、难点分析基本完整，针对性</w:t>
            </w:r>
            <w:r>
              <w:rPr>
                <w:rFonts w:hint="eastAsia" w:cs="宋体"/>
                <w:color w:val="auto"/>
                <w:sz w:val="22"/>
                <w:szCs w:val="22"/>
                <w:lang w:val="en-US" w:eastAsia="zh-CN"/>
              </w:rPr>
              <w:t>不强</w:t>
            </w:r>
            <w:r>
              <w:rPr>
                <w:rFonts w:hint="eastAsia" w:ascii="宋体" w:hAnsi="宋体" w:eastAsia="宋体" w:cs="宋体"/>
                <w:color w:val="auto"/>
                <w:sz w:val="22"/>
                <w:szCs w:val="22"/>
                <w:lang w:val="en-US" w:eastAsia="zh-CN"/>
              </w:rPr>
              <w:t>，得1分。4.未提供方案得0分</w:t>
            </w:r>
          </w:p>
        </w:tc>
      </w:tr>
      <w:tr w14:paraId="1A857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trPr>
        <w:tc>
          <w:tcPr>
            <w:tcW w:w="915" w:type="dxa"/>
            <w:vMerge w:val="continue"/>
            <w:vAlign w:val="center"/>
          </w:tcPr>
          <w:p w14:paraId="0302F8E1">
            <w:pPr>
              <w:spacing w:line="400" w:lineRule="exact"/>
              <w:ind w:firstLine="28"/>
              <w:jc w:val="center"/>
              <w:rPr>
                <w:color w:val="auto"/>
                <w:szCs w:val="21"/>
              </w:rPr>
            </w:pPr>
          </w:p>
        </w:tc>
        <w:tc>
          <w:tcPr>
            <w:tcW w:w="1230" w:type="dxa"/>
            <w:vMerge w:val="continue"/>
            <w:vAlign w:val="center"/>
          </w:tcPr>
          <w:p w14:paraId="7CFB4164">
            <w:pPr>
              <w:spacing w:line="400" w:lineRule="exact"/>
              <w:ind w:firstLine="28"/>
              <w:jc w:val="center"/>
              <w:rPr>
                <w:rFonts w:hint="eastAsia" w:ascii="宋体" w:hAnsi="宋体" w:eastAsia="宋体" w:cs="宋体"/>
                <w:color w:val="auto"/>
                <w:sz w:val="22"/>
                <w:szCs w:val="22"/>
              </w:rPr>
            </w:pPr>
          </w:p>
        </w:tc>
        <w:tc>
          <w:tcPr>
            <w:tcW w:w="1680" w:type="dxa"/>
            <w:vAlign w:val="center"/>
          </w:tcPr>
          <w:p w14:paraId="555C7018">
            <w:pPr>
              <w:spacing w:line="360" w:lineRule="auto"/>
              <w:jc w:val="center"/>
              <w:rPr>
                <w:rFonts w:hint="eastAsia" w:ascii="宋体" w:hAnsi="宋体" w:eastAsia="宋体" w:cs="宋体"/>
                <w:color w:val="auto"/>
                <w:spacing w:val="-6"/>
                <w:sz w:val="22"/>
                <w:szCs w:val="22"/>
                <w:lang w:val="en-US" w:eastAsia="zh-CN"/>
              </w:rPr>
            </w:pPr>
            <w:r>
              <w:rPr>
                <w:rFonts w:hint="eastAsia" w:ascii="宋体" w:hAnsi="宋体" w:eastAsia="宋体" w:cs="宋体"/>
                <w:color w:val="auto"/>
                <w:spacing w:val="-6"/>
                <w:sz w:val="22"/>
                <w:szCs w:val="22"/>
                <w:lang w:val="en-US" w:eastAsia="zh-CN"/>
              </w:rPr>
              <w:t>实施方案</w:t>
            </w:r>
          </w:p>
          <w:p w14:paraId="226003EF">
            <w:pPr>
              <w:spacing w:line="360" w:lineRule="auto"/>
              <w:jc w:val="center"/>
              <w:rPr>
                <w:rFonts w:hint="eastAsia" w:ascii="宋体" w:hAnsi="宋体" w:eastAsia="宋体" w:cs="宋体"/>
                <w:color w:val="auto"/>
                <w:spacing w:val="0"/>
                <w:sz w:val="22"/>
                <w:szCs w:val="22"/>
                <w:highlight w:val="none"/>
                <w:lang w:val="en-US" w:eastAsia="zh-CN"/>
              </w:rPr>
            </w:pPr>
            <w:r>
              <w:rPr>
                <w:rFonts w:hint="eastAsia" w:ascii="宋体" w:hAnsi="宋体" w:eastAsia="宋体" w:cs="宋体"/>
                <w:color w:val="auto"/>
                <w:spacing w:val="-6"/>
                <w:sz w:val="22"/>
                <w:szCs w:val="22"/>
                <w:lang w:val="en-US" w:eastAsia="zh-CN"/>
              </w:rPr>
              <w:t>（</w:t>
            </w:r>
            <w:r>
              <w:rPr>
                <w:rFonts w:hint="eastAsia" w:cs="宋体"/>
                <w:color w:val="auto"/>
                <w:spacing w:val="-6"/>
                <w:sz w:val="22"/>
                <w:szCs w:val="22"/>
                <w:lang w:val="en-US" w:eastAsia="zh-CN"/>
              </w:rPr>
              <w:t>7</w:t>
            </w:r>
            <w:r>
              <w:rPr>
                <w:rFonts w:hint="eastAsia" w:ascii="宋体" w:hAnsi="宋体" w:eastAsia="宋体" w:cs="宋体"/>
                <w:color w:val="auto"/>
                <w:spacing w:val="-6"/>
                <w:sz w:val="22"/>
                <w:szCs w:val="22"/>
                <w:lang w:val="en-US" w:eastAsia="zh-CN"/>
              </w:rPr>
              <w:t>分）</w:t>
            </w:r>
          </w:p>
        </w:tc>
        <w:tc>
          <w:tcPr>
            <w:tcW w:w="5580" w:type="dxa"/>
            <w:vAlign w:val="center"/>
          </w:tcPr>
          <w:p w14:paraId="57B72B18">
            <w:pPr>
              <w:spacing w:line="360" w:lineRule="auto"/>
              <w:jc w:val="left"/>
              <w:rPr>
                <w:rFonts w:hint="eastAsia" w:ascii="宋体" w:hAnsi="宋体" w:eastAsia="宋体" w:cs="宋体"/>
                <w:color w:val="auto"/>
                <w:spacing w:val="-6"/>
                <w:sz w:val="22"/>
                <w:szCs w:val="22"/>
                <w:lang w:val="en-US" w:eastAsia="zh-CN"/>
              </w:rPr>
            </w:pPr>
            <w:r>
              <w:rPr>
                <w:rFonts w:hint="eastAsia" w:ascii="宋体" w:hAnsi="宋体" w:eastAsia="宋体" w:cs="宋体"/>
                <w:color w:val="auto"/>
                <w:spacing w:val="-6"/>
                <w:sz w:val="22"/>
                <w:szCs w:val="22"/>
                <w:lang w:val="en-US" w:eastAsia="zh-CN"/>
              </w:rPr>
              <w:t>根据供应商对本项目实施方案，包括但不限于主要工作内容、工作方法、技术路线、队伍组织、实施步骤等方面进行综合评分：</w:t>
            </w:r>
          </w:p>
          <w:p w14:paraId="1E6A93DB">
            <w:pPr>
              <w:numPr>
                <w:ilvl w:val="0"/>
                <w:numId w:val="16"/>
              </w:numPr>
              <w:spacing w:line="360" w:lineRule="auto"/>
              <w:jc w:val="left"/>
              <w:rPr>
                <w:rFonts w:hint="eastAsia" w:ascii="宋体" w:hAnsi="宋体" w:eastAsia="宋体" w:cs="宋体"/>
                <w:color w:val="auto"/>
                <w:spacing w:val="-6"/>
                <w:sz w:val="22"/>
                <w:szCs w:val="22"/>
                <w:lang w:val="en-US" w:eastAsia="zh-CN"/>
              </w:rPr>
            </w:pPr>
            <w:r>
              <w:rPr>
                <w:rFonts w:hint="eastAsia" w:ascii="宋体" w:hAnsi="宋体" w:eastAsia="宋体" w:cs="宋体"/>
                <w:color w:val="auto"/>
                <w:spacing w:val="-6"/>
                <w:sz w:val="22"/>
                <w:szCs w:val="22"/>
                <w:lang w:val="en-US" w:eastAsia="zh-CN"/>
              </w:rPr>
              <w:t>实施方案工作内容详细精确，工作方法可行性强，工作流程及时间安排，技术路线清晰，队伍组织科学性强，实施步骤合理高效，得</w:t>
            </w:r>
            <w:r>
              <w:rPr>
                <w:rFonts w:hint="eastAsia" w:cs="宋体"/>
                <w:color w:val="auto"/>
                <w:spacing w:val="-6"/>
                <w:sz w:val="22"/>
                <w:szCs w:val="22"/>
                <w:lang w:val="en-US" w:eastAsia="zh-CN"/>
              </w:rPr>
              <w:t>7</w:t>
            </w:r>
            <w:r>
              <w:rPr>
                <w:rFonts w:hint="eastAsia" w:ascii="宋体" w:hAnsi="宋体" w:eastAsia="宋体" w:cs="宋体"/>
                <w:color w:val="auto"/>
                <w:spacing w:val="-6"/>
                <w:sz w:val="22"/>
                <w:szCs w:val="22"/>
                <w:lang w:val="en-US" w:eastAsia="zh-CN"/>
              </w:rPr>
              <w:t>分。</w:t>
            </w:r>
          </w:p>
          <w:p w14:paraId="0A5307FF">
            <w:pPr>
              <w:numPr>
                <w:ilvl w:val="0"/>
                <w:numId w:val="16"/>
              </w:numPr>
              <w:spacing w:line="360" w:lineRule="auto"/>
              <w:ind w:left="0" w:leftChars="0" w:firstLine="0" w:firstLineChars="0"/>
              <w:jc w:val="left"/>
              <w:rPr>
                <w:rFonts w:hint="eastAsia" w:ascii="宋体" w:hAnsi="宋体" w:eastAsia="宋体" w:cs="宋体"/>
                <w:color w:val="auto"/>
                <w:spacing w:val="-6"/>
                <w:sz w:val="22"/>
                <w:szCs w:val="22"/>
                <w:lang w:val="en-US" w:eastAsia="zh-CN"/>
              </w:rPr>
            </w:pPr>
            <w:r>
              <w:rPr>
                <w:rFonts w:hint="eastAsia" w:ascii="宋体" w:hAnsi="宋体" w:eastAsia="宋体" w:cs="宋体"/>
                <w:color w:val="auto"/>
                <w:spacing w:val="-6"/>
                <w:sz w:val="22"/>
                <w:szCs w:val="22"/>
                <w:lang w:val="en-US" w:eastAsia="zh-CN"/>
              </w:rPr>
              <w:t>实施方案工作内容描述准确，工作方法比较可行，工作流程及时间安排，技术路线比较准确，队伍组织和实施步骤安排比较合理，得</w:t>
            </w:r>
            <w:r>
              <w:rPr>
                <w:rFonts w:hint="eastAsia" w:cs="宋体"/>
                <w:color w:val="auto"/>
                <w:spacing w:val="-6"/>
                <w:sz w:val="22"/>
                <w:szCs w:val="22"/>
                <w:lang w:val="en-US" w:eastAsia="zh-CN"/>
              </w:rPr>
              <w:t>4</w:t>
            </w:r>
            <w:r>
              <w:rPr>
                <w:rFonts w:hint="eastAsia" w:ascii="宋体" w:hAnsi="宋体" w:eastAsia="宋体" w:cs="宋体"/>
                <w:color w:val="auto"/>
                <w:spacing w:val="-6"/>
                <w:sz w:val="22"/>
                <w:szCs w:val="22"/>
                <w:lang w:val="en-US" w:eastAsia="zh-CN"/>
              </w:rPr>
              <w:t>分。</w:t>
            </w:r>
          </w:p>
          <w:p w14:paraId="5495DA26">
            <w:pPr>
              <w:numPr>
                <w:ilvl w:val="0"/>
                <w:numId w:val="16"/>
              </w:numPr>
              <w:spacing w:line="360" w:lineRule="auto"/>
              <w:ind w:left="0" w:leftChars="0" w:firstLine="0" w:firstLineChars="0"/>
              <w:jc w:val="left"/>
              <w:rPr>
                <w:rFonts w:hint="eastAsia" w:ascii="宋体" w:hAnsi="宋体" w:eastAsia="宋体" w:cs="宋体"/>
                <w:color w:val="auto"/>
                <w:spacing w:val="-6"/>
                <w:sz w:val="22"/>
                <w:szCs w:val="22"/>
                <w:lang w:val="en-US" w:eastAsia="zh-CN"/>
              </w:rPr>
            </w:pPr>
            <w:r>
              <w:rPr>
                <w:rFonts w:hint="eastAsia" w:ascii="宋体" w:hAnsi="宋体" w:eastAsia="宋体" w:cs="宋体"/>
                <w:color w:val="auto"/>
                <w:spacing w:val="-6"/>
                <w:sz w:val="22"/>
                <w:szCs w:val="22"/>
                <w:lang w:val="en-US" w:eastAsia="zh-CN"/>
              </w:rPr>
              <w:t>实施方案工作内容描述简单，工作方法可行性</w:t>
            </w:r>
            <w:r>
              <w:rPr>
                <w:rFonts w:hint="eastAsia" w:cs="宋体"/>
                <w:color w:val="auto"/>
                <w:spacing w:val="-6"/>
                <w:sz w:val="22"/>
                <w:szCs w:val="22"/>
                <w:lang w:val="en-US" w:eastAsia="zh-CN"/>
              </w:rPr>
              <w:t>不强</w:t>
            </w:r>
            <w:r>
              <w:rPr>
                <w:rFonts w:hint="eastAsia" w:ascii="宋体" w:hAnsi="宋体" w:eastAsia="宋体" w:cs="宋体"/>
                <w:color w:val="auto"/>
                <w:spacing w:val="-6"/>
                <w:sz w:val="22"/>
                <w:szCs w:val="22"/>
                <w:lang w:val="en-US" w:eastAsia="zh-CN"/>
              </w:rPr>
              <w:t>，工作流程及时间安排，技术路线不够全面，队伍组织科学性</w:t>
            </w:r>
            <w:r>
              <w:rPr>
                <w:rFonts w:hint="eastAsia" w:cs="宋体"/>
                <w:color w:val="auto"/>
                <w:spacing w:val="-6"/>
                <w:sz w:val="22"/>
                <w:szCs w:val="22"/>
                <w:lang w:val="en-US" w:eastAsia="zh-CN"/>
              </w:rPr>
              <w:t>不合理</w:t>
            </w:r>
            <w:r>
              <w:rPr>
                <w:rFonts w:hint="eastAsia" w:ascii="宋体" w:hAnsi="宋体" w:eastAsia="宋体" w:cs="宋体"/>
                <w:color w:val="auto"/>
                <w:spacing w:val="-6"/>
                <w:sz w:val="22"/>
                <w:szCs w:val="22"/>
                <w:lang w:val="en-US" w:eastAsia="zh-CN"/>
              </w:rPr>
              <w:t>，得</w:t>
            </w:r>
            <w:r>
              <w:rPr>
                <w:rFonts w:hint="eastAsia" w:cs="宋体"/>
                <w:color w:val="auto"/>
                <w:spacing w:val="-6"/>
                <w:sz w:val="22"/>
                <w:szCs w:val="22"/>
                <w:lang w:val="en-US" w:eastAsia="zh-CN"/>
              </w:rPr>
              <w:t>1</w:t>
            </w:r>
            <w:r>
              <w:rPr>
                <w:rFonts w:hint="eastAsia" w:ascii="宋体" w:hAnsi="宋体" w:eastAsia="宋体" w:cs="宋体"/>
                <w:color w:val="auto"/>
                <w:spacing w:val="-6"/>
                <w:sz w:val="22"/>
                <w:szCs w:val="22"/>
                <w:lang w:val="en-US" w:eastAsia="zh-CN"/>
              </w:rPr>
              <w:t>分。</w:t>
            </w:r>
          </w:p>
          <w:p w14:paraId="7954C065">
            <w:pPr>
              <w:numPr>
                <w:ilvl w:val="0"/>
                <w:numId w:val="0"/>
              </w:numPr>
              <w:spacing w:line="360" w:lineRule="auto"/>
              <w:ind w:leftChars="0"/>
              <w:jc w:val="left"/>
              <w:rPr>
                <w:rFonts w:hint="eastAsia" w:ascii="宋体" w:hAnsi="宋体" w:eastAsia="宋体" w:cs="宋体"/>
                <w:color w:val="auto"/>
                <w:spacing w:val="-6"/>
                <w:sz w:val="22"/>
                <w:szCs w:val="22"/>
                <w:lang w:val="en-US" w:eastAsia="zh-CN"/>
              </w:rPr>
            </w:pPr>
            <w:r>
              <w:rPr>
                <w:rFonts w:hint="eastAsia" w:ascii="宋体" w:hAnsi="宋体" w:eastAsia="宋体" w:cs="宋体"/>
                <w:color w:val="auto"/>
                <w:spacing w:val="-6"/>
                <w:sz w:val="22"/>
                <w:szCs w:val="22"/>
                <w:lang w:val="en-US" w:eastAsia="zh-CN"/>
              </w:rPr>
              <w:t>4.未提供方案得0分</w:t>
            </w:r>
          </w:p>
        </w:tc>
      </w:tr>
      <w:tr w14:paraId="60206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trPr>
        <w:tc>
          <w:tcPr>
            <w:tcW w:w="915" w:type="dxa"/>
            <w:vMerge w:val="continue"/>
            <w:vAlign w:val="center"/>
          </w:tcPr>
          <w:p w14:paraId="1574657F">
            <w:pPr>
              <w:spacing w:line="400" w:lineRule="exact"/>
              <w:ind w:firstLine="28"/>
              <w:jc w:val="center"/>
              <w:rPr>
                <w:color w:val="auto"/>
                <w:szCs w:val="21"/>
              </w:rPr>
            </w:pPr>
          </w:p>
        </w:tc>
        <w:tc>
          <w:tcPr>
            <w:tcW w:w="1230" w:type="dxa"/>
            <w:vMerge w:val="continue"/>
            <w:vAlign w:val="center"/>
          </w:tcPr>
          <w:p w14:paraId="140D9A4A">
            <w:pPr>
              <w:spacing w:line="400" w:lineRule="exact"/>
              <w:ind w:firstLine="28"/>
              <w:jc w:val="center"/>
              <w:rPr>
                <w:rFonts w:hint="eastAsia" w:ascii="宋体" w:hAnsi="宋体" w:eastAsia="宋体" w:cs="宋体"/>
                <w:color w:val="auto"/>
                <w:sz w:val="22"/>
                <w:szCs w:val="22"/>
              </w:rPr>
            </w:pPr>
          </w:p>
        </w:tc>
        <w:tc>
          <w:tcPr>
            <w:tcW w:w="1680" w:type="dxa"/>
            <w:vAlign w:val="center"/>
          </w:tcPr>
          <w:p w14:paraId="53CA557D">
            <w:pPr>
              <w:numPr>
                <w:ilvl w:val="0"/>
                <w:numId w:val="0"/>
              </w:numPr>
              <w:spacing w:line="360" w:lineRule="auto"/>
              <w:jc w:val="center"/>
              <w:rPr>
                <w:rFonts w:hint="eastAsia" w:ascii="宋体" w:hAnsi="宋体" w:eastAsia="宋体" w:cs="宋体"/>
                <w:color w:val="auto"/>
                <w:spacing w:val="-6"/>
                <w:sz w:val="22"/>
                <w:szCs w:val="22"/>
                <w:lang w:val="en-US" w:eastAsia="zh-CN"/>
              </w:rPr>
            </w:pPr>
            <w:r>
              <w:rPr>
                <w:rFonts w:hint="eastAsia" w:ascii="宋体" w:hAnsi="宋体" w:eastAsia="宋体" w:cs="宋体"/>
                <w:color w:val="auto"/>
                <w:spacing w:val="-6"/>
                <w:sz w:val="22"/>
                <w:szCs w:val="22"/>
                <w:lang w:val="en-US" w:eastAsia="zh-CN"/>
              </w:rPr>
              <w:t>质量保障措施方案(</w:t>
            </w:r>
            <w:r>
              <w:rPr>
                <w:rFonts w:hint="eastAsia" w:cs="宋体"/>
                <w:color w:val="auto"/>
                <w:spacing w:val="-6"/>
                <w:sz w:val="22"/>
                <w:szCs w:val="22"/>
                <w:lang w:val="en-US" w:eastAsia="zh-CN"/>
              </w:rPr>
              <w:t>7</w:t>
            </w:r>
            <w:r>
              <w:rPr>
                <w:rFonts w:hint="eastAsia" w:ascii="宋体" w:hAnsi="宋体" w:eastAsia="宋体" w:cs="宋体"/>
                <w:color w:val="auto"/>
                <w:spacing w:val="-6"/>
                <w:sz w:val="22"/>
                <w:szCs w:val="22"/>
                <w:lang w:val="en-US" w:eastAsia="zh-CN"/>
              </w:rPr>
              <w:t>分)</w:t>
            </w:r>
          </w:p>
        </w:tc>
        <w:tc>
          <w:tcPr>
            <w:tcW w:w="5580" w:type="dxa"/>
            <w:vAlign w:val="center"/>
          </w:tcPr>
          <w:p w14:paraId="5A1D7E5C">
            <w:pPr>
              <w:numPr>
                <w:ilvl w:val="0"/>
                <w:numId w:val="0"/>
              </w:numPr>
              <w:spacing w:line="360" w:lineRule="auto"/>
              <w:jc w:val="left"/>
              <w:rPr>
                <w:rFonts w:hint="eastAsia" w:ascii="宋体" w:hAnsi="宋体" w:eastAsia="宋体" w:cs="宋体"/>
                <w:color w:val="auto"/>
                <w:spacing w:val="-6"/>
                <w:sz w:val="22"/>
                <w:szCs w:val="22"/>
                <w:lang w:val="en-US" w:eastAsia="zh-CN"/>
              </w:rPr>
            </w:pPr>
            <w:r>
              <w:rPr>
                <w:rFonts w:hint="eastAsia" w:ascii="宋体" w:hAnsi="宋体" w:eastAsia="宋体" w:cs="宋体"/>
                <w:color w:val="auto"/>
                <w:spacing w:val="-6"/>
                <w:sz w:val="22"/>
                <w:szCs w:val="22"/>
                <w:lang w:val="en-US" w:eastAsia="zh-CN"/>
              </w:rPr>
              <w:t>根据供应商提供项目质量保障措施方案，方案内容包括不限于质量管理目标、质量保障组织架构、质量控制措施等进行综合评分：</w:t>
            </w:r>
          </w:p>
          <w:p w14:paraId="01DA5EA5">
            <w:pPr>
              <w:numPr>
                <w:ilvl w:val="0"/>
                <w:numId w:val="0"/>
              </w:numPr>
              <w:spacing w:line="360" w:lineRule="auto"/>
              <w:jc w:val="left"/>
              <w:rPr>
                <w:rFonts w:hint="eastAsia" w:ascii="宋体" w:hAnsi="宋体" w:eastAsia="宋体" w:cs="宋体"/>
                <w:color w:val="auto"/>
                <w:spacing w:val="-6"/>
                <w:sz w:val="22"/>
                <w:szCs w:val="22"/>
                <w:lang w:val="en-US" w:eastAsia="zh-CN"/>
              </w:rPr>
            </w:pPr>
            <w:r>
              <w:rPr>
                <w:rFonts w:hint="eastAsia" w:ascii="宋体" w:hAnsi="宋体" w:eastAsia="宋体" w:cs="宋体"/>
                <w:color w:val="auto"/>
                <w:spacing w:val="-6"/>
                <w:sz w:val="22"/>
                <w:szCs w:val="22"/>
                <w:lang w:val="en-US" w:eastAsia="zh-CN"/>
              </w:rPr>
              <w:t>1.质量管理目标内容详细清晰、质量保障组织架构科学合理、质量控制措施具体切实可行性强，得</w:t>
            </w:r>
            <w:r>
              <w:rPr>
                <w:rFonts w:hint="eastAsia" w:cs="宋体"/>
                <w:color w:val="auto"/>
                <w:spacing w:val="-6"/>
                <w:sz w:val="22"/>
                <w:szCs w:val="22"/>
                <w:lang w:val="en-US" w:eastAsia="zh-CN"/>
              </w:rPr>
              <w:t>7</w:t>
            </w:r>
            <w:r>
              <w:rPr>
                <w:rFonts w:hint="eastAsia" w:ascii="宋体" w:hAnsi="宋体" w:eastAsia="宋体" w:cs="宋体"/>
                <w:color w:val="auto"/>
                <w:spacing w:val="-6"/>
                <w:sz w:val="22"/>
                <w:szCs w:val="22"/>
                <w:lang w:val="en-US" w:eastAsia="zh-CN"/>
              </w:rPr>
              <w:t>分；</w:t>
            </w:r>
          </w:p>
          <w:p w14:paraId="71B764F7">
            <w:pPr>
              <w:numPr>
                <w:ilvl w:val="0"/>
                <w:numId w:val="0"/>
              </w:numPr>
              <w:spacing w:line="360" w:lineRule="auto"/>
              <w:jc w:val="left"/>
              <w:rPr>
                <w:rFonts w:hint="eastAsia" w:ascii="宋体" w:hAnsi="宋体" w:eastAsia="宋体" w:cs="宋体"/>
                <w:color w:val="auto"/>
                <w:spacing w:val="-6"/>
                <w:sz w:val="22"/>
                <w:szCs w:val="22"/>
                <w:lang w:val="en-US" w:eastAsia="zh-CN"/>
              </w:rPr>
            </w:pPr>
            <w:r>
              <w:rPr>
                <w:rFonts w:hint="eastAsia" w:ascii="宋体" w:hAnsi="宋体" w:eastAsia="宋体" w:cs="宋体"/>
                <w:color w:val="auto"/>
                <w:spacing w:val="-6"/>
                <w:sz w:val="22"/>
                <w:szCs w:val="22"/>
                <w:lang w:val="en-US" w:eastAsia="zh-CN"/>
              </w:rPr>
              <w:t>2.质量管理目标内容较详细、质量保障组织架构比较合理、质量控制措施可行性较强，得</w:t>
            </w:r>
            <w:r>
              <w:rPr>
                <w:rFonts w:hint="eastAsia" w:cs="宋体"/>
                <w:color w:val="auto"/>
                <w:spacing w:val="-6"/>
                <w:sz w:val="22"/>
                <w:szCs w:val="22"/>
                <w:lang w:val="en-US" w:eastAsia="zh-CN"/>
              </w:rPr>
              <w:t>4</w:t>
            </w:r>
            <w:r>
              <w:rPr>
                <w:rFonts w:hint="eastAsia" w:ascii="宋体" w:hAnsi="宋体" w:eastAsia="宋体" w:cs="宋体"/>
                <w:color w:val="auto"/>
                <w:spacing w:val="-6"/>
                <w:sz w:val="22"/>
                <w:szCs w:val="22"/>
                <w:lang w:val="en-US" w:eastAsia="zh-CN"/>
              </w:rPr>
              <w:t>分；</w:t>
            </w:r>
          </w:p>
          <w:p w14:paraId="68D8854E">
            <w:pPr>
              <w:numPr>
                <w:ilvl w:val="0"/>
                <w:numId w:val="0"/>
              </w:numPr>
              <w:spacing w:line="360" w:lineRule="auto"/>
              <w:jc w:val="left"/>
              <w:rPr>
                <w:rFonts w:hint="eastAsia" w:ascii="宋体" w:hAnsi="宋体" w:eastAsia="宋体" w:cs="宋体"/>
                <w:color w:val="auto"/>
                <w:spacing w:val="-6"/>
                <w:sz w:val="22"/>
                <w:szCs w:val="22"/>
                <w:lang w:val="en-US" w:eastAsia="zh-CN"/>
              </w:rPr>
            </w:pPr>
            <w:r>
              <w:rPr>
                <w:rFonts w:hint="eastAsia" w:ascii="宋体" w:hAnsi="宋体" w:eastAsia="宋体" w:cs="宋体"/>
                <w:color w:val="auto"/>
                <w:spacing w:val="-6"/>
                <w:sz w:val="22"/>
                <w:szCs w:val="22"/>
                <w:lang w:val="en-US" w:eastAsia="zh-CN"/>
              </w:rPr>
              <w:t>3.质量管理目标内容不够具体、质量保障组织架构一般、质量控制措施不够全面、实施可行性一般，得1分。</w:t>
            </w:r>
          </w:p>
          <w:p w14:paraId="037B416C">
            <w:pPr>
              <w:numPr>
                <w:ilvl w:val="0"/>
                <w:numId w:val="0"/>
              </w:numPr>
              <w:spacing w:line="360" w:lineRule="auto"/>
              <w:jc w:val="left"/>
              <w:rPr>
                <w:rFonts w:hint="eastAsia" w:ascii="宋体" w:hAnsi="宋体" w:eastAsia="宋体" w:cs="宋体"/>
                <w:color w:val="auto"/>
                <w:spacing w:val="-6"/>
                <w:sz w:val="22"/>
                <w:szCs w:val="22"/>
                <w:lang w:val="en-US" w:eastAsia="zh-CN"/>
              </w:rPr>
            </w:pPr>
            <w:r>
              <w:rPr>
                <w:rFonts w:hint="eastAsia" w:ascii="宋体" w:hAnsi="宋体" w:eastAsia="宋体" w:cs="宋体"/>
                <w:color w:val="auto"/>
                <w:spacing w:val="-6"/>
                <w:sz w:val="22"/>
                <w:szCs w:val="22"/>
                <w:lang w:val="en-US" w:eastAsia="zh-CN"/>
              </w:rPr>
              <w:t>4.未提供方案得0分。</w:t>
            </w:r>
          </w:p>
        </w:tc>
      </w:tr>
      <w:tr w14:paraId="59D60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trPr>
        <w:tc>
          <w:tcPr>
            <w:tcW w:w="915" w:type="dxa"/>
            <w:vMerge w:val="continue"/>
            <w:vAlign w:val="center"/>
          </w:tcPr>
          <w:p w14:paraId="11D84010">
            <w:pPr>
              <w:spacing w:line="400" w:lineRule="exact"/>
              <w:ind w:firstLine="28"/>
              <w:jc w:val="center"/>
              <w:rPr>
                <w:color w:val="auto"/>
                <w:szCs w:val="21"/>
              </w:rPr>
            </w:pPr>
          </w:p>
        </w:tc>
        <w:tc>
          <w:tcPr>
            <w:tcW w:w="1230" w:type="dxa"/>
            <w:vMerge w:val="continue"/>
            <w:vAlign w:val="center"/>
          </w:tcPr>
          <w:p w14:paraId="0F3168D8">
            <w:pPr>
              <w:spacing w:line="400" w:lineRule="exact"/>
              <w:ind w:firstLine="28"/>
              <w:jc w:val="center"/>
              <w:rPr>
                <w:rFonts w:hint="eastAsia" w:ascii="宋体" w:hAnsi="宋体" w:eastAsia="宋体" w:cs="宋体"/>
                <w:color w:val="auto"/>
                <w:sz w:val="22"/>
                <w:szCs w:val="22"/>
              </w:rPr>
            </w:pPr>
          </w:p>
        </w:tc>
        <w:tc>
          <w:tcPr>
            <w:tcW w:w="1680" w:type="dxa"/>
            <w:vAlign w:val="center"/>
          </w:tcPr>
          <w:p w14:paraId="100E4081">
            <w:pPr>
              <w:pStyle w:val="36"/>
              <w:pageBreakBefore w:val="0"/>
              <w:kinsoku/>
              <w:wordWrap/>
              <w:overflowPunct/>
              <w:topLinePunct w:val="0"/>
              <w:bidi w:val="0"/>
              <w:adjustRightInd w:val="0"/>
              <w:snapToGrid w:val="0"/>
              <w:spacing w:beforeAutospacing="0" w:afterAutospacing="0" w:line="360" w:lineRule="auto"/>
              <w:ind w:left="0" w:leftChars="0" w:right="0" w:rightChars="0"/>
              <w:jc w:val="center"/>
              <w:rPr>
                <w:rFonts w:hint="eastAsia" w:ascii="宋体" w:hAnsi="宋体" w:eastAsia="宋体" w:cs="宋体"/>
                <w:color w:val="auto"/>
                <w:spacing w:val="0"/>
                <w:sz w:val="22"/>
                <w:szCs w:val="22"/>
                <w:highlight w:val="none"/>
              </w:rPr>
            </w:pPr>
            <w:r>
              <w:rPr>
                <w:rFonts w:hint="eastAsia" w:ascii="宋体" w:hAnsi="宋体" w:eastAsia="宋体" w:cs="宋体"/>
                <w:snapToGrid w:val="0"/>
                <w:color w:val="000000"/>
                <w:sz w:val="22"/>
                <w:szCs w:val="22"/>
                <w:highlight w:val="none"/>
                <w:lang w:bidi="ar"/>
              </w:rPr>
              <w:t>工作进度的安排</w:t>
            </w:r>
            <w:r>
              <w:rPr>
                <w:rFonts w:hint="eastAsia" w:ascii="宋体" w:hAnsi="宋体" w:eastAsia="宋体" w:cs="宋体"/>
                <w:snapToGrid w:val="0"/>
                <w:sz w:val="22"/>
                <w:szCs w:val="22"/>
                <w:highlight w:val="none"/>
                <w:lang w:val="en-US" w:bidi="ar-SA"/>
              </w:rPr>
              <w:t>（</w:t>
            </w:r>
            <w:r>
              <w:rPr>
                <w:rFonts w:hint="eastAsia" w:cs="宋体"/>
                <w:snapToGrid w:val="0"/>
                <w:sz w:val="22"/>
                <w:szCs w:val="22"/>
                <w:highlight w:val="none"/>
                <w:lang w:val="en-US" w:eastAsia="zh-CN" w:bidi="ar-SA"/>
              </w:rPr>
              <w:t>7</w:t>
            </w:r>
            <w:r>
              <w:rPr>
                <w:rFonts w:hint="eastAsia" w:ascii="宋体" w:hAnsi="宋体" w:eastAsia="宋体" w:cs="宋体"/>
                <w:snapToGrid w:val="0"/>
                <w:sz w:val="22"/>
                <w:szCs w:val="22"/>
                <w:highlight w:val="none"/>
                <w:lang w:val="en-US" w:bidi="ar-SA"/>
              </w:rPr>
              <w:t>分）</w:t>
            </w:r>
          </w:p>
        </w:tc>
        <w:tc>
          <w:tcPr>
            <w:tcW w:w="5580" w:type="dxa"/>
            <w:vAlign w:val="center"/>
          </w:tcPr>
          <w:p w14:paraId="5751AA5F">
            <w:pPr>
              <w:pageBreakBefore w:val="0"/>
              <w:kinsoku/>
              <w:wordWrap/>
              <w:overflowPunct/>
              <w:topLinePunct w:val="0"/>
              <w:bidi w:val="0"/>
              <w:adjustRightInd w:val="0"/>
              <w:snapToGrid w:val="0"/>
              <w:spacing w:beforeAutospacing="0" w:afterAutospacing="0" w:line="360" w:lineRule="auto"/>
              <w:ind w:left="2" w:leftChars="0" w:right="0" w:rightChars="0" w:hanging="2" w:hangingChars="1"/>
              <w:jc w:val="both"/>
              <w:rPr>
                <w:rFonts w:hint="eastAsia" w:ascii="宋体" w:hAnsi="宋体" w:eastAsia="宋体" w:cs="宋体"/>
                <w:color w:val="auto"/>
                <w:spacing w:val="0"/>
                <w:sz w:val="22"/>
                <w:szCs w:val="22"/>
                <w:highlight w:val="none"/>
              </w:rPr>
            </w:pPr>
            <w:r>
              <w:rPr>
                <w:rFonts w:hint="eastAsia" w:ascii="宋体" w:hAnsi="宋体" w:eastAsia="宋体" w:cs="宋体"/>
                <w:color w:val="auto"/>
                <w:spacing w:val="0"/>
                <w:sz w:val="22"/>
                <w:szCs w:val="22"/>
                <w:highlight w:val="none"/>
              </w:rPr>
              <w:t>1、项目进度安排详实具体、合理可行，完全满足各阶段要求的得</w:t>
            </w:r>
            <w:r>
              <w:rPr>
                <w:rFonts w:hint="eastAsia" w:cs="宋体"/>
                <w:color w:val="auto"/>
                <w:spacing w:val="0"/>
                <w:sz w:val="22"/>
                <w:szCs w:val="22"/>
                <w:highlight w:val="none"/>
                <w:lang w:val="en-US" w:eastAsia="zh-CN"/>
              </w:rPr>
              <w:t>7</w:t>
            </w:r>
            <w:r>
              <w:rPr>
                <w:rFonts w:hint="eastAsia" w:ascii="宋体" w:hAnsi="宋体" w:eastAsia="宋体" w:cs="宋体"/>
                <w:color w:val="auto"/>
                <w:spacing w:val="0"/>
                <w:sz w:val="22"/>
                <w:szCs w:val="22"/>
                <w:highlight w:val="none"/>
              </w:rPr>
              <w:t>分；</w:t>
            </w:r>
          </w:p>
          <w:p w14:paraId="3BD22B1C">
            <w:pPr>
              <w:pageBreakBefore w:val="0"/>
              <w:kinsoku/>
              <w:wordWrap/>
              <w:overflowPunct/>
              <w:topLinePunct w:val="0"/>
              <w:bidi w:val="0"/>
              <w:adjustRightInd w:val="0"/>
              <w:snapToGrid w:val="0"/>
              <w:spacing w:beforeAutospacing="0" w:afterAutospacing="0" w:line="360" w:lineRule="auto"/>
              <w:ind w:left="2" w:leftChars="0" w:right="0" w:rightChars="0" w:hanging="2" w:hangingChars="1"/>
              <w:jc w:val="both"/>
              <w:rPr>
                <w:rFonts w:hint="eastAsia" w:ascii="宋体" w:hAnsi="宋体" w:eastAsia="宋体" w:cs="宋体"/>
                <w:color w:val="auto"/>
                <w:spacing w:val="0"/>
                <w:sz w:val="22"/>
                <w:szCs w:val="22"/>
                <w:highlight w:val="none"/>
              </w:rPr>
            </w:pPr>
            <w:r>
              <w:rPr>
                <w:rFonts w:hint="eastAsia" w:ascii="宋体" w:hAnsi="宋体" w:eastAsia="宋体" w:cs="宋体"/>
                <w:color w:val="auto"/>
                <w:spacing w:val="0"/>
                <w:sz w:val="22"/>
                <w:szCs w:val="22"/>
                <w:highlight w:val="none"/>
              </w:rPr>
              <w:t>2、项目进度安排基本合理，基本满足各阶段要求的得</w:t>
            </w:r>
            <w:r>
              <w:rPr>
                <w:rFonts w:hint="eastAsia" w:cs="宋体"/>
                <w:color w:val="auto"/>
                <w:spacing w:val="0"/>
                <w:sz w:val="22"/>
                <w:szCs w:val="22"/>
                <w:highlight w:val="none"/>
                <w:lang w:val="en-US" w:eastAsia="zh-CN"/>
              </w:rPr>
              <w:t>4</w:t>
            </w:r>
            <w:r>
              <w:rPr>
                <w:rFonts w:hint="eastAsia" w:ascii="宋体" w:hAnsi="宋体" w:eastAsia="宋体" w:cs="宋体"/>
                <w:color w:val="auto"/>
                <w:spacing w:val="0"/>
                <w:sz w:val="22"/>
                <w:szCs w:val="22"/>
                <w:highlight w:val="none"/>
              </w:rPr>
              <w:t>分；</w:t>
            </w:r>
          </w:p>
          <w:p w14:paraId="68912522">
            <w:pPr>
              <w:pageBreakBefore w:val="0"/>
              <w:kinsoku/>
              <w:wordWrap/>
              <w:overflowPunct/>
              <w:topLinePunct w:val="0"/>
              <w:bidi w:val="0"/>
              <w:adjustRightInd w:val="0"/>
              <w:snapToGrid w:val="0"/>
              <w:spacing w:beforeAutospacing="0" w:afterAutospacing="0" w:line="360" w:lineRule="auto"/>
              <w:ind w:left="2" w:leftChars="0" w:right="0" w:rightChars="0" w:hanging="2" w:hangingChars="1"/>
              <w:jc w:val="both"/>
              <w:rPr>
                <w:rFonts w:hint="eastAsia" w:ascii="宋体" w:hAnsi="宋体" w:eastAsia="宋体" w:cs="宋体"/>
                <w:color w:val="auto"/>
                <w:spacing w:val="0"/>
                <w:sz w:val="22"/>
                <w:szCs w:val="22"/>
                <w:highlight w:val="none"/>
              </w:rPr>
            </w:pPr>
            <w:r>
              <w:rPr>
                <w:rFonts w:hint="eastAsia" w:ascii="宋体" w:hAnsi="宋体" w:eastAsia="宋体" w:cs="宋体"/>
                <w:color w:val="auto"/>
                <w:spacing w:val="0"/>
                <w:sz w:val="22"/>
                <w:szCs w:val="22"/>
                <w:highlight w:val="none"/>
              </w:rPr>
              <w:t>3、工作计划不够合理，可行性差的得1分。</w:t>
            </w:r>
          </w:p>
          <w:p w14:paraId="7704F236">
            <w:pPr>
              <w:pageBreakBefore w:val="0"/>
              <w:kinsoku/>
              <w:wordWrap/>
              <w:overflowPunct/>
              <w:topLinePunct w:val="0"/>
              <w:bidi w:val="0"/>
              <w:adjustRightInd w:val="0"/>
              <w:snapToGrid w:val="0"/>
              <w:spacing w:beforeAutospacing="0" w:afterAutospacing="0" w:line="360" w:lineRule="auto"/>
              <w:ind w:left="2" w:leftChars="0" w:right="0" w:rightChars="0" w:hanging="2" w:hangingChars="1"/>
              <w:jc w:val="both"/>
              <w:rPr>
                <w:rFonts w:hint="eastAsia" w:ascii="宋体" w:hAnsi="宋体" w:eastAsia="宋体" w:cs="宋体"/>
                <w:color w:val="auto"/>
                <w:spacing w:val="0"/>
                <w:sz w:val="22"/>
                <w:szCs w:val="22"/>
                <w:highlight w:val="none"/>
              </w:rPr>
            </w:pPr>
            <w:r>
              <w:rPr>
                <w:rFonts w:hint="eastAsia" w:ascii="宋体" w:hAnsi="宋体" w:eastAsia="宋体" w:cs="宋体"/>
                <w:color w:val="auto"/>
                <w:spacing w:val="0"/>
                <w:sz w:val="22"/>
                <w:szCs w:val="22"/>
                <w:highlight w:val="none"/>
              </w:rPr>
              <w:t>没有不得分。</w:t>
            </w:r>
          </w:p>
        </w:tc>
      </w:tr>
      <w:tr w14:paraId="5D03C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trPr>
        <w:tc>
          <w:tcPr>
            <w:tcW w:w="915" w:type="dxa"/>
            <w:vMerge w:val="continue"/>
            <w:vAlign w:val="center"/>
          </w:tcPr>
          <w:p w14:paraId="53B70F3C">
            <w:pPr>
              <w:spacing w:line="400" w:lineRule="exact"/>
              <w:ind w:firstLine="28"/>
              <w:jc w:val="center"/>
              <w:rPr>
                <w:color w:val="auto"/>
                <w:szCs w:val="21"/>
              </w:rPr>
            </w:pPr>
          </w:p>
        </w:tc>
        <w:tc>
          <w:tcPr>
            <w:tcW w:w="1230" w:type="dxa"/>
            <w:vMerge w:val="continue"/>
            <w:vAlign w:val="center"/>
          </w:tcPr>
          <w:p w14:paraId="550D5E19">
            <w:pPr>
              <w:spacing w:line="400" w:lineRule="exact"/>
              <w:ind w:firstLine="28"/>
              <w:jc w:val="center"/>
              <w:rPr>
                <w:rFonts w:hint="eastAsia" w:ascii="宋体" w:hAnsi="宋体" w:eastAsia="宋体" w:cs="宋体"/>
                <w:color w:val="auto"/>
                <w:sz w:val="22"/>
                <w:szCs w:val="22"/>
              </w:rPr>
            </w:pPr>
          </w:p>
        </w:tc>
        <w:tc>
          <w:tcPr>
            <w:tcW w:w="1680" w:type="dxa"/>
            <w:vAlign w:val="center"/>
          </w:tcPr>
          <w:p w14:paraId="1F72183F">
            <w:pPr>
              <w:pStyle w:val="36"/>
              <w:pageBreakBefore w:val="0"/>
              <w:kinsoku/>
              <w:wordWrap/>
              <w:overflowPunct/>
              <w:topLinePunct w:val="0"/>
              <w:bidi w:val="0"/>
              <w:adjustRightInd w:val="0"/>
              <w:snapToGrid w:val="0"/>
              <w:spacing w:beforeAutospacing="0" w:afterAutospacing="0" w:line="360" w:lineRule="auto"/>
              <w:ind w:left="0" w:leftChars="0" w:right="0" w:rightChars="0"/>
              <w:jc w:val="center"/>
              <w:rPr>
                <w:rFonts w:hint="eastAsia" w:ascii="宋体" w:hAnsi="宋体" w:eastAsia="宋体" w:cs="宋体"/>
                <w:snapToGrid w:val="0"/>
                <w:color w:val="000000"/>
                <w:sz w:val="22"/>
                <w:szCs w:val="22"/>
                <w:highlight w:val="none"/>
                <w:lang w:val="en-US" w:eastAsia="zh-CN" w:bidi="ar"/>
              </w:rPr>
            </w:pPr>
            <w:r>
              <w:rPr>
                <w:rFonts w:hint="eastAsia" w:ascii="宋体" w:hAnsi="宋体" w:eastAsia="宋体" w:cs="宋体"/>
                <w:snapToGrid w:val="0"/>
                <w:color w:val="000000"/>
                <w:sz w:val="22"/>
                <w:szCs w:val="22"/>
                <w:highlight w:val="none"/>
                <w:lang w:val="en-US" w:eastAsia="zh-CN" w:bidi="ar"/>
              </w:rPr>
              <w:t>新工艺应用</w:t>
            </w:r>
          </w:p>
          <w:p w14:paraId="13387F3D">
            <w:pPr>
              <w:pStyle w:val="36"/>
              <w:pageBreakBefore w:val="0"/>
              <w:kinsoku/>
              <w:wordWrap/>
              <w:overflowPunct/>
              <w:topLinePunct w:val="0"/>
              <w:bidi w:val="0"/>
              <w:adjustRightInd w:val="0"/>
              <w:snapToGrid w:val="0"/>
              <w:spacing w:beforeAutospacing="0" w:afterAutospacing="0" w:line="360" w:lineRule="auto"/>
              <w:ind w:left="0" w:leftChars="0" w:right="0" w:rightChars="0"/>
              <w:jc w:val="center"/>
              <w:rPr>
                <w:rFonts w:hint="eastAsia" w:ascii="宋体" w:hAnsi="宋体" w:eastAsia="宋体" w:cs="宋体"/>
                <w:snapToGrid w:val="0"/>
                <w:color w:val="000000"/>
                <w:sz w:val="22"/>
                <w:szCs w:val="22"/>
                <w:highlight w:val="none"/>
                <w:lang w:val="en-US" w:eastAsia="zh-CN" w:bidi="ar"/>
              </w:rPr>
            </w:pPr>
            <w:r>
              <w:rPr>
                <w:rFonts w:hint="eastAsia" w:ascii="宋体" w:hAnsi="宋体" w:eastAsia="宋体" w:cs="宋体"/>
                <w:snapToGrid w:val="0"/>
                <w:color w:val="000000"/>
                <w:sz w:val="22"/>
                <w:szCs w:val="22"/>
                <w:highlight w:val="none"/>
                <w:lang w:val="en-US" w:eastAsia="zh-CN" w:bidi="ar"/>
              </w:rPr>
              <w:t>（</w:t>
            </w:r>
            <w:r>
              <w:rPr>
                <w:rFonts w:hint="eastAsia" w:cs="宋体"/>
                <w:snapToGrid w:val="0"/>
                <w:color w:val="000000"/>
                <w:sz w:val="22"/>
                <w:szCs w:val="22"/>
                <w:highlight w:val="none"/>
                <w:lang w:val="en-US" w:eastAsia="zh-CN" w:bidi="ar"/>
              </w:rPr>
              <w:t>7</w:t>
            </w:r>
            <w:r>
              <w:rPr>
                <w:rFonts w:hint="eastAsia" w:ascii="宋体" w:hAnsi="宋体" w:eastAsia="宋体" w:cs="宋体"/>
                <w:snapToGrid w:val="0"/>
                <w:color w:val="000000"/>
                <w:sz w:val="22"/>
                <w:szCs w:val="22"/>
                <w:highlight w:val="none"/>
                <w:lang w:val="en-US" w:eastAsia="zh-CN" w:bidi="ar"/>
              </w:rPr>
              <w:t>分）</w:t>
            </w:r>
          </w:p>
        </w:tc>
        <w:tc>
          <w:tcPr>
            <w:tcW w:w="5580" w:type="dxa"/>
            <w:vAlign w:val="center"/>
          </w:tcPr>
          <w:p w14:paraId="3E36C08A">
            <w:pPr>
              <w:pStyle w:val="36"/>
              <w:pageBreakBefore w:val="0"/>
              <w:kinsoku/>
              <w:wordWrap/>
              <w:overflowPunct/>
              <w:topLinePunct w:val="0"/>
              <w:bidi w:val="0"/>
              <w:adjustRightInd w:val="0"/>
              <w:snapToGrid w:val="0"/>
              <w:spacing w:beforeAutospacing="0" w:afterAutospacing="0" w:line="360" w:lineRule="auto"/>
              <w:ind w:left="0" w:leftChars="0" w:right="0" w:rightChars="0"/>
              <w:jc w:val="both"/>
              <w:rPr>
                <w:rFonts w:hint="eastAsia" w:ascii="宋体" w:hAnsi="宋体" w:eastAsia="宋体" w:cs="宋体"/>
                <w:snapToGrid w:val="0"/>
                <w:color w:val="000000"/>
                <w:sz w:val="22"/>
                <w:szCs w:val="22"/>
                <w:highlight w:val="none"/>
                <w:lang w:val="en-US" w:eastAsia="zh-CN" w:bidi="ar"/>
              </w:rPr>
            </w:pPr>
            <w:r>
              <w:rPr>
                <w:rFonts w:hint="eastAsia" w:ascii="宋体" w:hAnsi="宋体" w:eastAsia="宋体" w:cs="宋体"/>
                <w:snapToGrid w:val="0"/>
                <w:color w:val="000000"/>
                <w:sz w:val="22"/>
                <w:szCs w:val="22"/>
                <w:highlight w:val="none"/>
                <w:lang w:val="en-US" w:eastAsia="zh-CN" w:bidi="ar"/>
              </w:rPr>
              <w:t>1、新工艺、新技术、新材料选用符合地方实际，并在本项目经济可行，内容全面可实施性合理得</w:t>
            </w:r>
            <w:r>
              <w:rPr>
                <w:rFonts w:hint="eastAsia" w:cs="宋体"/>
                <w:snapToGrid w:val="0"/>
                <w:color w:val="000000"/>
                <w:sz w:val="22"/>
                <w:szCs w:val="22"/>
                <w:highlight w:val="none"/>
                <w:lang w:val="en-US" w:eastAsia="zh-CN" w:bidi="ar"/>
              </w:rPr>
              <w:t>7</w:t>
            </w:r>
            <w:r>
              <w:rPr>
                <w:rFonts w:hint="eastAsia" w:ascii="宋体" w:hAnsi="宋体" w:eastAsia="宋体" w:cs="宋体"/>
                <w:snapToGrid w:val="0"/>
                <w:color w:val="000000"/>
                <w:sz w:val="22"/>
                <w:szCs w:val="22"/>
                <w:highlight w:val="none"/>
                <w:lang w:val="en-US" w:eastAsia="zh-CN" w:bidi="ar"/>
              </w:rPr>
              <w:t>分；</w:t>
            </w:r>
          </w:p>
          <w:p w14:paraId="14620E23">
            <w:pPr>
              <w:pStyle w:val="36"/>
              <w:pageBreakBefore w:val="0"/>
              <w:kinsoku/>
              <w:wordWrap/>
              <w:overflowPunct/>
              <w:topLinePunct w:val="0"/>
              <w:bidi w:val="0"/>
              <w:adjustRightInd w:val="0"/>
              <w:snapToGrid w:val="0"/>
              <w:spacing w:beforeAutospacing="0" w:afterAutospacing="0" w:line="360" w:lineRule="auto"/>
              <w:ind w:left="0" w:leftChars="0" w:right="0" w:rightChars="0"/>
              <w:jc w:val="both"/>
              <w:rPr>
                <w:rFonts w:hint="eastAsia" w:ascii="宋体" w:hAnsi="宋体" w:eastAsia="宋体" w:cs="宋体"/>
                <w:snapToGrid w:val="0"/>
                <w:color w:val="000000"/>
                <w:sz w:val="22"/>
                <w:szCs w:val="22"/>
                <w:highlight w:val="none"/>
                <w:lang w:val="en-US" w:eastAsia="zh-CN" w:bidi="ar"/>
              </w:rPr>
            </w:pPr>
            <w:r>
              <w:rPr>
                <w:rFonts w:hint="eastAsia" w:ascii="宋体" w:hAnsi="宋体" w:eastAsia="宋体" w:cs="宋体"/>
                <w:snapToGrid w:val="0"/>
                <w:color w:val="000000"/>
                <w:sz w:val="22"/>
                <w:szCs w:val="22"/>
                <w:highlight w:val="none"/>
                <w:lang w:val="en-US" w:eastAsia="zh-CN" w:bidi="ar"/>
              </w:rPr>
              <w:t>2、新工艺、新技术、新材料选用符合地方实际，并在本项目经济可行，内容全面可实施性较合理得</w:t>
            </w:r>
            <w:r>
              <w:rPr>
                <w:rFonts w:hint="eastAsia" w:cs="宋体"/>
                <w:snapToGrid w:val="0"/>
                <w:color w:val="000000"/>
                <w:sz w:val="22"/>
                <w:szCs w:val="22"/>
                <w:highlight w:val="none"/>
                <w:lang w:val="en-US" w:eastAsia="zh-CN" w:bidi="ar"/>
              </w:rPr>
              <w:t>4</w:t>
            </w:r>
            <w:r>
              <w:rPr>
                <w:rFonts w:hint="eastAsia" w:ascii="宋体" w:hAnsi="宋体" w:eastAsia="宋体" w:cs="宋体"/>
                <w:snapToGrid w:val="0"/>
                <w:color w:val="000000"/>
                <w:sz w:val="22"/>
                <w:szCs w:val="22"/>
                <w:highlight w:val="none"/>
                <w:lang w:val="en-US" w:eastAsia="zh-CN" w:bidi="ar"/>
              </w:rPr>
              <w:t>分；</w:t>
            </w:r>
          </w:p>
          <w:p w14:paraId="0FB5675A">
            <w:pPr>
              <w:pStyle w:val="36"/>
              <w:pageBreakBefore w:val="0"/>
              <w:kinsoku/>
              <w:wordWrap/>
              <w:overflowPunct/>
              <w:topLinePunct w:val="0"/>
              <w:bidi w:val="0"/>
              <w:adjustRightInd w:val="0"/>
              <w:snapToGrid w:val="0"/>
              <w:spacing w:beforeAutospacing="0" w:afterAutospacing="0" w:line="360" w:lineRule="auto"/>
              <w:ind w:left="0" w:leftChars="0" w:right="0" w:rightChars="0"/>
              <w:jc w:val="both"/>
              <w:rPr>
                <w:rFonts w:hint="eastAsia" w:ascii="宋体" w:hAnsi="宋体" w:eastAsia="宋体" w:cs="宋体"/>
                <w:snapToGrid w:val="0"/>
                <w:color w:val="000000"/>
                <w:sz w:val="22"/>
                <w:szCs w:val="22"/>
                <w:highlight w:val="none"/>
                <w:lang w:val="en-US" w:eastAsia="zh-CN" w:bidi="ar"/>
              </w:rPr>
            </w:pPr>
            <w:r>
              <w:rPr>
                <w:rFonts w:hint="eastAsia" w:ascii="宋体" w:hAnsi="宋体" w:eastAsia="宋体" w:cs="宋体"/>
                <w:snapToGrid w:val="0"/>
                <w:color w:val="000000"/>
                <w:sz w:val="22"/>
                <w:szCs w:val="22"/>
                <w:highlight w:val="none"/>
                <w:lang w:val="en-US" w:eastAsia="zh-CN" w:bidi="ar"/>
              </w:rPr>
              <w:t>3、新工艺、新技术、新材料选用符合地方实际，并在本项目经济可行，内容全面可实施性</w:t>
            </w:r>
            <w:r>
              <w:rPr>
                <w:rFonts w:hint="eastAsia" w:cs="宋体"/>
                <w:snapToGrid w:val="0"/>
                <w:color w:val="000000"/>
                <w:sz w:val="22"/>
                <w:szCs w:val="22"/>
                <w:highlight w:val="none"/>
                <w:lang w:val="en-US" w:eastAsia="zh-CN" w:bidi="ar"/>
              </w:rPr>
              <w:t>不强</w:t>
            </w:r>
            <w:r>
              <w:rPr>
                <w:rFonts w:hint="eastAsia" w:ascii="宋体" w:hAnsi="宋体" w:eastAsia="宋体" w:cs="宋体"/>
                <w:snapToGrid w:val="0"/>
                <w:color w:val="000000"/>
                <w:sz w:val="22"/>
                <w:szCs w:val="22"/>
                <w:highlight w:val="none"/>
                <w:lang w:val="en-US" w:eastAsia="zh-CN" w:bidi="ar"/>
              </w:rPr>
              <w:t>得1分；</w:t>
            </w:r>
          </w:p>
          <w:p w14:paraId="5FD80474">
            <w:pPr>
              <w:pStyle w:val="36"/>
              <w:pageBreakBefore w:val="0"/>
              <w:kinsoku/>
              <w:wordWrap/>
              <w:overflowPunct/>
              <w:topLinePunct w:val="0"/>
              <w:bidi w:val="0"/>
              <w:adjustRightInd w:val="0"/>
              <w:snapToGrid w:val="0"/>
              <w:spacing w:beforeAutospacing="0" w:afterAutospacing="0" w:line="360" w:lineRule="auto"/>
              <w:ind w:left="0" w:leftChars="0" w:right="0" w:rightChars="0"/>
              <w:jc w:val="both"/>
              <w:rPr>
                <w:rFonts w:hint="eastAsia" w:ascii="宋体" w:hAnsi="宋体" w:eastAsia="宋体" w:cs="宋体"/>
                <w:snapToGrid w:val="0"/>
                <w:color w:val="000000"/>
                <w:sz w:val="22"/>
                <w:szCs w:val="22"/>
                <w:highlight w:val="none"/>
                <w:lang w:val="en-US" w:eastAsia="zh-CN" w:bidi="ar"/>
              </w:rPr>
            </w:pPr>
            <w:r>
              <w:rPr>
                <w:rFonts w:hint="eastAsia" w:ascii="宋体" w:hAnsi="宋体" w:eastAsia="宋体" w:cs="宋体"/>
                <w:snapToGrid w:val="0"/>
                <w:color w:val="000000"/>
                <w:sz w:val="22"/>
                <w:szCs w:val="22"/>
                <w:highlight w:val="none"/>
                <w:lang w:val="en-US" w:eastAsia="zh-CN" w:bidi="ar"/>
              </w:rPr>
              <w:t>注：若缺项，该项为0分。</w:t>
            </w:r>
          </w:p>
        </w:tc>
      </w:tr>
      <w:tr w14:paraId="232B2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trPr>
        <w:tc>
          <w:tcPr>
            <w:tcW w:w="915" w:type="dxa"/>
            <w:vMerge w:val="continue"/>
            <w:vAlign w:val="center"/>
          </w:tcPr>
          <w:p w14:paraId="7CEBFAB4">
            <w:pPr>
              <w:spacing w:line="400" w:lineRule="exact"/>
              <w:ind w:firstLine="28"/>
              <w:jc w:val="center"/>
              <w:rPr>
                <w:color w:val="auto"/>
                <w:szCs w:val="21"/>
              </w:rPr>
            </w:pPr>
          </w:p>
        </w:tc>
        <w:tc>
          <w:tcPr>
            <w:tcW w:w="1230" w:type="dxa"/>
            <w:vMerge w:val="continue"/>
            <w:vAlign w:val="center"/>
          </w:tcPr>
          <w:p w14:paraId="36B8A858">
            <w:pPr>
              <w:spacing w:line="400" w:lineRule="exact"/>
              <w:ind w:firstLine="28"/>
              <w:jc w:val="center"/>
              <w:rPr>
                <w:rFonts w:hint="eastAsia" w:ascii="宋体" w:hAnsi="宋体" w:eastAsia="宋体" w:cs="宋体"/>
                <w:color w:val="auto"/>
                <w:sz w:val="22"/>
                <w:szCs w:val="22"/>
              </w:rPr>
            </w:pPr>
          </w:p>
        </w:tc>
        <w:tc>
          <w:tcPr>
            <w:tcW w:w="1680" w:type="dxa"/>
            <w:vAlign w:val="center"/>
          </w:tcPr>
          <w:p w14:paraId="5F18006A">
            <w:pPr>
              <w:pStyle w:val="36"/>
              <w:pageBreakBefore w:val="0"/>
              <w:kinsoku/>
              <w:wordWrap/>
              <w:overflowPunct/>
              <w:topLinePunct w:val="0"/>
              <w:bidi w:val="0"/>
              <w:adjustRightInd w:val="0"/>
              <w:snapToGrid w:val="0"/>
              <w:spacing w:beforeAutospacing="0" w:afterAutospacing="0" w:line="360" w:lineRule="auto"/>
              <w:ind w:left="0" w:leftChars="0" w:right="0" w:rightChars="0"/>
              <w:jc w:val="both"/>
              <w:rPr>
                <w:rFonts w:hint="eastAsia" w:ascii="宋体" w:hAnsi="宋体" w:eastAsia="宋体" w:cs="宋体"/>
                <w:snapToGrid w:val="0"/>
                <w:color w:val="000000"/>
                <w:sz w:val="22"/>
                <w:szCs w:val="22"/>
                <w:highlight w:val="none"/>
                <w:lang w:val="en-US" w:eastAsia="zh-CN" w:bidi="ar"/>
              </w:rPr>
            </w:pPr>
            <w:r>
              <w:rPr>
                <w:rFonts w:hint="eastAsia" w:ascii="宋体" w:hAnsi="宋体" w:eastAsia="宋体" w:cs="宋体"/>
                <w:snapToGrid w:val="0"/>
                <w:color w:val="000000"/>
                <w:sz w:val="22"/>
                <w:szCs w:val="22"/>
                <w:highlight w:val="none"/>
                <w:lang w:val="en-US" w:eastAsia="zh-CN" w:bidi="ar"/>
              </w:rPr>
              <w:t>降低工程造价保障（</w:t>
            </w:r>
            <w:r>
              <w:rPr>
                <w:rFonts w:hint="eastAsia" w:cs="宋体"/>
                <w:snapToGrid w:val="0"/>
                <w:color w:val="000000"/>
                <w:sz w:val="22"/>
                <w:szCs w:val="22"/>
                <w:highlight w:val="none"/>
                <w:lang w:val="en-US" w:eastAsia="zh-CN" w:bidi="ar"/>
              </w:rPr>
              <w:t>7</w:t>
            </w:r>
            <w:r>
              <w:rPr>
                <w:rFonts w:hint="eastAsia" w:ascii="宋体" w:hAnsi="宋体" w:eastAsia="宋体" w:cs="宋体"/>
                <w:snapToGrid w:val="0"/>
                <w:color w:val="000000"/>
                <w:sz w:val="22"/>
                <w:szCs w:val="22"/>
                <w:highlight w:val="none"/>
                <w:lang w:val="en-US" w:eastAsia="zh-CN" w:bidi="ar"/>
              </w:rPr>
              <w:t>分）</w:t>
            </w:r>
          </w:p>
        </w:tc>
        <w:tc>
          <w:tcPr>
            <w:tcW w:w="5580" w:type="dxa"/>
            <w:vAlign w:val="center"/>
          </w:tcPr>
          <w:p w14:paraId="6E967041">
            <w:pPr>
              <w:pStyle w:val="36"/>
              <w:pageBreakBefore w:val="0"/>
              <w:kinsoku/>
              <w:wordWrap/>
              <w:overflowPunct/>
              <w:topLinePunct w:val="0"/>
              <w:bidi w:val="0"/>
              <w:adjustRightInd w:val="0"/>
              <w:snapToGrid w:val="0"/>
              <w:spacing w:beforeAutospacing="0" w:afterAutospacing="0" w:line="360" w:lineRule="auto"/>
              <w:ind w:left="0" w:leftChars="0" w:right="0" w:rightChars="0"/>
              <w:jc w:val="both"/>
              <w:rPr>
                <w:rFonts w:hint="eastAsia" w:ascii="宋体" w:hAnsi="宋体" w:eastAsia="宋体" w:cs="宋体"/>
                <w:snapToGrid w:val="0"/>
                <w:color w:val="000000"/>
                <w:sz w:val="22"/>
                <w:szCs w:val="22"/>
                <w:highlight w:val="none"/>
                <w:lang w:val="en-US" w:eastAsia="zh-CN" w:bidi="ar"/>
              </w:rPr>
            </w:pPr>
            <w:r>
              <w:rPr>
                <w:rFonts w:hint="eastAsia" w:ascii="宋体" w:hAnsi="宋体" w:eastAsia="宋体" w:cs="宋体"/>
                <w:snapToGrid w:val="0"/>
                <w:color w:val="000000"/>
                <w:sz w:val="22"/>
                <w:szCs w:val="22"/>
                <w:highlight w:val="none"/>
                <w:lang w:val="en-US" w:eastAsia="zh-CN" w:bidi="ar"/>
              </w:rPr>
              <w:t>1、在工程造价限额内，提出能降低工程造价的保证，内容全面可实施性合理得</w:t>
            </w:r>
            <w:r>
              <w:rPr>
                <w:rFonts w:hint="eastAsia" w:cs="宋体"/>
                <w:snapToGrid w:val="0"/>
                <w:color w:val="000000"/>
                <w:sz w:val="22"/>
                <w:szCs w:val="22"/>
                <w:highlight w:val="none"/>
                <w:lang w:val="en-US" w:eastAsia="zh-CN" w:bidi="ar"/>
              </w:rPr>
              <w:t>7</w:t>
            </w:r>
            <w:r>
              <w:rPr>
                <w:rFonts w:hint="eastAsia" w:ascii="宋体" w:hAnsi="宋体" w:eastAsia="宋体" w:cs="宋体"/>
                <w:snapToGrid w:val="0"/>
                <w:color w:val="000000"/>
                <w:sz w:val="22"/>
                <w:szCs w:val="22"/>
                <w:highlight w:val="none"/>
                <w:lang w:val="en-US" w:eastAsia="zh-CN" w:bidi="ar"/>
              </w:rPr>
              <w:t>分；</w:t>
            </w:r>
          </w:p>
          <w:p w14:paraId="3F909267">
            <w:pPr>
              <w:pStyle w:val="36"/>
              <w:pageBreakBefore w:val="0"/>
              <w:kinsoku/>
              <w:wordWrap/>
              <w:overflowPunct/>
              <w:topLinePunct w:val="0"/>
              <w:bidi w:val="0"/>
              <w:adjustRightInd w:val="0"/>
              <w:snapToGrid w:val="0"/>
              <w:spacing w:beforeAutospacing="0" w:afterAutospacing="0" w:line="360" w:lineRule="auto"/>
              <w:ind w:left="0" w:leftChars="0" w:right="0" w:rightChars="0"/>
              <w:jc w:val="both"/>
              <w:rPr>
                <w:rFonts w:hint="eastAsia" w:ascii="宋体" w:hAnsi="宋体" w:eastAsia="宋体" w:cs="宋体"/>
                <w:snapToGrid w:val="0"/>
                <w:color w:val="000000"/>
                <w:sz w:val="22"/>
                <w:szCs w:val="22"/>
                <w:highlight w:val="none"/>
                <w:lang w:val="en-US" w:eastAsia="zh-CN" w:bidi="ar"/>
              </w:rPr>
            </w:pPr>
            <w:r>
              <w:rPr>
                <w:rFonts w:hint="eastAsia" w:ascii="宋体" w:hAnsi="宋体" w:eastAsia="宋体" w:cs="宋体"/>
                <w:snapToGrid w:val="0"/>
                <w:color w:val="000000"/>
                <w:sz w:val="22"/>
                <w:szCs w:val="22"/>
                <w:highlight w:val="none"/>
                <w:lang w:val="en-US" w:eastAsia="zh-CN" w:bidi="ar"/>
              </w:rPr>
              <w:t>2、在工程造价限额内，提出能降低工程造价的保证，内容较全面可实施性较合理得</w:t>
            </w:r>
            <w:r>
              <w:rPr>
                <w:rFonts w:hint="eastAsia" w:cs="宋体"/>
                <w:snapToGrid w:val="0"/>
                <w:color w:val="000000"/>
                <w:sz w:val="22"/>
                <w:szCs w:val="22"/>
                <w:highlight w:val="none"/>
                <w:lang w:val="en-US" w:eastAsia="zh-CN" w:bidi="ar"/>
              </w:rPr>
              <w:t>4</w:t>
            </w:r>
            <w:r>
              <w:rPr>
                <w:rFonts w:hint="eastAsia" w:ascii="宋体" w:hAnsi="宋体" w:eastAsia="宋体" w:cs="宋体"/>
                <w:snapToGrid w:val="0"/>
                <w:color w:val="000000"/>
                <w:sz w:val="22"/>
                <w:szCs w:val="22"/>
                <w:highlight w:val="none"/>
                <w:lang w:val="en-US" w:eastAsia="zh-CN" w:bidi="ar"/>
              </w:rPr>
              <w:t>分；</w:t>
            </w:r>
          </w:p>
          <w:p w14:paraId="6B76E24C">
            <w:pPr>
              <w:pStyle w:val="36"/>
              <w:pageBreakBefore w:val="0"/>
              <w:kinsoku/>
              <w:wordWrap/>
              <w:overflowPunct/>
              <w:topLinePunct w:val="0"/>
              <w:bidi w:val="0"/>
              <w:adjustRightInd w:val="0"/>
              <w:snapToGrid w:val="0"/>
              <w:spacing w:beforeAutospacing="0" w:afterAutospacing="0" w:line="360" w:lineRule="auto"/>
              <w:ind w:left="0" w:leftChars="0" w:right="0" w:rightChars="0"/>
              <w:jc w:val="both"/>
              <w:rPr>
                <w:rFonts w:hint="eastAsia" w:ascii="宋体" w:hAnsi="宋体" w:eastAsia="宋体" w:cs="宋体"/>
                <w:snapToGrid w:val="0"/>
                <w:color w:val="000000"/>
                <w:sz w:val="22"/>
                <w:szCs w:val="22"/>
                <w:highlight w:val="none"/>
                <w:lang w:val="en-US" w:eastAsia="zh-CN" w:bidi="ar"/>
              </w:rPr>
            </w:pPr>
            <w:r>
              <w:rPr>
                <w:rFonts w:hint="eastAsia" w:ascii="宋体" w:hAnsi="宋体" w:eastAsia="宋体" w:cs="宋体"/>
                <w:snapToGrid w:val="0"/>
                <w:color w:val="000000"/>
                <w:sz w:val="22"/>
                <w:szCs w:val="22"/>
                <w:highlight w:val="none"/>
                <w:lang w:val="en-US" w:eastAsia="zh-CN" w:bidi="ar"/>
              </w:rPr>
              <w:t>3、在工程造价限额内，提出能降低工程造价的保证，内容一般可实施性</w:t>
            </w:r>
            <w:r>
              <w:rPr>
                <w:rFonts w:hint="eastAsia" w:cs="宋体"/>
                <w:snapToGrid w:val="0"/>
                <w:color w:val="000000"/>
                <w:sz w:val="22"/>
                <w:szCs w:val="22"/>
                <w:highlight w:val="none"/>
                <w:lang w:val="en-US" w:eastAsia="zh-CN" w:bidi="ar"/>
              </w:rPr>
              <w:t>不强</w:t>
            </w:r>
            <w:r>
              <w:rPr>
                <w:rFonts w:hint="eastAsia" w:ascii="宋体" w:hAnsi="宋体" w:eastAsia="宋体" w:cs="宋体"/>
                <w:snapToGrid w:val="0"/>
                <w:color w:val="000000"/>
                <w:sz w:val="22"/>
                <w:szCs w:val="22"/>
                <w:highlight w:val="none"/>
                <w:lang w:val="en-US" w:eastAsia="zh-CN" w:bidi="ar"/>
              </w:rPr>
              <w:t>得1分；</w:t>
            </w:r>
          </w:p>
          <w:p w14:paraId="5AF82B40">
            <w:pPr>
              <w:pStyle w:val="36"/>
              <w:pageBreakBefore w:val="0"/>
              <w:kinsoku/>
              <w:wordWrap/>
              <w:overflowPunct/>
              <w:topLinePunct w:val="0"/>
              <w:bidi w:val="0"/>
              <w:adjustRightInd w:val="0"/>
              <w:snapToGrid w:val="0"/>
              <w:spacing w:beforeAutospacing="0" w:afterAutospacing="0" w:line="360" w:lineRule="auto"/>
              <w:ind w:left="0" w:leftChars="0" w:right="0" w:rightChars="0"/>
              <w:jc w:val="both"/>
              <w:rPr>
                <w:rFonts w:hint="eastAsia" w:ascii="宋体" w:hAnsi="宋体" w:eastAsia="宋体" w:cs="宋体"/>
                <w:snapToGrid w:val="0"/>
                <w:color w:val="000000"/>
                <w:sz w:val="22"/>
                <w:szCs w:val="22"/>
                <w:highlight w:val="none"/>
                <w:lang w:val="en-US" w:eastAsia="zh-CN" w:bidi="ar"/>
              </w:rPr>
            </w:pPr>
            <w:r>
              <w:rPr>
                <w:rFonts w:hint="eastAsia" w:ascii="宋体" w:hAnsi="宋体" w:eastAsia="宋体" w:cs="宋体"/>
                <w:snapToGrid w:val="0"/>
                <w:color w:val="000000"/>
                <w:sz w:val="22"/>
                <w:szCs w:val="22"/>
                <w:highlight w:val="none"/>
                <w:lang w:val="en-US" w:eastAsia="zh-CN" w:bidi="ar"/>
              </w:rPr>
              <w:t>注：若缺项，该项为0分。</w:t>
            </w:r>
          </w:p>
        </w:tc>
      </w:tr>
      <w:tr w14:paraId="10DC2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trPr>
        <w:tc>
          <w:tcPr>
            <w:tcW w:w="915" w:type="dxa"/>
            <w:vMerge w:val="continue"/>
            <w:vAlign w:val="center"/>
          </w:tcPr>
          <w:p w14:paraId="74BE50CC">
            <w:pPr>
              <w:spacing w:line="400" w:lineRule="exact"/>
              <w:ind w:firstLine="28"/>
              <w:jc w:val="center"/>
              <w:rPr>
                <w:color w:val="auto"/>
                <w:szCs w:val="21"/>
              </w:rPr>
            </w:pPr>
          </w:p>
        </w:tc>
        <w:tc>
          <w:tcPr>
            <w:tcW w:w="1230" w:type="dxa"/>
            <w:vMerge w:val="continue"/>
            <w:vAlign w:val="center"/>
          </w:tcPr>
          <w:p w14:paraId="1904D0BA">
            <w:pPr>
              <w:spacing w:line="400" w:lineRule="exact"/>
              <w:ind w:firstLine="28"/>
              <w:jc w:val="center"/>
              <w:rPr>
                <w:rFonts w:hint="eastAsia" w:ascii="宋体" w:hAnsi="宋体" w:eastAsia="宋体" w:cs="宋体"/>
                <w:color w:val="auto"/>
                <w:sz w:val="22"/>
                <w:szCs w:val="22"/>
              </w:rPr>
            </w:pPr>
          </w:p>
        </w:tc>
        <w:tc>
          <w:tcPr>
            <w:tcW w:w="1680" w:type="dxa"/>
            <w:vAlign w:val="center"/>
          </w:tcPr>
          <w:p w14:paraId="136A1C3E">
            <w:pPr>
              <w:pageBreakBefore w:val="0"/>
              <w:kinsoku/>
              <w:wordWrap/>
              <w:overflowPunct/>
              <w:topLinePunct w:val="0"/>
              <w:bidi w:val="0"/>
              <w:adjustRightInd w:val="0"/>
              <w:snapToGrid w:val="0"/>
              <w:spacing w:beforeAutospacing="0" w:afterAutospacing="0" w:line="360" w:lineRule="auto"/>
              <w:ind w:left="2" w:leftChars="0" w:right="0" w:rightChars="0" w:hanging="2" w:hangingChars="1"/>
              <w:jc w:val="center"/>
              <w:rPr>
                <w:rFonts w:hint="eastAsia" w:ascii="宋体" w:hAnsi="宋体" w:eastAsia="宋体" w:cs="宋体"/>
                <w:b w:val="0"/>
                <w:bCs w:val="0"/>
                <w:color w:val="auto"/>
                <w:spacing w:val="-6"/>
                <w:sz w:val="22"/>
                <w:szCs w:val="22"/>
                <w:lang w:val="en-US" w:eastAsia="zh-CN" w:bidi="zh-CN"/>
              </w:rPr>
            </w:pPr>
            <w:r>
              <w:rPr>
                <w:rFonts w:hint="eastAsia" w:ascii="宋体" w:hAnsi="宋体" w:eastAsia="宋体" w:cs="宋体"/>
                <w:snapToGrid w:val="0"/>
                <w:kern w:val="2"/>
                <w:sz w:val="22"/>
                <w:szCs w:val="22"/>
                <w:highlight w:val="none"/>
                <w:lang w:val="en-US" w:eastAsia="zh-CN"/>
              </w:rPr>
              <w:t>重点难点进行分析、合理化建议(</w:t>
            </w:r>
            <w:r>
              <w:rPr>
                <w:rFonts w:hint="eastAsia" w:cs="宋体"/>
                <w:snapToGrid w:val="0"/>
                <w:kern w:val="2"/>
                <w:sz w:val="22"/>
                <w:szCs w:val="22"/>
                <w:highlight w:val="none"/>
                <w:lang w:val="en-US" w:eastAsia="zh-CN"/>
              </w:rPr>
              <w:t>7</w:t>
            </w:r>
            <w:r>
              <w:rPr>
                <w:rFonts w:hint="eastAsia" w:ascii="宋体" w:hAnsi="宋体" w:eastAsia="宋体" w:cs="宋体"/>
                <w:snapToGrid w:val="0"/>
                <w:kern w:val="2"/>
                <w:sz w:val="22"/>
                <w:szCs w:val="22"/>
                <w:highlight w:val="none"/>
                <w:lang w:val="en-US" w:eastAsia="zh-CN"/>
              </w:rPr>
              <w:t>分)</w:t>
            </w:r>
          </w:p>
        </w:tc>
        <w:tc>
          <w:tcPr>
            <w:tcW w:w="5580" w:type="dxa"/>
            <w:vAlign w:val="center"/>
          </w:tcPr>
          <w:p w14:paraId="65F69F5B">
            <w:pPr>
              <w:pageBreakBefore w:val="0"/>
              <w:numPr>
                <w:ilvl w:val="0"/>
                <w:numId w:val="0"/>
              </w:numPr>
              <w:kinsoku/>
              <w:wordWrap/>
              <w:overflowPunct/>
              <w:topLinePunct w:val="0"/>
              <w:bidi w:val="0"/>
              <w:adjustRightInd w:val="0"/>
              <w:snapToGrid w:val="0"/>
              <w:spacing w:beforeAutospacing="0" w:afterAutospacing="0" w:line="360" w:lineRule="auto"/>
              <w:ind w:left="2" w:leftChars="0" w:right="0" w:hanging="2" w:hangingChars="1"/>
              <w:jc w:val="both"/>
              <w:rPr>
                <w:rFonts w:hint="eastAsia" w:ascii="宋体" w:hAnsi="宋体" w:eastAsia="宋体" w:cs="宋体"/>
                <w:snapToGrid w:val="0"/>
                <w:kern w:val="2"/>
                <w:sz w:val="22"/>
                <w:szCs w:val="22"/>
                <w:highlight w:val="none"/>
                <w:lang w:val="en-US" w:eastAsia="zh-CN"/>
              </w:rPr>
            </w:pPr>
            <w:r>
              <w:rPr>
                <w:rFonts w:hint="eastAsia" w:ascii="宋体" w:hAnsi="宋体" w:eastAsia="宋体" w:cs="宋体"/>
                <w:snapToGrid w:val="0"/>
                <w:kern w:val="2"/>
                <w:sz w:val="22"/>
                <w:szCs w:val="22"/>
                <w:highlight w:val="none"/>
                <w:lang w:val="en-US" w:eastAsia="zh-CN" w:bidi="ar-SA"/>
              </w:rPr>
              <w:t>（1）</w:t>
            </w:r>
            <w:r>
              <w:rPr>
                <w:rFonts w:hint="eastAsia" w:ascii="宋体" w:hAnsi="宋体" w:eastAsia="宋体" w:cs="宋体"/>
                <w:snapToGrid w:val="0"/>
                <w:kern w:val="2"/>
                <w:sz w:val="22"/>
                <w:szCs w:val="22"/>
                <w:highlight w:val="none"/>
                <w:lang w:val="en-US" w:eastAsia="zh-CN"/>
              </w:rPr>
              <w:t>重点难点分析；</w:t>
            </w:r>
            <w:r>
              <w:rPr>
                <w:rFonts w:hint="eastAsia" w:ascii="宋体" w:hAnsi="宋体" w:eastAsia="宋体" w:cs="宋体"/>
                <w:snapToGrid w:val="0"/>
                <w:kern w:val="2"/>
                <w:sz w:val="22"/>
                <w:szCs w:val="22"/>
                <w:highlight w:val="none"/>
                <w:lang w:val="en-US" w:eastAsia="zh-CN" w:bidi="ar-SA"/>
              </w:rPr>
              <w:t>（2）</w:t>
            </w:r>
            <w:r>
              <w:rPr>
                <w:rFonts w:hint="eastAsia" w:ascii="宋体" w:hAnsi="宋体" w:eastAsia="宋体" w:cs="宋体"/>
                <w:snapToGrid w:val="0"/>
                <w:kern w:val="2"/>
                <w:sz w:val="22"/>
                <w:szCs w:val="22"/>
                <w:highlight w:val="none"/>
                <w:lang w:val="en-US" w:eastAsia="zh-CN"/>
              </w:rPr>
              <w:t>应对措施；</w:t>
            </w:r>
            <w:r>
              <w:rPr>
                <w:rFonts w:hint="eastAsia" w:ascii="宋体" w:hAnsi="宋体" w:eastAsia="宋体" w:cs="宋体"/>
                <w:snapToGrid w:val="0"/>
                <w:kern w:val="2"/>
                <w:sz w:val="22"/>
                <w:szCs w:val="22"/>
                <w:highlight w:val="none"/>
                <w:lang w:val="en-US" w:eastAsia="zh-CN" w:bidi="ar-SA"/>
              </w:rPr>
              <w:t>（3）</w:t>
            </w:r>
            <w:r>
              <w:rPr>
                <w:rFonts w:hint="eastAsia" w:ascii="宋体" w:hAnsi="宋体" w:eastAsia="宋体" w:cs="宋体"/>
                <w:snapToGrid w:val="0"/>
                <w:kern w:val="2"/>
                <w:sz w:val="22"/>
                <w:szCs w:val="22"/>
                <w:highlight w:val="none"/>
                <w:lang w:val="en-US" w:eastAsia="zh-CN"/>
              </w:rPr>
              <w:t>相关的合理化建议。</w:t>
            </w:r>
          </w:p>
          <w:p w14:paraId="0A8B64D6">
            <w:pPr>
              <w:pageBreakBefore w:val="0"/>
              <w:numPr>
                <w:ilvl w:val="0"/>
                <w:numId w:val="0"/>
              </w:numPr>
              <w:kinsoku/>
              <w:wordWrap/>
              <w:overflowPunct/>
              <w:topLinePunct w:val="0"/>
              <w:bidi w:val="0"/>
              <w:adjustRightInd w:val="0"/>
              <w:snapToGrid w:val="0"/>
              <w:spacing w:beforeAutospacing="0" w:afterAutospacing="0" w:line="360" w:lineRule="auto"/>
              <w:ind w:left="0" w:leftChars="0" w:right="0"/>
              <w:jc w:val="both"/>
              <w:rPr>
                <w:rFonts w:hint="eastAsia" w:ascii="宋体" w:hAnsi="宋体" w:eastAsia="宋体" w:cs="宋体"/>
                <w:snapToGrid w:val="0"/>
                <w:kern w:val="2"/>
                <w:sz w:val="22"/>
                <w:szCs w:val="22"/>
                <w:highlight w:val="none"/>
                <w:lang w:val="en-US" w:eastAsia="zh-CN"/>
              </w:rPr>
            </w:pPr>
            <w:r>
              <w:rPr>
                <w:rFonts w:hint="eastAsia" w:ascii="宋体" w:hAnsi="宋体" w:eastAsia="宋体" w:cs="宋体"/>
                <w:snapToGrid w:val="0"/>
                <w:kern w:val="2"/>
                <w:sz w:val="22"/>
                <w:szCs w:val="22"/>
                <w:highlight w:val="none"/>
                <w:lang w:val="en-US" w:eastAsia="zh-CN"/>
              </w:rPr>
              <w:t>1.以上方案的三点内容全面具体、针对性强、可操作性强，得</w:t>
            </w:r>
            <w:r>
              <w:rPr>
                <w:rFonts w:hint="eastAsia" w:cs="宋体"/>
                <w:snapToGrid w:val="0"/>
                <w:kern w:val="2"/>
                <w:sz w:val="22"/>
                <w:szCs w:val="22"/>
                <w:highlight w:val="none"/>
                <w:lang w:val="en-US" w:eastAsia="zh-CN"/>
              </w:rPr>
              <w:t>7</w:t>
            </w:r>
            <w:r>
              <w:rPr>
                <w:rFonts w:hint="eastAsia" w:ascii="宋体" w:hAnsi="宋体" w:eastAsia="宋体" w:cs="宋体"/>
                <w:snapToGrid w:val="0"/>
                <w:kern w:val="2"/>
                <w:sz w:val="22"/>
                <w:szCs w:val="22"/>
                <w:highlight w:val="none"/>
                <w:lang w:val="en-US" w:eastAsia="zh-CN"/>
              </w:rPr>
              <w:t>分；</w:t>
            </w:r>
          </w:p>
          <w:p w14:paraId="4AA6294E">
            <w:pPr>
              <w:pageBreakBefore w:val="0"/>
              <w:numPr>
                <w:ilvl w:val="0"/>
                <w:numId w:val="0"/>
              </w:numPr>
              <w:kinsoku/>
              <w:wordWrap/>
              <w:overflowPunct/>
              <w:topLinePunct w:val="0"/>
              <w:bidi w:val="0"/>
              <w:adjustRightInd w:val="0"/>
              <w:snapToGrid w:val="0"/>
              <w:spacing w:beforeAutospacing="0" w:afterAutospacing="0" w:line="360" w:lineRule="auto"/>
              <w:ind w:left="0" w:leftChars="0" w:right="0"/>
              <w:jc w:val="both"/>
              <w:rPr>
                <w:rFonts w:hint="eastAsia" w:ascii="宋体" w:hAnsi="宋体" w:eastAsia="宋体" w:cs="宋体"/>
                <w:snapToGrid w:val="0"/>
                <w:kern w:val="2"/>
                <w:sz w:val="22"/>
                <w:szCs w:val="22"/>
                <w:highlight w:val="none"/>
                <w:lang w:val="en-US" w:eastAsia="zh-CN"/>
              </w:rPr>
            </w:pPr>
            <w:r>
              <w:rPr>
                <w:rFonts w:hint="eastAsia" w:ascii="宋体" w:hAnsi="宋体" w:eastAsia="宋体" w:cs="宋体"/>
                <w:snapToGrid w:val="0"/>
                <w:kern w:val="2"/>
                <w:sz w:val="22"/>
                <w:szCs w:val="22"/>
                <w:highlight w:val="none"/>
                <w:lang w:val="en-US" w:eastAsia="zh-CN"/>
              </w:rPr>
              <w:t>2.以上方案的三点内容较全面、针对性较强、可操作性较强，得</w:t>
            </w:r>
            <w:r>
              <w:rPr>
                <w:rFonts w:hint="eastAsia" w:cs="宋体"/>
                <w:snapToGrid w:val="0"/>
                <w:kern w:val="2"/>
                <w:sz w:val="22"/>
                <w:szCs w:val="22"/>
                <w:highlight w:val="none"/>
                <w:lang w:val="en-US" w:eastAsia="zh-CN"/>
              </w:rPr>
              <w:t>4</w:t>
            </w:r>
            <w:r>
              <w:rPr>
                <w:rFonts w:hint="eastAsia" w:ascii="宋体" w:hAnsi="宋体" w:eastAsia="宋体" w:cs="宋体"/>
                <w:snapToGrid w:val="0"/>
                <w:kern w:val="2"/>
                <w:sz w:val="22"/>
                <w:szCs w:val="22"/>
                <w:highlight w:val="none"/>
                <w:lang w:val="en-US" w:eastAsia="zh-CN"/>
              </w:rPr>
              <w:t>分；</w:t>
            </w:r>
          </w:p>
          <w:p w14:paraId="1D28851A">
            <w:pPr>
              <w:pageBreakBefore w:val="0"/>
              <w:numPr>
                <w:ilvl w:val="0"/>
                <w:numId w:val="0"/>
              </w:numPr>
              <w:kinsoku/>
              <w:wordWrap/>
              <w:overflowPunct/>
              <w:topLinePunct w:val="0"/>
              <w:bidi w:val="0"/>
              <w:adjustRightInd w:val="0"/>
              <w:snapToGrid w:val="0"/>
              <w:spacing w:beforeAutospacing="0" w:afterAutospacing="0" w:line="360" w:lineRule="auto"/>
              <w:ind w:left="0" w:leftChars="0" w:right="0"/>
              <w:jc w:val="both"/>
              <w:rPr>
                <w:rFonts w:hint="eastAsia" w:ascii="宋体" w:hAnsi="宋体" w:eastAsia="宋体" w:cs="宋体"/>
                <w:snapToGrid w:val="0"/>
                <w:kern w:val="2"/>
                <w:sz w:val="22"/>
                <w:szCs w:val="22"/>
                <w:highlight w:val="none"/>
                <w:lang w:val="en-US" w:eastAsia="zh-CN"/>
              </w:rPr>
            </w:pPr>
            <w:r>
              <w:rPr>
                <w:rFonts w:hint="eastAsia" w:ascii="宋体" w:hAnsi="宋体" w:eastAsia="宋体" w:cs="宋体"/>
                <w:snapToGrid w:val="0"/>
                <w:kern w:val="2"/>
                <w:sz w:val="22"/>
                <w:szCs w:val="22"/>
                <w:highlight w:val="none"/>
                <w:lang w:val="en-US" w:eastAsia="zh-CN"/>
              </w:rPr>
              <w:t>3.以上方案的三点内容完整性、针对性、可操作性均</w:t>
            </w:r>
            <w:r>
              <w:rPr>
                <w:rFonts w:hint="eastAsia" w:cs="宋体"/>
                <w:snapToGrid w:val="0"/>
                <w:kern w:val="2"/>
                <w:sz w:val="22"/>
                <w:szCs w:val="22"/>
                <w:highlight w:val="none"/>
                <w:lang w:val="en-US" w:eastAsia="zh-CN"/>
              </w:rPr>
              <w:t>不强</w:t>
            </w:r>
            <w:r>
              <w:rPr>
                <w:rFonts w:hint="eastAsia" w:ascii="宋体" w:hAnsi="宋体" w:eastAsia="宋体" w:cs="宋体"/>
                <w:snapToGrid w:val="0"/>
                <w:kern w:val="2"/>
                <w:sz w:val="22"/>
                <w:szCs w:val="22"/>
                <w:highlight w:val="none"/>
                <w:lang w:val="en-US" w:eastAsia="zh-CN"/>
              </w:rPr>
              <w:t>，得</w:t>
            </w:r>
            <w:r>
              <w:rPr>
                <w:rFonts w:hint="eastAsia" w:cs="宋体"/>
                <w:snapToGrid w:val="0"/>
                <w:kern w:val="2"/>
                <w:sz w:val="22"/>
                <w:szCs w:val="22"/>
                <w:highlight w:val="none"/>
                <w:lang w:val="en-US" w:eastAsia="zh-CN"/>
              </w:rPr>
              <w:t>1</w:t>
            </w:r>
            <w:r>
              <w:rPr>
                <w:rFonts w:hint="eastAsia" w:ascii="宋体" w:hAnsi="宋体" w:eastAsia="宋体" w:cs="宋体"/>
                <w:snapToGrid w:val="0"/>
                <w:kern w:val="2"/>
                <w:sz w:val="22"/>
                <w:szCs w:val="22"/>
                <w:highlight w:val="none"/>
                <w:lang w:val="en-US" w:eastAsia="zh-CN"/>
              </w:rPr>
              <w:t>分。</w:t>
            </w:r>
          </w:p>
          <w:p w14:paraId="41EF238A">
            <w:pPr>
              <w:pageBreakBefore w:val="0"/>
              <w:numPr>
                <w:ilvl w:val="0"/>
                <w:numId w:val="0"/>
              </w:numPr>
              <w:kinsoku/>
              <w:wordWrap/>
              <w:overflowPunct/>
              <w:topLinePunct w:val="0"/>
              <w:bidi w:val="0"/>
              <w:adjustRightInd w:val="0"/>
              <w:snapToGrid w:val="0"/>
              <w:spacing w:beforeAutospacing="0" w:afterAutospacing="0" w:line="360" w:lineRule="auto"/>
              <w:ind w:left="0" w:leftChars="0" w:right="0" w:rightChars="0" w:firstLine="0" w:firstLineChars="0"/>
              <w:jc w:val="both"/>
              <w:rPr>
                <w:rFonts w:hint="eastAsia" w:ascii="宋体" w:hAnsi="宋体" w:eastAsia="宋体" w:cs="宋体"/>
                <w:b w:val="0"/>
                <w:bCs w:val="0"/>
                <w:color w:val="auto"/>
                <w:spacing w:val="-6"/>
                <w:sz w:val="22"/>
                <w:szCs w:val="22"/>
                <w:lang w:val="en-US" w:eastAsia="zh-CN" w:bidi="zh-CN"/>
              </w:rPr>
            </w:pPr>
            <w:r>
              <w:rPr>
                <w:rFonts w:hint="eastAsia" w:ascii="宋体" w:hAnsi="宋体" w:eastAsia="宋体" w:cs="宋体"/>
                <w:snapToGrid w:val="0"/>
                <w:kern w:val="2"/>
                <w:sz w:val="22"/>
                <w:szCs w:val="22"/>
                <w:highlight w:val="none"/>
                <w:lang w:val="en-US" w:eastAsia="zh-CN"/>
              </w:rPr>
              <w:t>4.未提供方案得0分。</w:t>
            </w:r>
          </w:p>
        </w:tc>
      </w:tr>
      <w:tr w14:paraId="17D15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3" w:hRule="atLeast"/>
        </w:trPr>
        <w:tc>
          <w:tcPr>
            <w:tcW w:w="915" w:type="dxa"/>
            <w:vMerge w:val="restart"/>
            <w:vAlign w:val="center"/>
          </w:tcPr>
          <w:p w14:paraId="3BB613ED">
            <w:pPr>
              <w:spacing w:line="400" w:lineRule="exact"/>
              <w:ind w:firstLine="28"/>
              <w:jc w:val="center"/>
              <w:rPr>
                <w:color w:val="auto"/>
                <w:szCs w:val="21"/>
                <w:lang w:val="en-US"/>
              </w:rPr>
            </w:pPr>
            <w:r>
              <w:rPr>
                <w:rFonts w:hint="eastAsia"/>
                <w:color w:val="auto"/>
                <w:szCs w:val="21"/>
                <w:lang w:val="en-US"/>
              </w:rPr>
              <w:t>2.2.4</w:t>
            </w:r>
          </w:p>
        </w:tc>
        <w:tc>
          <w:tcPr>
            <w:tcW w:w="1230" w:type="dxa"/>
            <w:vMerge w:val="restart"/>
            <w:vAlign w:val="center"/>
          </w:tcPr>
          <w:p w14:paraId="78F9033C">
            <w:pPr>
              <w:spacing w:line="400" w:lineRule="exact"/>
              <w:jc w:val="center"/>
              <w:rPr>
                <w:rFonts w:hint="eastAsia" w:ascii="宋体" w:hAnsi="宋体" w:eastAsia="宋体" w:cs="宋体"/>
                <w:color w:val="auto"/>
                <w:sz w:val="22"/>
                <w:szCs w:val="22"/>
              </w:rPr>
            </w:pPr>
            <w:r>
              <w:rPr>
                <w:rFonts w:hint="eastAsia" w:ascii="宋体" w:hAnsi="宋体" w:eastAsia="宋体" w:cs="宋体"/>
                <w:color w:val="auto"/>
                <w:sz w:val="22"/>
                <w:szCs w:val="22"/>
              </w:rPr>
              <w:t>商务标（</w:t>
            </w:r>
            <w:r>
              <w:rPr>
                <w:rFonts w:hint="eastAsia" w:cs="宋体"/>
                <w:color w:val="auto"/>
                <w:sz w:val="22"/>
                <w:szCs w:val="22"/>
                <w:lang w:val="en-US" w:eastAsia="zh-CN"/>
              </w:rPr>
              <w:t>20</w:t>
            </w:r>
            <w:r>
              <w:rPr>
                <w:rFonts w:hint="eastAsia" w:ascii="宋体" w:hAnsi="宋体" w:eastAsia="宋体" w:cs="宋体"/>
                <w:color w:val="auto"/>
                <w:sz w:val="22"/>
                <w:szCs w:val="22"/>
                <w:lang w:val="en-US"/>
              </w:rPr>
              <w:t>分</w:t>
            </w:r>
            <w:r>
              <w:rPr>
                <w:rFonts w:hint="eastAsia" w:ascii="宋体" w:hAnsi="宋体" w:eastAsia="宋体" w:cs="宋体"/>
                <w:color w:val="auto"/>
                <w:sz w:val="22"/>
                <w:szCs w:val="22"/>
              </w:rPr>
              <w:t>）</w:t>
            </w:r>
          </w:p>
        </w:tc>
        <w:tc>
          <w:tcPr>
            <w:tcW w:w="1680" w:type="dxa"/>
            <w:vAlign w:val="center"/>
          </w:tcPr>
          <w:p w14:paraId="3B503E3C">
            <w:pPr>
              <w:pageBreakBefore w:val="0"/>
              <w:kinsoku/>
              <w:wordWrap/>
              <w:overflowPunct/>
              <w:topLinePunct w:val="0"/>
              <w:bidi w:val="0"/>
              <w:adjustRightInd w:val="0"/>
              <w:snapToGrid w:val="0"/>
              <w:spacing w:beforeAutospacing="0" w:afterAutospacing="0" w:line="360" w:lineRule="auto"/>
              <w:ind w:left="2" w:leftChars="0" w:right="0" w:hanging="2" w:hangingChars="1"/>
              <w:jc w:val="center"/>
              <w:rPr>
                <w:rFonts w:hint="eastAsia" w:ascii="宋体" w:hAnsi="宋体" w:eastAsia="宋体" w:cs="宋体"/>
                <w:color w:val="auto"/>
                <w:spacing w:val="-6"/>
                <w:sz w:val="22"/>
                <w:szCs w:val="22"/>
                <w:highlight w:val="none"/>
                <w:lang w:val="en-US" w:eastAsia="zh-CN"/>
              </w:rPr>
            </w:pPr>
            <w:r>
              <w:rPr>
                <w:rFonts w:hint="eastAsia" w:ascii="宋体" w:hAnsi="宋体" w:eastAsia="宋体" w:cs="宋体"/>
                <w:snapToGrid w:val="0"/>
                <w:kern w:val="2"/>
                <w:sz w:val="22"/>
                <w:szCs w:val="22"/>
                <w:highlight w:val="none"/>
                <w:lang w:val="en-US" w:eastAsia="zh-CN"/>
              </w:rPr>
              <w:t>同类项目业绩(6分)</w:t>
            </w:r>
          </w:p>
        </w:tc>
        <w:tc>
          <w:tcPr>
            <w:tcW w:w="5580" w:type="dxa"/>
            <w:vAlign w:val="center"/>
          </w:tcPr>
          <w:p w14:paraId="3F5557A0">
            <w:pPr>
              <w:pageBreakBefore w:val="0"/>
              <w:kinsoku/>
              <w:wordWrap/>
              <w:overflowPunct/>
              <w:topLinePunct w:val="0"/>
              <w:bidi w:val="0"/>
              <w:adjustRightInd w:val="0"/>
              <w:snapToGrid w:val="0"/>
              <w:spacing w:beforeAutospacing="0" w:afterAutospacing="0" w:line="360" w:lineRule="auto"/>
              <w:ind w:left="2" w:leftChars="0" w:right="0" w:rightChars="0" w:hanging="2" w:hangingChars="1"/>
              <w:jc w:val="both"/>
              <w:rPr>
                <w:rFonts w:hint="eastAsia" w:ascii="宋体" w:hAnsi="宋体" w:eastAsia="宋体" w:cs="宋体"/>
                <w:color w:val="auto"/>
                <w:spacing w:val="-6"/>
                <w:sz w:val="22"/>
                <w:szCs w:val="22"/>
                <w:highlight w:val="none"/>
                <w:lang w:val="en-US" w:eastAsia="zh-CN"/>
              </w:rPr>
            </w:pPr>
            <w:r>
              <w:rPr>
                <w:rFonts w:hint="eastAsia" w:ascii="宋体" w:hAnsi="宋体" w:eastAsia="宋体" w:cs="宋体"/>
                <w:snapToGrid w:val="0"/>
                <w:kern w:val="2"/>
                <w:sz w:val="22"/>
                <w:szCs w:val="22"/>
                <w:highlight w:val="none"/>
                <w:lang w:val="en-US" w:eastAsia="zh-CN"/>
              </w:rPr>
              <w:t>供应商自2022年1月1日以来（以合同签订时间为准）承担过类似业绩的，提供1个业绩得2分，最高得6分；注：须提供项目合同扫描件</w:t>
            </w:r>
            <w:r>
              <w:rPr>
                <w:rFonts w:hint="eastAsia" w:cs="宋体"/>
                <w:snapToGrid w:val="0"/>
                <w:kern w:val="2"/>
                <w:sz w:val="22"/>
                <w:szCs w:val="22"/>
                <w:highlight w:val="none"/>
                <w:lang w:val="en-US" w:eastAsia="zh-CN"/>
              </w:rPr>
              <w:t>或</w:t>
            </w:r>
            <w:r>
              <w:rPr>
                <w:rFonts w:hint="eastAsia" w:ascii="宋体" w:hAnsi="宋体" w:eastAsia="宋体" w:cs="宋体"/>
                <w:snapToGrid w:val="0"/>
                <w:kern w:val="2"/>
                <w:sz w:val="22"/>
                <w:szCs w:val="22"/>
                <w:highlight w:val="none"/>
                <w:lang w:val="en-US" w:eastAsia="zh-CN"/>
              </w:rPr>
              <w:t>中标通知书并加盖供应商公章。</w:t>
            </w:r>
          </w:p>
        </w:tc>
      </w:tr>
      <w:tr w14:paraId="1315D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3" w:hRule="atLeast"/>
        </w:trPr>
        <w:tc>
          <w:tcPr>
            <w:tcW w:w="915" w:type="dxa"/>
            <w:vMerge w:val="continue"/>
            <w:vAlign w:val="center"/>
          </w:tcPr>
          <w:p w14:paraId="3C716B8A">
            <w:pPr>
              <w:spacing w:line="400" w:lineRule="exact"/>
              <w:ind w:firstLine="28"/>
              <w:jc w:val="center"/>
              <w:rPr>
                <w:rFonts w:hint="eastAsia"/>
                <w:color w:val="auto"/>
                <w:szCs w:val="21"/>
                <w:lang w:val="en-US"/>
              </w:rPr>
            </w:pPr>
          </w:p>
        </w:tc>
        <w:tc>
          <w:tcPr>
            <w:tcW w:w="1230" w:type="dxa"/>
            <w:vMerge w:val="continue"/>
            <w:vAlign w:val="center"/>
          </w:tcPr>
          <w:p w14:paraId="1451E425">
            <w:pPr>
              <w:spacing w:line="400" w:lineRule="exact"/>
              <w:jc w:val="center"/>
              <w:rPr>
                <w:rFonts w:hint="eastAsia" w:ascii="宋体" w:hAnsi="宋体" w:eastAsia="宋体" w:cs="宋体"/>
                <w:color w:val="auto"/>
                <w:sz w:val="22"/>
                <w:szCs w:val="22"/>
              </w:rPr>
            </w:pPr>
          </w:p>
        </w:tc>
        <w:tc>
          <w:tcPr>
            <w:tcW w:w="1680" w:type="dxa"/>
            <w:vAlign w:val="center"/>
          </w:tcPr>
          <w:p w14:paraId="2DF896C5">
            <w:pPr>
              <w:pageBreakBefore w:val="0"/>
              <w:kinsoku/>
              <w:wordWrap/>
              <w:overflowPunct/>
              <w:topLinePunct w:val="0"/>
              <w:bidi w:val="0"/>
              <w:adjustRightInd w:val="0"/>
              <w:snapToGrid w:val="0"/>
              <w:spacing w:beforeAutospacing="0" w:afterAutospacing="0" w:line="360" w:lineRule="auto"/>
              <w:ind w:left="2" w:leftChars="0" w:right="0" w:hanging="2" w:hangingChars="1"/>
              <w:jc w:val="center"/>
              <w:rPr>
                <w:rFonts w:hint="eastAsia" w:ascii="宋体" w:hAnsi="宋体" w:eastAsia="宋体" w:cs="宋体"/>
                <w:snapToGrid w:val="0"/>
                <w:kern w:val="2"/>
                <w:sz w:val="22"/>
                <w:szCs w:val="22"/>
                <w:highlight w:val="none"/>
                <w:lang w:val="en-US" w:eastAsia="zh-CN"/>
              </w:rPr>
            </w:pPr>
            <w:r>
              <w:rPr>
                <w:rFonts w:hint="eastAsia" w:ascii="宋体" w:hAnsi="宋体" w:eastAsia="宋体" w:cs="宋体"/>
                <w:snapToGrid w:val="0"/>
                <w:kern w:val="2"/>
                <w:sz w:val="22"/>
                <w:szCs w:val="22"/>
                <w:highlight w:val="none"/>
                <w:lang w:val="en-US" w:eastAsia="zh-CN"/>
              </w:rPr>
              <w:t>项目</w:t>
            </w:r>
            <w:r>
              <w:rPr>
                <w:rFonts w:hint="eastAsia" w:cs="宋体"/>
                <w:snapToGrid w:val="0"/>
                <w:kern w:val="2"/>
                <w:sz w:val="22"/>
                <w:szCs w:val="22"/>
                <w:highlight w:val="none"/>
                <w:lang w:val="en-US" w:eastAsia="zh-CN"/>
              </w:rPr>
              <w:t>负责人业绩</w:t>
            </w:r>
            <w:r>
              <w:rPr>
                <w:rFonts w:hint="eastAsia" w:ascii="宋体" w:hAnsi="宋体" w:eastAsia="宋体" w:cs="宋体"/>
                <w:snapToGrid w:val="0"/>
                <w:kern w:val="2"/>
                <w:sz w:val="22"/>
                <w:szCs w:val="22"/>
                <w:highlight w:val="none"/>
                <w:lang w:val="en-US" w:eastAsia="zh-CN"/>
              </w:rPr>
              <w:t>（</w:t>
            </w:r>
            <w:r>
              <w:rPr>
                <w:rFonts w:hint="eastAsia" w:cs="宋体"/>
                <w:snapToGrid w:val="0"/>
                <w:kern w:val="2"/>
                <w:sz w:val="22"/>
                <w:szCs w:val="22"/>
                <w:highlight w:val="none"/>
                <w:lang w:val="en-US" w:eastAsia="zh-CN"/>
              </w:rPr>
              <w:t>2</w:t>
            </w:r>
            <w:r>
              <w:rPr>
                <w:rFonts w:hint="eastAsia" w:ascii="宋体" w:hAnsi="宋体" w:eastAsia="宋体" w:cs="宋体"/>
                <w:snapToGrid w:val="0"/>
                <w:kern w:val="2"/>
                <w:sz w:val="22"/>
                <w:szCs w:val="22"/>
                <w:highlight w:val="none"/>
                <w:lang w:val="en-US" w:eastAsia="zh-CN"/>
              </w:rPr>
              <w:t>分）</w:t>
            </w:r>
          </w:p>
        </w:tc>
        <w:tc>
          <w:tcPr>
            <w:tcW w:w="5580" w:type="dxa"/>
            <w:vAlign w:val="center"/>
          </w:tcPr>
          <w:p w14:paraId="32114F39">
            <w:pPr>
              <w:pageBreakBefore w:val="0"/>
              <w:kinsoku/>
              <w:wordWrap/>
              <w:overflowPunct/>
              <w:topLinePunct w:val="0"/>
              <w:bidi w:val="0"/>
              <w:adjustRightInd w:val="0"/>
              <w:snapToGrid w:val="0"/>
              <w:spacing w:beforeAutospacing="0" w:afterAutospacing="0" w:line="360" w:lineRule="auto"/>
              <w:ind w:left="2" w:leftChars="0" w:right="0" w:rightChars="0" w:hanging="2" w:hangingChars="1"/>
              <w:jc w:val="both"/>
              <w:rPr>
                <w:rFonts w:hint="eastAsia" w:ascii="宋体" w:hAnsi="宋体" w:eastAsia="宋体" w:cs="宋体"/>
                <w:snapToGrid w:val="0"/>
                <w:kern w:val="2"/>
                <w:sz w:val="22"/>
                <w:szCs w:val="22"/>
                <w:highlight w:val="none"/>
                <w:lang w:val="en-US" w:eastAsia="zh-CN"/>
              </w:rPr>
            </w:pPr>
            <w:r>
              <w:rPr>
                <w:rFonts w:hint="eastAsia" w:ascii="宋体" w:hAnsi="宋体" w:eastAsia="宋体" w:cs="宋体"/>
                <w:snapToGrid w:val="0"/>
                <w:kern w:val="2"/>
                <w:sz w:val="22"/>
                <w:szCs w:val="22"/>
                <w:highlight w:val="none"/>
                <w:lang w:val="en-US" w:eastAsia="zh-CN"/>
              </w:rPr>
              <w:t>项目负责人自2022年1月1日以来具有类似设计业绩的得</w:t>
            </w:r>
            <w:r>
              <w:rPr>
                <w:rFonts w:hint="eastAsia" w:cs="宋体"/>
                <w:snapToGrid w:val="0"/>
                <w:kern w:val="2"/>
                <w:sz w:val="22"/>
                <w:szCs w:val="22"/>
                <w:highlight w:val="none"/>
                <w:lang w:val="en-US" w:eastAsia="zh-CN"/>
              </w:rPr>
              <w:t>2分</w:t>
            </w:r>
            <w:r>
              <w:rPr>
                <w:rFonts w:hint="eastAsia" w:ascii="宋体" w:hAnsi="宋体" w:eastAsia="宋体" w:cs="宋体"/>
                <w:snapToGrid w:val="0"/>
                <w:kern w:val="2"/>
                <w:sz w:val="22"/>
                <w:szCs w:val="22"/>
                <w:highlight w:val="none"/>
                <w:lang w:val="en-US" w:eastAsia="zh-CN"/>
              </w:rPr>
              <w:t>，没有不得分。</w:t>
            </w:r>
          </w:p>
          <w:p w14:paraId="31C1C7DE">
            <w:pPr>
              <w:pageBreakBefore w:val="0"/>
              <w:kinsoku/>
              <w:wordWrap/>
              <w:overflowPunct/>
              <w:topLinePunct w:val="0"/>
              <w:bidi w:val="0"/>
              <w:adjustRightInd w:val="0"/>
              <w:snapToGrid w:val="0"/>
              <w:spacing w:beforeAutospacing="0" w:afterAutospacing="0" w:line="360" w:lineRule="auto"/>
              <w:ind w:left="2" w:leftChars="0" w:right="0" w:rightChars="0" w:hanging="2" w:hangingChars="1"/>
              <w:jc w:val="both"/>
              <w:rPr>
                <w:rFonts w:hint="eastAsia" w:ascii="宋体" w:hAnsi="宋体" w:eastAsia="宋体" w:cs="宋体"/>
                <w:snapToGrid w:val="0"/>
                <w:kern w:val="2"/>
                <w:sz w:val="22"/>
                <w:szCs w:val="22"/>
                <w:highlight w:val="none"/>
                <w:lang w:val="en-US" w:eastAsia="zh-CN"/>
              </w:rPr>
            </w:pPr>
            <w:r>
              <w:rPr>
                <w:rFonts w:hint="eastAsia" w:ascii="宋体" w:hAnsi="宋体" w:eastAsia="宋体" w:cs="宋体"/>
                <w:snapToGrid w:val="0"/>
                <w:kern w:val="2"/>
                <w:sz w:val="22"/>
                <w:szCs w:val="22"/>
                <w:highlight w:val="none"/>
                <w:lang w:val="en-US" w:eastAsia="zh-CN"/>
              </w:rPr>
              <w:t>注：以合同签订时间为准。响应文件中应附业绩或中标通知书扫描件并加盖单位公章，中标通知书或合同上应体现项目负责人名字；否则不得分。供应商业绩和项目负责人业绩不重复计分。</w:t>
            </w:r>
          </w:p>
        </w:tc>
      </w:tr>
      <w:tr w14:paraId="0C4F9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3" w:hRule="atLeast"/>
        </w:trPr>
        <w:tc>
          <w:tcPr>
            <w:tcW w:w="915" w:type="dxa"/>
            <w:vMerge w:val="continue"/>
            <w:vAlign w:val="center"/>
          </w:tcPr>
          <w:p w14:paraId="4CF8FD95">
            <w:pPr>
              <w:spacing w:line="400" w:lineRule="exact"/>
              <w:ind w:firstLine="28"/>
              <w:jc w:val="center"/>
              <w:rPr>
                <w:color w:val="auto"/>
                <w:szCs w:val="21"/>
              </w:rPr>
            </w:pPr>
          </w:p>
        </w:tc>
        <w:tc>
          <w:tcPr>
            <w:tcW w:w="1230" w:type="dxa"/>
            <w:vMerge w:val="continue"/>
            <w:vAlign w:val="center"/>
          </w:tcPr>
          <w:p w14:paraId="28E6B8FD">
            <w:pPr>
              <w:spacing w:line="400" w:lineRule="exact"/>
              <w:ind w:firstLine="28"/>
              <w:jc w:val="center"/>
              <w:rPr>
                <w:rFonts w:hint="eastAsia" w:ascii="宋体" w:hAnsi="宋体" w:eastAsia="宋体" w:cs="宋体"/>
                <w:color w:val="auto"/>
                <w:sz w:val="22"/>
                <w:szCs w:val="22"/>
              </w:rPr>
            </w:pPr>
          </w:p>
        </w:tc>
        <w:tc>
          <w:tcPr>
            <w:tcW w:w="1680" w:type="dxa"/>
            <w:tcBorders>
              <w:top w:val="single" w:color="auto" w:sz="4" w:space="0"/>
              <w:left w:val="single" w:color="auto" w:sz="4" w:space="0"/>
              <w:bottom w:val="single" w:color="auto" w:sz="4" w:space="0"/>
              <w:right w:val="single" w:color="auto" w:sz="4" w:space="0"/>
            </w:tcBorders>
            <w:vAlign w:val="center"/>
          </w:tcPr>
          <w:p w14:paraId="398C193E">
            <w:pPr>
              <w:pStyle w:val="36"/>
              <w:pageBreakBefore w:val="0"/>
              <w:kinsoku/>
              <w:wordWrap/>
              <w:overflowPunct/>
              <w:topLinePunct w:val="0"/>
              <w:bidi w:val="0"/>
              <w:adjustRightInd w:val="0"/>
              <w:snapToGrid w:val="0"/>
              <w:spacing w:beforeAutospacing="0" w:afterAutospacing="0" w:line="360" w:lineRule="auto"/>
              <w:ind w:left="0" w:leftChars="0" w:right="0"/>
              <w:jc w:val="center"/>
              <w:rPr>
                <w:rFonts w:hint="eastAsia" w:ascii="宋体" w:hAnsi="宋体" w:eastAsia="宋体" w:cs="宋体"/>
                <w:snapToGrid w:val="0"/>
                <w:kern w:val="2"/>
                <w:sz w:val="22"/>
                <w:szCs w:val="22"/>
                <w:highlight w:val="none"/>
                <w:lang w:val="en-US" w:eastAsia="zh-CN" w:bidi="ar-SA"/>
              </w:rPr>
            </w:pPr>
            <w:r>
              <w:rPr>
                <w:rFonts w:hint="eastAsia" w:ascii="宋体" w:hAnsi="宋体" w:eastAsia="宋体" w:cs="宋体"/>
                <w:snapToGrid w:val="0"/>
                <w:kern w:val="2"/>
                <w:sz w:val="22"/>
                <w:szCs w:val="22"/>
                <w:highlight w:val="none"/>
                <w:lang w:val="en-US" w:eastAsia="zh-CN" w:bidi="ar-SA"/>
              </w:rPr>
              <w:t>项目实施期间服务承诺</w:t>
            </w:r>
          </w:p>
          <w:p w14:paraId="5CB275E8">
            <w:pPr>
              <w:pStyle w:val="36"/>
              <w:pageBreakBefore w:val="0"/>
              <w:kinsoku/>
              <w:wordWrap/>
              <w:overflowPunct/>
              <w:topLinePunct w:val="0"/>
              <w:bidi w:val="0"/>
              <w:adjustRightInd w:val="0"/>
              <w:snapToGrid w:val="0"/>
              <w:spacing w:beforeAutospacing="0" w:afterAutospacing="0" w:line="360" w:lineRule="auto"/>
              <w:ind w:left="0" w:leftChars="0" w:right="0" w:rightChars="0"/>
              <w:jc w:val="center"/>
              <w:rPr>
                <w:rFonts w:hint="eastAsia" w:ascii="宋体" w:hAnsi="宋体" w:eastAsia="宋体" w:cs="宋体"/>
                <w:color w:val="auto"/>
                <w:spacing w:val="-6"/>
                <w:sz w:val="22"/>
                <w:szCs w:val="22"/>
                <w:lang w:val="en-US" w:eastAsia="zh-CN"/>
              </w:rPr>
            </w:pPr>
            <w:r>
              <w:rPr>
                <w:rFonts w:hint="eastAsia" w:ascii="宋体" w:hAnsi="宋体" w:eastAsia="宋体" w:cs="宋体"/>
                <w:snapToGrid w:val="0"/>
                <w:kern w:val="2"/>
                <w:sz w:val="22"/>
                <w:szCs w:val="22"/>
                <w:highlight w:val="none"/>
                <w:lang w:val="en-US" w:eastAsia="zh-CN" w:bidi="ar-SA"/>
              </w:rPr>
              <w:t>（</w:t>
            </w:r>
            <w:r>
              <w:rPr>
                <w:rFonts w:hint="eastAsia" w:cs="宋体"/>
                <w:snapToGrid w:val="0"/>
                <w:kern w:val="2"/>
                <w:sz w:val="22"/>
                <w:szCs w:val="22"/>
                <w:highlight w:val="none"/>
                <w:lang w:val="en-US" w:eastAsia="zh-CN" w:bidi="ar-SA"/>
              </w:rPr>
              <w:t>6</w:t>
            </w:r>
            <w:r>
              <w:rPr>
                <w:rFonts w:hint="eastAsia" w:ascii="宋体" w:hAnsi="宋体" w:eastAsia="宋体" w:cs="宋体"/>
                <w:snapToGrid w:val="0"/>
                <w:kern w:val="2"/>
                <w:sz w:val="22"/>
                <w:szCs w:val="22"/>
                <w:highlight w:val="none"/>
                <w:lang w:val="en-US" w:eastAsia="zh-CN" w:bidi="ar-SA"/>
              </w:rPr>
              <w:t>分）</w:t>
            </w:r>
          </w:p>
        </w:tc>
        <w:tc>
          <w:tcPr>
            <w:tcW w:w="5580" w:type="dxa"/>
            <w:tcBorders>
              <w:top w:val="single" w:color="auto" w:sz="4" w:space="0"/>
              <w:left w:val="single" w:color="auto" w:sz="4" w:space="0"/>
              <w:bottom w:val="single" w:color="auto" w:sz="4" w:space="0"/>
              <w:right w:val="single" w:color="auto" w:sz="4" w:space="0"/>
            </w:tcBorders>
            <w:vAlign w:val="center"/>
          </w:tcPr>
          <w:p w14:paraId="390E63FC">
            <w:pPr>
              <w:spacing w:line="360" w:lineRule="auto"/>
              <w:jc w:val="left"/>
              <w:rPr>
                <w:rFonts w:hint="eastAsia" w:ascii="宋体" w:hAnsi="宋体" w:eastAsia="宋体" w:cs="宋体"/>
                <w:snapToGrid w:val="0"/>
                <w:kern w:val="2"/>
                <w:sz w:val="22"/>
                <w:szCs w:val="22"/>
                <w:highlight w:val="none"/>
                <w:lang w:val="en-US" w:eastAsia="zh-CN" w:bidi="ar-SA"/>
              </w:rPr>
            </w:pPr>
            <w:r>
              <w:rPr>
                <w:rFonts w:hint="eastAsia" w:ascii="宋体" w:hAnsi="宋体" w:eastAsia="宋体" w:cs="宋体"/>
                <w:snapToGrid w:val="0"/>
                <w:kern w:val="2"/>
                <w:sz w:val="22"/>
                <w:szCs w:val="22"/>
                <w:highlight w:val="none"/>
                <w:lang w:val="en-US" w:eastAsia="zh-CN" w:bidi="ar-SA"/>
              </w:rPr>
              <w:t>满足采购人要求，并对项目进行所需承诺；</w:t>
            </w:r>
          </w:p>
          <w:p w14:paraId="7F53BC63">
            <w:pPr>
              <w:pageBreakBefore w:val="0"/>
              <w:kinsoku/>
              <w:overflowPunct/>
              <w:topLinePunct w:val="0"/>
              <w:bidi w:val="0"/>
              <w:adjustRightInd w:val="0"/>
              <w:snapToGrid w:val="0"/>
              <w:spacing w:line="360" w:lineRule="auto"/>
              <w:jc w:val="left"/>
              <w:rPr>
                <w:rFonts w:hint="eastAsia" w:ascii="宋体" w:hAnsi="宋体" w:eastAsia="宋体" w:cs="宋体"/>
                <w:snapToGrid w:val="0"/>
                <w:kern w:val="2"/>
                <w:sz w:val="22"/>
                <w:szCs w:val="22"/>
                <w:highlight w:val="none"/>
                <w:lang w:val="en-US" w:eastAsia="zh-CN" w:bidi="ar-SA"/>
              </w:rPr>
            </w:pPr>
            <w:r>
              <w:rPr>
                <w:rFonts w:hint="eastAsia" w:ascii="宋体" w:hAnsi="宋体" w:eastAsia="宋体" w:cs="宋体"/>
                <w:snapToGrid w:val="0"/>
                <w:kern w:val="2"/>
                <w:sz w:val="22"/>
                <w:szCs w:val="22"/>
                <w:highlight w:val="none"/>
                <w:lang w:val="en-US" w:eastAsia="zh-CN" w:bidi="ar-SA"/>
              </w:rPr>
              <w:t>1、服务过程中与相关各方的配合、沟通措施，确保规划方案（设计方案）审批通过的保证措施。（</w:t>
            </w:r>
            <w:r>
              <w:rPr>
                <w:rFonts w:hint="eastAsia" w:cs="宋体"/>
                <w:snapToGrid w:val="0"/>
                <w:kern w:val="2"/>
                <w:sz w:val="22"/>
                <w:szCs w:val="22"/>
                <w:highlight w:val="none"/>
                <w:lang w:val="en-US" w:eastAsia="zh-CN" w:bidi="ar-SA"/>
              </w:rPr>
              <w:t>2</w:t>
            </w:r>
            <w:r>
              <w:rPr>
                <w:rFonts w:hint="eastAsia" w:ascii="宋体" w:hAnsi="宋体" w:eastAsia="宋体" w:cs="宋体"/>
                <w:snapToGrid w:val="0"/>
                <w:kern w:val="2"/>
                <w:sz w:val="22"/>
                <w:szCs w:val="22"/>
                <w:highlight w:val="none"/>
                <w:lang w:val="en-US" w:eastAsia="zh-CN" w:bidi="ar-SA"/>
              </w:rPr>
              <w:t>分）</w:t>
            </w:r>
          </w:p>
          <w:p w14:paraId="5A2EC63A">
            <w:pPr>
              <w:pageBreakBefore w:val="0"/>
              <w:kinsoku/>
              <w:overflowPunct/>
              <w:topLinePunct w:val="0"/>
              <w:bidi w:val="0"/>
              <w:adjustRightInd w:val="0"/>
              <w:snapToGrid w:val="0"/>
              <w:spacing w:line="360" w:lineRule="auto"/>
              <w:jc w:val="left"/>
              <w:rPr>
                <w:rFonts w:hint="eastAsia" w:ascii="宋体" w:hAnsi="宋体" w:eastAsia="宋体" w:cs="宋体"/>
                <w:snapToGrid w:val="0"/>
                <w:kern w:val="2"/>
                <w:sz w:val="22"/>
                <w:szCs w:val="22"/>
                <w:highlight w:val="none"/>
                <w:lang w:val="en-US" w:eastAsia="zh-CN" w:bidi="ar-SA"/>
              </w:rPr>
            </w:pPr>
            <w:r>
              <w:rPr>
                <w:rFonts w:hint="eastAsia" w:ascii="宋体" w:hAnsi="宋体" w:eastAsia="宋体" w:cs="宋体"/>
                <w:snapToGrid w:val="0"/>
                <w:kern w:val="2"/>
                <w:sz w:val="22"/>
                <w:szCs w:val="22"/>
                <w:highlight w:val="none"/>
                <w:lang w:val="en-US" w:eastAsia="zh-CN" w:bidi="ar-SA"/>
              </w:rPr>
              <w:t>2、服务承诺</w:t>
            </w:r>
            <w:r>
              <w:rPr>
                <w:rFonts w:hint="eastAsia" w:ascii="宋体" w:hAnsi="宋体" w:eastAsia="宋体" w:cs="宋体"/>
                <w:snapToGrid w:val="0"/>
                <w:kern w:val="2"/>
                <w:sz w:val="22"/>
                <w:szCs w:val="22"/>
                <w:highlight w:val="none"/>
                <w:lang w:val="zh-CN" w:eastAsia="zh-CN" w:bidi="ar-SA"/>
              </w:rPr>
              <w:t>内容详实，科学、合理，考虑周全，措施到位，针对性强，完全能够满足项目的需要</w:t>
            </w:r>
            <w:r>
              <w:rPr>
                <w:rFonts w:hint="eastAsia" w:ascii="宋体" w:hAnsi="宋体" w:eastAsia="宋体" w:cs="宋体"/>
                <w:snapToGrid w:val="0"/>
                <w:kern w:val="2"/>
                <w:sz w:val="22"/>
                <w:szCs w:val="22"/>
                <w:highlight w:val="none"/>
                <w:lang w:val="en-US" w:eastAsia="zh-CN" w:bidi="ar-SA"/>
              </w:rPr>
              <w:t>。（</w:t>
            </w:r>
            <w:r>
              <w:rPr>
                <w:rFonts w:hint="eastAsia" w:cs="宋体"/>
                <w:snapToGrid w:val="0"/>
                <w:kern w:val="2"/>
                <w:sz w:val="22"/>
                <w:szCs w:val="22"/>
                <w:highlight w:val="none"/>
                <w:lang w:val="en-US" w:eastAsia="zh-CN" w:bidi="ar-SA"/>
              </w:rPr>
              <w:t>2</w:t>
            </w:r>
            <w:r>
              <w:rPr>
                <w:rFonts w:hint="eastAsia" w:ascii="宋体" w:hAnsi="宋体" w:eastAsia="宋体" w:cs="宋体"/>
                <w:snapToGrid w:val="0"/>
                <w:kern w:val="2"/>
                <w:sz w:val="22"/>
                <w:szCs w:val="22"/>
                <w:highlight w:val="none"/>
                <w:lang w:val="en-US" w:eastAsia="zh-CN" w:bidi="ar-SA"/>
              </w:rPr>
              <w:t>分）</w:t>
            </w:r>
          </w:p>
          <w:p w14:paraId="08ABBBF5">
            <w:pPr>
              <w:pageBreakBefore w:val="0"/>
              <w:numPr>
                <w:ilvl w:val="0"/>
                <w:numId w:val="0"/>
              </w:numPr>
              <w:kinsoku/>
              <w:wordWrap/>
              <w:overflowPunct/>
              <w:topLinePunct w:val="0"/>
              <w:bidi w:val="0"/>
              <w:adjustRightInd w:val="0"/>
              <w:snapToGrid w:val="0"/>
              <w:spacing w:beforeAutospacing="0" w:afterAutospacing="0" w:line="360" w:lineRule="auto"/>
              <w:ind w:left="-2" w:leftChars="-1" w:right="0" w:rightChars="0" w:firstLine="0" w:firstLineChars="0"/>
              <w:jc w:val="both"/>
              <w:rPr>
                <w:rFonts w:hint="eastAsia" w:ascii="宋体" w:hAnsi="宋体" w:eastAsia="宋体" w:cs="宋体"/>
                <w:color w:val="auto"/>
                <w:spacing w:val="-6"/>
                <w:sz w:val="22"/>
                <w:szCs w:val="22"/>
                <w:lang w:val="en-US" w:eastAsia="zh-CN"/>
              </w:rPr>
            </w:pPr>
            <w:r>
              <w:rPr>
                <w:rFonts w:hint="eastAsia" w:ascii="宋体" w:hAnsi="宋体" w:eastAsia="宋体" w:cs="宋体"/>
                <w:snapToGrid w:val="0"/>
                <w:kern w:val="2"/>
                <w:sz w:val="22"/>
                <w:szCs w:val="22"/>
                <w:highlight w:val="none"/>
                <w:lang w:val="en-US" w:eastAsia="zh-CN" w:bidi="ar-SA"/>
              </w:rPr>
              <w:t>3、对本项目及采购人的合理化建议、增值服务优惠及其他实质性的优惠。（</w:t>
            </w:r>
            <w:r>
              <w:rPr>
                <w:rFonts w:hint="eastAsia" w:cs="宋体"/>
                <w:snapToGrid w:val="0"/>
                <w:kern w:val="2"/>
                <w:sz w:val="22"/>
                <w:szCs w:val="22"/>
                <w:highlight w:val="none"/>
                <w:lang w:val="en-US" w:eastAsia="zh-CN" w:bidi="ar-SA"/>
              </w:rPr>
              <w:t>2</w:t>
            </w:r>
            <w:r>
              <w:rPr>
                <w:rFonts w:hint="eastAsia" w:ascii="宋体" w:hAnsi="宋体" w:eastAsia="宋体" w:cs="宋体"/>
                <w:snapToGrid w:val="0"/>
                <w:kern w:val="2"/>
                <w:sz w:val="22"/>
                <w:szCs w:val="22"/>
                <w:highlight w:val="none"/>
                <w:lang w:val="en-US" w:eastAsia="zh-CN" w:bidi="ar-SA"/>
              </w:rPr>
              <w:t>分）</w:t>
            </w:r>
          </w:p>
        </w:tc>
      </w:tr>
      <w:tr w14:paraId="5BF40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0" w:hRule="atLeast"/>
        </w:trPr>
        <w:tc>
          <w:tcPr>
            <w:tcW w:w="915" w:type="dxa"/>
            <w:vMerge w:val="continue"/>
            <w:vAlign w:val="center"/>
          </w:tcPr>
          <w:p w14:paraId="159D11C0">
            <w:pPr>
              <w:spacing w:line="400" w:lineRule="exact"/>
              <w:ind w:firstLine="28"/>
              <w:jc w:val="center"/>
              <w:rPr>
                <w:color w:val="auto"/>
                <w:szCs w:val="21"/>
              </w:rPr>
            </w:pPr>
          </w:p>
        </w:tc>
        <w:tc>
          <w:tcPr>
            <w:tcW w:w="1230" w:type="dxa"/>
            <w:vMerge w:val="continue"/>
            <w:vAlign w:val="center"/>
          </w:tcPr>
          <w:p w14:paraId="36ECFD2E">
            <w:pPr>
              <w:spacing w:line="400" w:lineRule="exact"/>
              <w:ind w:firstLine="28"/>
              <w:jc w:val="center"/>
              <w:rPr>
                <w:rFonts w:hint="eastAsia" w:ascii="宋体" w:hAnsi="宋体" w:eastAsia="宋体" w:cs="宋体"/>
                <w:color w:val="auto"/>
                <w:sz w:val="22"/>
                <w:szCs w:val="22"/>
              </w:rPr>
            </w:pPr>
          </w:p>
        </w:tc>
        <w:tc>
          <w:tcPr>
            <w:tcW w:w="1680" w:type="dxa"/>
            <w:tcBorders>
              <w:top w:val="single" w:color="auto" w:sz="4" w:space="0"/>
              <w:left w:val="single" w:color="auto" w:sz="4" w:space="0"/>
              <w:bottom w:val="single" w:color="auto" w:sz="4" w:space="0"/>
              <w:right w:val="single" w:color="auto" w:sz="4" w:space="0"/>
            </w:tcBorders>
            <w:vAlign w:val="center"/>
          </w:tcPr>
          <w:p w14:paraId="672BC3F4">
            <w:pPr>
              <w:pStyle w:val="36"/>
              <w:pageBreakBefore w:val="0"/>
              <w:kinsoku/>
              <w:wordWrap/>
              <w:overflowPunct/>
              <w:topLinePunct w:val="0"/>
              <w:bidi w:val="0"/>
              <w:adjustRightInd w:val="0"/>
              <w:snapToGrid w:val="0"/>
              <w:spacing w:beforeAutospacing="0" w:afterAutospacing="0" w:line="360" w:lineRule="auto"/>
              <w:ind w:left="0" w:leftChars="0" w:right="0"/>
              <w:jc w:val="center"/>
              <w:rPr>
                <w:rFonts w:hint="eastAsia" w:ascii="宋体" w:hAnsi="宋体" w:eastAsia="宋体" w:cs="宋体"/>
                <w:snapToGrid w:val="0"/>
                <w:kern w:val="2"/>
                <w:sz w:val="22"/>
                <w:szCs w:val="22"/>
                <w:highlight w:val="none"/>
                <w:lang w:val="en-US" w:eastAsia="zh-CN" w:bidi="ar-SA"/>
              </w:rPr>
            </w:pPr>
            <w:r>
              <w:rPr>
                <w:rFonts w:hint="eastAsia" w:ascii="宋体" w:hAnsi="宋体" w:eastAsia="宋体" w:cs="宋体"/>
                <w:snapToGrid w:val="0"/>
                <w:kern w:val="2"/>
                <w:sz w:val="22"/>
                <w:szCs w:val="22"/>
                <w:highlight w:val="none"/>
                <w:lang w:val="en-US" w:eastAsia="zh-CN" w:bidi="ar-SA"/>
              </w:rPr>
              <w:t>后期服务承诺</w:t>
            </w:r>
          </w:p>
          <w:p w14:paraId="0E6FBF5F">
            <w:pPr>
              <w:pStyle w:val="36"/>
              <w:pageBreakBefore w:val="0"/>
              <w:kinsoku/>
              <w:wordWrap/>
              <w:overflowPunct/>
              <w:topLinePunct w:val="0"/>
              <w:bidi w:val="0"/>
              <w:adjustRightInd w:val="0"/>
              <w:snapToGrid w:val="0"/>
              <w:spacing w:beforeAutospacing="0" w:afterAutospacing="0" w:line="360" w:lineRule="auto"/>
              <w:ind w:left="0" w:leftChars="0" w:right="0" w:rightChars="0"/>
              <w:jc w:val="center"/>
              <w:rPr>
                <w:rFonts w:hint="eastAsia" w:ascii="宋体" w:hAnsi="宋体" w:eastAsia="宋体" w:cs="宋体"/>
                <w:color w:val="auto"/>
                <w:spacing w:val="-6"/>
                <w:sz w:val="22"/>
                <w:szCs w:val="22"/>
                <w:lang w:val="en-US" w:eastAsia="zh-CN"/>
              </w:rPr>
            </w:pPr>
            <w:r>
              <w:rPr>
                <w:rFonts w:hint="eastAsia" w:ascii="宋体" w:hAnsi="宋体" w:eastAsia="宋体" w:cs="宋体"/>
                <w:snapToGrid w:val="0"/>
                <w:kern w:val="2"/>
                <w:sz w:val="22"/>
                <w:szCs w:val="22"/>
                <w:highlight w:val="none"/>
                <w:lang w:val="en-US" w:eastAsia="zh-CN" w:bidi="ar-SA"/>
              </w:rPr>
              <w:t>（</w:t>
            </w:r>
            <w:r>
              <w:rPr>
                <w:rFonts w:hint="eastAsia" w:cs="宋体"/>
                <w:snapToGrid w:val="0"/>
                <w:kern w:val="2"/>
                <w:sz w:val="22"/>
                <w:szCs w:val="22"/>
                <w:highlight w:val="none"/>
                <w:lang w:val="en-US" w:eastAsia="zh-CN" w:bidi="ar-SA"/>
              </w:rPr>
              <w:t>6</w:t>
            </w:r>
            <w:r>
              <w:rPr>
                <w:rFonts w:hint="eastAsia" w:ascii="宋体" w:hAnsi="宋体" w:eastAsia="宋体" w:cs="宋体"/>
                <w:snapToGrid w:val="0"/>
                <w:kern w:val="2"/>
                <w:sz w:val="22"/>
                <w:szCs w:val="22"/>
                <w:highlight w:val="none"/>
                <w:lang w:val="en-US" w:eastAsia="zh-CN" w:bidi="ar-SA"/>
              </w:rPr>
              <w:t>分）</w:t>
            </w:r>
          </w:p>
        </w:tc>
        <w:tc>
          <w:tcPr>
            <w:tcW w:w="5580" w:type="dxa"/>
            <w:tcBorders>
              <w:top w:val="single" w:color="auto" w:sz="4" w:space="0"/>
              <w:left w:val="single" w:color="auto" w:sz="4" w:space="0"/>
              <w:bottom w:val="single" w:color="auto" w:sz="4" w:space="0"/>
              <w:right w:val="single" w:color="auto" w:sz="4" w:space="0"/>
            </w:tcBorders>
            <w:vAlign w:val="center"/>
          </w:tcPr>
          <w:p w14:paraId="7FA58962">
            <w:pPr>
              <w:spacing w:line="360" w:lineRule="auto"/>
              <w:rPr>
                <w:rFonts w:hint="eastAsia" w:ascii="宋体" w:hAnsi="宋体" w:eastAsia="宋体" w:cs="宋体"/>
                <w:snapToGrid w:val="0"/>
                <w:kern w:val="2"/>
                <w:sz w:val="22"/>
                <w:szCs w:val="22"/>
                <w:highlight w:val="none"/>
                <w:lang w:val="en-US" w:eastAsia="zh-CN" w:bidi="ar-SA"/>
              </w:rPr>
            </w:pPr>
            <w:r>
              <w:rPr>
                <w:rFonts w:hint="eastAsia" w:ascii="宋体" w:hAnsi="宋体" w:eastAsia="宋体" w:cs="宋体"/>
                <w:snapToGrid w:val="0"/>
                <w:kern w:val="2"/>
                <w:sz w:val="22"/>
                <w:szCs w:val="22"/>
                <w:highlight w:val="none"/>
                <w:lang w:val="en-US" w:eastAsia="zh-CN" w:bidi="ar-SA"/>
              </w:rPr>
              <w:t>评审小组根据供应商提供的后期服务方案的完整性、可行性等进行综合评价。</w:t>
            </w:r>
          </w:p>
          <w:p w14:paraId="3ECA2E26">
            <w:pPr>
              <w:spacing w:line="360" w:lineRule="auto"/>
              <w:rPr>
                <w:rFonts w:hint="eastAsia" w:ascii="宋体" w:hAnsi="宋体" w:eastAsia="宋体" w:cs="宋体"/>
                <w:snapToGrid w:val="0"/>
                <w:kern w:val="2"/>
                <w:sz w:val="22"/>
                <w:szCs w:val="22"/>
                <w:highlight w:val="none"/>
                <w:lang w:val="en-US" w:eastAsia="zh-CN" w:bidi="ar-SA"/>
              </w:rPr>
            </w:pPr>
            <w:r>
              <w:rPr>
                <w:rFonts w:hint="eastAsia" w:ascii="宋体" w:hAnsi="宋体" w:eastAsia="宋体" w:cs="宋体"/>
                <w:snapToGrid w:val="0"/>
                <w:kern w:val="2"/>
                <w:sz w:val="22"/>
                <w:szCs w:val="22"/>
                <w:highlight w:val="none"/>
                <w:lang w:val="en-US" w:eastAsia="zh-CN" w:bidi="ar-SA"/>
              </w:rPr>
              <w:t>后期服务方案、包括项目资料的移交验收、项目延续期间的服务承诺较详细，服务经验较丰富，符合采购人实际情况，有很强针对性和可行性，完全满足或优于项目需求，得</w:t>
            </w:r>
            <w:r>
              <w:rPr>
                <w:rFonts w:hint="eastAsia" w:cs="宋体"/>
                <w:snapToGrid w:val="0"/>
                <w:kern w:val="2"/>
                <w:sz w:val="22"/>
                <w:szCs w:val="22"/>
                <w:highlight w:val="none"/>
                <w:lang w:val="en-US" w:eastAsia="zh-CN" w:bidi="ar-SA"/>
              </w:rPr>
              <w:t>6</w:t>
            </w:r>
            <w:r>
              <w:rPr>
                <w:rFonts w:hint="eastAsia" w:ascii="宋体" w:hAnsi="宋体" w:eastAsia="宋体" w:cs="宋体"/>
                <w:snapToGrid w:val="0"/>
                <w:kern w:val="2"/>
                <w:sz w:val="22"/>
                <w:szCs w:val="22"/>
                <w:highlight w:val="none"/>
                <w:lang w:val="en-US" w:eastAsia="zh-CN" w:bidi="ar-SA"/>
              </w:rPr>
              <w:t>分。</w:t>
            </w:r>
          </w:p>
          <w:p w14:paraId="235F6376">
            <w:pPr>
              <w:pageBreakBefore w:val="0"/>
              <w:kinsoku/>
              <w:wordWrap/>
              <w:overflowPunct/>
              <w:topLinePunct w:val="0"/>
              <w:bidi w:val="0"/>
              <w:adjustRightInd w:val="0"/>
              <w:snapToGrid w:val="0"/>
              <w:spacing w:beforeAutospacing="0" w:afterAutospacing="0" w:line="360" w:lineRule="auto"/>
              <w:ind w:left="2" w:leftChars="0" w:right="0" w:hanging="2" w:hangingChars="1"/>
              <w:jc w:val="both"/>
              <w:rPr>
                <w:rFonts w:hint="eastAsia" w:ascii="宋体" w:hAnsi="宋体" w:eastAsia="宋体" w:cs="宋体"/>
                <w:snapToGrid w:val="0"/>
                <w:kern w:val="2"/>
                <w:sz w:val="22"/>
                <w:szCs w:val="22"/>
                <w:highlight w:val="none"/>
                <w:lang w:val="en-US" w:eastAsia="zh-CN" w:bidi="ar-SA"/>
              </w:rPr>
            </w:pPr>
            <w:r>
              <w:rPr>
                <w:rFonts w:hint="eastAsia" w:ascii="宋体" w:hAnsi="宋体" w:eastAsia="宋体" w:cs="宋体"/>
                <w:snapToGrid w:val="0"/>
                <w:kern w:val="2"/>
                <w:sz w:val="22"/>
                <w:szCs w:val="22"/>
                <w:highlight w:val="none"/>
                <w:lang w:val="en-US" w:eastAsia="zh-CN" w:bidi="ar-SA"/>
              </w:rPr>
              <w:t>后期服务方案综合考虑各方面需求比较完整、合理、可行，后期服务方案比较完整、合理，基本满足招标文件要求，得</w:t>
            </w:r>
            <w:r>
              <w:rPr>
                <w:rFonts w:hint="eastAsia" w:cs="宋体"/>
                <w:snapToGrid w:val="0"/>
                <w:kern w:val="2"/>
                <w:sz w:val="22"/>
                <w:szCs w:val="22"/>
                <w:highlight w:val="none"/>
                <w:lang w:val="en-US" w:eastAsia="zh-CN" w:bidi="ar-SA"/>
              </w:rPr>
              <w:t>3</w:t>
            </w:r>
            <w:r>
              <w:rPr>
                <w:rFonts w:hint="eastAsia" w:ascii="宋体" w:hAnsi="宋体" w:eastAsia="宋体" w:cs="宋体"/>
                <w:snapToGrid w:val="0"/>
                <w:kern w:val="2"/>
                <w:sz w:val="22"/>
                <w:szCs w:val="22"/>
                <w:highlight w:val="none"/>
                <w:lang w:val="en-US" w:eastAsia="zh-CN" w:bidi="ar-SA"/>
              </w:rPr>
              <w:t>分。</w:t>
            </w:r>
          </w:p>
          <w:p w14:paraId="2F9AC866">
            <w:pPr>
              <w:pageBreakBefore w:val="0"/>
              <w:numPr>
                <w:ilvl w:val="0"/>
                <w:numId w:val="0"/>
              </w:numPr>
              <w:kinsoku/>
              <w:wordWrap/>
              <w:overflowPunct/>
              <w:topLinePunct w:val="0"/>
              <w:bidi w:val="0"/>
              <w:adjustRightInd w:val="0"/>
              <w:snapToGrid w:val="0"/>
              <w:spacing w:beforeAutospacing="0" w:afterAutospacing="0" w:line="360" w:lineRule="auto"/>
              <w:ind w:left="0" w:leftChars="0" w:right="0" w:rightChars="0" w:firstLine="0" w:firstLineChars="0"/>
              <w:jc w:val="both"/>
              <w:rPr>
                <w:rFonts w:hint="eastAsia" w:ascii="宋体" w:hAnsi="宋体" w:eastAsia="宋体" w:cs="宋体"/>
                <w:color w:val="auto"/>
                <w:spacing w:val="-6"/>
                <w:sz w:val="22"/>
                <w:szCs w:val="22"/>
                <w:lang w:val="en-US" w:eastAsia="zh-CN"/>
              </w:rPr>
            </w:pPr>
            <w:r>
              <w:rPr>
                <w:rFonts w:hint="eastAsia" w:ascii="宋体" w:hAnsi="宋体" w:eastAsia="宋体" w:cs="宋体"/>
                <w:snapToGrid w:val="0"/>
                <w:kern w:val="2"/>
                <w:sz w:val="22"/>
                <w:szCs w:val="22"/>
                <w:highlight w:val="none"/>
                <w:lang w:val="en-US" w:eastAsia="zh-CN" w:bidi="ar-SA"/>
              </w:rPr>
              <w:t>后期服务方案简单，基本满足招标文件要求，得 1分。缺项得</w:t>
            </w:r>
            <w:r>
              <w:rPr>
                <w:rFonts w:hint="eastAsia" w:cs="宋体"/>
                <w:snapToGrid w:val="0"/>
                <w:kern w:val="2"/>
                <w:sz w:val="22"/>
                <w:szCs w:val="22"/>
                <w:highlight w:val="none"/>
                <w:lang w:val="en-US" w:eastAsia="zh-CN" w:bidi="ar-SA"/>
              </w:rPr>
              <w:t>0</w:t>
            </w:r>
            <w:r>
              <w:rPr>
                <w:rFonts w:hint="eastAsia" w:ascii="宋体" w:hAnsi="宋体" w:eastAsia="宋体" w:cs="宋体"/>
                <w:snapToGrid w:val="0"/>
                <w:kern w:val="2"/>
                <w:sz w:val="22"/>
                <w:szCs w:val="22"/>
                <w:highlight w:val="none"/>
                <w:lang w:val="en-US" w:eastAsia="zh-CN" w:bidi="ar-SA"/>
              </w:rPr>
              <w:t>分。</w:t>
            </w:r>
          </w:p>
        </w:tc>
      </w:tr>
      <w:tr w14:paraId="3BBF6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90" w:hRule="atLeast"/>
        </w:trPr>
        <w:tc>
          <w:tcPr>
            <w:tcW w:w="9405" w:type="dxa"/>
            <w:gridSpan w:val="4"/>
            <w:tcBorders>
              <w:top w:val="single" w:color="auto" w:sz="4" w:space="0"/>
              <w:left w:val="single" w:color="auto" w:sz="4" w:space="0"/>
              <w:bottom w:val="single" w:color="auto" w:sz="4" w:space="0"/>
              <w:right w:val="single" w:color="auto" w:sz="4" w:space="0"/>
            </w:tcBorders>
            <w:vAlign w:val="center"/>
          </w:tcPr>
          <w:p w14:paraId="1A1DA2A5">
            <w:pPr>
              <w:spacing w:line="400" w:lineRule="exact"/>
              <w:rPr>
                <w:color w:val="auto"/>
                <w:szCs w:val="21"/>
                <w:lang w:val="en-US"/>
              </w:rPr>
            </w:pPr>
            <w:r>
              <w:rPr>
                <w:rFonts w:hint="eastAsia"/>
                <w:color w:val="auto"/>
                <w:szCs w:val="21"/>
                <w:lang w:val="en-US"/>
              </w:rPr>
              <w:t>供应商综合得分﹦报价得分+技术标＋</w:t>
            </w:r>
            <w:r>
              <w:rPr>
                <w:rFonts w:hint="eastAsia"/>
                <w:color w:val="auto"/>
                <w:szCs w:val="21"/>
                <w:lang w:val="en-US" w:eastAsia="zh-CN"/>
              </w:rPr>
              <w:t>商务</w:t>
            </w:r>
            <w:r>
              <w:rPr>
                <w:rFonts w:hint="eastAsia"/>
                <w:color w:val="auto"/>
                <w:szCs w:val="21"/>
                <w:lang w:val="en-US"/>
              </w:rPr>
              <w:t>标</w:t>
            </w:r>
          </w:p>
          <w:p w14:paraId="0262D3E7">
            <w:pPr>
              <w:spacing w:line="400" w:lineRule="exact"/>
              <w:rPr>
                <w:color w:val="auto"/>
                <w:szCs w:val="21"/>
                <w:lang w:val="en-US"/>
              </w:rPr>
            </w:pPr>
            <w:r>
              <w:rPr>
                <w:rFonts w:hint="eastAsia"/>
                <w:color w:val="auto"/>
                <w:szCs w:val="21"/>
                <w:lang w:val="en-US"/>
              </w:rPr>
              <w:t>1．</w:t>
            </w:r>
            <w:r>
              <w:rPr>
                <w:rFonts w:hint="eastAsia"/>
                <w:color w:val="auto"/>
                <w:szCs w:val="21"/>
                <w:lang w:val="en-US" w:eastAsia="zh-CN"/>
              </w:rPr>
              <w:t>磋商小组</w:t>
            </w:r>
            <w:r>
              <w:rPr>
                <w:rFonts w:hint="eastAsia"/>
                <w:color w:val="auto"/>
                <w:szCs w:val="21"/>
                <w:lang w:val="en-US"/>
              </w:rPr>
              <w:t>对所有评审项得分的算术平均值，作为该供应商的最终得分。</w:t>
            </w:r>
          </w:p>
          <w:p w14:paraId="6A813C99">
            <w:pPr>
              <w:spacing w:line="400" w:lineRule="exact"/>
              <w:rPr>
                <w:color w:val="auto"/>
                <w:szCs w:val="21"/>
                <w:lang w:val="en-US"/>
              </w:rPr>
            </w:pPr>
            <w:r>
              <w:rPr>
                <w:rFonts w:hint="eastAsia"/>
                <w:color w:val="auto"/>
                <w:szCs w:val="21"/>
                <w:lang w:val="en-US"/>
              </w:rPr>
              <w:t>2．计分过程中按四舍五入的法则，取至小数点后3位，最终结果取至小数点后2位，</w:t>
            </w:r>
            <w:r>
              <w:rPr>
                <w:rFonts w:hint="eastAsia"/>
                <w:color w:val="auto"/>
                <w:szCs w:val="21"/>
                <w:lang w:val="en-US" w:eastAsia="zh-CN"/>
              </w:rPr>
              <w:t>磋商小组</w:t>
            </w:r>
            <w:r>
              <w:rPr>
                <w:rFonts w:hint="eastAsia"/>
                <w:color w:val="auto"/>
                <w:szCs w:val="21"/>
                <w:lang w:val="en-US"/>
              </w:rPr>
              <w:t>将按供应商得分高低排序向招标人推荐3名成交候选人。</w:t>
            </w:r>
          </w:p>
        </w:tc>
      </w:tr>
    </w:tbl>
    <w:p w14:paraId="6A1780C1">
      <w:pPr>
        <w:pStyle w:val="37"/>
        <w:ind w:left="0" w:firstLine="482" w:firstLineChars="200"/>
        <w:outlineLvl w:val="0"/>
        <w:rPr>
          <w:rFonts w:ascii="宋体" w:hAnsi="宋体"/>
          <w:color w:val="auto"/>
          <w:sz w:val="24"/>
          <w:szCs w:val="24"/>
        </w:rPr>
      </w:pPr>
      <w:bookmarkStart w:id="190" w:name="_Toc29721_WPSOffice_Level2"/>
      <w:bookmarkStart w:id="191" w:name="_Toc1597"/>
      <w:bookmarkStart w:id="192" w:name="_Toc9678"/>
      <w:r>
        <w:rPr>
          <w:rFonts w:hint="eastAsia" w:ascii="宋体" w:hAnsi="宋体"/>
          <w:color w:val="auto"/>
          <w:sz w:val="24"/>
          <w:szCs w:val="24"/>
        </w:rPr>
        <w:t>1. 评标方法</w:t>
      </w:r>
      <w:bookmarkEnd w:id="188"/>
      <w:bookmarkEnd w:id="190"/>
      <w:bookmarkEnd w:id="191"/>
      <w:bookmarkEnd w:id="192"/>
    </w:p>
    <w:p w14:paraId="46266A6A">
      <w:pPr>
        <w:spacing w:line="400" w:lineRule="exact"/>
        <w:ind w:firstLine="480" w:firstLineChars="200"/>
        <w:rPr>
          <w:color w:val="auto"/>
          <w:sz w:val="24"/>
        </w:rPr>
      </w:pPr>
      <w:r>
        <w:rPr>
          <w:rFonts w:hint="eastAsia"/>
          <w:color w:val="auto"/>
          <w:sz w:val="24"/>
          <w:lang w:bidi="en-US"/>
        </w:rPr>
        <w:t>本次评标采用综合评分法。磋商小组对满足磋商文件实质性要求的响应文件</w:t>
      </w:r>
      <w:r>
        <w:rPr>
          <w:rFonts w:hint="eastAsia"/>
          <w:color w:val="auto"/>
          <w:sz w:val="24"/>
        </w:rPr>
        <w:t>，按照本章规定的评分标准进行打分，并按得分由高到低顺序推荐成交候选人，综合评分相等时，以报价得分高的优先；报价得分也相等的，由采购人自行确定。</w:t>
      </w:r>
    </w:p>
    <w:p w14:paraId="2606D4BC">
      <w:pPr>
        <w:pStyle w:val="37"/>
        <w:ind w:left="0" w:firstLine="482" w:firstLineChars="200"/>
        <w:outlineLvl w:val="0"/>
        <w:rPr>
          <w:rFonts w:ascii="宋体" w:hAnsi="宋体"/>
          <w:color w:val="auto"/>
          <w:sz w:val="24"/>
          <w:szCs w:val="24"/>
        </w:rPr>
      </w:pPr>
      <w:bookmarkStart w:id="193" w:name="_Toc20649"/>
      <w:bookmarkStart w:id="194" w:name="_Toc26640_WPSOffice_Level2"/>
      <w:bookmarkStart w:id="195" w:name="_Toc5817"/>
      <w:bookmarkStart w:id="196" w:name="_Toc318450723"/>
      <w:bookmarkStart w:id="197" w:name="_Toc16578"/>
      <w:bookmarkStart w:id="198" w:name="_Toc24936"/>
      <w:bookmarkStart w:id="199" w:name="_Toc152042378"/>
      <w:bookmarkStart w:id="200" w:name="_Toc144974568"/>
      <w:bookmarkStart w:id="201" w:name="_Toc487498487"/>
      <w:bookmarkStart w:id="202" w:name="_Toc152045601"/>
      <w:bookmarkStart w:id="203" w:name="_Toc455080157"/>
      <w:bookmarkStart w:id="204" w:name="_Toc281405529"/>
      <w:bookmarkStart w:id="205" w:name="_Toc318450725"/>
      <w:bookmarkStart w:id="206" w:name="_Toc152042380"/>
      <w:bookmarkStart w:id="207" w:name="_Toc455080159"/>
      <w:bookmarkStart w:id="208" w:name="_Toc281405531"/>
      <w:bookmarkStart w:id="209" w:name="_Toc30189"/>
      <w:bookmarkStart w:id="210" w:name="_Toc152045603"/>
      <w:bookmarkStart w:id="211" w:name="_Toc22439"/>
      <w:bookmarkStart w:id="212" w:name="_Toc464035560"/>
      <w:bookmarkStart w:id="213" w:name="_Toc463701081"/>
      <w:bookmarkStart w:id="214" w:name="_Toc144974570"/>
      <w:bookmarkStart w:id="215" w:name="_Toc12013"/>
      <w:bookmarkStart w:id="216" w:name="_Toc11061"/>
      <w:bookmarkStart w:id="217" w:name="_Toc25492"/>
      <w:r>
        <w:rPr>
          <w:rFonts w:hint="eastAsia" w:ascii="宋体" w:hAnsi="宋体"/>
          <w:color w:val="auto"/>
          <w:sz w:val="24"/>
          <w:szCs w:val="24"/>
        </w:rPr>
        <w:t>2. 评审标准</w:t>
      </w:r>
      <w:bookmarkEnd w:id="193"/>
      <w:bookmarkEnd w:id="194"/>
      <w:bookmarkEnd w:id="195"/>
      <w:bookmarkEnd w:id="196"/>
      <w:bookmarkEnd w:id="197"/>
      <w:bookmarkEnd w:id="198"/>
      <w:bookmarkEnd w:id="199"/>
      <w:bookmarkEnd w:id="200"/>
      <w:bookmarkEnd w:id="201"/>
      <w:bookmarkEnd w:id="202"/>
      <w:bookmarkEnd w:id="203"/>
      <w:bookmarkEnd w:id="204"/>
    </w:p>
    <w:bookmarkEnd w:id="205"/>
    <w:bookmarkEnd w:id="206"/>
    <w:bookmarkEnd w:id="207"/>
    <w:bookmarkEnd w:id="208"/>
    <w:bookmarkEnd w:id="209"/>
    <w:bookmarkEnd w:id="210"/>
    <w:bookmarkEnd w:id="211"/>
    <w:bookmarkEnd w:id="212"/>
    <w:bookmarkEnd w:id="213"/>
    <w:bookmarkEnd w:id="214"/>
    <w:bookmarkEnd w:id="215"/>
    <w:bookmarkEnd w:id="216"/>
    <w:bookmarkEnd w:id="217"/>
    <w:p w14:paraId="6F7F4796">
      <w:pPr>
        <w:spacing w:line="400" w:lineRule="exact"/>
        <w:ind w:firstLine="480" w:firstLineChars="200"/>
        <w:rPr>
          <w:rFonts w:hint="eastAsia" w:ascii="宋体" w:hAnsi="宋体" w:eastAsia="宋体" w:cs="宋体"/>
          <w:color w:val="auto"/>
          <w:sz w:val="24"/>
          <w:lang w:bidi="en-US"/>
        </w:rPr>
      </w:pPr>
      <w:bookmarkStart w:id="218" w:name="_Toc30922_WPSOffice_Level3"/>
      <w:bookmarkStart w:id="219" w:name="_Toc15878"/>
      <w:bookmarkStart w:id="220" w:name="_Toc16952"/>
      <w:bookmarkStart w:id="221" w:name="_Toc455080160"/>
      <w:bookmarkStart w:id="222" w:name="_Toc17308"/>
      <w:bookmarkStart w:id="223" w:name="_Toc281405532"/>
      <w:bookmarkStart w:id="224" w:name="_Toc318450726"/>
      <w:r>
        <w:rPr>
          <w:rFonts w:hint="eastAsia" w:ascii="宋体" w:hAnsi="宋体" w:eastAsia="宋体" w:cs="宋体"/>
          <w:color w:val="auto"/>
          <w:sz w:val="24"/>
          <w:lang w:bidi="en-US"/>
        </w:rPr>
        <w:t>2.1 初步评审标准</w:t>
      </w:r>
      <w:bookmarkEnd w:id="218"/>
      <w:bookmarkEnd w:id="219"/>
      <w:bookmarkEnd w:id="220"/>
    </w:p>
    <w:p w14:paraId="597A01F1">
      <w:pPr>
        <w:spacing w:line="400" w:lineRule="exact"/>
        <w:ind w:firstLine="480" w:firstLineChars="200"/>
        <w:rPr>
          <w:rFonts w:hint="eastAsia" w:ascii="宋体" w:hAnsi="宋体" w:eastAsia="宋体" w:cs="宋体"/>
          <w:color w:val="auto"/>
          <w:sz w:val="24"/>
          <w:lang w:bidi="en-US"/>
        </w:rPr>
      </w:pPr>
      <w:r>
        <w:rPr>
          <w:rFonts w:hint="eastAsia" w:ascii="宋体" w:hAnsi="宋体" w:eastAsia="宋体" w:cs="宋体"/>
          <w:color w:val="auto"/>
          <w:sz w:val="24"/>
          <w:lang w:bidi="en-US"/>
        </w:rPr>
        <w:t>2.1.1 资格评审标准：由磋商小组审核。</w:t>
      </w:r>
    </w:p>
    <w:p w14:paraId="5DD11D6F">
      <w:pPr>
        <w:spacing w:line="400" w:lineRule="exact"/>
        <w:ind w:firstLine="480" w:firstLineChars="200"/>
        <w:rPr>
          <w:rFonts w:hint="eastAsia" w:ascii="宋体" w:hAnsi="宋体" w:eastAsia="宋体" w:cs="宋体"/>
          <w:color w:val="auto"/>
          <w:sz w:val="24"/>
          <w:lang w:bidi="en-US"/>
        </w:rPr>
      </w:pPr>
      <w:r>
        <w:rPr>
          <w:rFonts w:hint="eastAsia" w:ascii="宋体" w:hAnsi="宋体" w:eastAsia="宋体" w:cs="宋体"/>
          <w:color w:val="auto"/>
          <w:sz w:val="24"/>
          <w:lang w:bidi="en-US"/>
        </w:rPr>
        <w:t>2.1.2 形式评审标准：由磋商小组审核。</w:t>
      </w:r>
    </w:p>
    <w:p w14:paraId="65B66673">
      <w:pPr>
        <w:spacing w:line="400" w:lineRule="exact"/>
        <w:ind w:firstLine="480" w:firstLineChars="200"/>
        <w:rPr>
          <w:rFonts w:hint="eastAsia" w:ascii="宋体" w:hAnsi="宋体" w:eastAsia="宋体" w:cs="宋体"/>
          <w:color w:val="auto"/>
          <w:sz w:val="24"/>
          <w:lang w:bidi="en-US"/>
        </w:rPr>
      </w:pPr>
      <w:r>
        <w:rPr>
          <w:rFonts w:hint="eastAsia" w:ascii="宋体" w:hAnsi="宋体" w:eastAsia="宋体" w:cs="宋体"/>
          <w:color w:val="auto"/>
          <w:sz w:val="24"/>
          <w:lang w:bidi="en-US"/>
        </w:rPr>
        <w:t>2.1.3 响应性评审标准：由磋商小组审核。</w:t>
      </w:r>
    </w:p>
    <w:p w14:paraId="13BAF63D">
      <w:pPr>
        <w:spacing w:line="400" w:lineRule="exact"/>
        <w:ind w:firstLine="480" w:firstLineChars="200"/>
        <w:rPr>
          <w:rFonts w:hint="eastAsia" w:ascii="宋体" w:hAnsi="宋体" w:eastAsia="宋体" w:cs="宋体"/>
          <w:color w:val="auto"/>
          <w:sz w:val="24"/>
          <w:lang w:bidi="en-US"/>
        </w:rPr>
      </w:pPr>
      <w:r>
        <w:rPr>
          <w:rFonts w:hint="eastAsia" w:ascii="宋体" w:hAnsi="宋体" w:eastAsia="宋体" w:cs="宋体"/>
          <w:color w:val="auto"/>
          <w:sz w:val="24"/>
          <w:lang w:bidi="en-US"/>
        </w:rPr>
        <w:t>以上有一项不符合要求的按无效标处理。</w:t>
      </w:r>
    </w:p>
    <w:p w14:paraId="6FFB5ADB">
      <w:pPr>
        <w:spacing w:line="400" w:lineRule="exact"/>
        <w:ind w:firstLine="480" w:firstLineChars="200"/>
        <w:rPr>
          <w:rFonts w:hint="eastAsia" w:ascii="宋体" w:hAnsi="宋体" w:eastAsia="宋体" w:cs="宋体"/>
          <w:color w:val="auto"/>
          <w:sz w:val="24"/>
          <w:lang w:bidi="en-US"/>
        </w:rPr>
      </w:pPr>
      <w:bookmarkStart w:id="225" w:name="_Toc17292_WPSOffice_Level3"/>
      <w:r>
        <w:rPr>
          <w:rFonts w:hint="eastAsia" w:ascii="宋体" w:hAnsi="宋体" w:eastAsia="宋体" w:cs="宋体"/>
          <w:color w:val="auto"/>
          <w:sz w:val="24"/>
          <w:lang w:bidi="en-US"/>
        </w:rPr>
        <w:t>2.2 分值构成与评分标准</w:t>
      </w:r>
      <w:bookmarkEnd w:id="225"/>
    </w:p>
    <w:p w14:paraId="01E1D6A1">
      <w:pPr>
        <w:spacing w:line="400" w:lineRule="exact"/>
        <w:ind w:firstLine="480" w:firstLineChars="200"/>
        <w:rPr>
          <w:rFonts w:hint="eastAsia" w:ascii="宋体" w:hAnsi="宋体" w:eastAsia="宋体" w:cs="宋体"/>
          <w:color w:val="auto"/>
          <w:sz w:val="24"/>
          <w:lang w:bidi="en-US"/>
        </w:rPr>
      </w:pPr>
      <w:r>
        <w:rPr>
          <w:rFonts w:hint="eastAsia" w:ascii="宋体" w:hAnsi="宋体" w:eastAsia="宋体" w:cs="宋体"/>
          <w:color w:val="auto"/>
          <w:sz w:val="24"/>
          <w:lang w:bidi="en-US"/>
        </w:rPr>
        <w:t>2.2.1 分值构成</w:t>
      </w:r>
    </w:p>
    <w:p w14:paraId="476D1248">
      <w:pPr>
        <w:spacing w:line="400" w:lineRule="exact"/>
        <w:ind w:firstLine="480" w:firstLineChars="200"/>
        <w:rPr>
          <w:rFonts w:hint="eastAsia" w:ascii="宋体" w:hAnsi="宋体" w:eastAsia="宋体" w:cs="宋体"/>
          <w:color w:val="auto"/>
          <w:sz w:val="24"/>
          <w:lang w:bidi="en-US"/>
        </w:rPr>
      </w:pPr>
      <w:r>
        <w:rPr>
          <w:rFonts w:hint="eastAsia" w:ascii="宋体" w:hAnsi="宋体" w:eastAsia="宋体" w:cs="宋体"/>
          <w:color w:val="auto"/>
          <w:sz w:val="24"/>
          <w:lang w:bidi="en-US"/>
        </w:rPr>
        <w:t>（1）最后磋商报价：见评标办法前附表</w:t>
      </w:r>
    </w:p>
    <w:p w14:paraId="508967F1">
      <w:pPr>
        <w:spacing w:line="400" w:lineRule="exact"/>
        <w:ind w:firstLine="480" w:firstLineChars="200"/>
        <w:rPr>
          <w:rFonts w:hint="eastAsia" w:ascii="宋体" w:hAnsi="宋体" w:eastAsia="宋体" w:cs="宋体"/>
          <w:color w:val="auto"/>
          <w:sz w:val="24"/>
          <w:lang w:bidi="en-US"/>
        </w:rPr>
      </w:pPr>
      <w:r>
        <w:rPr>
          <w:rFonts w:hint="eastAsia" w:ascii="宋体" w:hAnsi="宋体" w:eastAsia="宋体" w:cs="宋体"/>
          <w:color w:val="auto"/>
          <w:sz w:val="24"/>
          <w:lang w:bidi="en-US"/>
        </w:rPr>
        <w:t>（2）技术标：见评标办法前附表</w:t>
      </w:r>
    </w:p>
    <w:p w14:paraId="5A7B91A4">
      <w:pPr>
        <w:spacing w:line="400" w:lineRule="exact"/>
        <w:ind w:firstLine="480" w:firstLineChars="200"/>
        <w:rPr>
          <w:rFonts w:hint="eastAsia" w:ascii="宋体" w:hAnsi="宋体" w:eastAsia="宋体" w:cs="宋体"/>
          <w:color w:val="auto"/>
          <w:sz w:val="24"/>
          <w:lang w:bidi="en-US"/>
        </w:rPr>
      </w:pPr>
      <w:r>
        <w:rPr>
          <w:rFonts w:hint="eastAsia" w:ascii="宋体" w:hAnsi="宋体" w:eastAsia="宋体" w:cs="宋体"/>
          <w:color w:val="auto"/>
          <w:sz w:val="24"/>
          <w:lang w:bidi="en-US"/>
        </w:rPr>
        <w:t>（3）商务标：见评标办法前附表</w:t>
      </w:r>
    </w:p>
    <w:p w14:paraId="3B6DB54B">
      <w:pPr>
        <w:spacing w:line="400" w:lineRule="exact"/>
        <w:ind w:firstLine="480" w:firstLineChars="200"/>
        <w:rPr>
          <w:rFonts w:hint="eastAsia" w:ascii="宋体" w:hAnsi="宋体" w:eastAsia="宋体" w:cs="宋体"/>
          <w:color w:val="auto"/>
          <w:sz w:val="24"/>
          <w:lang w:bidi="en-US"/>
        </w:rPr>
      </w:pPr>
      <w:r>
        <w:rPr>
          <w:rFonts w:hint="eastAsia" w:ascii="宋体" w:hAnsi="宋体" w:eastAsia="宋体" w:cs="宋体"/>
          <w:color w:val="auto"/>
          <w:sz w:val="24"/>
          <w:lang w:bidi="en-US"/>
        </w:rPr>
        <w:t>2.2.2 评分标准</w:t>
      </w:r>
    </w:p>
    <w:p w14:paraId="587875A2">
      <w:pPr>
        <w:spacing w:line="400" w:lineRule="exact"/>
        <w:ind w:firstLine="480" w:firstLineChars="200"/>
        <w:rPr>
          <w:rFonts w:hint="eastAsia" w:ascii="宋体" w:hAnsi="宋体" w:eastAsia="宋体" w:cs="宋体"/>
          <w:color w:val="auto"/>
          <w:sz w:val="24"/>
          <w:lang w:bidi="en-US"/>
        </w:rPr>
      </w:pPr>
      <w:bookmarkStart w:id="226" w:name="_Toc487498488"/>
      <w:bookmarkStart w:id="227" w:name="_Toc25340"/>
      <w:r>
        <w:rPr>
          <w:rFonts w:hint="eastAsia" w:ascii="宋体" w:hAnsi="宋体" w:eastAsia="宋体" w:cs="宋体"/>
          <w:color w:val="auto"/>
          <w:sz w:val="24"/>
          <w:lang w:bidi="en-US"/>
        </w:rPr>
        <w:t>（1）最后磋商报价：见评标办法前附表</w:t>
      </w:r>
    </w:p>
    <w:p w14:paraId="4852EDED">
      <w:pPr>
        <w:spacing w:line="400" w:lineRule="exact"/>
        <w:ind w:firstLine="480" w:firstLineChars="200"/>
        <w:rPr>
          <w:rFonts w:hint="eastAsia" w:ascii="宋体" w:hAnsi="宋体" w:eastAsia="宋体" w:cs="宋体"/>
          <w:color w:val="auto"/>
          <w:sz w:val="24"/>
          <w:lang w:bidi="en-US"/>
        </w:rPr>
      </w:pPr>
      <w:r>
        <w:rPr>
          <w:rFonts w:hint="eastAsia" w:ascii="宋体" w:hAnsi="宋体" w:eastAsia="宋体" w:cs="宋体"/>
          <w:color w:val="auto"/>
          <w:sz w:val="24"/>
          <w:lang w:bidi="en-US"/>
        </w:rPr>
        <w:t>（2）技术标：见评标办法前附表</w:t>
      </w:r>
    </w:p>
    <w:p w14:paraId="340156CA">
      <w:pPr>
        <w:spacing w:line="400" w:lineRule="exact"/>
        <w:ind w:firstLine="480" w:firstLineChars="200"/>
        <w:rPr>
          <w:rFonts w:hint="eastAsia" w:ascii="宋体" w:hAnsi="宋体" w:eastAsia="宋体" w:cs="宋体"/>
          <w:color w:val="auto"/>
          <w:sz w:val="24"/>
          <w:lang w:bidi="en-US"/>
        </w:rPr>
      </w:pPr>
      <w:r>
        <w:rPr>
          <w:rFonts w:hint="eastAsia" w:ascii="宋体" w:hAnsi="宋体" w:eastAsia="宋体" w:cs="宋体"/>
          <w:color w:val="auto"/>
          <w:sz w:val="24"/>
          <w:lang w:bidi="en-US"/>
        </w:rPr>
        <w:t>（3）商务标：见评标办法前附表</w:t>
      </w:r>
    </w:p>
    <w:p w14:paraId="66E74622">
      <w:pPr>
        <w:pStyle w:val="37"/>
        <w:ind w:left="0" w:firstLine="482" w:firstLineChars="200"/>
        <w:outlineLvl w:val="0"/>
        <w:rPr>
          <w:rFonts w:ascii="宋体" w:hAnsi="宋体"/>
          <w:color w:val="auto"/>
          <w:sz w:val="24"/>
          <w:szCs w:val="24"/>
        </w:rPr>
      </w:pPr>
      <w:bookmarkStart w:id="228" w:name="_Toc29132"/>
      <w:bookmarkStart w:id="229" w:name="_Toc14449_WPSOffice_Level2"/>
      <w:bookmarkStart w:id="230" w:name="_Toc15225"/>
      <w:r>
        <w:rPr>
          <w:rFonts w:hint="eastAsia" w:ascii="宋体" w:hAnsi="宋体"/>
          <w:color w:val="auto"/>
          <w:sz w:val="24"/>
          <w:szCs w:val="24"/>
        </w:rPr>
        <w:t>3. 评审程序</w:t>
      </w:r>
      <w:bookmarkEnd w:id="221"/>
      <w:bookmarkEnd w:id="222"/>
      <w:bookmarkEnd w:id="223"/>
      <w:bookmarkEnd w:id="224"/>
      <w:bookmarkEnd w:id="226"/>
      <w:bookmarkEnd w:id="227"/>
      <w:bookmarkEnd w:id="228"/>
      <w:bookmarkEnd w:id="229"/>
      <w:bookmarkEnd w:id="230"/>
    </w:p>
    <w:p w14:paraId="770DCDA7">
      <w:pPr>
        <w:spacing w:line="400" w:lineRule="exact"/>
        <w:ind w:firstLine="480" w:firstLineChars="200"/>
        <w:rPr>
          <w:rFonts w:hint="eastAsia" w:ascii="宋体" w:hAnsi="宋体" w:eastAsia="宋体" w:cs="宋体"/>
          <w:color w:val="auto"/>
          <w:sz w:val="24"/>
          <w:lang w:bidi="en-US"/>
        </w:rPr>
      </w:pPr>
      <w:bookmarkStart w:id="231" w:name="_Toc7272"/>
      <w:bookmarkStart w:id="232" w:name="_Toc455080161"/>
      <w:bookmarkStart w:id="233" w:name="_Toc30986"/>
      <w:bookmarkStart w:id="234" w:name="_Toc318450727"/>
      <w:bookmarkStart w:id="235" w:name="_Toc5427"/>
      <w:bookmarkStart w:id="236" w:name="_Toc18886"/>
      <w:bookmarkStart w:id="237" w:name="_Toc463701083"/>
      <w:bookmarkStart w:id="238" w:name="_Toc29614"/>
      <w:bookmarkStart w:id="239" w:name="_Toc464035562"/>
      <w:bookmarkStart w:id="240" w:name="_Toc14633"/>
      <w:bookmarkStart w:id="241" w:name="_Toc281405533"/>
      <w:bookmarkStart w:id="242" w:name="_Toc11862_WPSOffice_Level3"/>
      <w:r>
        <w:rPr>
          <w:rFonts w:hint="eastAsia" w:ascii="宋体" w:hAnsi="宋体" w:eastAsia="宋体" w:cs="宋体"/>
          <w:color w:val="auto"/>
          <w:sz w:val="24"/>
          <w:lang w:bidi="en-US"/>
        </w:rPr>
        <w:t>3.1 初步评审</w:t>
      </w:r>
      <w:bookmarkEnd w:id="231"/>
      <w:bookmarkEnd w:id="232"/>
      <w:bookmarkEnd w:id="233"/>
      <w:bookmarkEnd w:id="234"/>
      <w:bookmarkEnd w:id="235"/>
      <w:bookmarkEnd w:id="236"/>
      <w:bookmarkEnd w:id="237"/>
      <w:bookmarkEnd w:id="238"/>
      <w:bookmarkEnd w:id="239"/>
      <w:bookmarkEnd w:id="240"/>
      <w:bookmarkEnd w:id="241"/>
      <w:bookmarkEnd w:id="242"/>
    </w:p>
    <w:p w14:paraId="5268B6FC">
      <w:pPr>
        <w:spacing w:line="400" w:lineRule="exact"/>
        <w:ind w:firstLine="480" w:firstLineChars="200"/>
        <w:rPr>
          <w:rFonts w:hint="eastAsia" w:ascii="宋体" w:hAnsi="宋体" w:eastAsia="宋体" w:cs="宋体"/>
          <w:color w:val="auto"/>
          <w:sz w:val="24"/>
          <w:lang w:bidi="en-US"/>
        </w:rPr>
      </w:pPr>
      <w:r>
        <w:rPr>
          <w:rFonts w:hint="eastAsia" w:ascii="宋体" w:hAnsi="宋体" w:eastAsia="宋体" w:cs="宋体"/>
          <w:color w:val="auto"/>
          <w:sz w:val="24"/>
          <w:lang w:bidi="en-US"/>
        </w:rPr>
        <w:t>3.1.1 磋商小组依据本章第2.1款规定的标准对响应文件进行初步评审。有一项不符合评审标准的，作废标处理。</w:t>
      </w:r>
    </w:p>
    <w:p w14:paraId="5F301D45">
      <w:pPr>
        <w:spacing w:line="400" w:lineRule="exact"/>
        <w:ind w:firstLine="480" w:firstLineChars="200"/>
        <w:rPr>
          <w:rFonts w:hint="eastAsia" w:ascii="宋体" w:hAnsi="宋体" w:eastAsia="宋体" w:cs="宋体"/>
          <w:color w:val="auto"/>
          <w:sz w:val="24"/>
          <w:lang w:bidi="en-US"/>
        </w:rPr>
      </w:pPr>
      <w:r>
        <w:rPr>
          <w:rFonts w:hint="eastAsia" w:ascii="宋体" w:hAnsi="宋体" w:eastAsia="宋体" w:cs="宋体"/>
          <w:color w:val="auto"/>
          <w:sz w:val="24"/>
          <w:lang w:bidi="en-US"/>
        </w:rPr>
        <w:t>3.1.2 供应商有以下情形之一的，其投标作废标处理：</w:t>
      </w:r>
    </w:p>
    <w:p w14:paraId="01C46112">
      <w:pPr>
        <w:spacing w:line="400" w:lineRule="exact"/>
        <w:ind w:firstLine="480" w:firstLineChars="200"/>
        <w:rPr>
          <w:rFonts w:hint="eastAsia" w:ascii="宋体" w:hAnsi="宋体" w:eastAsia="宋体" w:cs="宋体"/>
          <w:color w:val="auto"/>
          <w:sz w:val="24"/>
          <w:lang w:bidi="en-US"/>
        </w:rPr>
      </w:pPr>
      <w:r>
        <w:rPr>
          <w:rFonts w:hint="eastAsia" w:ascii="宋体" w:hAnsi="宋体" w:eastAsia="宋体" w:cs="宋体"/>
          <w:color w:val="auto"/>
          <w:sz w:val="24"/>
          <w:lang w:bidi="en-US"/>
        </w:rPr>
        <w:t>（1）串通投标或弄虚作假或有其他违法行为的；</w:t>
      </w:r>
    </w:p>
    <w:p w14:paraId="354D1EF9">
      <w:pPr>
        <w:spacing w:line="400" w:lineRule="exact"/>
        <w:ind w:firstLine="480" w:firstLineChars="200"/>
        <w:rPr>
          <w:rFonts w:hint="eastAsia" w:ascii="宋体" w:hAnsi="宋体" w:eastAsia="宋体" w:cs="宋体"/>
          <w:color w:val="auto"/>
          <w:sz w:val="24"/>
          <w:lang w:bidi="en-US"/>
        </w:rPr>
      </w:pPr>
      <w:r>
        <w:rPr>
          <w:rFonts w:hint="eastAsia" w:ascii="宋体" w:hAnsi="宋体" w:eastAsia="宋体" w:cs="宋体"/>
          <w:color w:val="auto"/>
          <w:sz w:val="24"/>
          <w:lang w:bidi="en-US"/>
        </w:rPr>
        <w:t>（</w:t>
      </w:r>
      <w:r>
        <w:rPr>
          <w:rFonts w:hint="eastAsia" w:ascii="宋体" w:hAnsi="宋体" w:eastAsia="宋体" w:cs="宋体"/>
          <w:color w:val="auto"/>
          <w:sz w:val="24"/>
          <w:lang w:val="en-US" w:eastAsia="zh-CN" w:bidi="en-US"/>
        </w:rPr>
        <w:t>2</w:t>
      </w:r>
      <w:r>
        <w:rPr>
          <w:rFonts w:hint="eastAsia" w:ascii="宋体" w:hAnsi="宋体" w:eastAsia="宋体" w:cs="宋体"/>
          <w:color w:val="auto"/>
          <w:sz w:val="24"/>
          <w:lang w:bidi="en-US"/>
        </w:rPr>
        <w:t>）不按磋商小组要求澄清、说明或补正的；</w:t>
      </w:r>
    </w:p>
    <w:p w14:paraId="53184F67">
      <w:pPr>
        <w:spacing w:line="400" w:lineRule="exact"/>
        <w:ind w:firstLine="480" w:firstLineChars="200"/>
        <w:rPr>
          <w:rFonts w:hint="eastAsia" w:ascii="宋体" w:hAnsi="宋体" w:eastAsia="宋体" w:cs="宋体"/>
          <w:color w:val="auto"/>
          <w:sz w:val="24"/>
          <w:lang w:bidi="en-US"/>
        </w:rPr>
      </w:pPr>
      <w:r>
        <w:rPr>
          <w:rFonts w:hint="eastAsia" w:ascii="宋体" w:hAnsi="宋体" w:eastAsia="宋体" w:cs="宋体"/>
          <w:color w:val="auto"/>
          <w:sz w:val="24"/>
          <w:lang w:bidi="en-US"/>
        </w:rPr>
        <w:t>（</w:t>
      </w:r>
      <w:r>
        <w:rPr>
          <w:rFonts w:hint="eastAsia" w:ascii="宋体" w:hAnsi="宋体" w:eastAsia="宋体" w:cs="宋体"/>
          <w:color w:val="auto"/>
          <w:sz w:val="24"/>
          <w:lang w:val="en-US" w:eastAsia="zh-CN" w:bidi="en-US"/>
        </w:rPr>
        <w:t>3</w:t>
      </w:r>
      <w:r>
        <w:rPr>
          <w:rFonts w:hint="eastAsia" w:ascii="宋体" w:hAnsi="宋体" w:eastAsia="宋体" w:cs="宋体"/>
          <w:color w:val="auto"/>
          <w:sz w:val="24"/>
          <w:lang w:bidi="en-US"/>
        </w:rPr>
        <w:t>）未按规定格式填写、内容不全或关键字迹模糊、无法辨认的；</w:t>
      </w:r>
    </w:p>
    <w:p w14:paraId="218739F3">
      <w:pPr>
        <w:spacing w:line="400" w:lineRule="exact"/>
        <w:ind w:firstLine="480" w:firstLineChars="200"/>
        <w:rPr>
          <w:rFonts w:hint="eastAsia" w:ascii="宋体" w:hAnsi="宋体" w:eastAsia="宋体" w:cs="宋体"/>
          <w:color w:val="auto"/>
          <w:sz w:val="24"/>
          <w:lang w:bidi="en-US"/>
        </w:rPr>
      </w:pPr>
      <w:r>
        <w:rPr>
          <w:rFonts w:hint="eastAsia" w:ascii="宋体" w:hAnsi="宋体" w:eastAsia="宋体" w:cs="宋体"/>
          <w:color w:val="auto"/>
          <w:sz w:val="24"/>
          <w:lang w:bidi="en-US"/>
        </w:rPr>
        <w:t>（</w:t>
      </w:r>
      <w:r>
        <w:rPr>
          <w:rFonts w:hint="eastAsia" w:ascii="宋体" w:hAnsi="宋体" w:eastAsia="宋体" w:cs="宋体"/>
          <w:color w:val="auto"/>
          <w:sz w:val="24"/>
          <w:lang w:val="en-US" w:eastAsia="zh-CN" w:bidi="en-US"/>
        </w:rPr>
        <w:t>4</w:t>
      </w:r>
      <w:r>
        <w:rPr>
          <w:rFonts w:hint="eastAsia" w:ascii="宋体" w:hAnsi="宋体" w:eastAsia="宋体" w:cs="宋体"/>
          <w:color w:val="auto"/>
          <w:sz w:val="24"/>
          <w:lang w:bidi="en-US"/>
        </w:rPr>
        <w:t>）响应文件附有采购人不能接受的条件；</w:t>
      </w:r>
    </w:p>
    <w:p w14:paraId="7AA2156A">
      <w:pPr>
        <w:spacing w:line="400" w:lineRule="exact"/>
        <w:ind w:firstLine="480" w:firstLineChars="200"/>
        <w:rPr>
          <w:rFonts w:hint="eastAsia" w:ascii="宋体" w:hAnsi="宋体" w:eastAsia="宋体" w:cs="宋体"/>
          <w:color w:val="auto"/>
          <w:sz w:val="24"/>
          <w:lang w:bidi="en-US"/>
        </w:rPr>
      </w:pPr>
      <w:r>
        <w:rPr>
          <w:rFonts w:hint="eastAsia" w:ascii="宋体" w:hAnsi="宋体" w:eastAsia="宋体" w:cs="宋体"/>
          <w:color w:val="auto"/>
          <w:sz w:val="24"/>
          <w:lang w:bidi="en-US"/>
        </w:rPr>
        <w:t>（</w:t>
      </w:r>
      <w:r>
        <w:rPr>
          <w:rFonts w:hint="eastAsia" w:ascii="宋体" w:hAnsi="宋体" w:eastAsia="宋体" w:cs="宋体"/>
          <w:color w:val="auto"/>
          <w:sz w:val="24"/>
          <w:lang w:val="en-US" w:eastAsia="zh-CN" w:bidi="en-US"/>
        </w:rPr>
        <w:t>5</w:t>
      </w:r>
      <w:r>
        <w:rPr>
          <w:rFonts w:hint="eastAsia" w:ascii="宋体" w:hAnsi="宋体" w:eastAsia="宋体" w:cs="宋体"/>
          <w:color w:val="auto"/>
          <w:sz w:val="24"/>
          <w:lang w:bidi="en-US"/>
        </w:rPr>
        <w:t>）不符合磋商文件规定的其他实质性要求。</w:t>
      </w:r>
    </w:p>
    <w:p w14:paraId="69049E16">
      <w:pPr>
        <w:spacing w:line="400" w:lineRule="exact"/>
        <w:ind w:firstLine="480" w:firstLineChars="200"/>
        <w:rPr>
          <w:rFonts w:hint="eastAsia" w:ascii="宋体" w:hAnsi="宋体" w:eastAsia="宋体" w:cs="宋体"/>
          <w:color w:val="auto"/>
          <w:sz w:val="24"/>
          <w:lang w:bidi="en-US"/>
        </w:rPr>
      </w:pPr>
      <w:bookmarkStart w:id="243" w:name="_Toc318450728"/>
      <w:bookmarkStart w:id="244" w:name="_Toc26049"/>
      <w:bookmarkStart w:id="245" w:name="_Toc21032"/>
      <w:bookmarkStart w:id="246" w:name="_Toc12406"/>
      <w:bookmarkStart w:id="247" w:name="_Toc7121"/>
      <w:bookmarkStart w:id="248" w:name="_Toc464035563"/>
      <w:bookmarkStart w:id="249" w:name="_Toc455080162"/>
      <w:bookmarkStart w:id="250" w:name="_Toc21570"/>
      <w:bookmarkStart w:id="251" w:name="_Toc463701084"/>
      <w:bookmarkStart w:id="252" w:name="_Toc281405534"/>
      <w:bookmarkStart w:id="253" w:name="_Toc10295_WPSOffice_Level3"/>
      <w:bookmarkStart w:id="254" w:name="_Toc10692"/>
      <w:r>
        <w:rPr>
          <w:rFonts w:hint="eastAsia" w:ascii="宋体" w:hAnsi="宋体" w:eastAsia="宋体" w:cs="宋体"/>
          <w:color w:val="auto"/>
          <w:sz w:val="24"/>
          <w:lang w:bidi="en-US"/>
        </w:rPr>
        <w:t>3.2 详细评审</w:t>
      </w:r>
      <w:bookmarkEnd w:id="243"/>
      <w:bookmarkEnd w:id="244"/>
      <w:bookmarkEnd w:id="245"/>
      <w:bookmarkEnd w:id="246"/>
      <w:bookmarkEnd w:id="247"/>
      <w:bookmarkEnd w:id="248"/>
      <w:bookmarkEnd w:id="249"/>
      <w:bookmarkEnd w:id="250"/>
      <w:bookmarkEnd w:id="251"/>
      <w:bookmarkEnd w:id="252"/>
      <w:bookmarkEnd w:id="253"/>
      <w:bookmarkEnd w:id="254"/>
    </w:p>
    <w:p w14:paraId="79E044A8">
      <w:pPr>
        <w:spacing w:line="400" w:lineRule="exact"/>
        <w:ind w:firstLine="480" w:firstLineChars="200"/>
        <w:rPr>
          <w:rFonts w:hint="eastAsia" w:ascii="宋体" w:hAnsi="宋体" w:eastAsia="宋体" w:cs="宋体"/>
          <w:color w:val="auto"/>
          <w:sz w:val="24"/>
          <w:lang w:bidi="en-US"/>
        </w:rPr>
      </w:pPr>
      <w:r>
        <w:rPr>
          <w:rFonts w:hint="eastAsia" w:ascii="宋体" w:hAnsi="宋体" w:eastAsia="宋体" w:cs="宋体"/>
          <w:color w:val="auto"/>
          <w:sz w:val="24"/>
          <w:lang w:bidi="en-US"/>
        </w:rPr>
        <w:t>3.2.1 磋商小组邀请通过初步评审的供应商进行磋商报价，磋商报价为供应商最终有效报价。</w:t>
      </w:r>
    </w:p>
    <w:p w14:paraId="5033D5C4">
      <w:pPr>
        <w:spacing w:line="400" w:lineRule="exact"/>
        <w:ind w:firstLine="480" w:firstLineChars="200"/>
        <w:rPr>
          <w:rFonts w:hint="eastAsia" w:ascii="宋体" w:hAnsi="宋体" w:eastAsia="宋体" w:cs="宋体"/>
          <w:color w:val="auto"/>
          <w:sz w:val="24"/>
          <w:lang w:bidi="en-US"/>
        </w:rPr>
      </w:pPr>
      <w:r>
        <w:rPr>
          <w:rFonts w:hint="eastAsia" w:ascii="宋体" w:hAnsi="宋体" w:eastAsia="宋体" w:cs="宋体"/>
          <w:color w:val="auto"/>
          <w:sz w:val="24"/>
          <w:lang w:val="en-US" w:bidi="en-US"/>
        </w:rPr>
        <w:t>3.2.2磋商小组</w:t>
      </w:r>
      <w:r>
        <w:rPr>
          <w:rFonts w:hint="eastAsia" w:ascii="宋体" w:hAnsi="宋体" w:eastAsia="宋体" w:cs="宋体"/>
          <w:color w:val="auto"/>
          <w:sz w:val="24"/>
          <w:lang w:bidi="en-US"/>
        </w:rPr>
        <w:t>认为供应商的报价明显低于其他通过符合性审查供应商的报价，有可能影响产品质量或者不能诚信履约的，应当要求其在评标现场合理的时间内提供书面说明，必要时提交相关证明材料；供应商不能证明其报价合理性的，</w:t>
      </w:r>
      <w:r>
        <w:rPr>
          <w:rFonts w:hint="eastAsia" w:ascii="宋体" w:hAnsi="宋体" w:eastAsia="宋体" w:cs="宋体"/>
          <w:color w:val="auto"/>
          <w:sz w:val="24"/>
          <w:lang w:val="en-US" w:bidi="en-US"/>
        </w:rPr>
        <w:t>磋商小组</w:t>
      </w:r>
      <w:r>
        <w:rPr>
          <w:rFonts w:hint="eastAsia" w:ascii="宋体" w:hAnsi="宋体" w:eastAsia="宋体" w:cs="宋体"/>
          <w:color w:val="auto"/>
          <w:sz w:val="24"/>
          <w:lang w:bidi="en-US"/>
        </w:rPr>
        <w:t>应当将其作为无效投标处理。</w:t>
      </w:r>
    </w:p>
    <w:p w14:paraId="53720051">
      <w:pPr>
        <w:spacing w:line="400" w:lineRule="exact"/>
        <w:ind w:firstLine="480" w:firstLineChars="200"/>
        <w:rPr>
          <w:rFonts w:hint="eastAsia" w:ascii="宋体" w:hAnsi="宋体" w:eastAsia="宋体" w:cs="宋体"/>
          <w:color w:val="auto"/>
          <w:sz w:val="24"/>
          <w:lang w:bidi="en-US"/>
        </w:rPr>
      </w:pPr>
      <w:r>
        <w:rPr>
          <w:rFonts w:hint="eastAsia" w:ascii="宋体" w:hAnsi="宋体" w:eastAsia="宋体" w:cs="宋体"/>
          <w:color w:val="auto"/>
          <w:sz w:val="24"/>
          <w:lang w:bidi="en-US"/>
        </w:rPr>
        <w:t>3.2.</w:t>
      </w:r>
      <w:r>
        <w:rPr>
          <w:rFonts w:hint="eastAsia" w:ascii="宋体" w:hAnsi="宋体" w:eastAsia="宋体" w:cs="宋体"/>
          <w:color w:val="auto"/>
          <w:sz w:val="24"/>
          <w:lang w:val="en-US" w:bidi="en-US"/>
        </w:rPr>
        <w:t>3</w:t>
      </w:r>
      <w:r>
        <w:rPr>
          <w:rFonts w:hint="eastAsia" w:ascii="宋体" w:hAnsi="宋体" w:eastAsia="宋体" w:cs="宋体"/>
          <w:color w:val="auto"/>
          <w:sz w:val="24"/>
          <w:lang w:bidi="en-US"/>
        </w:rPr>
        <w:t>磋商小组按本章第2.2款规定的量化因素和分值进行打分，并计算出综合评分得分。</w:t>
      </w:r>
    </w:p>
    <w:p w14:paraId="34B2A193">
      <w:pPr>
        <w:spacing w:line="400" w:lineRule="exact"/>
        <w:ind w:firstLine="480" w:firstLineChars="200"/>
        <w:rPr>
          <w:rFonts w:hint="eastAsia" w:ascii="宋体" w:hAnsi="宋体" w:eastAsia="宋体" w:cs="宋体"/>
          <w:color w:val="auto"/>
          <w:sz w:val="24"/>
          <w:lang w:bidi="en-US"/>
        </w:rPr>
      </w:pPr>
      <w:r>
        <w:rPr>
          <w:rFonts w:hint="eastAsia" w:ascii="宋体" w:hAnsi="宋体" w:eastAsia="宋体" w:cs="宋体"/>
          <w:color w:val="auto"/>
          <w:sz w:val="24"/>
          <w:lang w:bidi="en-US"/>
        </w:rPr>
        <w:t>3.2.</w:t>
      </w:r>
      <w:r>
        <w:rPr>
          <w:rFonts w:hint="eastAsia" w:ascii="宋体" w:hAnsi="宋体" w:eastAsia="宋体" w:cs="宋体"/>
          <w:color w:val="auto"/>
          <w:sz w:val="24"/>
          <w:lang w:val="en-US" w:bidi="en-US"/>
        </w:rPr>
        <w:t>4</w:t>
      </w:r>
      <w:r>
        <w:rPr>
          <w:rFonts w:hint="eastAsia" w:ascii="宋体" w:hAnsi="宋体" w:eastAsia="宋体" w:cs="宋体"/>
          <w:color w:val="auto"/>
          <w:sz w:val="24"/>
          <w:lang w:bidi="en-US"/>
        </w:rPr>
        <w:t>评分分值计算保留小数点后两位，小数点后第三位“四舍五入”。</w:t>
      </w:r>
    </w:p>
    <w:p w14:paraId="25947C65">
      <w:pPr>
        <w:spacing w:line="400" w:lineRule="exact"/>
        <w:ind w:firstLine="480" w:firstLineChars="200"/>
        <w:rPr>
          <w:rFonts w:hint="eastAsia" w:ascii="宋体" w:hAnsi="宋体" w:eastAsia="宋体" w:cs="宋体"/>
          <w:color w:val="auto"/>
          <w:sz w:val="24"/>
          <w:lang w:bidi="en-US"/>
        </w:rPr>
      </w:pPr>
      <w:r>
        <w:rPr>
          <w:rFonts w:hint="eastAsia" w:ascii="宋体" w:hAnsi="宋体" w:eastAsia="宋体" w:cs="宋体"/>
          <w:color w:val="auto"/>
          <w:sz w:val="24"/>
          <w:lang w:bidi="en-US"/>
        </w:rPr>
        <w:t>3.2.</w:t>
      </w:r>
      <w:r>
        <w:rPr>
          <w:rFonts w:hint="eastAsia" w:ascii="宋体" w:hAnsi="宋体" w:eastAsia="宋体" w:cs="宋体"/>
          <w:color w:val="auto"/>
          <w:sz w:val="24"/>
          <w:lang w:val="en-US" w:bidi="en-US"/>
        </w:rPr>
        <w:t>5</w:t>
      </w:r>
      <w:r>
        <w:rPr>
          <w:rFonts w:hint="eastAsia" w:ascii="宋体" w:hAnsi="宋体" w:eastAsia="宋体" w:cs="宋体"/>
          <w:color w:val="auto"/>
          <w:sz w:val="24"/>
          <w:lang w:bidi="en-US"/>
        </w:rPr>
        <w:t>供应商的最终得分以全部小组成员打分的算术平均值为准，作为该供应商的最终得分。</w:t>
      </w:r>
    </w:p>
    <w:p w14:paraId="33090F48">
      <w:pPr>
        <w:spacing w:line="400" w:lineRule="exact"/>
        <w:ind w:firstLine="480" w:firstLineChars="200"/>
        <w:rPr>
          <w:rFonts w:hint="eastAsia" w:ascii="宋体" w:hAnsi="宋体" w:eastAsia="宋体" w:cs="宋体"/>
          <w:color w:val="auto"/>
          <w:sz w:val="24"/>
          <w:lang w:bidi="en-US"/>
        </w:rPr>
      </w:pPr>
      <w:r>
        <w:rPr>
          <w:rFonts w:hint="eastAsia" w:ascii="宋体" w:hAnsi="宋体" w:eastAsia="宋体" w:cs="宋体"/>
          <w:color w:val="auto"/>
          <w:sz w:val="24"/>
          <w:lang w:bidi="en-US"/>
        </w:rPr>
        <w:t>3.2.</w:t>
      </w:r>
      <w:r>
        <w:rPr>
          <w:rFonts w:hint="eastAsia" w:ascii="宋体" w:hAnsi="宋体" w:eastAsia="宋体" w:cs="宋体"/>
          <w:color w:val="auto"/>
          <w:sz w:val="24"/>
          <w:lang w:val="en-US" w:bidi="en-US"/>
        </w:rPr>
        <w:t>6</w:t>
      </w:r>
      <w:r>
        <w:rPr>
          <w:rFonts w:hint="eastAsia" w:ascii="宋体" w:hAnsi="宋体" w:eastAsia="宋体" w:cs="宋体"/>
          <w:color w:val="auto"/>
          <w:sz w:val="24"/>
          <w:lang w:bidi="en-US"/>
        </w:rPr>
        <w:t>在磋商过程中，凡遇到磋商文件中无界定或界定不清、前后不一致使磋商小组意见有分歧且又难以协商一致的问题，均由磋商小组予以表决，获半数以上同意的即为通过，未获半数同意的即为否决。</w:t>
      </w:r>
    </w:p>
    <w:p w14:paraId="509FE08A">
      <w:pPr>
        <w:spacing w:line="400" w:lineRule="exact"/>
        <w:ind w:firstLine="480" w:firstLineChars="200"/>
        <w:rPr>
          <w:rFonts w:hint="eastAsia" w:ascii="宋体" w:hAnsi="宋体" w:eastAsia="宋体" w:cs="宋体"/>
          <w:color w:val="auto"/>
          <w:sz w:val="24"/>
          <w:lang w:bidi="en-US"/>
        </w:rPr>
      </w:pPr>
      <w:bookmarkStart w:id="255" w:name="_Toc463701085"/>
      <w:bookmarkStart w:id="256" w:name="_Toc464035564"/>
      <w:bookmarkStart w:id="257" w:name="_Toc8342"/>
      <w:bookmarkStart w:id="258" w:name="_Toc11958"/>
      <w:bookmarkStart w:id="259" w:name="_Toc318450729"/>
      <w:bookmarkStart w:id="260" w:name="_Toc8813"/>
      <w:bookmarkStart w:id="261" w:name="_Toc31110_WPSOffice_Level3"/>
      <w:bookmarkStart w:id="262" w:name="_Toc281405535"/>
      <w:bookmarkStart w:id="263" w:name="_Toc24862"/>
      <w:bookmarkStart w:id="264" w:name="_Toc10153"/>
      <w:bookmarkStart w:id="265" w:name="_Toc28633"/>
      <w:bookmarkStart w:id="266" w:name="_Toc455080163"/>
      <w:r>
        <w:rPr>
          <w:rFonts w:hint="eastAsia" w:ascii="宋体" w:hAnsi="宋体" w:eastAsia="宋体" w:cs="宋体"/>
          <w:color w:val="auto"/>
          <w:sz w:val="24"/>
          <w:lang w:bidi="en-US"/>
        </w:rPr>
        <w:t>3.3 响应文件的澄清和补正</w:t>
      </w:r>
      <w:bookmarkEnd w:id="255"/>
      <w:bookmarkEnd w:id="256"/>
      <w:bookmarkEnd w:id="257"/>
      <w:bookmarkEnd w:id="258"/>
      <w:bookmarkEnd w:id="259"/>
      <w:bookmarkEnd w:id="260"/>
      <w:bookmarkEnd w:id="261"/>
      <w:bookmarkEnd w:id="262"/>
      <w:bookmarkEnd w:id="263"/>
      <w:bookmarkEnd w:id="264"/>
      <w:bookmarkEnd w:id="265"/>
      <w:bookmarkEnd w:id="266"/>
    </w:p>
    <w:p w14:paraId="7C6DFC2A">
      <w:pPr>
        <w:spacing w:line="400" w:lineRule="exact"/>
        <w:ind w:firstLine="480" w:firstLineChars="200"/>
        <w:rPr>
          <w:rFonts w:hint="eastAsia" w:ascii="宋体" w:hAnsi="宋体" w:eastAsia="宋体" w:cs="宋体"/>
          <w:color w:val="auto"/>
          <w:sz w:val="24"/>
          <w:lang w:bidi="en-US"/>
        </w:rPr>
      </w:pPr>
      <w:r>
        <w:rPr>
          <w:rFonts w:hint="eastAsia" w:ascii="宋体" w:hAnsi="宋体" w:eastAsia="宋体" w:cs="宋体"/>
          <w:color w:val="auto"/>
          <w:sz w:val="24"/>
          <w:lang w:bidi="en-US"/>
        </w:rPr>
        <w:t>3.3.1在磋商过程中，磋商小组可以书面形式要求供应商对所提交的响应文件中不明确的内容进行书面澄清或说明，或者对细微偏离进行补正。磋商小组不接受供应商主动提出的澄清、说明或补正。</w:t>
      </w:r>
    </w:p>
    <w:p w14:paraId="1B49494E">
      <w:pPr>
        <w:spacing w:line="400" w:lineRule="exact"/>
        <w:ind w:firstLine="480" w:firstLineChars="200"/>
        <w:rPr>
          <w:rFonts w:hint="eastAsia" w:ascii="宋体" w:hAnsi="宋体" w:eastAsia="宋体" w:cs="宋体"/>
          <w:color w:val="auto"/>
          <w:sz w:val="24"/>
          <w:lang w:bidi="en-US"/>
        </w:rPr>
      </w:pPr>
      <w:r>
        <w:rPr>
          <w:rFonts w:hint="eastAsia" w:ascii="宋体" w:hAnsi="宋体" w:eastAsia="宋体" w:cs="宋体"/>
          <w:color w:val="auto"/>
          <w:sz w:val="24"/>
          <w:lang w:bidi="en-US"/>
        </w:rPr>
        <w:t>3.3.2 澄清、说明和补正不得超出响应文件的范围或者改变响应文件的实质性内容（算术性错误修正的除外）。供应商的书面澄清、说明和补正属于响应文件的组成部分。</w:t>
      </w:r>
    </w:p>
    <w:p w14:paraId="3ECC1E9A">
      <w:pPr>
        <w:spacing w:line="400" w:lineRule="exact"/>
        <w:ind w:firstLine="480" w:firstLineChars="200"/>
        <w:rPr>
          <w:rFonts w:hint="eastAsia" w:ascii="宋体" w:hAnsi="宋体" w:eastAsia="宋体" w:cs="宋体"/>
          <w:color w:val="auto"/>
          <w:sz w:val="24"/>
          <w:lang w:bidi="en-US"/>
        </w:rPr>
      </w:pPr>
      <w:r>
        <w:rPr>
          <w:rFonts w:hint="eastAsia" w:ascii="宋体" w:hAnsi="宋体" w:eastAsia="宋体" w:cs="宋体"/>
          <w:color w:val="auto"/>
          <w:sz w:val="24"/>
          <w:lang w:bidi="en-US"/>
        </w:rPr>
        <w:t>3.3.3 磋商小组对供应商提交的澄清、说明或补正有疑问的，可以要求供应商进一步澄清、说明或补正，直至满足磋商小组的要求。</w:t>
      </w:r>
    </w:p>
    <w:p w14:paraId="66090C95">
      <w:pPr>
        <w:spacing w:line="400" w:lineRule="exact"/>
        <w:ind w:firstLine="480" w:firstLineChars="200"/>
        <w:rPr>
          <w:rFonts w:hint="eastAsia" w:ascii="宋体" w:hAnsi="宋体" w:eastAsia="宋体" w:cs="宋体"/>
          <w:color w:val="auto"/>
          <w:sz w:val="24"/>
          <w:lang w:bidi="en-US"/>
        </w:rPr>
      </w:pPr>
      <w:bookmarkStart w:id="267" w:name="_Toc464035565"/>
      <w:bookmarkStart w:id="268" w:name="_Toc463701086"/>
      <w:bookmarkStart w:id="269" w:name="_Toc19453"/>
      <w:bookmarkStart w:id="270" w:name="_Toc22986"/>
      <w:bookmarkStart w:id="271" w:name="_Toc455080164"/>
      <w:bookmarkStart w:id="272" w:name="_Toc318450730"/>
      <w:bookmarkStart w:id="273" w:name="_Toc32183"/>
      <w:bookmarkStart w:id="274" w:name="_Toc1857"/>
      <w:bookmarkStart w:id="275" w:name="_Toc281405536"/>
      <w:bookmarkStart w:id="276" w:name="_Toc26894"/>
      <w:bookmarkStart w:id="277" w:name="_Toc16310_WPSOffice_Level3"/>
      <w:bookmarkStart w:id="278" w:name="_Toc5903"/>
      <w:r>
        <w:rPr>
          <w:rFonts w:hint="eastAsia" w:ascii="宋体" w:hAnsi="宋体" w:eastAsia="宋体" w:cs="宋体"/>
          <w:color w:val="auto"/>
          <w:sz w:val="24"/>
          <w:lang w:bidi="en-US"/>
        </w:rPr>
        <w:t>3.4 评标结果</w:t>
      </w:r>
      <w:bookmarkEnd w:id="267"/>
      <w:bookmarkEnd w:id="268"/>
      <w:bookmarkEnd w:id="269"/>
      <w:bookmarkEnd w:id="270"/>
      <w:bookmarkEnd w:id="271"/>
      <w:bookmarkEnd w:id="272"/>
      <w:bookmarkEnd w:id="273"/>
      <w:bookmarkEnd w:id="274"/>
      <w:bookmarkEnd w:id="275"/>
      <w:bookmarkEnd w:id="276"/>
      <w:bookmarkEnd w:id="277"/>
      <w:bookmarkEnd w:id="278"/>
    </w:p>
    <w:p w14:paraId="43678CD4">
      <w:pPr>
        <w:spacing w:line="400" w:lineRule="exact"/>
        <w:ind w:firstLine="480" w:firstLineChars="200"/>
        <w:rPr>
          <w:rFonts w:hint="eastAsia" w:ascii="宋体" w:hAnsi="宋体" w:eastAsia="宋体" w:cs="宋体"/>
          <w:color w:val="auto"/>
          <w:sz w:val="24"/>
          <w:lang w:bidi="en-US"/>
        </w:rPr>
      </w:pPr>
      <w:r>
        <w:rPr>
          <w:rFonts w:hint="eastAsia" w:ascii="宋体" w:hAnsi="宋体" w:eastAsia="宋体" w:cs="宋体"/>
          <w:color w:val="auto"/>
          <w:sz w:val="24"/>
          <w:lang w:bidi="en-US"/>
        </w:rPr>
        <w:t>3.4.1除第二章“供应商须知”前附表授权直接确定成交人外，磋商小组按照得分由高到低的顺序推荐成交候选人。</w:t>
      </w:r>
    </w:p>
    <w:p w14:paraId="4D03A7BA">
      <w:pPr>
        <w:spacing w:line="400" w:lineRule="exact"/>
        <w:ind w:firstLine="480" w:firstLineChars="200"/>
        <w:rPr>
          <w:rFonts w:hint="eastAsia" w:ascii="宋体" w:hAnsi="宋体" w:eastAsia="宋体" w:cs="宋体"/>
          <w:color w:val="auto"/>
          <w:sz w:val="24"/>
          <w:lang w:bidi="en-US"/>
        </w:rPr>
      </w:pPr>
      <w:r>
        <w:rPr>
          <w:rFonts w:hint="eastAsia" w:ascii="宋体" w:hAnsi="宋体" w:eastAsia="宋体" w:cs="宋体"/>
          <w:color w:val="auto"/>
          <w:sz w:val="24"/>
          <w:lang w:val="en-US" w:bidi="en-US"/>
        </w:rPr>
        <w:t>3.4.2供应商</w:t>
      </w:r>
      <w:r>
        <w:rPr>
          <w:rFonts w:hint="eastAsia" w:ascii="宋体" w:hAnsi="宋体" w:eastAsia="宋体" w:cs="宋体"/>
          <w:color w:val="auto"/>
          <w:sz w:val="24"/>
          <w:lang w:bidi="en-US"/>
        </w:rPr>
        <w:t>提供相同品牌产品且通过资格审查、符合性审查的不同供应商参加同一合同项下投标的，按一家供应商计算，评审后得分最高的同品牌供应商获得中标人推荐资格；</w:t>
      </w:r>
    </w:p>
    <w:p w14:paraId="2462EAEB">
      <w:pPr>
        <w:spacing w:line="400" w:lineRule="exact"/>
        <w:ind w:firstLine="480" w:firstLineChars="200"/>
        <w:rPr>
          <w:rFonts w:hint="eastAsia" w:ascii="宋体" w:hAnsi="宋体" w:eastAsia="宋体" w:cs="宋体"/>
          <w:color w:val="auto"/>
          <w:sz w:val="24"/>
          <w:lang w:bidi="en-US"/>
        </w:rPr>
      </w:pPr>
      <w:r>
        <w:rPr>
          <w:rFonts w:hint="eastAsia" w:ascii="宋体" w:hAnsi="宋体" w:eastAsia="宋体" w:cs="宋体"/>
          <w:color w:val="auto"/>
          <w:sz w:val="24"/>
          <w:lang w:bidi="en-US"/>
        </w:rPr>
        <w:t>3.4.</w:t>
      </w:r>
      <w:r>
        <w:rPr>
          <w:rFonts w:hint="eastAsia" w:ascii="宋体" w:hAnsi="宋体" w:eastAsia="宋体" w:cs="宋体"/>
          <w:color w:val="auto"/>
          <w:sz w:val="24"/>
          <w:lang w:val="en-US" w:bidi="en-US"/>
        </w:rPr>
        <w:t>3</w:t>
      </w:r>
      <w:r>
        <w:rPr>
          <w:rFonts w:hint="eastAsia" w:ascii="宋体" w:hAnsi="宋体" w:eastAsia="宋体" w:cs="宋体"/>
          <w:color w:val="auto"/>
          <w:sz w:val="24"/>
          <w:lang w:bidi="en-US"/>
        </w:rPr>
        <w:t xml:space="preserve"> 磋商小组完成评标后，应当向采购人提交书面评审报告。</w:t>
      </w:r>
    </w:p>
    <w:p w14:paraId="3DB9D6EB">
      <w:pPr>
        <w:pStyle w:val="2"/>
        <w:spacing w:before="24"/>
        <w:ind w:left="841" w:right="909"/>
        <w:jc w:val="center"/>
        <w:outlineLvl w:val="9"/>
        <w:rPr>
          <w:color w:val="auto"/>
        </w:rPr>
      </w:pPr>
      <w:r>
        <w:rPr>
          <w:color w:val="auto"/>
        </w:rPr>
        <w:br w:type="page"/>
      </w:r>
    </w:p>
    <w:p w14:paraId="4D377D57">
      <w:pPr>
        <w:pStyle w:val="2"/>
        <w:keepNext w:val="0"/>
        <w:keepLines w:val="0"/>
        <w:pageBreakBefore w:val="0"/>
        <w:widowControl w:val="0"/>
        <w:kinsoku/>
        <w:wordWrap w:val="0"/>
        <w:overflowPunct/>
        <w:topLinePunct w:val="0"/>
        <w:autoSpaceDE w:val="0"/>
        <w:autoSpaceDN w:val="0"/>
        <w:bidi w:val="0"/>
        <w:adjustRightInd/>
        <w:snapToGrid/>
        <w:spacing w:line="540" w:lineRule="exact"/>
        <w:ind w:left="0"/>
        <w:textAlignment w:val="auto"/>
        <w:rPr>
          <w:rFonts w:hint="eastAsia" w:ascii="宋体" w:hAnsi="宋体" w:eastAsia="宋体" w:cs="宋体"/>
          <w:b/>
          <w:bCs/>
          <w:color w:val="auto"/>
          <w:sz w:val="36"/>
          <w:szCs w:val="28"/>
          <w:lang w:val="en-US" w:eastAsia="zh-CN"/>
        </w:rPr>
      </w:pPr>
      <w:bookmarkStart w:id="279" w:name="_Toc20625"/>
      <w:bookmarkStart w:id="280" w:name="_Toc22577"/>
      <w:r>
        <w:rPr>
          <w:rFonts w:hint="eastAsia" w:ascii="宋体" w:hAnsi="宋体" w:eastAsia="宋体" w:cs="宋体"/>
          <w:b/>
          <w:bCs/>
          <w:color w:val="auto"/>
          <w:sz w:val="36"/>
          <w:szCs w:val="28"/>
          <w:lang w:val="en-US" w:eastAsia="zh-CN"/>
        </w:rPr>
        <w:t>第五章 合同主要条款及格式</w:t>
      </w:r>
      <w:bookmarkEnd w:id="279"/>
      <w:bookmarkEnd w:id="280"/>
    </w:p>
    <w:p w14:paraId="6F615F62">
      <w:pPr>
        <w:keepNext w:val="0"/>
        <w:keepLines w:val="0"/>
        <w:pageBreakBefore w:val="0"/>
        <w:kinsoku/>
        <w:wordWrap/>
        <w:overflowPunct/>
        <w:topLinePunct w:val="0"/>
        <w:autoSpaceDE w:val="0"/>
        <w:autoSpaceDN w:val="0"/>
        <w:bidi w:val="0"/>
        <w:snapToGrid/>
        <w:spacing w:line="560" w:lineRule="exact"/>
        <w:jc w:val="center"/>
        <w:textAlignment w:val="auto"/>
        <w:rPr>
          <w:rFonts w:ascii="宋体" w:hAnsi="宋体" w:cs="宋体"/>
          <w:color w:val="auto"/>
          <w:sz w:val="24"/>
        </w:rPr>
      </w:pPr>
      <w:bookmarkStart w:id="281" w:name="_Toc2461"/>
      <w:r>
        <w:rPr>
          <w:rFonts w:hint="eastAsia" w:ascii="宋体" w:hAnsi="宋体" w:cs="宋体"/>
          <w:color w:val="auto"/>
          <w:sz w:val="24"/>
        </w:rPr>
        <w:t>注：本合同仅为合同的参考文本</w:t>
      </w:r>
    </w:p>
    <w:p w14:paraId="5171B048">
      <w:pPr>
        <w:keepNext w:val="0"/>
        <w:keepLines w:val="0"/>
        <w:pageBreakBefore w:val="0"/>
        <w:widowControl w:val="0"/>
        <w:kinsoku/>
        <w:wordWrap/>
        <w:overflowPunct/>
        <w:topLinePunct w:val="0"/>
        <w:autoSpaceDE w:val="0"/>
        <w:autoSpaceDN w:val="0"/>
        <w:bidi w:val="0"/>
        <w:adjustRightInd w:val="0"/>
        <w:snapToGrid/>
        <w:spacing w:line="560" w:lineRule="exact"/>
        <w:ind w:firstLine="480" w:firstLineChars="200"/>
        <w:jc w:val="left"/>
        <w:textAlignment w:val="auto"/>
        <w:rPr>
          <w:rFonts w:ascii="宋体" w:hAnsi="宋体" w:cs="宋体"/>
          <w:color w:val="auto"/>
          <w:kern w:val="0"/>
          <w:sz w:val="24"/>
        </w:rPr>
      </w:pPr>
      <w:r>
        <w:rPr>
          <w:rFonts w:hint="eastAsia" w:ascii="宋体" w:hAnsi="宋体" w:cs="宋体"/>
          <w:color w:val="auto"/>
          <w:kern w:val="0"/>
          <w:sz w:val="24"/>
        </w:rPr>
        <w:t>甲方（需方）：_________</w:t>
      </w:r>
    </w:p>
    <w:p w14:paraId="11D8CF88">
      <w:pPr>
        <w:keepNext w:val="0"/>
        <w:keepLines w:val="0"/>
        <w:pageBreakBefore w:val="0"/>
        <w:widowControl w:val="0"/>
        <w:kinsoku/>
        <w:wordWrap/>
        <w:overflowPunct/>
        <w:topLinePunct w:val="0"/>
        <w:autoSpaceDE w:val="0"/>
        <w:autoSpaceDN w:val="0"/>
        <w:bidi w:val="0"/>
        <w:adjustRightInd w:val="0"/>
        <w:snapToGrid/>
        <w:spacing w:line="560" w:lineRule="exact"/>
        <w:ind w:firstLine="480" w:firstLineChars="200"/>
        <w:jc w:val="left"/>
        <w:textAlignment w:val="auto"/>
        <w:rPr>
          <w:rFonts w:ascii="宋体" w:hAnsi="宋体" w:cs="宋体"/>
          <w:color w:val="auto"/>
          <w:kern w:val="0"/>
          <w:sz w:val="24"/>
        </w:rPr>
      </w:pPr>
      <w:r>
        <w:rPr>
          <w:rFonts w:hint="eastAsia" w:ascii="宋体" w:hAnsi="宋体" w:cs="宋体"/>
          <w:color w:val="auto"/>
          <w:kern w:val="0"/>
          <w:sz w:val="24"/>
        </w:rPr>
        <w:t>乙方（供方）：_________</w:t>
      </w:r>
    </w:p>
    <w:p w14:paraId="2DF89370">
      <w:pPr>
        <w:keepNext w:val="0"/>
        <w:keepLines w:val="0"/>
        <w:pageBreakBefore w:val="0"/>
        <w:widowControl w:val="0"/>
        <w:kinsoku/>
        <w:wordWrap/>
        <w:overflowPunct/>
        <w:topLinePunct w:val="0"/>
        <w:autoSpaceDE w:val="0"/>
        <w:autoSpaceDN w:val="0"/>
        <w:bidi w:val="0"/>
        <w:adjustRightInd w:val="0"/>
        <w:snapToGrid/>
        <w:spacing w:line="560" w:lineRule="exact"/>
        <w:ind w:firstLine="480" w:firstLineChars="200"/>
        <w:jc w:val="left"/>
        <w:textAlignment w:val="auto"/>
        <w:rPr>
          <w:rFonts w:ascii="宋体" w:hAnsi="宋体" w:cs="宋体"/>
          <w:color w:val="auto"/>
          <w:kern w:val="0"/>
          <w:sz w:val="24"/>
        </w:rPr>
      </w:pPr>
      <w:r>
        <w:rPr>
          <w:rFonts w:hint="eastAsia" w:ascii="宋体" w:hAnsi="宋体" w:cs="宋体"/>
          <w:color w:val="auto"/>
          <w:kern w:val="0"/>
          <w:sz w:val="24"/>
        </w:rPr>
        <w:t>经过双方友好协商，依据《中华人民共和国合同法》，双方同意签订以下合同条款，以便双方共同遵守、履行合同。</w:t>
      </w:r>
    </w:p>
    <w:p w14:paraId="5DE31AEB">
      <w:pPr>
        <w:keepNext w:val="0"/>
        <w:keepLines w:val="0"/>
        <w:pageBreakBefore w:val="0"/>
        <w:widowControl w:val="0"/>
        <w:kinsoku/>
        <w:wordWrap/>
        <w:overflowPunct/>
        <w:topLinePunct w:val="0"/>
        <w:autoSpaceDE w:val="0"/>
        <w:autoSpaceDN w:val="0"/>
        <w:bidi w:val="0"/>
        <w:snapToGrid/>
        <w:spacing w:line="560" w:lineRule="exact"/>
        <w:ind w:firstLine="482" w:firstLineChars="200"/>
        <w:textAlignment w:val="auto"/>
        <w:rPr>
          <w:rFonts w:ascii="宋体" w:hAnsi="宋体" w:cs="宋体"/>
          <w:b/>
          <w:color w:val="auto"/>
          <w:sz w:val="24"/>
        </w:rPr>
      </w:pPr>
      <w:r>
        <w:rPr>
          <w:rFonts w:hint="eastAsia" w:ascii="宋体" w:hAnsi="宋体" w:cs="宋体"/>
          <w:b/>
          <w:color w:val="auto"/>
          <w:sz w:val="24"/>
        </w:rPr>
        <w:t>一、合同金额</w:t>
      </w:r>
    </w:p>
    <w:p w14:paraId="7F04ED87">
      <w:pPr>
        <w:keepNext w:val="0"/>
        <w:keepLines w:val="0"/>
        <w:pageBreakBefore w:val="0"/>
        <w:widowControl w:val="0"/>
        <w:kinsoku/>
        <w:wordWrap/>
        <w:overflowPunct/>
        <w:topLinePunct w:val="0"/>
        <w:autoSpaceDE w:val="0"/>
        <w:autoSpaceDN w:val="0"/>
        <w:bidi w:val="0"/>
        <w:snapToGrid/>
        <w:spacing w:line="560" w:lineRule="exact"/>
        <w:ind w:firstLine="480" w:firstLineChars="200"/>
        <w:textAlignment w:val="auto"/>
        <w:rPr>
          <w:rFonts w:ascii="宋体" w:hAnsi="宋体" w:cs="宋体"/>
          <w:color w:val="auto"/>
          <w:kern w:val="0"/>
          <w:sz w:val="24"/>
        </w:rPr>
      </w:pPr>
      <w:r>
        <w:rPr>
          <w:rFonts w:hint="eastAsia" w:ascii="宋体" w:hAnsi="宋体" w:cs="宋体"/>
          <w:color w:val="auto"/>
          <w:kern w:val="0"/>
          <w:sz w:val="24"/>
        </w:rPr>
        <w:t>合同金额为（</w:t>
      </w:r>
      <w:r>
        <w:rPr>
          <w:rFonts w:hint="eastAsia" w:cs="宋体"/>
          <w:color w:val="auto"/>
          <w:kern w:val="0"/>
          <w:sz w:val="24"/>
          <w:lang w:val="en-US" w:eastAsia="zh-CN"/>
        </w:rPr>
        <w:t>元</w:t>
      </w:r>
      <w:r>
        <w:rPr>
          <w:rFonts w:hint="eastAsia" w:ascii="宋体" w:hAnsi="宋体" w:cs="宋体"/>
          <w:color w:val="auto"/>
          <w:kern w:val="0"/>
          <w:sz w:val="24"/>
        </w:rPr>
        <w:t>）：</w:t>
      </w:r>
      <w:r>
        <w:rPr>
          <w:rFonts w:hint="eastAsia" w:ascii="宋体" w:hAnsi="宋体" w:cs="宋体"/>
          <w:color w:val="auto"/>
          <w:kern w:val="0"/>
          <w:sz w:val="24"/>
          <w:u w:val="single"/>
        </w:rPr>
        <w:t>_</w:t>
      </w:r>
      <w:r>
        <w:rPr>
          <w:rFonts w:hint="eastAsia" w:cs="宋体"/>
          <w:color w:val="auto"/>
          <w:kern w:val="0"/>
          <w:sz w:val="24"/>
          <w:u w:val="single"/>
          <w:lang w:val="en-US" w:eastAsia="zh-CN"/>
        </w:rPr>
        <w:t xml:space="preserve">大写：    小写：    </w:t>
      </w:r>
      <w:r>
        <w:rPr>
          <w:rFonts w:hint="eastAsia" w:ascii="宋体" w:hAnsi="宋体" w:cs="宋体"/>
          <w:color w:val="auto"/>
          <w:kern w:val="0"/>
          <w:sz w:val="24"/>
        </w:rPr>
        <w:t>。</w:t>
      </w:r>
    </w:p>
    <w:p w14:paraId="1A912E55">
      <w:pPr>
        <w:keepNext w:val="0"/>
        <w:keepLines w:val="0"/>
        <w:pageBreakBefore w:val="0"/>
        <w:widowControl w:val="0"/>
        <w:kinsoku/>
        <w:wordWrap/>
        <w:overflowPunct/>
        <w:topLinePunct w:val="0"/>
        <w:autoSpaceDE w:val="0"/>
        <w:autoSpaceDN w:val="0"/>
        <w:bidi w:val="0"/>
        <w:snapToGrid/>
        <w:spacing w:line="560" w:lineRule="exact"/>
        <w:ind w:firstLine="482" w:firstLineChars="200"/>
        <w:textAlignment w:val="auto"/>
        <w:rPr>
          <w:rFonts w:ascii="宋体" w:hAnsi="宋体" w:cs="宋体"/>
          <w:b/>
          <w:color w:val="auto"/>
          <w:sz w:val="24"/>
        </w:rPr>
      </w:pPr>
      <w:r>
        <w:rPr>
          <w:rFonts w:hint="eastAsia" w:ascii="宋体" w:hAnsi="宋体" w:cs="宋体"/>
          <w:b/>
          <w:color w:val="auto"/>
          <w:sz w:val="24"/>
        </w:rPr>
        <w:t>二、服务范围</w:t>
      </w:r>
    </w:p>
    <w:p w14:paraId="34067C86">
      <w:pPr>
        <w:keepNext w:val="0"/>
        <w:keepLines w:val="0"/>
        <w:pageBreakBefore w:val="0"/>
        <w:widowControl w:val="0"/>
        <w:kinsoku/>
        <w:wordWrap/>
        <w:overflowPunct/>
        <w:topLinePunct w:val="0"/>
        <w:autoSpaceDE w:val="0"/>
        <w:autoSpaceDN w:val="0"/>
        <w:bidi w:val="0"/>
        <w:adjustRightInd w:val="0"/>
        <w:snapToGrid/>
        <w:spacing w:line="560" w:lineRule="exact"/>
        <w:ind w:firstLine="480" w:firstLineChars="200"/>
        <w:jc w:val="left"/>
        <w:textAlignment w:val="auto"/>
        <w:rPr>
          <w:rFonts w:ascii="宋体" w:hAnsi="宋体" w:cs="宋体"/>
          <w:color w:val="auto"/>
          <w:kern w:val="0"/>
          <w:sz w:val="24"/>
        </w:rPr>
      </w:pPr>
      <w:r>
        <w:rPr>
          <w:rFonts w:hint="eastAsia" w:ascii="宋体" w:hAnsi="宋体" w:cs="宋体"/>
          <w:color w:val="auto"/>
          <w:kern w:val="0"/>
          <w:sz w:val="24"/>
        </w:rPr>
        <w:t>乙方提供以下服务：</w:t>
      </w:r>
    </w:p>
    <w:p w14:paraId="314DAB37">
      <w:pPr>
        <w:keepNext w:val="0"/>
        <w:keepLines w:val="0"/>
        <w:pageBreakBefore w:val="0"/>
        <w:widowControl w:val="0"/>
        <w:kinsoku/>
        <w:wordWrap/>
        <w:overflowPunct/>
        <w:topLinePunct w:val="0"/>
        <w:autoSpaceDE w:val="0"/>
        <w:autoSpaceDN w:val="0"/>
        <w:bidi w:val="0"/>
        <w:snapToGrid/>
        <w:spacing w:line="560" w:lineRule="exact"/>
        <w:ind w:firstLine="480" w:firstLineChars="200"/>
        <w:textAlignment w:val="auto"/>
        <w:rPr>
          <w:rFonts w:ascii="宋体" w:hAnsi="宋体" w:cs="宋体"/>
          <w:bCs/>
          <w:color w:val="auto"/>
          <w:sz w:val="24"/>
        </w:rPr>
      </w:pPr>
      <w:r>
        <w:rPr>
          <w:rFonts w:hint="eastAsia" w:ascii="宋体" w:hAnsi="宋体" w:cs="宋体"/>
          <w:bCs/>
          <w:color w:val="auto"/>
          <w:sz w:val="24"/>
        </w:rPr>
        <w:t>1.__________________________</w:t>
      </w:r>
    </w:p>
    <w:p w14:paraId="58A2FD1A">
      <w:pPr>
        <w:keepNext w:val="0"/>
        <w:keepLines w:val="0"/>
        <w:pageBreakBefore w:val="0"/>
        <w:widowControl w:val="0"/>
        <w:kinsoku/>
        <w:wordWrap/>
        <w:overflowPunct/>
        <w:topLinePunct w:val="0"/>
        <w:autoSpaceDE w:val="0"/>
        <w:autoSpaceDN w:val="0"/>
        <w:bidi w:val="0"/>
        <w:snapToGrid/>
        <w:spacing w:line="560" w:lineRule="exact"/>
        <w:ind w:firstLine="480" w:firstLineChars="200"/>
        <w:textAlignment w:val="auto"/>
        <w:rPr>
          <w:rFonts w:ascii="宋体" w:hAnsi="宋体" w:cs="宋体"/>
          <w:bCs/>
          <w:color w:val="auto"/>
          <w:sz w:val="24"/>
        </w:rPr>
      </w:pPr>
      <w:r>
        <w:rPr>
          <w:rFonts w:hint="eastAsia" w:ascii="宋体" w:hAnsi="宋体" w:cs="宋体"/>
          <w:bCs/>
          <w:color w:val="auto"/>
          <w:sz w:val="24"/>
        </w:rPr>
        <w:t>2.__________________________</w:t>
      </w:r>
    </w:p>
    <w:p w14:paraId="6E9A3369">
      <w:pPr>
        <w:keepNext w:val="0"/>
        <w:keepLines w:val="0"/>
        <w:pageBreakBefore w:val="0"/>
        <w:widowControl w:val="0"/>
        <w:kinsoku/>
        <w:wordWrap/>
        <w:overflowPunct/>
        <w:topLinePunct w:val="0"/>
        <w:autoSpaceDE w:val="0"/>
        <w:autoSpaceDN w:val="0"/>
        <w:bidi w:val="0"/>
        <w:snapToGrid/>
        <w:spacing w:line="560" w:lineRule="exact"/>
        <w:ind w:firstLine="482" w:firstLineChars="200"/>
        <w:textAlignment w:val="auto"/>
        <w:rPr>
          <w:rFonts w:ascii="宋体" w:hAnsi="宋体" w:cs="宋体"/>
          <w:b/>
          <w:color w:val="auto"/>
          <w:sz w:val="24"/>
        </w:rPr>
      </w:pPr>
      <w:r>
        <w:rPr>
          <w:rFonts w:hint="eastAsia" w:ascii="宋体" w:hAnsi="宋体" w:cs="宋体"/>
          <w:b/>
          <w:color w:val="auto"/>
          <w:sz w:val="24"/>
        </w:rPr>
        <w:t>......</w:t>
      </w:r>
    </w:p>
    <w:p w14:paraId="07BBEE33">
      <w:pPr>
        <w:keepNext w:val="0"/>
        <w:keepLines w:val="0"/>
        <w:pageBreakBefore w:val="0"/>
        <w:widowControl w:val="0"/>
        <w:kinsoku/>
        <w:wordWrap/>
        <w:overflowPunct/>
        <w:topLinePunct w:val="0"/>
        <w:autoSpaceDE w:val="0"/>
        <w:autoSpaceDN w:val="0"/>
        <w:bidi w:val="0"/>
        <w:snapToGrid/>
        <w:spacing w:line="560" w:lineRule="exact"/>
        <w:ind w:firstLine="482" w:firstLineChars="200"/>
        <w:textAlignment w:val="auto"/>
        <w:rPr>
          <w:rFonts w:ascii="宋体" w:hAnsi="宋体" w:cs="宋体"/>
          <w:b/>
          <w:color w:val="auto"/>
          <w:sz w:val="24"/>
        </w:rPr>
      </w:pPr>
      <w:r>
        <w:rPr>
          <w:rFonts w:hint="eastAsia" w:ascii="宋体" w:hAnsi="宋体" w:cs="宋体"/>
          <w:b/>
          <w:color w:val="auto"/>
          <w:sz w:val="24"/>
        </w:rPr>
        <w:t>三、甲方乙方的权利和义务</w:t>
      </w:r>
    </w:p>
    <w:p w14:paraId="11EA9627">
      <w:pPr>
        <w:keepNext w:val="0"/>
        <w:keepLines w:val="0"/>
        <w:pageBreakBefore w:val="0"/>
        <w:widowControl w:val="0"/>
        <w:kinsoku/>
        <w:wordWrap/>
        <w:overflowPunct/>
        <w:topLinePunct w:val="0"/>
        <w:autoSpaceDE w:val="0"/>
        <w:autoSpaceDN w:val="0"/>
        <w:bidi w:val="0"/>
        <w:adjustRightInd w:val="0"/>
        <w:snapToGrid/>
        <w:spacing w:line="560" w:lineRule="exact"/>
        <w:ind w:firstLine="480" w:firstLineChars="200"/>
        <w:jc w:val="left"/>
        <w:textAlignment w:val="auto"/>
        <w:rPr>
          <w:rFonts w:ascii="宋体" w:hAnsi="宋体" w:cs="宋体"/>
          <w:color w:val="auto"/>
          <w:kern w:val="0"/>
          <w:sz w:val="24"/>
        </w:rPr>
      </w:pPr>
      <w:r>
        <w:rPr>
          <w:rFonts w:hint="eastAsia" w:ascii="宋体" w:hAnsi="宋体" w:cs="宋体"/>
          <w:color w:val="auto"/>
          <w:kern w:val="0"/>
          <w:sz w:val="24"/>
        </w:rPr>
        <w:t>1.甲方的权利和义务</w:t>
      </w:r>
    </w:p>
    <w:p w14:paraId="06353481">
      <w:pPr>
        <w:keepNext w:val="0"/>
        <w:keepLines w:val="0"/>
        <w:pageBreakBefore w:val="0"/>
        <w:widowControl w:val="0"/>
        <w:kinsoku/>
        <w:wordWrap/>
        <w:overflowPunct/>
        <w:topLinePunct w:val="0"/>
        <w:autoSpaceDE w:val="0"/>
        <w:autoSpaceDN w:val="0"/>
        <w:bidi w:val="0"/>
        <w:adjustRightInd w:val="0"/>
        <w:snapToGrid/>
        <w:spacing w:line="560" w:lineRule="exact"/>
        <w:ind w:firstLine="480" w:firstLineChars="200"/>
        <w:jc w:val="left"/>
        <w:textAlignment w:val="auto"/>
        <w:rPr>
          <w:rFonts w:ascii="宋体" w:hAnsi="宋体" w:cs="宋体"/>
          <w:color w:val="auto"/>
          <w:kern w:val="0"/>
          <w:sz w:val="24"/>
        </w:rPr>
      </w:pPr>
      <w:r>
        <w:rPr>
          <w:rFonts w:hint="eastAsia" w:ascii="宋体" w:hAnsi="宋体" w:cs="宋体"/>
          <w:color w:val="auto"/>
          <w:kern w:val="0"/>
          <w:sz w:val="24"/>
        </w:rPr>
        <w:t>2.乙方的权利和义务</w:t>
      </w:r>
    </w:p>
    <w:p w14:paraId="6BA1B531">
      <w:pPr>
        <w:keepNext w:val="0"/>
        <w:keepLines w:val="0"/>
        <w:pageBreakBefore w:val="0"/>
        <w:widowControl w:val="0"/>
        <w:kinsoku/>
        <w:wordWrap/>
        <w:overflowPunct/>
        <w:topLinePunct w:val="0"/>
        <w:autoSpaceDE w:val="0"/>
        <w:autoSpaceDN w:val="0"/>
        <w:bidi w:val="0"/>
        <w:snapToGrid/>
        <w:spacing w:line="560" w:lineRule="exact"/>
        <w:ind w:firstLine="482" w:firstLineChars="200"/>
        <w:textAlignment w:val="auto"/>
        <w:rPr>
          <w:rFonts w:ascii="宋体" w:hAnsi="宋体" w:cs="宋体"/>
          <w:b/>
          <w:color w:val="auto"/>
          <w:sz w:val="24"/>
        </w:rPr>
      </w:pPr>
      <w:r>
        <w:rPr>
          <w:rFonts w:hint="eastAsia" w:ascii="宋体" w:hAnsi="宋体" w:cs="宋体"/>
          <w:b/>
          <w:color w:val="auto"/>
          <w:sz w:val="24"/>
        </w:rPr>
        <w:t>四、服务期限（项目完成期限）</w:t>
      </w:r>
    </w:p>
    <w:p w14:paraId="08EDDA77">
      <w:pPr>
        <w:keepNext w:val="0"/>
        <w:keepLines w:val="0"/>
        <w:pageBreakBefore w:val="0"/>
        <w:widowControl w:val="0"/>
        <w:kinsoku/>
        <w:wordWrap/>
        <w:overflowPunct/>
        <w:topLinePunct w:val="0"/>
        <w:autoSpaceDE w:val="0"/>
        <w:autoSpaceDN w:val="0"/>
        <w:bidi w:val="0"/>
        <w:adjustRightInd w:val="0"/>
        <w:snapToGrid/>
        <w:spacing w:line="560" w:lineRule="exact"/>
        <w:ind w:firstLine="480" w:firstLineChars="200"/>
        <w:jc w:val="left"/>
        <w:textAlignment w:val="auto"/>
        <w:rPr>
          <w:rFonts w:ascii="宋体" w:hAnsi="宋体" w:cs="宋体"/>
          <w:color w:val="auto"/>
          <w:kern w:val="0"/>
          <w:sz w:val="24"/>
        </w:rPr>
      </w:pPr>
      <w:r>
        <w:rPr>
          <w:rFonts w:hint="eastAsia" w:ascii="宋体" w:hAnsi="宋体" w:cs="宋体"/>
          <w:color w:val="auto"/>
          <w:kern w:val="0"/>
          <w:sz w:val="24"/>
        </w:rPr>
        <w:t>委托服务期限自____年____月至____年____月止。</w:t>
      </w:r>
    </w:p>
    <w:p w14:paraId="32A36E80">
      <w:pPr>
        <w:keepNext w:val="0"/>
        <w:keepLines w:val="0"/>
        <w:pageBreakBefore w:val="0"/>
        <w:widowControl w:val="0"/>
        <w:kinsoku/>
        <w:wordWrap/>
        <w:overflowPunct/>
        <w:topLinePunct w:val="0"/>
        <w:autoSpaceDE w:val="0"/>
        <w:autoSpaceDN w:val="0"/>
        <w:bidi w:val="0"/>
        <w:snapToGrid/>
        <w:spacing w:line="560" w:lineRule="exact"/>
        <w:ind w:firstLine="482" w:firstLineChars="200"/>
        <w:textAlignment w:val="auto"/>
        <w:rPr>
          <w:rFonts w:ascii="宋体" w:hAnsi="宋体" w:cs="宋体"/>
          <w:b/>
          <w:color w:val="auto"/>
          <w:sz w:val="24"/>
        </w:rPr>
      </w:pPr>
      <w:r>
        <w:rPr>
          <w:rFonts w:hint="eastAsia" w:ascii="宋体" w:hAnsi="宋体" w:cs="宋体"/>
          <w:b/>
          <w:color w:val="auto"/>
          <w:sz w:val="24"/>
        </w:rPr>
        <w:t>五、付款方式</w:t>
      </w:r>
    </w:p>
    <w:p w14:paraId="29C4FD17">
      <w:pPr>
        <w:keepNext w:val="0"/>
        <w:keepLines w:val="0"/>
        <w:pageBreakBefore w:val="0"/>
        <w:widowControl w:val="0"/>
        <w:kinsoku/>
        <w:wordWrap/>
        <w:overflowPunct/>
        <w:topLinePunct w:val="0"/>
        <w:autoSpaceDE w:val="0"/>
        <w:autoSpaceDN w:val="0"/>
        <w:bidi w:val="0"/>
        <w:adjustRightInd w:val="0"/>
        <w:snapToGrid/>
        <w:spacing w:line="560" w:lineRule="exact"/>
        <w:ind w:firstLine="480" w:firstLineChars="200"/>
        <w:jc w:val="left"/>
        <w:textAlignment w:val="auto"/>
        <w:rPr>
          <w:rFonts w:ascii="宋体" w:hAnsi="宋体" w:cs="宋体"/>
          <w:color w:val="auto"/>
          <w:kern w:val="0"/>
          <w:sz w:val="24"/>
          <w:highlight w:val="green"/>
        </w:rPr>
      </w:pPr>
      <w:r>
        <w:rPr>
          <w:rFonts w:hint="eastAsia" w:ascii="宋体" w:hAnsi="宋体" w:cs="宋体"/>
          <w:color w:val="auto"/>
          <w:kern w:val="0"/>
          <w:sz w:val="24"/>
        </w:rPr>
        <w:t>合同签订之后，甲方负责对乙方进行全过程监管，并支付其工程款：</w:t>
      </w:r>
      <w:r>
        <w:rPr>
          <w:rFonts w:hint="eastAsia" w:ascii="宋体" w:hAnsi="宋体" w:cs="宋体"/>
          <w:color w:val="auto"/>
          <w:kern w:val="0"/>
          <w:sz w:val="24"/>
          <w:u w:val="single"/>
          <w:lang w:val="en-US" w:eastAsia="zh-CN"/>
        </w:rPr>
        <w:t xml:space="preserve">          </w:t>
      </w:r>
      <w:r>
        <w:rPr>
          <w:rFonts w:hint="eastAsia" w:ascii="宋体" w:hAnsi="宋体" w:cs="宋体"/>
          <w:color w:val="auto"/>
          <w:kern w:val="0"/>
          <w:sz w:val="24"/>
        </w:rPr>
        <w:t>。</w:t>
      </w:r>
    </w:p>
    <w:p w14:paraId="5ABF6BB9">
      <w:pPr>
        <w:keepNext w:val="0"/>
        <w:keepLines w:val="0"/>
        <w:pageBreakBefore w:val="0"/>
        <w:widowControl w:val="0"/>
        <w:kinsoku/>
        <w:wordWrap/>
        <w:overflowPunct/>
        <w:topLinePunct w:val="0"/>
        <w:autoSpaceDE w:val="0"/>
        <w:autoSpaceDN w:val="0"/>
        <w:bidi w:val="0"/>
        <w:snapToGrid/>
        <w:spacing w:line="560" w:lineRule="exact"/>
        <w:ind w:firstLine="482" w:firstLineChars="200"/>
        <w:textAlignment w:val="auto"/>
        <w:rPr>
          <w:rFonts w:ascii="宋体" w:hAnsi="宋体" w:cs="宋体"/>
          <w:color w:val="auto"/>
          <w:sz w:val="24"/>
        </w:rPr>
      </w:pPr>
      <w:r>
        <w:rPr>
          <w:rFonts w:hint="eastAsia" w:ascii="宋体" w:hAnsi="宋体" w:cs="宋体"/>
          <w:b/>
          <w:color w:val="auto"/>
          <w:sz w:val="24"/>
        </w:rPr>
        <w:t>六、 知识产权归属</w:t>
      </w:r>
    </w:p>
    <w:p w14:paraId="646647AF">
      <w:pPr>
        <w:keepNext w:val="0"/>
        <w:keepLines w:val="0"/>
        <w:pageBreakBefore w:val="0"/>
        <w:widowControl w:val="0"/>
        <w:kinsoku/>
        <w:wordWrap/>
        <w:overflowPunct/>
        <w:topLinePunct w:val="0"/>
        <w:autoSpaceDE w:val="0"/>
        <w:autoSpaceDN w:val="0"/>
        <w:bidi w:val="0"/>
        <w:snapToGrid/>
        <w:spacing w:line="560" w:lineRule="exact"/>
        <w:ind w:firstLine="482" w:firstLineChars="200"/>
        <w:textAlignment w:val="auto"/>
        <w:rPr>
          <w:rFonts w:ascii="宋体" w:hAnsi="宋体" w:cs="宋体"/>
          <w:b/>
          <w:color w:val="auto"/>
          <w:sz w:val="24"/>
        </w:rPr>
      </w:pPr>
      <w:r>
        <w:rPr>
          <w:rFonts w:hint="eastAsia" w:ascii="宋体" w:hAnsi="宋体" w:cs="宋体"/>
          <w:b/>
          <w:color w:val="auto"/>
          <w:sz w:val="24"/>
        </w:rPr>
        <w:t xml:space="preserve">七、 保密 </w:t>
      </w:r>
    </w:p>
    <w:p w14:paraId="100CCC6B">
      <w:pPr>
        <w:keepNext w:val="0"/>
        <w:keepLines w:val="0"/>
        <w:pageBreakBefore w:val="0"/>
        <w:widowControl w:val="0"/>
        <w:kinsoku/>
        <w:wordWrap/>
        <w:overflowPunct/>
        <w:topLinePunct w:val="0"/>
        <w:autoSpaceDE w:val="0"/>
        <w:autoSpaceDN w:val="0"/>
        <w:bidi w:val="0"/>
        <w:snapToGrid/>
        <w:spacing w:line="560" w:lineRule="exact"/>
        <w:ind w:firstLine="482" w:firstLineChars="200"/>
        <w:textAlignment w:val="auto"/>
        <w:rPr>
          <w:rFonts w:ascii="宋体" w:hAnsi="宋体" w:cs="宋体"/>
          <w:b/>
          <w:color w:val="auto"/>
          <w:sz w:val="24"/>
        </w:rPr>
      </w:pPr>
      <w:r>
        <w:rPr>
          <w:rFonts w:hint="eastAsia" w:ascii="宋体" w:hAnsi="宋体" w:cs="宋体"/>
          <w:b/>
          <w:color w:val="auto"/>
          <w:sz w:val="24"/>
        </w:rPr>
        <w:t xml:space="preserve">八、 违约责任与赔偿损失 </w:t>
      </w:r>
    </w:p>
    <w:p w14:paraId="7E43C6EF">
      <w:pPr>
        <w:keepNext w:val="0"/>
        <w:keepLines w:val="0"/>
        <w:pageBreakBefore w:val="0"/>
        <w:widowControl w:val="0"/>
        <w:kinsoku/>
        <w:wordWrap/>
        <w:overflowPunct/>
        <w:topLinePunct w:val="0"/>
        <w:autoSpaceDE w:val="0"/>
        <w:autoSpaceDN w:val="0"/>
        <w:bidi w:val="0"/>
        <w:adjustRightInd w:val="0"/>
        <w:snapToGrid/>
        <w:spacing w:line="560" w:lineRule="exact"/>
        <w:ind w:firstLine="480" w:firstLineChars="200"/>
        <w:jc w:val="left"/>
        <w:textAlignment w:val="auto"/>
        <w:rPr>
          <w:rFonts w:ascii="宋体" w:hAnsi="宋体" w:cs="宋体"/>
          <w:color w:val="auto"/>
          <w:kern w:val="0"/>
          <w:sz w:val="24"/>
        </w:rPr>
      </w:pPr>
      <w:r>
        <w:rPr>
          <w:rFonts w:hint="eastAsia" w:ascii="宋体" w:hAnsi="宋体" w:cs="宋体"/>
          <w:color w:val="auto"/>
          <w:kern w:val="0"/>
          <w:sz w:val="24"/>
        </w:rPr>
        <w:t xml:space="preserve">1. 乙方提供的服务不符合本合同规定的，甲方有权拒收，并且乙方须向甲方方支付本合同总价__%的违约金。 </w:t>
      </w:r>
    </w:p>
    <w:p w14:paraId="7DD76353">
      <w:pPr>
        <w:keepNext w:val="0"/>
        <w:keepLines w:val="0"/>
        <w:pageBreakBefore w:val="0"/>
        <w:kinsoku/>
        <w:wordWrap/>
        <w:overflowPunct/>
        <w:topLinePunct w:val="0"/>
        <w:autoSpaceDE w:val="0"/>
        <w:autoSpaceDN w:val="0"/>
        <w:bidi w:val="0"/>
        <w:adjustRightInd w:val="0"/>
        <w:snapToGrid/>
        <w:spacing w:line="560" w:lineRule="exact"/>
        <w:ind w:firstLine="480" w:firstLineChars="200"/>
        <w:jc w:val="left"/>
        <w:textAlignment w:val="auto"/>
        <w:rPr>
          <w:rFonts w:ascii="宋体" w:hAnsi="宋体" w:cs="宋体"/>
          <w:color w:val="auto"/>
          <w:kern w:val="0"/>
          <w:sz w:val="24"/>
        </w:rPr>
      </w:pPr>
      <w:r>
        <w:rPr>
          <w:rFonts w:hint="eastAsia" w:ascii="宋体" w:hAnsi="宋体" w:cs="宋体"/>
          <w:color w:val="auto"/>
          <w:kern w:val="0"/>
          <w:sz w:val="24"/>
        </w:rPr>
        <w:t xml:space="preserve">2.乙方未能按本合同规定的交货时间提供服务，从逾期之日起每日按本合同总价__%的数额向甲方支付违约金；逾期半个月以上的，甲方有权终止合同，由此造成的甲方经济损失由乙方承担。 </w:t>
      </w:r>
    </w:p>
    <w:p w14:paraId="0C078379">
      <w:pPr>
        <w:keepNext w:val="0"/>
        <w:keepLines w:val="0"/>
        <w:pageBreakBefore w:val="0"/>
        <w:kinsoku/>
        <w:wordWrap/>
        <w:overflowPunct/>
        <w:topLinePunct w:val="0"/>
        <w:autoSpaceDE w:val="0"/>
        <w:autoSpaceDN w:val="0"/>
        <w:bidi w:val="0"/>
        <w:adjustRightInd w:val="0"/>
        <w:snapToGrid/>
        <w:spacing w:line="560" w:lineRule="exact"/>
        <w:ind w:firstLine="480" w:firstLineChars="200"/>
        <w:jc w:val="left"/>
        <w:textAlignment w:val="auto"/>
        <w:rPr>
          <w:rFonts w:ascii="宋体" w:hAnsi="宋体" w:cs="宋体"/>
          <w:color w:val="auto"/>
          <w:kern w:val="0"/>
          <w:sz w:val="24"/>
        </w:rPr>
      </w:pPr>
      <w:r>
        <w:rPr>
          <w:rFonts w:hint="eastAsia" w:ascii="宋体" w:hAnsi="宋体" w:cs="宋体"/>
          <w:color w:val="auto"/>
          <w:kern w:val="0"/>
          <w:sz w:val="24"/>
        </w:rPr>
        <w:t xml:space="preserve">3. 甲方无正当理由拒收接受服务，到期拒付服务款项的，甲方向乙方偿付本合同总的__%的违约金。甲方人逾期付款，则每日按本合同总价的__%向乙方偿付违约金。 </w:t>
      </w:r>
    </w:p>
    <w:p w14:paraId="5FFC5983">
      <w:pPr>
        <w:keepNext w:val="0"/>
        <w:keepLines w:val="0"/>
        <w:pageBreakBefore w:val="0"/>
        <w:kinsoku/>
        <w:wordWrap/>
        <w:overflowPunct/>
        <w:topLinePunct w:val="0"/>
        <w:autoSpaceDE w:val="0"/>
        <w:autoSpaceDN w:val="0"/>
        <w:bidi w:val="0"/>
        <w:adjustRightInd w:val="0"/>
        <w:snapToGrid/>
        <w:spacing w:line="560" w:lineRule="exact"/>
        <w:ind w:firstLine="480" w:firstLineChars="200"/>
        <w:jc w:val="left"/>
        <w:textAlignment w:val="auto"/>
        <w:rPr>
          <w:rFonts w:ascii="宋体" w:hAnsi="宋体" w:cs="宋体"/>
          <w:color w:val="auto"/>
          <w:kern w:val="0"/>
          <w:sz w:val="24"/>
        </w:rPr>
      </w:pPr>
      <w:r>
        <w:rPr>
          <w:rFonts w:hint="eastAsia" w:ascii="宋体" w:hAnsi="宋体" w:cs="宋体"/>
          <w:color w:val="auto"/>
          <w:kern w:val="0"/>
          <w:sz w:val="24"/>
        </w:rPr>
        <w:t xml:space="preserve">4. 其它违约责任按《中华人民共和国合同法》处理。 </w:t>
      </w:r>
    </w:p>
    <w:p w14:paraId="356C2205">
      <w:pPr>
        <w:keepNext w:val="0"/>
        <w:keepLines w:val="0"/>
        <w:pageBreakBefore w:val="0"/>
        <w:kinsoku/>
        <w:wordWrap/>
        <w:overflowPunct/>
        <w:topLinePunct w:val="0"/>
        <w:autoSpaceDE w:val="0"/>
        <w:autoSpaceDN w:val="0"/>
        <w:bidi w:val="0"/>
        <w:snapToGrid/>
        <w:spacing w:line="560" w:lineRule="exact"/>
        <w:ind w:firstLine="482" w:firstLineChars="200"/>
        <w:textAlignment w:val="auto"/>
        <w:rPr>
          <w:rFonts w:ascii="宋体" w:hAnsi="宋体" w:cs="宋体"/>
          <w:color w:val="auto"/>
          <w:sz w:val="24"/>
        </w:rPr>
      </w:pPr>
      <w:r>
        <w:rPr>
          <w:rFonts w:hint="eastAsia" w:ascii="宋体" w:hAnsi="宋体" w:cs="宋体"/>
          <w:b/>
          <w:color w:val="auto"/>
          <w:sz w:val="24"/>
        </w:rPr>
        <w:t>九、 争议的解决</w:t>
      </w:r>
    </w:p>
    <w:p w14:paraId="1909C9D0">
      <w:pPr>
        <w:keepNext w:val="0"/>
        <w:keepLines w:val="0"/>
        <w:pageBreakBefore w:val="0"/>
        <w:kinsoku/>
        <w:wordWrap/>
        <w:overflowPunct/>
        <w:topLinePunct w:val="0"/>
        <w:autoSpaceDE w:val="0"/>
        <w:autoSpaceDN w:val="0"/>
        <w:bidi w:val="0"/>
        <w:adjustRightInd w:val="0"/>
        <w:snapToGrid/>
        <w:spacing w:line="560" w:lineRule="exact"/>
        <w:ind w:firstLine="480" w:firstLineChars="200"/>
        <w:jc w:val="left"/>
        <w:textAlignment w:val="auto"/>
        <w:rPr>
          <w:rFonts w:ascii="宋体" w:hAnsi="宋体" w:cs="宋体"/>
          <w:color w:val="auto"/>
          <w:kern w:val="0"/>
          <w:sz w:val="24"/>
        </w:rPr>
      </w:pPr>
      <w:r>
        <w:rPr>
          <w:rFonts w:hint="eastAsia" w:ascii="宋体" w:hAnsi="宋体" w:cs="宋体"/>
          <w:color w:val="auto"/>
          <w:kern w:val="0"/>
          <w:sz w:val="24"/>
        </w:rPr>
        <w:t xml:space="preserve">1. 合同执行过程中发生的任何争议，如双方不能通过友好协商解决，按相关法律法规处理。 </w:t>
      </w:r>
    </w:p>
    <w:p w14:paraId="32A48559">
      <w:pPr>
        <w:keepNext w:val="0"/>
        <w:keepLines w:val="0"/>
        <w:pageBreakBefore w:val="0"/>
        <w:kinsoku/>
        <w:wordWrap/>
        <w:overflowPunct/>
        <w:topLinePunct w:val="0"/>
        <w:autoSpaceDE w:val="0"/>
        <w:autoSpaceDN w:val="0"/>
        <w:bidi w:val="0"/>
        <w:snapToGrid/>
        <w:spacing w:line="560" w:lineRule="exact"/>
        <w:ind w:firstLine="482" w:firstLineChars="200"/>
        <w:textAlignment w:val="auto"/>
        <w:rPr>
          <w:rFonts w:ascii="宋体" w:hAnsi="宋体" w:cs="宋体"/>
          <w:color w:val="auto"/>
          <w:sz w:val="24"/>
        </w:rPr>
      </w:pPr>
      <w:r>
        <w:rPr>
          <w:rFonts w:hint="eastAsia" w:ascii="宋体" w:hAnsi="宋体" w:cs="宋体"/>
          <w:b/>
          <w:color w:val="auto"/>
          <w:sz w:val="24"/>
        </w:rPr>
        <w:t>十、 不可抗力</w:t>
      </w:r>
    </w:p>
    <w:p w14:paraId="2A30AEA1">
      <w:pPr>
        <w:keepNext w:val="0"/>
        <w:keepLines w:val="0"/>
        <w:pageBreakBefore w:val="0"/>
        <w:kinsoku/>
        <w:wordWrap/>
        <w:overflowPunct/>
        <w:topLinePunct w:val="0"/>
        <w:autoSpaceDE w:val="0"/>
        <w:autoSpaceDN w:val="0"/>
        <w:bidi w:val="0"/>
        <w:adjustRightInd w:val="0"/>
        <w:snapToGrid/>
        <w:spacing w:line="560" w:lineRule="exact"/>
        <w:ind w:firstLine="480" w:firstLineChars="200"/>
        <w:jc w:val="left"/>
        <w:textAlignment w:val="auto"/>
        <w:rPr>
          <w:rFonts w:ascii="宋体" w:hAnsi="宋体" w:cs="宋体"/>
          <w:color w:val="auto"/>
          <w:kern w:val="0"/>
          <w:sz w:val="24"/>
        </w:rPr>
      </w:pPr>
      <w:r>
        <w:rPr>
          <w:rFonts w:hint="eastAsia" w:ascii="宋体" w:hAnsi="宋体" w:cs="宋体"/>
          <w:color w:val="auto"/>
          <w:kern w:val="0"/>
          <w:sz w:val="24"/>
        </w:rPr>
        <w:t xml:space="preserve">1. 任何一方由于不可抗力原因不能履行合同时，应在不可抗力事件结束后__日内向对方通报，以减轻可能给对方造成的损失，在取得有关机构的不可抗力证明或双方谅解确认后，允许延期履行或修订合同，并根据情况可部分或全部免于承担违约责任。 </w:t>
      </w:r>
    </w:p>
    <w:p w14:paraId="4C4197B7">
      <w:pPr>
        <w:keepNext w:val="0"/>
        <w:keepLines w:val="0"/>
        <w:pageBreakBefore w:val="0"/>
        <w:kinsoku/>
        <w:wordWrap/>
        <w:overflowPunct/>
        <w:topLinePunct w:val="0"/>
        <w:autoSpaceDE w:val="0"/>
        <w:autoSpaceDN w:val="0"/>
        <w:bidi w:val="0"/>
        <w:snapToGrid/>
        <w:spacing w:line="560" w:lineRule="exact"/>
        <w:ind w:firstLine="482" w:firstLineChars="200"/>
        <w:textAlignment w:val="auto"/>
        <w:rPr>
          <w:rFonts w:ascii="宋体" w:hAnsi="宋体" w:cs="宋体"/>
          <w:b/>
          <w:color w:val="auto"/>
          <w:sz w:val="24"/>
        </w:rPr>
      </w:pPr>
      <w:r>
        <w:rPr>
          <w:rFonts w:hint="eastAsia" w:ascii="宋体" w:hAnsi="宋体" w:cs="宋体"/>
          <w:b/>
          <w:color w:val="auto"/>
          <w:sz w:val="24"/>
        </w:rPr>
        <w:t xml:space="preserve">十一、 税费 </w:t>
      </w:r>
    </w:p>
    <w:p w14:paraId="60B0641A">
      <w:pPr>
        <w:keepNext w:val="0"/>
        <w:keepLines w:val="0"/>
        <w:pageBreakBefore w:val="0"/>
        <w:kinsoku/>
        <w:wordWrap/>
        <w:overflowPunct/>
        <w:topLinePunct w:val="0"/>
        <w:autoSpaceDE w:val="0"/>
        <w:autoSpaceDN w:val="0"/>
        <w:bidi w:val="0"/>
        <w:snapToGrid/>
        <w:spacing w:line="560" w:lineRule="exact"/>
        <w:ind w:firstLine="480" w:firstLineChars="200"/>
        <w:textAlignment w:val="auto"/>
        <w:rPr>
          <w:rFonts w:ascii="宋体" w:hAnsi="宋体" w:cs="宋体"/>
          <w:color w:val="auto"/>
          <w:sz w:val="24"/>
        </w:rPr>
      </w:pPr>
      <w:r>
        <w:rPr>
          <w:rFonts w:hint="eastAsia" w:ascii="宋体" w:hAnsi="宋体" w:cs="宋体"/>
          <w:color w:val="auto"/>
          <w:kern w:val="0"/>
          <w:sz w:val="24"/>
        </w:rPr>
        <w:t>1. 在中国境内、外发生的与本合同执行有关的一切税费均由乙方负担。</w:t>
      </w:r>
    </w:p>
    <w:p w14:paraId="54B6EE5B">
      <w:pPr>
        <w:keepNext w:val="0"/>
        <w:keepLines w:val="0"/>
        <w:pageBreakBefore w:val="0"/>
        <w:kinsoku/>
        <w:wordWrap/>
        <w:overflowPunct/>
        <w:topLinePunct w:val="0"/>
        <w:autoSpaceDE w:val="0"/>
        <w:autoSpaceDN w:val="0"/>
        <w:bidi w:val="0"/>
        <w:snapToGrid/>
        <w:spacing w:line="560" w:lineRule="exact"/>
        <w:ind w:firstLine="482" w:firstLineChars="200"/>
        <w:textAlignment w:val="auto"/>
        <w:rPr>
          <w:rFonts w:ascii="宋体" w:hAnsi="宋体" w:cs="宋体"/>
          <w:b/>
          <w:color w:val="auto"/>
          <w:sz w:val="24"/>
        </w:rPr>
      </w:pPr>
      <w:r>
        <w:rPr>
          <w:rFonts w:hint="eastAsia" w:ascii="宋体" w:hAnsi="宋体" w:cs="宋体"/>
          <w:b/>
          <w:color w:val="auto"/>
          <w:sz w:val="24"/>
        </w:rPr>
        <w:t xml:space="preserve">十二、 其它 </w:t>
      </w:r>
    </w:p>
    <w:p w14:paraId="3D274AEA">
      <w:pPr>
        <w:keepNext w:val="0"/>
        <w:keepLines w:val="0"/>
        <w:pageBreakBefore w:val="0"/>
        <w:widowControl/>
        <w:kinsoku/>
        <w:wordWrap/>
        <w:overflowPunct/>
        <w:topLinePunct w:val="0"/>
        <w:autoSpaceDE w:val="0"/>
        <w:autoSpaceDN w:val="0"/>
        <w:bidi w:val="0"/>
        <w:snapToGrid/>
        <w:spacing w:line="560" w:lineRule="exact"/>
        <w:ind w:firstLine="480" w:firstLineChars="200"/>
        <w:jc w:val="left"/>
        <w:textAlignment w:val="auto"/>
        <w:rPr>
          <w:rFonts w:ascii="宋体" w:hAnsi="宋体" w:cs="宋体"/>
          <w:color w:val="auto"/>
          <w:sz w:val="24"/>
        </w:rPr>
      </w:pPr>
      <w:r>
        <w:rPr>
          <w:rFonts w:hint="eastAsia" w:ascii="宋体" w:hAnsi="宋体" w:cs="宋体"/>
          <w:color w:val="auto"/>
          <w:sz w:val="24"/>
        </w:rPr>
        <w:t>1. 本合同所有附件、</w:t>
      </w:r>
      <w:r>
        <w:rPr>
          <w:rFonts w:hint="eastAsia" w:ascii="宋体" w:hAnsi="宋体" w:cs="宋体"/>
          <w:color w:val="auto"/>
          <w:sz w:val="24"/>
          <w:lang w:eastAsia="zh-CN"/>
        </w:rPr>
        <w:t>磋商</w:t>
      </w:r>
      <w:r>
        <w:rPr>
          <w:rFonts w:hint="eastAsia" w:ascii="宋体" w:hAnsi="宋体" w:cs="宋体"/>
          <w:color w:val="auto"/>
          <w:sz w:val="24"/>
        </w:rPr>
        <w:t>文件、</w:t>
      </w:r>
      <w:r>
        <w:rPr>
          <w:rFonts w:hint="eastAsia" w:ascii="宋体" w:hAnsi="宋体" w:cs="宋体"/>
          <w:color w:val="auto"/>
          <w:sz w:val="24"/>
          <w:lang w:eastAsia="zh-CN"/>
        </w:rPr>
        <w:t>响应</w:t>
      </w:r>
      <w:r>
        <w:rPr>
          <w:rFonts w:hint="eastAsia" w:ascii="宋体" w:hAnsi="宋体" w:cs="宋体"/>
          <w:color w:val="auto"/>
          <w:sz w:val="24"/>
        </w:rPr>
        <w:t>文件、中标通知书均为合同的有效组成部分，与本合</w:t>
      </w:r>
    </w:p>
    <w:p w14:paraId="2089BC3E">
      <w:pPr>
        <w:keepNext w:val="0"/>
        <w:keepLines w:val="0"/>
        <w:pageBreakBefore w:val="0"/>
        <w:kinsoku/>
        <w:wordWrap/>
        <w:overflowPunct/>
        <w:topLinePunct w:val="0"/>
        <w:autoSpaceDE w:val="0"/>
        <w:autoSpaceDN w:val="0"/>
        <w:bidi w:val="0"/>
        <w:adjustRightInd w:val="0"/>
        <w:snapToGrid/>
        <w:spacing w:line="560" w:lineRule="exact"/>
        <w:ind w:firstLine="480" w:firstLineChars="200"/>
        <w:jc w:val="left"/>
        <w:textAlignment w:val="auto"/>
        <w:rPr>
          <w:rFonts w:ascii="宋体" w:hAnsi="宋体" w:cs="宋体"/>
          <w:color w:val="auto"/>
          <w:kern w:val="0"/>
          <w:sz w:val="24"/>
        </w:rPr>
      </w:pPr>
      <w:r>
        <w:rPr>
          <w:rFonts w:hint="eastAsia" w:ascii="宋体" w:hAnsi="宋体" w:cs="宋体"/>
          <w:color w:val="auto"/>
          <w:kern w:val="0"/>
          <w:sz w:val="24"/>
        </w:rPr>
        <w:t>同具有同等法律效力。</w:t>
      </w:r>
    </w:p>
    <w:p w14:paraId="3DC7385F">
      <w:pPr>
        <w:keepNext w:val="0"/>
        <w:keepLines w:val="0"/>
        <w:pageBreakBefore w:val="0"/>
        <w:kinsoku/>
        <w:wordWrap/>
        <w:overflowPunct/>
        <w:topLinePunct w:val="0"/>
        <w:autoSpaceDE w:val="0"/>
        <w:autoSpaceDN w:val="0"/>
        <w:bidi w:val="0"/>
        <w:adjustRightInd w:val="0"/>
        <w:snapToGrid/>
        <w:spacing w:line="560" w:lineRule="exact"/>
        <w:ind w:firstLine="480" w:firstLineChars="200"/>
        <w:jc w:val="left"/>
        <w:textAlignment w:val="auto"/>
        <w:rPr>
          <w:rFonts w:ascii="宋体" w:hAnsi="宋体" w:cs="宋体"/>
          <w:color w:val="auto"/>
          <w:kern w:val="0"/>
          <w:sz w:val="24"/>
        </w:rPr>
      </w:pPr>
      <w:r>
        <w:rPr>
          <w:rFonts w:hint="eastAsia" w:ascii="宋体" w:hAnsi="宋体" w:cs="宋体"/>
          <w:color w:val="auto"/>
          <w:kern w:val="0"/>
          <w:sz w:val="24"/>
        </w:rPr>
        <w:t xml:space="preserve"> 2. 在执行本合同的过程中，所有经双方签署确认的文件（包括会议纪要、补充协议、往来信函）即成为本合同的有效组成部分。 </w:t>
      </w:r>
    </w:p>
    <w:p w14:paraId="316DBE0A">
      <w:pPr>
        <w:keepNext w:val="0"/>
        <w:keepLines w:val="0"/>
        <w:pageBreakBefore w:val="0"/>
        <w:kinsoku/>
        <w:wordWrap/>
        <w:overflowPunct/>
        <w:topLinePunct w:val="0"/>
        <w:autoSpaceDE w:val="0"/>
        <w:autoSpaceDN w:val="0"/>
        <w:bidi w:val="0"/>
        <w:adjustRightInd w:val="0"/>
        <w:snapToGrid/>
        <w:spacing w:line="560" w:lineRule="exact"/>
        <w:ind w:firstLine="480" w:firstLineChars="200"/>
        <w:jc w:val="left"/>
        <w:textAlignment w:val="auto"/>
        <w:rPr>
          <w:rFonts w:ascii="宋体" w:hAnsi="宋体" w:cs="宋体"/>
          <w:color w:val="auto"/>
          <w:kern w:val="0"/>
          <w:sz w:val="24"/>
        </w:rPr>
      </w:pPr>
      <w:r>
        <w:rPr>
          <w:rFonts w:hint="eastAsia" w:ascii="宋体" w:hAnsi="宋体" w:cs="宋体"/>
          <w:color w:val="auto"/>
          <w:kern w:val="0"/>
          <w:sz w:val="24"/>
        </w:rPr>
        <w:t>如一方地址、电话、传真号码有变更，应在变更当日内书面通知对方，否则，应承担相应责任。</w:t>
      </w:r>
    </w:p>
    <w:p w14:paraId="0AA4A80E">
      <w:pPr>
        <w:keepNext w:val="0"/>
        <w:keepLines w:val="0"/>
        <w:pageBreakBefore w:val="0"/>
        <w:kinsoku/>
        <w:wordWrap/>
        <w:overflowPunct/>
        <w:topLinePunct w:val="0"/>
        <w:autoSpaceDE w:val="0"/>
        <w:autoSpaceDN w:val="0"/>
        <w:bidi w:val="0"/>
        <w:adjustRightInd w:val="0"/>
        <w:snapToGrid/>
        <w:spacing w:line="560" w:lineRule="exact"/>
        <w:ind w:firstLine="480" w:firstLineChars="200"/>
        <w:jc w:val="left"/>
        <w:textAlignment w:val="auto"/>
        <w:rPr>
          <w:rFonts w:ascii="宋体" w:hAnsi="宋体" w:cs="宋体"/>
          <w:color w:val="auto"/>
          <w:kern w:val="0"/>
          <w:sz w:val="24"/>
        </w:rPr>
      </w:pPr>
      <w:r>
        <w:rPr>
          <w:rFonts w:hint="eastAsia" w:ascii="宋体" w:hAnsi="宋体" w:cs="宋体"/>
          <w:color w:val="auto"/>
          <w:kern w:val="0"/>
          <w:sz w:val="24"/>
        </w:rPr>
        <w:t xml:space="preserve"> 4. 除甲方事先书面同意外，乙方不得部分或全部转让其应履行的合同项下的义务。 </w:t>
      </w:r>
    </w:p>
    <w:p w14:paraId="307A7A46">
      <w:pPr>
        <w:keepNext w:val="0"/>
        <w:keepLines w:val="0"/>
        <w:pageBreakBefore w:val="0"/>
        <w:kinsoku/>
        <w:wordWrap/>
        <w:overflowPunct/>
        <w:topLinePunct w:val="0"/>
        <w:autoSpaceDE w:val="0"/>
        <w:autoSpaceDN w:val="0"/>
        <w:bidi w:val="0"/>
        <w:adjustRightInd w:val="0"/>
        <w:snapToGrid/>
        <w:spacing w:line="560" w:lineRule="exact"/>
        <w:ind w:firstLine="482" w:firstLineChars="200"/>
        <w:jc w:val="left"/>
        <w:textAlignment w:val="auto"/>
        <w:rPr>
          <w:rFonts w:ascii="宋体" w:hAnsi="宋体" w:cs="宋体"/>
          <w:b/>
          <w:color w:val="auto"/>
          <w:kern w:val="0"/>
          <w:sz w:val="24"/>
        </w:rPr>
      </w:pPr>
      <w:r>
        <w:rPr>
          <w:rFonts w:hint="eastAsia" w:ascii="宋体" w:hAnsi="宋体" w:cs="宋体"/>
          <w:b/>
          <w:color w:val="auto"/>
          <w:kern w:val="0"/>
          <w:sz w:val="24"/>
        </w:rPr>
        <w:t xml:space="preserve">十三、 合同生效： </w:t>
      </w:r>
    </w:p>
    <w:p w14:paraId="48679BBC">
      <w:pPr>
        <w:keepNext w:val="0"/>
        <w:keepLines w:val="0"/>
        <w:pageBreakBefore w:val="0"/>
        <w:kinsoku/>
        <w:wordWrap/>
        <w:overflowPunct/>
        <w:topLinePunct w:val="0"/>
        <w:autoSpaceDE w:val="0"/>
        <w:autoSpaceDN w:val="0"/>
        <w:bidi w:val="0"/>
        <w:adjustRightInd w:val="0"/>
        <w:snapToGrid/>
        <w:spacing w:line="560" w:lineRule="exact"/>
        <w:ind w:firstLine="480" w:firstLineChars="200"/>
        <w:jc w:val="left"/>
        <w:textAlignment w:val="auto"/>
        <w:rPr>
          <w:rFonts w:ascii="宋体" w:hAnsi="宋体" w:cs="宋体"/>
          <w:color w:val="auto"/>
          <w:kern w:val="0"/>
          <w:sz w:val="24"/>
        </w:rPr>
      </w:pPr>
      <w:r>
        <w:rPr>
          <w:rFonts w:hint="eastAsia" w:ascii="宋体" w:hAnsi="宋体" w:cs="宋体"/>
          <w:color w:val="auto"/>
          <w:kern w:val="0"/>
          <w:sz w:val="24"/>
        </w:rPr>
        <w:t xml:space="preserve">1.本合同在甲乙双方法人代表或其授权代表签字盖章后生效。 </w:t>
      </w:r>
    </w:p>
    <w:p w14:paraId="61F43587">
      <w:pPr>
        <w:keepNext w:val="0"/>
        <w:keepLines w:val="0"/>
        <w:pageBreakBefore w:val="0"/>
        <w:kinsoku/>
        <w:wordWrap/>
        <w:overflowPunct/>
        <w:topLinePunct w:val="0"/>
        <w:autoSpaceDE w:val="0"/>
        <w:autoSpaceDN w:val="0"/>
        <w:bidi w:val="0"/>
        <w:adjustRightInd w:val="0"/>
        <w:snapToGrid/>
        <w:spacing w:line="560" w:lineRule="exact"/>
        <w:ind w:firstLine="480" w:firstLineChars="200"/>
        <w:jc w:val="left"/>
        <w:textAlignment w:val="auto"/>
        <w:rPr>
          <w:rFonts w:ascii="宋体" w:hAnsi="宋体" w:cs="宋体"/>
          <w:color w:val="auto"/>
          <w:kern w:val="0"/>
          <w:sz w:val="24"/>
        </w:rPr>
      </w:pPr>
      <w:r>
        <w:rPr>
          <w:rFonts w:hint="eastAsia" w:ascii="宋体" w:hAnsi="宋体" w:cs="宋体"/>
          <w:color w:val="auto"/>
          <w:kern w:val="0"/>
          <w:sz w:val="24"/>
        </w:rPr>
        <w:t xml:space="preserve">2. 合同一式__份。 </w:t>
      </w:r>
    </w:p>
    <w:p w14:paraId="2CE8E3D8">
      <w:pPr>
        <w:keepNext w:val="0"/>
        <w:keepLines w:val="0"/>
        <w:pageBreakBefore w:val="0"/>
        <w:kinsoku/>
        <w:wordWrap/>
        <w:overflowPunct/>
        <w:topLinePunct w:val="0"/>
        <w:autoSpaceDE w:val="0"/>
        <w:autoSpaceDN w:val="0"/>
        <w:bidi w:val="0"/>
        <w:adjustRightInd w:val="0"/>
        <w:snapToGrid/>
        <w:spacing w:line="560" w:lineRule="exact"/>
        <w:ind w:firstLine="480" w:firstLineChars="200"/>
        <w:jc w:val="left"/>
        <w:textAlignment w:val="auto"/>
        <w:rPr>
          <w:rFonts w:ascii="宋体" w:hAnsi="宋体" w:cs="宋体"/>
          <w:color w:val="auto"/>
          <w:kern w:val="0"/>
          <w:sz w:val="24"/>
        </w:rPr>
      </w:pPr>
      <w:r>
        <w:rPr>
          <w:rFonts w:hint="eastAsia" w:ascii="宋体" w:hAnsi="宋体" w:cs="宋体"/>
          <w:color w:val="auto"/>
          <w:kern w:val="0"/>
          <w:sz w:val="24"/>
        </w:rPr>
        <w:t xml:space="preserve">甲方（盖章）：                   </w:t>
      </w:r>
      <w:r>
        <w:rPr>
          <w:rFonts w:hint="eastAsia" w:cs="宋体"/>
          <w:color w:val="auto"/>
          <w:kern w:val="0"/>
          <w:sz w:val="24"/>
          <w:lang w:val="en-US" w:eastAsia="zh-CN"/>
        </w:rPr>
        <w:t xml:space="preserve">     </w:t>
      </w:r>
      <w:r>
        <w:rPr>
          <w:rFonts w:hint="eastAsia" w:ascii="宋体" w:hAnsi="宋体" w:cs="宋体"/>
          <w:color w:val="auto"/>
          <w:kern w:val="0"/>
          <w:sz w:val="24"/>
        </w:rPr>
        <w:t xml:space="preserve"> </w:t>
      </w:r>
      <w:r>
        <w:rPr>
          <w:rFonts w:hint="eastAsia" w:cs="宋体"/>
          <w:color w:val="auto"/>
          <w:kern w:val="0"/>
          <w:sz w:val="24"/>
          <w:lang w:val="en-US" w:eastAsia="zh-CN"/>
        </w:rPr>
        <w:t xml:space="preserve">       </w:t>
      </w:r>
      <w:r>
        <w:rPr>
          <w:rFonts w:hint="eastAsia" w:ascii="宋体" w:hAnsi="宋体" w:cs="宋体"/>
          <w:color w:val="auto"/>
          <w:kern w:val="0"/>
          <w:sz w:val="24"/>
        </w:rPr>
        <w:t xml:space="preserve">乙方（盖章）： </w:t>
      </w:r>
    </w:p>
    <w:p w14:paraId="18C21510">
      <w:pPr>
        <w:keepNext w:val="0"/>
        <w:keepLines w:val="0"/>
        <w:pageBreakBefore w:val="0"/>
        <w:kinsoku/>
        <w:wordWrap/>
        <w:overflowPunct/>
        <w:topLinePunct w:val="0"/>
        <w:autoSpaceDE w:val="0"/>
        <w:autoSpaceDN w:val="0"/>
        <w:bidi w:val="0"/>
        <w:adjustRightInd w:val="0"/>
        <w:snapToGrid/>
        <w:spacing w:line="560" w:lineRule="exact"/>
        <w:ind w:firstLine="480" w:firstLineChars="200"/>
        <w:jc w:val="left"/>
        <w:textAlignment w:val="auto"/>
        <w:rPr>
          <w:rFonts w:ascii="宋体" w:hAnsi="宋体" w:cs="宋体"/>
          <w:color w:val="auto"/>
          <w:kern w:val="0"/>
          <w:sz w:val="24"/>
        </w:rPr>
      </w:pPr>
      <w:r>
        <w:rPr>
          <w:rFonts w:hint="eastAsia" w:ascii="宋体" w:hAnsi="宋体" w:cs="宋体"/>
          <w:color w:val="auto"/>
          <w:kern w:val="0"/>
          <w:sz w:val="24"/>
        </w:rPr>
        <w:t xml:space="preserve">代表：                           </w:t>
      </w:r>
      <w:r>
        <w:rPr>
          <w:rFonts w:hint="eastAsia" w:cs="宋体"/>
          <w:color w:val="auto"/>
          <w:kern w:val="0"/>
          <w:sz w:val="24"/>
          <w:lang w:val="en-US" w:eastAsia="zh-CN"/>
        </w:rPr>
        <w:t xml:space="preserve">     </w:t>
      </w:r>
      <w:r>
        <w:rPr>
          <w:rFonts w:hint="eastAsia" w:ascii="宋体" w:hAnsi="宋体" w:cs="宋体"/>
          <w:color w:val="auto"/>
          <w:kern w:val="0"/>
          <w:sz w:val="24"/>
        </w:rPr>
        <w:t xml:space="preserve"> </w:t>
      </w:r>
      <w:r>
        <w:rPr>
          <w:rFonts w:hint="eastAsia" w:cs="宋体"/>
          <w:color w:val="auto"/>
          <w:kern w:val="0"/>
          <w:sz w:val="24"/>
          <w:lang w:val="en-US" w:eastAsia="zh-CN"/>
        </w:rPr>
        <w:t xml:space="preserve">       </w:t>
      </w:r>
      <w:r>
        <w:rPr>
          <w:rFonts w:hint="eastAsia" w:ascii="宋体" w:hAnsi="宋体" w:cs="宋体"/>
          <w:color w:val="auto"/>
          <w:kern w:val="0"/>
          <w:sz w:val="24"/>
        </w:rPr>
        <w:t xml:space="preserve">代表： </w:t>
      </w:r>
    </w:p>
    <w:p w14:paraId="4AA0FC6D">
      <w:pPr>
        <w:keepNext w:val="0"/>
        <w:keepLines w:val="0"/>
        <w:pageBreakBefore w:val="0"/>
        <w:kinsoku/>
        <w:wordWrap/>
        <w:overflowPunct/>
        <w:topLinePunct w:val="0"/>
        <w:autoSpaceDE w:val="0"/>
        <w:autoSpaceDN w:val="0"/>
        <w:bidi w:val="0"/>
        <w:adjustRightInd w:val="0"/>
        <w:snapToGrid/>
        <w:spacing w:line="560" w:lineRule="exact"/>
        <w:ind w:firstLine="480" w:firstLineChars="200"/>
        <w:jc w:val="left"/>
        <w:textAlignment w:val="auto"/>
        <w:rPr>
          <w:rFonts w:ascii="宋体" w:hAnsi="宋体" w:cs="宋体"/>
          <w:color w:val="auto"/>
          <w:kern w:val="0"/>
          <w:sz w:val="24"/>
        </w:rPr>
      </w:pPr>
      <w:r>
        <w:rPr>
          <w:rFonts w:hint="eastAsia" w:ascii="宋体" w:hAnsi="宋体" w:cs="宋体"/>
          <w:color w:val="auto"/>
          <w:kern w:val="0"/>
          <w:sz w:val="24"/>
        </w:rPr>
        <w:t xml:space="preserve">签定地点： </w:t>
      </w:r>
    </w:p>
    <w:p w14:paraId="0E8FD491">
      <w:pPr>
        <w:keepNext w:val="0"/>
        <w:keepLines w:val="0"/>
        <w:pageBreakBefore w:val="0"/>
        <w:kinsoku/>
        <w:wordWrap/>
        <w:overflowPunct/>
        <w:topLinePunct w:val="0"/>
        <w:autoSpaceDE w:val="0"/>
        <w:autoSpaceDN w:val="0"/>
        <w:bidi w:val="0"/>
        <w:adjustRightInd w:val="0"/>
        <w:snapToGrid/>
        <w:spacing w:line="560" w:lineRule="exact"/>
        <w:ind w:firstLine="480" w:firstLineChars="200"/>
        <w:jc w:val="left"/>
        <w:textAlignment w:val="auto"/>
        <w:rPr>
          <w:rFonts w:ascii="宋体" w:hAnsi="宋体" w:cs="宋体"/>
          <w:color w:val="auto"/>
          <w:kern w:val="0"/>
          <w:sz w:val="24"/>
        </w:rPr>
      </w:pPr>
      <w:r>
        <w:rPr>
          <w:rFonts w:hint="eastAsia" w:ascii="宋体" w:hAnsi="宋体" w:cs="宋体"/>
          <w:color w:val="auto"/>
          <w:kern w:val="0"/>
          <w:sz w:val="24"/>
        </w:rPr>
        <w:t xml:space="preserve">签定日期： 年 月 日               </w:t>
      </w:r>
      <w:r>
        <w:rPr>
          <w:rFonts w:hint="eastAsia" w:cs="宋体"/>
          <w:color w:val="auto"/>
          <w:kern w:val="0"/>
          <w:sz w:val="24"/>
          <w:lang w:val="en-US" w:eastAsia="zh-CN"/>
        </w:rPr>
        <w:t xml:space="preserve">    </w:t>
      </w:r>
      <w:r>
        <w:rPr>
          <w:rFonts w:hint="eastAsia" w:ascii="宋体" w:hAnsi="宋体" w:cs="宋体"/>
          <w:color w:val="auto"/>
          <w:kern w:val="0"/>
          <w:sz w:val="24"/>
        </w:rPr>
        <w:t xml:space="preserve"> </w:t>
      </w:r>
      <w:r>
        <w:rPr>
          <w:rFonts w:hint="eastAsia" w:cs="宋体"/>
          <w:color w:val="auto"/>
          <w:kern w:val="0"/>
          <w:sz w:val="24"/>
          <w:lang w:val="en-US" w:eastAsia="zh-CN"/>
        </w:rPr>
        <w:t xml:space="preserve">       </w:t>
      </w:r>
      <w:r>
        <w:rPr>
          <w:rFonts w:hint="eastAsia" w:ascii="宋体" w:hAnsi="宋体" w:cs="宋体"/>
          <w:color w:val="auto"/>
          <w:kern w:val="0"/>
          <w:sz w:val="24"/>
        </w:rPr>
        <w:t xml:space="preserve">签定日期： 年 月 日 </w:t>
      </w:r>
    </w:p>
    <w:p w14:paraId="33EF4DF6">
      <w:pPr>
        <w:keepNext w:val="0"/>
        <w:keepLines w:val="0"/>
        <w:pageBreakBefore w:val="0"/>
        <w:kinsoku/>
        <w:wordWrap/>
        <w:overflowPunct/>
        <w:topLinePunct w:val="0"/>
        <w:autoSpaceDE w:val="0"/>
        <w:autoSpaceDN w:val="0"/>
        <w:bidi w:val="0"/>
        <w:adjustRightInd w:val="0"/>
        <w:snapToGrid/>
        <w:spacing w:line="560" w:lineRule="exact"/>
        <w:jc w:val="left"/>
        <w:textAlignment w:val="auto"/>
        <w:rPr>
          <w:rFonts w:ascii="宋体" w:hAnsi="宋体" w:cs="宋体"/>
          <w:color w:val="auto"/>
          <w:kern w:val="0"/>
          <w:sz w:val="24"/>
        </w:rPr>
      </w:pPr>
      <w:r>
        <w:rPr>
          <w:rFonts w:hint="eastAsia" w:ascii="宋体" w:hAnsi="宋体" w:cs="宋体"/>
          <w:color w:val="auto"/>
          <w:kern w:val="0"/>
          <w:sz w:val="24"/>
        </w:rPr>
        <w:t xml:space="preserve">                                   </w:t>
      </w:r>
      <w:r>
        <w:rPr>
          <w:rFonts w:hint="eastAsia" w:cs="宋体"/>
          <w:color w:val="auto"/>
          <w:kern w:val="0"/>
          <w:sz w:val="24"/>
          <w:lang w:val="en-US" w:eastAsia="zh-CN"/>
        </w:rPr>
        <w:t xml:space="preserve">           </w:t>
      </w:r>
      <w:r>
        <w:rPr>
          <w:rFonts w:hint="eastAsia" w:ascii="宋体" w:hAnsi="宋体" w:cs="宋体"/>
          <w:color w:val="auto"/>
          <w:kern w:val="0"/>
          <w:sz w:val="24"/>
        </w:rPr>
        <w:t xml:space="preserve">开户名称： </w:t>
      </w:r>
    </w:p>
    <w:p w14:paraId="244A5938">
      <w:pPr>
        <w:keepNext w:val="0"/>
        <w:keepLines w:val="0"/>
        <w:pageBreakBefore w:val="0"/>
        <w:kinsoku/>
        <w:wordWrap/>
        <w:overflowPunct/>
        <w:topLinePunct w:val="0"/>
        <w:autoSpaceDE w:val="0"/>
        <w:autoSpaceDN w:val="0"/>
        <w:bidi w:val="0"/>
        <w:adjustRightInd w:val="0"/>
        <w:snapToGrid/>
        <w:spacing w:line="560" w:lineRule="exact"/>
        <w:jc w:val="left"/>
        <w:textAlignment w:val="auto"/>
        <w:rPr>
          <w:rFonts w:ascii="宋体" w:hAnsi="宋体" w:cs="宋体"/>
          <w:color w:val="auto"/>
          <w:kern w:val="0"/>
          <w:sz w:val="24"/>
        </w:rPr>
      </w:pPr>
      <w:r>
        <w:rPr>
          <w:rFonts w:hint="eastAsia" w:ascii="宋体" w:hAnsi="宋体" w:cs="宋体"/>
          <w:color w:val="auto"/>
          <w:kern w:val="0"/>
          <w:sz w:val="24"/>
        </w:rPr>
        <w:t xml:space="preserve">                                   </w:t>
      </w:r>
      <w:r>
        <w:rPr>
          <w:rFonts w:hint="eastAsia" w:cs="宋体"/>
          <w:color w:val="auto"/>
          <w:kern w:val="0"/>
          <w:sz w:val="24"/>
          <w:lang w:val="en-US" w:eastAsia="zh-CN"/>
        </w:rPr>
        <w:t xml:space="preserve">           </w:t>
      </w:r>
      <w:r>
        <w:rPr>
          <w:rFonts w:hint="eastAsia" w:ascii="宋体" w:hAnsi="宋体" w:cs="宋体"/>
          <w:color w:val="auto"/>
          <w:kern w:val="0"/>
          <w:sz w:val="24"/>
        </w:rPr>
        <w:t xml:space="preserve">银行帐号： </w:t>
      </w:r>
    </w:p>
    <w:p w14:paraId="0EBEEA1A">
      <w:pPr>
        <w:keepNext w:val="0"/>
        <w:keepLines w:val="0"/>
        <w:pageBreakBefore w:val="0"/>
        <w:kinsoku/>
        <w:wordWrap/>
        <w:overflowPunct/>
        <w:topLinePunct w:val="0"/>
        <w:autoSpaceDE w:val="0"/>
        <w:autoSpaceDN w:val="0"/>
        <w:bidi w:val="0"/>
        <w:adjustRightInd w:val="0"/>
        <w:snapToGrid/>
        <w:spacing w:line="560" w:lineRule="exact"/>
        <w:jc w:val="left"/>
        <w:textAlignment w:val="auto"/>
        <w:rPr>
          <w:rFonts w:hint="eastAsia" w:ascii="宋体" w:hAnsi="宋体" w:cs="宋体"/>
          <w:color w:val="auto"/>
          <w:kern w:val="0"/>
          <w:sz w:val="24"/>
        </w:rPr>
      </w:pPr>
      <w:r>
        <w:rPr>
          <w:rFonts w:hint="eastAsia" w:ascii="宋体" w:hAnsi="宋体" w:cs="宋体"/>
          <w:color w:val="auto"/>
          <w:kern w:val="0"/>
          <w:sz w:val="24"/>
        </w:rPr>
        <w:t xml:space="preserve">                                   </w:t>
      </w:r>
      <w:r>
        <w:rPr>
          <w:rFonts w:hint="eastAsia" w:cs="宋体"/>
          <w:color w:val="auto"/>
          <w:kern w:val="0"/>
          <w:sz w:val="24"/>
          <w:lang w:val="en-US" w:eastAsia="zh-CN"/>
        </w:rPr>
        <w:t xml:space="preserve">           </w:t>
      </w:r>
      <w:r>
        <w:rPr>
          <w:rFonts w:hint="eastAsia" w:ascii="宋体" w:hAnsi="宋体" w:cs="宋体"/>
          <w:color w:val="auto"/>
          <w:kern w:val="0"/>
          <w:sz w:val="24"/>
        </w:rPr>
        <w:t xml:space="preserve">开 户 行： </w:t>
      </w:r>
    </w:p>
    <w:p w14:paraId="0C332BD4">
      <w:pPr>
        <w:pStyle w:val="2"/>
        <w:keepNext w:val="0"/>
        <w:keepLines w:val="0"/>
        <w:pageBreakBefore w:val="0"/>
        <w:widowControl w:val="0"/>
        <w:kinsoku/>
        <w:wordWrap w:val="0"/>
        <w:overflowPunct/>
        <w:topLinePunct w:val="0"/>
        <w:autoSpaceDE w:val="0"/>
        <w:autoSpaceDN w:val="0"/>
        <w:bidi w:val="0"/>
        <w:adjustRightInd/>
        <w:snapToGrid/>
        <w:spacing w:line="540" w:lineRule="exact"/>
        <w:ind w:left="0"/>
        <w:textAlignment w:val="auto"/>
        <w:rPr>
          <w:color w:val="auto"/>
        </w:rPr>
      </w:pPr>
      <w:r>
        <w:rPr>
          <w:rFonts w:hint="eastAsia"/>
          <w:color w:val="auto"/>
        </w:rPr>
        <w:br w:type="page"/>
      </w:r>
      <w:bookmarkStart w:id="282" w:name="_Toc9875"/>
      <w:r>
        <w:rPr>
          <w:rFonts w:hint="eastAsia" w:ascii="宋体" w:hAnsi="宋体" w:eastAsia="宋体" w:cs="宋体"/>
          <w:b/>
          <w:bCs/>
          <w:color w:val="auto"/>
          <w:sz w:val="36"/>
          <w:szCs w:val="28"/>
          <w:lang w:val="en-US" w:eastAsia="zh-CN"/>
        </w:rPr>
        <w:t>第六章 响应文件内容及格式</w:t>
      </w:r>
      <w:bookmarkEnd w:id="281"/>
      <w:bookmarkEnd w:id="282"/>
    </w:p>
    <w:p w14:paraId="6B14B9F9">
      <w:pPr>
        <w:pStyle w:val="5"/>
        <w:spacing w:before="198"/>
        <w:ind w:left="897" w:right="909"/>
        <w:jc w:val="center"/>
        <w:rPr>
          <w:color w:val="auto"/>
        </w:rPr>
      </w:pPr>
      <w:bookmarkStart w:id="283" w:name="_Toc9511_WPSOffice_Level1"/>
      <w:r>
        <w:rPr>
          <w:color w:val="auto"/>
        </w:rPr>
        <w:t>（此格式仅供参考）</w:t>
      </w:r>
      <w:bookmarkEnd w:id="283"/>
    </w:p>
    <w:p w14:paraId="189764D1">
      <w:pPr>
        <w:pStyle w:val="8"/>
        <w:ind w:left="0"/>
        <w:rPr>
          <w:b/>
          <w:color w:val="auto"/>
        </w:rPr>
      </w:pPr>
    </w:p>
    <w:p w14:paraId="52558590">
      <w:pPr>
        <w:pStyle w:val="8"/>
        <w:spacing w:before="3"/>
        <w:ind w:left="0"/>
        <w:rPr>
          <w:b/>
          <w:color w:val="auto"/>
          <w:sz w:val="35"/>
        </w:rPr>
      </w:pPr>
    </w:p>
    <w:p w14:paraId="06BA489C">
      <w:pPr>
        <w:pStyle w:val="8"/>
        <w:ind w:left="0"/>
        <w:jc w:val="center"/>
        <w:rPr>
          <w:rFonts w:hint="eastAsia"/>
          <w:b/>
          <w:color w:val="auto"/>
          <w:sz w:val="48"/>
          <w:szCs w:val="28"/>
          <w:lang w:val="en-US" w:eastAsia="zh-CN"/>
        </w:rPr>
      </w:pPr>
    </w:p>
    <w:p w14:paraId="649F7B5F">
      <w:pPr>
        <w:pStyle w:val="8"/>
        <w:ind w:left="0"/>
        <w:jc w:val="center"/>
        <w:rPr>
          <w:rFonts w:hint="default"/>
          <w:b/>
          <w:color w:val="auto"/>
          <w:sz w:val="52"/>
          <w:szCs w:val="32"/>
          <w:u w:val="single"/>
          <w:lang w:val="en-US" w:eastAsia="zh-CN"/>
        </w:rPr>
      </w:pPr>
      <w:r>
        <w:rPr>
          <w:rFonts w:hint="eastAsia"/>
          <w:b/>
          <w:color w:val="auto"/>
          <w:sz w:val="52"/>
          <w:szCs w:val="32"/>
          <w:u w:val="single"/>
          <w:lang w:val="en-US" w:eastAsia="zh-CN"/>
        </w:rPr>
        <w:t xml:space="preserve"> 项目名称 </w:t>
      </w:r>
    </w:p>
    <w:p w14:paraId="2AE07A41">
      <w:pPr>
        <w:pStyle w:val="15"/>
        <w:rPr>
          <w:rFonts w:hint="eastAsia"/>
          <w:color w:val="auto"/>
          <w:lang w:val="en-US" w:eastAsia="zh-CN"/>
        </w:rPr>
      </w:pPr>
    </w:p>
    <w:p w14:paraId="7E6DCD1D">
      <w:pPr>
        <w:spacing w:before="375"/>
        <w:jc w:val="center"/>
        <w:outlineLvl w:val="9"/>
        <w:rPr>
          <w:rFonts w:hint="eastAsia" w:ascii="Times New Roman" w:hAnsi="Times New Roman" w:eastAsia="宋体" w:cs="Times New Roman"/>
          <w:b/>
          <w:color w:val="auto"/>
          <w:sz w:val="48"/>
          <w:szCs w:val="28"/>
          <w:lang w:val="en-US" w:eastAsia="zh-CN" w:bidi="ar-SA"/>
        </w:rPr>
      </w:pPr>
      <w:bookmarkStart w:id="284" w:name="_Toc839"/>
      <w:bookmarkStart w:id="285" w:name="_Toc20123_WPSOffice_Level1"/>
    </w:p>
    <w:p w14:paraId="016D35F0">
      <w:pPr>
        <w:pStyle w:val="2"/>
        <w:outlineLvl w:val="9"/>
        <w:rPr>
          <w:rFonts w:hint="eastAsia"/>
          <w:color w:val="auto"/>
          <w:lang w:val="en-US" w:eastAsia="zh-CN"/>
        </w:rPr>
      </w:pPr>
    </w:p>
    <w:p w14:paraId="0DE2ABF9">
      <w:pPr>
        <w:spacing w:before="375"/>
        <w:jc w:val="center"/>
        <w:outlineLvl w:val="0"/>
        <w:rPr>
          <w:b/>
          <w:color w:val="auto"/>
          <w:sz w:val="72"/>
        </w:rPr>
      </w:pPr>
      <w:bookmarkStart w:id="286" w:name="_Toc15721"/>
      <w:r>
        <w:rPr>
          <w:b/>
          <w:color w:val="auto"/>
          <w:sz w:val="72"/>
        </w:rPr>
        <w:t>响应文件</w:t>
      </w:r>
      <w:bookmarkEnd w:id="284"/>
      <w:bookmarkEnd w:id="285"/>
      <w:bookmarkEnd w:id="286"/>
    </w:p>
    <w:p w14:paraId="3E0DC3D5">
      <w:pPr>
        <w:pStyle w:val="8"/>
        <w:spacing w:before="3"/>
        <w:ind w:left="0"/>
        <w:jc w:val="center"/>
        <w:rPr>
          <w:b/>
          <w:color w:val="auto"/>
          <w:sz w:val="60"/>
        </w:rPr>
      </w:pPr>
    </w:p>
    <w:p w14:paraId="705DB91C">
      <w:pPr>
        <w:pStyle w:val="8"/>
        <w:ind w:left="0"/>
        <w:jc w:val="center"/>
        <w:outlineLvl w:val="0"/>
        <w:rPr>
          <w:b/>
          <w:color w:val="auto"/>
          <w:sz w:val="30"/>
        </w:rPr>
      </w:pPr>
      <w:bookmarkStart w:id="287" w:name="_Toc7912"/>
      <w:bookmarkStart w:id="288" w:name="_Toc25794"/>
      <w:bookmarkStart w:id="289" w:name="_Toc12366_WPSOffice_Level1"/>
      <w:r>
        <w:rPr>
          <w:b/>
          <w:color w:val="auto"/>
          <w:sz w:val="32"/>
        </w:rPr>
        <w:t>项目编号：</w:t>
      </w:r>
      <w:bookmarkEnd w:id="287"/>
      <w:bookmarkEnd w:id="288"/>
      <w:bookmarkEnd w:id="289"/>
    </w:p>
    <w:p w14:paraId="5085600A">
      <w:pPr>
        <w:pStyle w:val="8"/>
        <w:ind w:left="0"/>
        <w:rPr>
          <w:b/>
          <w:color w:val="auto"/>
          <w:sz w:val="30"/>
        </w:rPr>
      </w:pPr>
    </w:p>
    <w:p w14:paraId="3BB5F37D">
      <w:pPr>
        <w:pStyle w:val="8"/>
        <w:ind w:left="0"/>
        <w:rPr>
          <w:b/>
          <w:color w:val="auto"/>
          <w:sz w:val="30"/>
        </w:rPr>
      </w:pPr>
    </w:p>
    <w:p w14:paraId="437CC1BF">
      <w:pPr>
        <w:pStyle w:val="8"/>
        <w:ind w:left="0"/>
        <w:rPr>
          <w:b/>
          <w:color w:val="auto"/>
          <w:sz w:val="30"/>
        </w:rPr>
      </w:pPr>
    </w:p>
    <w:p w14:paraId="56B518A7">
      <w:pPr>
        <w:pStyle w:val="8"/>
        <w:ind w:left="0"/>
        <w:rPr>
          <w:b/>
          <w:color w:val="auto"/>
          <w:sz w:val="30"/>
        </w:rPr>
      </w:pPr>
    </w:p>
    <w:p w14:paraId="4ED01261">
      <w:pPr>
        <w:pStyle w:val="8"/>
        <w:ind w:left="0"/>
        <w:rPr>
          <w:b/>
          <w:color w:val="auto"/>
          <w:sz w:val="30"/>
        </w:rPr>
      </w:pPr>
    </w:p>
    <w:p w14:paraId="61E4DB19">
      <w:pPr>
        <w:pStyle w:val="8"/>
        <w:ind w:left="0"/>
        <w:rPr>
          <w:b/>
          <w:color w:val="auto"/>
          <w:sz w:val="30"/>
        </w:rPr>
      </w:pPr>
    </w:p>
    <w:p w14:paraId="40492A83">
      <w:pPr>
        <w:pStyle w:val="8"/>
        <w:ind w:left="0"/>
        <w:rPr>
          <w:b/>
          <w:color w:val="auto"/>
          <w:sz w:val="30"/>
        </w:rPr>
      </w:pPr>
    </w:p>
    <w:p w14:paraId="00F72801">
      <w:pPr>
        <w:pStyle w:val="15"/>
        <w:rPr>
          <w:b/>
          <w:color w:val="auto"/>
          <w:sz w:val="30"/>
        </w:rPr>
      </w:pPr>
    </w:p>
    <w:p w14:paraId="6D32E608">
      <w:pPr>
        <w:pStyle w:val="10"/>
        <w:rPr>
          <w:color w:val="auto"/>
        </w:rPr>
      </w:pPr>
    </w:p>
    <w:p w14:paraId="28C47299">
      <w:pPr>
        <w:pStyle w:val="8"/>
        <w:keepNext w:val="0"/>
        <w:keepLines w:val="0"/>
        <w:pageBreakBefore w:val="0"/>
        <w:widowControl w:val="0"/>
        <w:kinsoku/>
        <w:wordWrap/>
        <w:overflowPunct/>
        <w:topLinePunct w:val="0"/>
        <w:autoSpaceDE w:val="0"/>
        <w:autoSpaceDN w:val="0"/>
        <w:bidi w:val="0"/>
        <w:adjustRightInd/>
        <w:snapToGrid/>
        <w:spacing w:line="480" w:lineRule="auto"/>
        <w:ind w:left="0" w:firstLine="0" w:firstLineChars="0"/>
        <w:textAlignment w:val="auto"/>
        <w:rPr>
          <w:b/>
          <w:color w:val="auto"/>
          <w:sz w:val="30"/>
        </w:rPr>
      </w:pPr>
    </w:p>
    <w:p w14:paraId="286BC0FD">
      <w:pPr>
        <w:keepNext w:val="0"/>
        <w:keepLines w:val="0"/>
        <w:pageBreakBefore w:val="0"/>
        <w:widowControl w:val="0"/>
        <w:kinsoku/>
        <w:wordWrap/>
        <w:overflowPunct/>
        <w:topLinePunct w:val="0"/>
        <w:autoSpaceDE w:val="0"/>
        <w:autoSpaceDN w:val="0"/>
        <w:bidi w:val="0"/>
        <w:adjustRightInd/>
        <w:snapToGrid/>
        <w:spacing w:line="480" w:lineRule="auto"/>
        <w:ind w:firstLine="0" w:firstLineChars="0"/>
        <w:jc w:val="center"/>
        <w:textAlignment w:val="auto"/>
        <w:rPr>
          <w:rFonts w:hint="eastAsia"/>
          <w:color w:val="auto"/>
          <w:sz w:val="28"/>
          <w:szCs w:val="28"/>
        </w:rPr>
      </w:pPr>
      <w:bookmarkStart w:id="290" w:name="_Toc30532_WPSOffice_Level2"/>
    </w:p>
    <w:p w14:paraId="490FFC89">
      <w:pPr>
        <w:keepNext w:val="0"/>
        <w:keepLines w:val="0"/>
        <w:pageBreakBefore w:val="0"/>
        <w:widowControl w:val="0"/>
        <w:kinsoku/>
        <w:wordWrap/>
        <w:overflowPunct/>
        <w:topLinePunct w:val="0"/>
        <w:autoSpaceDE w:val="0"/>
        <w:autoSpaceDN w:val="0"/>
        <w:bidi w:val="0"/>
        <w:adjustRightInd/>
        <w:snapToGrid/>
        <w:spacing w:line="480" w:lineRule="auto"/>
        <w:ind w:firstLine="0" w:firstLineChars="0"/>
        <w:jc w:val="center"/>
        <w:textAlignment w:val="auto"/>
        <w:rPr>
          <w:color w:val="auto"/>
          <w:sz w:val="28"/>
          <w:szCs w:val="28"/>
        </w:rPr>
      </w:pPr>
      <w:r>
        <w:rPr>
          <w:rFonts w:hint="eastAsia"/>
          <w:color w:val="auto"/>
          <w:sz w:val="28"/>
          <w:szCs w:val="28"/>
        </w:rPr>
        <w:t>供应商：（公章签章）</w:t>
      </w:r>
      <w:bookmarkEnd w:id="290"/>
    </w:p>
    <w:p w14:paraId="2E49E3A0">
      <w:pPr>
        <w:keepNext w:val="0"/>
        <w:keepLines w:val="0"/>
        <w:pageBreakBefore w:val="0"/>
        <w:widowControl w:val="0"/>
        <w:kinsoku/>
        <w:wordWrap/>
        <w:overflowPunct/>
        <w:topLinePunct w:val="0"/>
        <w:autoSpaceDE w:val="0"/>
        <w:autoSpaceDN w:val="0"/>
        <w:bidi w:val="0"/>
        <w:adjustRightInd/>
        <w:snapToGrid/>
        <w:spacing w:line="480" w:lineRule="auto"/>
        <w:ind w:firstLine="0" w:firstLineChars="0"/>
        <w:jc w:val="center"/>
        <w:textAlignment w:val="auto"/>
        <w:rPr>
          <w:color w:val="auto"/>
          <w:sz w:val="28"/>
          <w:szCs w:val="28"/>
        </w:rPr>
      </w:pPr>
      <w:bookmarkStart w:id="291" w:name="_Toc1100_WPSOffice_Level3"/>
      <w:r>
        <w:rPr>
          <w:rFonts w:hint="eastAsia"/>
          <w:color w:val="auto"/>
          <w:sz w:val="28"/>
          <w:szCs w:val="28"/>
        </w:rPr>
        <w:t>法定代表人或其委托代理人：（法人签章）</w:t>
      </w:r>
      <w:bookmarkEnd w:id="291"/>
    </w:p>
    <w:p w14:paraId="1357E6B0">
      <w:pPr>
        <w:keepNext w:val="0"/>
        <w:keepLines w:val="0"/>
        <w:pageBreakBefore w:val="0"/>
        <w:widowControl w:val="0"/>
        <w:kinsoku/>
        <w:wordWrap/>
        <w:overflowPunct/>
        <w:topLinePunct w:val="0"/>
        <w:autoSpaceDE w:val="0"/>
        <w:autoSpaceDN w:val="0"/>
        <w:bidi w:val="0"/>
        <w:adjustRightInd/>
        <w:snapToGrid/>
        <w:spacing w:line="480" w:lineRule="auto"/>
        <w:ind w:firstLine="0" w:firstLineChars="0"/>
        <w:jc w:val="center"/>
        <w:textAlignment w:val="auto"/>
        <w:rPr>
          <w:color w:val="auto"/>
          <w:sz w:val="28"/>
          <w:szCs w:val="28"/>
        </w:rPr>
      </w:pPr>
      <w:bookmarkStart w:id="292" w:name="_Toc31948_WPSOffice_Level2"/>
      <w:r>
        <w:rPr>
          <w:rFonts w:hint="eastAsia"/>
          <w:color w:val="auto"/>
          <w:sz w:val="28"/>
          <w:szCs w:val="28"/>
        </w:rPr>
        <w:t>年</w:t>
      </w:r>
      <w:r>
        <w:rPr>
          <w:rFonts w:hint="eastAsia"/>
          <w:color w:val="auto"/>
          <w:sz w:val="28"/>
          <w:szCs w:val="28"/>
          <w:lang w:val="en-US" w:eastAsia="zh-CN"/>
        </w:rPr>
        <w:t xml:space="preserve"> </w:t>
      </w:r>
      <w:r>
        <w:rPr>
          <w:rFonts w:hint="eastAsia"/>
          <w:color w:val="auto"/>
          <w:sz w:val="28"/>
          <w:szCs w:val="28"/>
        </w:rPr>
        <w:t>月</w:t>
      </w:r>
      <w:r>
        <w:rPr>
          <w:rFonts w:hint="eastAsia"/>
          <w:color w:val="auto"/>
          <w:sz w:val="28"/>
          <w:szCs w:val="28"/>
          <w:lang w:val="en-US" w:eastAsia="zh-CN"/>
        </w:rPr>
        <w:t xml:space="preserve"> </w:t>
      </w:r>
      <w:r>
        <w:rPr>
          <w:rFonts w:hint="eastAsia"/>
          <w:color w:val="auto"/>
          <w:sz w:val="28"/>
          <w:szCs w:val="28"/>
        </w:rPr>
        <w:t>日</w:t>
      </w:r>
      <w:bookmarkEnd w:id="292"/>
    </w:p>
    <w:p w14:paraId="7CE6B3A6">
      <w:pPr>
        <w:spacing w:before="13"/>
        <w:ind w:right="446"/>
        <w:jc w:val="center"/>
        <w:rPr>
          <w:color w:val="auto"/>
          <w:sz w:val="44"/>
          <w:szCs w:val="21"/>
        </w:rPr>
      </w:pPr>
      <w:r>
        <w:rPr>
          <w:color w:val="auto"/>
          <w:sz w:val="48"/>
        </w:rPr>
        <w:br w:type="page"/>
      </w:r>
      <w:bookmarkStart w:id="293" w:name="_Toc28927_WPSOffice_Level3"/>
      <w:r>
        <w:rPr>
          <w:color w:val="auto"/>
          <w:sz w:val="44"/>
          <w:szCs w:val="21"/>
        </w:rPr>
        <w:t>目</w:t>
      </w:r>
      <w:r>
        <w:rPr>
          <w:rFonts w:hint="eastAsia"/>
          <w:color w:val="auto"/>
          <w:sz w:val="44"/>
          <w:szCs w:val="21"/>
          <w:lang w:val="en-US" w:eastAsia="zh-CN"/>
        </w:rPr>
        <w:t xml:space="preserve"> </w:t>
      </w:r>
      <w:r>
        <w:rPr>
          <w:color w:val="auto"/>
          <w:sz w:val="44"/>
          <w:szCs w:val="21"/>
        </w:rPr>
        <w:t>录</w:t>
      </w:r>
      <w:bookmarkEnd w:id="293"/>
    </w:p>
    <w:p w14:paraId="18234F9C">
      <w:pPr>
        <w:pStyle w:val="8"/>
        <w:spacing w:before="12"/>
        <w:ind w:left="0"/>
        <w:jc w:val="center"/>
        <w:rPr>
          <w:color w:val="auto"/>
          <w:sz w:val="44"/>
        </w:rPr>
      </w:pPr>
    </w:p>
    <w:p w14:paraId="1556422B">
      <w:pPr>
        <w:jc w:val="center"/>
        <w:rPr>
          <w:rFonts w:hint="eastAsia" w:eastAsia="宋体"/>
          <w:color w:val="auto"/>
          <w:lang w:eastAsia="zh-CN"/>
        </w:rPr>
        <w:sectPr>
          <w:footerReference r:id="rId7" w:type="default"/>
          <w:pgSz w:w="11910" w:h="16840"/>
          <w:pgMar w:top="1440" w:right="1800" w:bottom="1440" w:left="1800" w:header="0" w:footer="720" w:gutter="0"/>
          <w:pgNumType w:fmt="decimal"/>
          <w:cols w:space="720" w:num="1"/>
        </w:sectPr>
      </w:pPr>
      <w:r>
        <w:rPr>
          <w:rFonts w:hint="eastAsia"/>
          <w:color w:val="auto"/>
          <w:lang w:eastAsia="zh-CN"/>
        </w:rPr>
        <w:t>（格式自拟）</w:t>
      </w:r>
    </w:p>
    <w:p w14:paraId="376D1CF1">
      <w:pPr>
        <w:spacing w:line="360" w:lineRule="auto"/>
        <w:jc w:val="center"/>
        <w:outlineLvl w:val="0"/>
        <w:rPr>
          <w:b/>
          <w:bCs/>
          <w:color w:val="auto"/>
          <w:sz w:val="28"/>
          <w:szCs w:val="20"/>
          <w:lang w:val="en-US"/>
        </w:rPr>
      </w:pPr>
      <w:bookmarkStart w:id="294" w:name="_Toc144974857"/>
      <w:bookmarkStart w:id="295" w:name="_Toc152045788"/>
      <w:bookmarkStart w:id="296" w:name="_Toc152042577"/>
      <w:bookmarkStart w:id="297" w:name="_Toc8655_WPSOffice_Level1"/>
      <w:bookmarkStart w:id="298" w:name="_Toc17559"/>
      <w:bookmarkStart w:id="299" w:name="_Toc28978"/>
      <w:bookmarkStart w:id="300" w:name="_Toc487498495"/>
      <w:bookmarkStart w:id="301" w:name="_Toc25215"/>
      <w:r>
        <w:rPr>
          <w:rFonts w:hint="eastAsia"/>
          <w:b/>
          <w:bCs/>
          <w:color w:val="auto"/>
          <w:sz w:val="28"/>
          <w:szCs w:val="20"/>
          <w:lang w:val="en-US"/>
        </w:rPr>
        <w:t>一、磋商函及</w:t>
      </w:r>
      <w:bookmarkEnd w:id="294"/>
      <w:bookmarkEnd w:id="295"/>
      <w:bookmarkEnd w:id="296"/>
      <w:r>
        <w:rPr>
          <w:rFonts w:hint="eastAsia"/>
          <w:b/>
          <w:bCs/>
          <w:color w:val="auto"/>
          <w:sz w:val="28"/>
          <w:szCs w:val="20"/>
          <w:lang w:val="en-US"/>
        </w:rPr>
        <w:t>磋商函附录</w:t>
      </w:r>
      <w:bookmarkEnd w:id="297"/>
      <w:bookmarkEnd w:id="298"/>
      <w:bookmarkEnd w:id="299"/>
      <w:bookmarkEnd w:id="300"/>
      <w:bookmarkEnd w:id="301"/>
    </w:p>
    <w:p w14:paraId="40172D89">
      <w:pPr>
        <w:spacing w:line="360" w:lineRule="auto"/>
        <w:jc w:val="center"/>
        <w:outlineLvl w:val="2"/>
        <w:rPr>
          <w:color w:val="auto"/>
          <w:sz w:val="28"/>
          <w:szCs w:val="20"/>
          <w:lang w:val="en-US"/>
        </w:rPr>
      </w:pPr>
      <w:bookmarkStart w:id="302" w:name="_Toc152042578"/>
      <w:bookmarkStart w:id="303" w:name="_Toc152045789"/>
      <w:bookmarkStart w:id="304" w:name="_Toc8915"/>
      <w:bookmarkStart w:id="305" w:name="_Toc144974858"/>
      <w:bookmarkStart w:id="306" w:name="_Toc30581"/>
      <w:bookmarkStart w:id="307" w:name="_Toc26765"/>
      <w:bookmarkStart w:id="308" w:name="_Toc455080170"/>
      <w:bookmarkStart w:id="309" w:name="_Toc11855"/>
      <w:bookmarkStart w:id="310" w:name="_Toc18705"/>
      <w:bookmarkStart w:id="311" w:name="_Toc488504497"/>
      <w:bookmarkStart w:id="312" w:name="_Toc23888"/>
      <w:bookmarkStart w:id="313" w:name="_Toc26262"/>
      <w:bookmarkStart w:id="314" w:name="_Toc487498496"/>
      <w:bookmarkStart w:id="315" w:name="_Toc7366_WPSOffice_Level2"/>
      <w:bookmarkStart w:id="316" w:name="_Toc464035571"/>
      <w:bookmarkStart w:id="317" w:name="_Toc463701092"/>
      <w:bookmarkStart w:id="318" w:name="_Toc318450744"/>
      <w:r>
        <w:rPr>
          <w:rFonts w:hint="eastAsia"/>
          <w:color w:val="auto"/>
          <w:sz w:val="28"/>
          <w:szCs w:val="20"/>
          <w:lang w:val="en-US"/>
        </w:rPr>
        <w:t>（一）磋商函</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p>
    <w:p w14:paraId="04C627A8">
      <w:pPr>
        <w:spacing w:line="360" w:lineRule="auto"/>
        <w:rPr>
          <w:color w:val="auto"/>
          <w:sz w:val="24"/>
        </w:rPr>
      </w:pPr>
      <w:r>
        <w:rPr>
          <w:rFonts w:hint="eastAsia"/>
          <w:color w:val="auto"/>
          <w:sz w:val="24"/>
          <w:u w:val="single"/>
        </w:rPr>
        <w:t>（采购人名称）</w:t>
      </w:r>
      <w:r>
        <w:rPr>
          <w:rFonts w:hint="eastAsia"/>
          <w:color w:val="auto"/>
          <w:sz w:val="24"/>
        </w:rPr>
        <w:t>：</w:t>
      </w:r>
    </w:p>
    <w:p w14:paraId="151FB6F4">
      <w:pPr>
        <w:spacing w:line="360" w:lineRule="auto"/>
        <w:ind w:firstLine="480" w:firstLineChars="200"/>
        <w:rPr>
          <w:color w:val="auto"/>
          <w:sz w:val="24"/>
        </w:rPr>
      </w:pPr>
      <w:r>
        <w:rPr>
          <w:rFonts w:hint="eastAsia"/>
          <w:color w:val="auto"/>
          <w:sz w:val="24"/>
        </w:rPr>
        <w:t xml:space="preserve">1．我方在考察现场并充分研究 </w:t>
      </w:r>
      <w:r>
        <w:rPr>
          <w:rFonts w:hint="eastAsia"/>
          <w:color w:val="auto"/>
          <w:sz w:val="24"/>
          <w:u w:val="single"/>
        </w:rPr>
        <w:t xml:space="preserve">      （项目名称）</w:t>
      </w:r>
      <w:r>
        <w:rPr>
          <w:rFonts w:hint="eastAsia"/>
          <w:color w:val="auto"/>
          <w:sz w:val="24"/>
          <w:u w:val="single"/>
          <w:lang w:val="en-US" w:eastAsia="zh-CN"/>
        </w:rPr>
        <w:t xml:space="preserve"> </w:t>
      </w:r>
      <w:r>
        <w:rPr>
          <w:rFonts w:hint="eastAsia"/>
          <w:color w:val="auto"/>
          <w:sz w:val="24"/>
        </w:rPr>
        <w:t>磋商文件的全部内容，愿意以磋商函附录中的报价</w:t>
      </w:r>
      <w:r>
        <w:rPr>
          <w:rFonts w:hint="eastAsia"/>
          <w:color w:val="auto"/>
          <w:sz w:val="24"/>
          <w:u w:val="single"/>
          <w:lang w:val="en-US" w:eastAsia="zh-CN"/>
        </w:rPr>
        <w:t xml:space="preserve">大写：    小写：      </w:t>
      </w:r>
      <w:r>
        <w:rPr>
          <w:rFonts w:hint="eastAsia"/>
          <w:color w:val="auto"/>
          <w:sz w:val="24"/>
        </w:rPr>
        <w:t>，质量</w:t>
      </w:r>
      <w:r>
        <w:rPr>
          <w:rFonts w:hint="eastAsia"/>
          <w:color w:val="auto"/>
          <w:sz w:val="24"/>
          <w:u w:val="single"/>
          <w:lang w:val="en-US" w:eastAsia="zh-CN"/>
        </w:rPr>
        <w:t xml:space="preserve">     </w:t>
      </w:r>
      <w:r>
        <w:rPr>
          <w:rFonts w:hint="eastAsia"/>
          <w:color w:val="auto"/>
          <w:sz w:val="24"/>
        </w:rPr>
        <w:t>，</w:t>
      </w:r>
      <w:r>
        <w:rPr>
          <w:rFonts w:hint="eastAsia"/>
          <w:color w:val="auto"/>
          <w:sz w:val="24"/>
          <w:lang w:eastAsia="zh-CN"/>
        </w:rPr>
        <w:t>设计周期</w:t>
      </w:r>
      <w:r>
        <w:rPr>
          <w:rFonts w:hint="eastAsia"/>
          <w:color w:val="auto"/>
          <w:sz w:val="24"/>
          <w:u w:val="single"/>
          <w:lang w:val="en-US" w:eastAsia="zh-CN"/>
        </w:rPr>
        <w:t xml:space="preserve">    </w:t>
      </w:r>
      <w:r>
        <w:rPr>
          <w:rFonts w:hint="eastAsia"/>
          <w:color w:val="auto"/>
          <w:sz w:val="24"/>
        </w:rPr>
        <w:t>，并严格按照合同约定完成相关</w:t>
      </w:r>
      <w:r>
        <w:rPr>
          <w:rFonts w:hint="eastAsia"/>
          <w:color w:val="auto"/>
          <w:sz w:val="24"/>
          <w:lang w:eastAsia="zh-CN"/>
        </w:rPr>
        <w:t>设计</w:t>
      </w:r>
      <w:r>
        <w:rPr>
          <w:rFonts w:hint="eastAsia"/>
          <w:color w:val="auto"/>
          <w:sz w:val="24"/>
        </w:rPr>
        <w:t>服务。</w:t>
      </w:r>
    </w:p>
    <w:p w14:paraId="31F44885">
      <w:pPr>
        <w:spacing w:line="360" w:lineRule="auto"/>
        <w:ind w:firstLine="480" w:firstLineChars="200"/>
        <w:rPr>
          <w:color w:val="auto"/>
          <w:sz w:val="24"/>
        </w:rPr>
      </w:pPr>
      <w:r>
        <w:rPr>
          <w:rFonts w:hint="eastAsia"/>
          <w:color w:val="auto"/>
          <w:sz w:val="24"/>
          <w:lang w:val="en-US"/>
        </w:rPr>
        <w:t>2</w:t>
      </w:r>
      <w:r>
        <w:rPr>
          <w:rFonts w:hint="eastAsia"/>
          <w:color w:val="auto"/>
          <w:sz w:val="24"/>
        </w:rPr>
        <w:t>.</w:t>
      </w:r>
      <w:r>
        <w:rPr>
          <w:color w:val="auto"/>
          <w:sz w:val="24"/>
        </w:rPr>
        <w:t>据此函，经考察现场并</w:t>
      </w:r>
      <w:r>
        <w:rPr>
          <w:rFonts w:hint="eastAsia"/>
          <w:color w:val="auto"/>
          <w:sz w:val="24"/>
        </w:rPr>
        <w:t>认真</w:t>
      </w:r>
      <w:r>
        <w:rPr>
          <w:color w:val="auto"/>
          <w:sz w:val="24"/>
        </w:rPr>
        <w:t>研究</w:t>
      </w:r>
      <w:r>
        <w:rPr>
          <w:rFonts w:hint="eastAsia"/>
          <w:color w:val="auto"/>
          <w:sz w:val="24"/>
        </w:rPr>
        <w:t>磋商</w:t>
      </w:r>
      <w:r>
        <w:rPr>
          <w:color w:val="auto"/>
          <w:sz w:val="24"/>
        </w:rPr>
        <w:t>文件后，</w:t>
      </w:r>
      <w:r>
        <w:rPr>
          <w:rFonts w:hint="eastAsia"/>
          <w:color w:val="auto"/>
          <w:sz w:val="24"/>
        </w:rPr>
        <w:t>我方</w:t>
      </w:r>
      <w:r>
        <w:rPr>
          <w:color w:val="auto"/>
          <w:sz w:val="24"/>
        </w:rPr>
        <w:t>同意：</w:t>
      </w:r>
    </w:p>
    <w:p w14:paraId="45273C86">
      <w:pPr>
        <w:spacing w:line="360" w:lineRule="auto"/>
        <w:ind w:firstLine="480" w:firstLineChars="200"/>
        <w:rPr>
          <w:color w:val="auto"/>
          <w:sz w:val="24"/>
        </w:rPr>
      </w:pPr>
      <w:r>
        <w:rPr>
          <w:rFonts w:hint="eastAsia"/>
          <w:color w:val="auto"/>
          <w:sz w:val="24"/>
          <w:lang w:val="en-US"/>
        </w:rPr>
        <w:t>2</w:t>
      </w:r>
      <w:r>
        <w:rPr>
          <w:color w:val="auto"/>
          <w:sz w:val="24"/>
        </w:rPr>
        <w:t>.1</w:t>
      </w:r>
      <w:r>
        <w:rPr>
          <w:rFonts w:hint="eastAsia"/>
          <w:color w:val="auto"/>
          <w:sz w:val="24"/>
        </w:rPr>
        <w:t>根据项目情况，</w:t>
      </w:r>
      <w:r>
        <w:rPr>
          <w:color w:val="auto"/>
          <w:sz w:val="24"/>
        </w:rPr>
        <w:t>自主报价参与商务投标报价并承担</w:t>
      </w:r>
      <w:r>
        <w:rPr>
          <w:rFonts w:hint="eastAsia"/>
          <w:color w:val="auto"/>
          <w:sz w:val="24"/>
        </w:rPr>
        <w:t>磋商</w:t>
      </w:r>
      <w:r>
        <w:rPr>
          <w:color w:val="auto"/>
          <w:sz w:val="24"/>
        </w:rPr>
        <w:t>文件规定的</w:t>
      </w:r>
      <w:r>
        <w:rPr>
          <w:rFonts w:hint="eastAsia"/>
          <w:color w:val="auto"/>
          <w:sz w:val="24"/>
        </w:rPr>
        <w:t>各项内容及服务</w:t>
      </w:r>
      <w:r>
        <w:rPr>
          <w:color w:val="auto"/>
          <w:sz w:val="24"/>
        </w:rPr>
        <w:t>（报价表附后）。</w:t>
      </w:r>
    </w:p>
    <w:p w14:paraId="3D86E0EF">
      <w:pPr>
        <w:spacing w:line="360" w:lineRule="auto"/>
        <w:ind w:firstLine="480" w:firstLineChars="200"/>
        <w:rPr>
          <w:color w:val="auto"/>
          <w:sz w:val="24"/>
        </w:rPr>
      </w:pPr>
      <w:r>
        <w:rPr>
          <w:rFonts w:hint="eastAsia"/>
          <w:color w:val="auto"/>
          <w:sz w:val="24"/>
          <w:lang w:val="en-US"/>
        </w:rPr>
        <w:t>2</w:t>
      </w:r>
      <w:r>
        <w:rPr>
          <w:color w:val="auto"/>
          <w:sz w:val="24"/>
        </w:rPr>
        <w:t>.2接受</w:t>
      </w:r>
      <w:r>
        <w:rPr>
          <w:rFonts w:hint="eastAsia"/>
          <w:color w:val="auto"/>
          <w:sz w:val="24"/>
        </w:rPr>
        <w:t>采购人“合同文本”中</w:t>
      </w:r>
      <w:r>
        <w:rPr>
          <w:color w:val="auto"/>
          <w:sz w:val="24"/>
        </w:rPr>
        <w:t>条款的所有要求。</w:t>
      </w:r>
    </w:p>
    <w:p w14:paraId="5E5569A9">
      <w:pPr>
        <w:spacing w:line="360" w:lineRule="auto"/>
        <w:ind w:firstLine="480" w:firstLineChars="200"/>
        <w:rPr>
          <w:color w:val="auto"/>
          <w:sz w:val="24"/>
        </w:rPr>
      </w:pPr>
      <w:r>
        <w:rPr>
          <w:rFonts w:hint="eastAsia"/>
          <w:color w:val="auto"/>
          <w:sz w:val="24"/>
          <w:lang w:val="en-US"/>
        </w:rPr>
        <w:t>2</w:t>
      </w:r>
      <w:r>
        <w:rPr>
          <w:color w:val="auto"/>
          <w:sz w:val="24"/>
        </w:rPr>
        <w:t>.3一旦我方</w:t>
      </w:r>
      <w:r>
        <w:rPr>
          <w:rFonts w:hint="eastAsia"/>
          <w:color w:val="auto"/>
          <w:sz w:val="24"/>
        </w:rPr>
        <w:t>成交</w:t>
      </w:r>
      <w:r>
        <w:rPr>
          <w:color w:val="auto"/>
          <w:sz w:val="24"/>
        </w:rPr>
        <w:t>，保证按</w:t>
      </w:r>
      <w:r>
        <w:rPr>
          <w:rFonts w:hint="eastAsia"/>
          <w:color w:val="auto"/>
          <w:sz w:val="24"/>
        </w:rPr>
        <w:t>磋商</w:t>
      </w:r>
      <w:r>
        <w:rPr>
          <w:color w:val="auto"/>
          <w:sz w:val="24"/>
        </w:rPr>
        <w:t>文件的规定和投标时的相关承诺提供</w:t>
      </w:r>
      <w:r>
        <w:rPr>
          <w:rFonts w:hint="eastAsia"/>
          <w:color w:val="auto"/>
          <w:sz w:val="24"/>
        </w:rPr>
        <w:t>相关产品及</w:t>
      </w:r>
      <w:r>
        <w:rPr>
          <w:color w:val="auto"/>
          <w:sz w:val="24"/>
        </w:rPr>
        <w:t>服务。</w:t>
      </w:r>
    </w:p>
    <w:p w14:paraId="214DC370">
      <w:pPr>
        <w:spacing w:line="360" w:lineRule="auto"/>
        <w:ind w:firstLine="480" w:firstLineChars="200"/>
        <w:rPr>
          <w:color w:val="auto"/>
          <w:sz w:val="24"/>
        </w:rPr>
      </w:pPr>
      <w:r>
        <w:rPr>
          <w:rFonts w:hint="eastAsia"/>
          <w:color w:val="auto"/>
          <w:sz w:val="24"/>
          <w:lang w:val="en-US"/>
        </w:rPr>
        <w:t>2</w:t>
      </w:r>
      <w:r>
        <w:rPr>
          <w:rFonts w:hint="eastAsia"/>
          <w:color w:val="auto"/>
          <w:sz w:val="24"/>
        </w:rPr>
        <w:t>.</w:t>
      </w:r>
      <w:r>
        <w:rPr>
          <w:color w:val="auto"/>
          <w:sz w:val="24"/>
        </w:rPr>
        <w:t>4按</w:t>
      </w:r>
      <w:r>
        <w:rPr>
          <w:rFonts w:hint="eastAsia"/>
          <w:color w:val="auto"/>
          <w:sz w:val="24"/>
        </w:rPr>
        <w:t>磋商</w:t>
      </w:r>
      <w:r>
        <w:rPr>
          <w:color w:val="auto"/>
          <w:sz w:val="24"/>
        </w:rPr>
        <w:t>文件中的规定，认定本</w:t>
      </w:r>
      <w:r>
        <w:rPr>
          <w:rFonts w:hint="eastAsia"/>
          <w:color w:val="auto"/>
          <w:sz w:val="24"/>
        </w:rPr>
        <w:t>响应</w:t>
      </w:r>
      <w:r>
        <w:rPr>
          <w:color w:val="auto"/>
          <w:sz w:val="24"/>
        </w:rPr>
        <w:t>文件的有效期为</w:t>
      </w:r>
      <w:r>
        <w:rPr>
          <w:rFonts w:hint="eastAsia"/>
          <w:color w:val="auto"/>
          <w:sz w:val="24"/>
        </w:rPr>
        <w:t>响应文件递交</w:t>
      </w:r>
      <w:r>
        <w:rPr>
          <w:color w:val="auto"/>
          <w:sz w:val="24"/>
        </w:rPr>
        <w:t>截止</w:t>
      </w:r>
      <w:r>
        <w:rPr>
          <w:rFonts w:hint="eastAsia"/>
          <w:color w:val="auto"/>
          <w:sz w:val="24"/>
        </w:rPr>
        <w:t>日</w:t>
      </w:r>
      <w:r>
        <w:rPr>
          <w:color w:val="auto"/>
          <w:sz w:val="24"/>
        </w:rPr>
        <w:t>后60</w:t>
      </w:r>
      <w:r>
        <w:rPr>
          <w:rFonts w:hint="eastAsia"/>
          <w:color w:val="auto"/>
          <w:sz w:val="24"/>
        </w:rPr>
        <w:t>日历</w:t>
      </w:r>
      <w:r>
        <w:rPr>
          <w:color w:val="auto"/>
          <w:sz w:val="24"/>
        </w:rPr>
        <w:t>天。本</w:t>
      </w:r>
      <w:r>
        <w:rPr>
          <w:rFonts w:hint="eastAsia"/>
          <w:color w:val="auto"/>
          <w:sz w:val="24"/>
        </w:rPr>
        <w:t>响应</w:t>
      </w:r>
      <w:r>
        <w:rPr>
          <w:color w:val="auto"/>
          <w:sz w:val="24"/>
        </w:rPr>
        <w:t>文件在截止</w:t>
      </w:r>
      <w:r>
        <w:rPr>
          <w:rFonts w:hint="eastAsia"/>
          <w:color w:val="auto"/>
          <w:sz w:val="24"/>
        </w:rPr>
        <w:t>日起即</w:t>
      </w:r>
      <w:r>
        <w:rPr>
          <w:color w:val="auto"/>
          <w:sz w:val="24"/>
        </w:rPr>
        <w:t>对我方</w:t>
      </w:r>
      <w:r>
        <w:rPr>
          <w:rFonts w:hint="eastAsia"/>
          <w:color w:val="auto"/>
          <w:sz w:val="24"/>
        </w:rPr>
        <w:t>具</w:t>
      </w:r>
      <w:r>
        <w:rPr>
          <w:color w:val="auto"/>
          <w:sz w:val="24"/>
        </w:rPr>
        <w:t>有约束力</w:t>
      </w:r>
      <w:r>
        <w:rPr>
          <w:rFonts w:hint="eastAsia"/>
          <w:color w:val="auto"/>
          <w:sz w:val="24"/>
        </w:rPr>
        <w:t>。</w:t>
      </w:r>
    </w:p>
    <w:p w14:paraId="320154E1">
      <w:pPr>
        <w:spacing w:line="360" w:lineRule="auto"/>
        <w:ind w:firstLine="480" w:firstLineChars="200"/>
        <w:rPr>
          <w:color w:val="auto"/>
          <w:sz w:val="24"/>
        </w:rPr>
      </w:pPr>
      <w:r>
        <w:rPr>
          <w:rFonts w:hint="eastAsia"/>
          <w:color w:val="auto"/>
          <w:sz w:val="24"/>
          <w:lang w:val="en-US"/>
        </w:rPr>
        <w:t>2</w:t>
      </w:r>
      <w:r>
        <w:rPr>
          <w:rFonts w:hint="eastAsia"/>
          <w:color w:val="auto"/>
          <w:sz w:val="24"/>
        </w:rPr>
        <w:t>.</w:t>
      </w:r>
      <w:r>
        <w:rPr>
          <w:color w:val="auto"/>
          <w:sz w:val="24"/>
        </w:rPr>
        <w:t>5提供</w:t>
      </w:r>
      <w:r>
        <w:rPr>
          <w:rFonts w:hint="eastAsia"/>
          <w:color w:val="auto"/>
          <w:sz w:val="24"/>
        </w:rPr>
        <w:t>磋商</w:t>
      </w:r>
      <w:r>
        <w:rPr>
          <w:color w:val="auto"/>
          <w:sz w:val="24"/>
        </w:rPr>
        <w:t>文件中要求的所有文件资料。</w:t>
      </w:r>
    </w:p>
    <w:p w14:paraId="4FC17BC9">
      <w:pPr>
        <w:spacing w:line="360" w:lineRule="auto"/>
        <w:ind w:firstLine="480" w:firstLineChars="200"/>
        <w:rPr>
          <w:color w:val="auto"/>
          <w:sz w:val="24"/>
        </w:rPr>
      </w:pPr>
      <w:r>
        <w:rPr>
          <w:rFonts w:hint="eastAsia"/>
          <w:color w:val="auto"/>
          <w:sz w:val="24"/>
          <w:lang w:val="en-US"/>
        </w:rPr>
        <w:t>2</w:t>
      </w:r>
      <w:r>
        <w:rPr>
          <w:rFonts w:hint="eastAsia"/>
          <w:color w:val="auto"/>
          <w:sz w:val="24"/>
        </w:rPr>
        <w:t>.</w:t>
      </w:r>
      <w:r>
        <w:rPr>
          <w:color w:val="auto"/>
          <w:sz w:val="24"/>
        </w:rPr>
        <w:t>6承认报价是评标的重要因素，但不是唯一标准。</w:t>
      </w:r>
      <w:r>
        <w:rPr>
          <w:rFonts w:hint="eastAsia"/>
          <w:color w:val="auto"/>
          <w:sz w:val="24"/>
        </w:rPr>
        <w:t>我方完全理解采购人不一定将合同授予最低报价的供应商的行为。</w:t>
      </w:r>
    </w:p>
    <w:p w14:paraId="5D3AD0A6">
      <w:pPr>
        <w:spacing w:line="360" w:lineRule="auto"/>
        <w:ind w:firstLine="480" w:firstLineChars="200"/>
        <w:rPr>
          <w:color w:val="auto"/>
          <w:sz w:val="24"/>
        </w:rPr>
      </w:pPr>
      <w:r>
        <w:rPr>
          <w:rFonts w:hint="eastAsia"/>
          <w:color w:val="auto"/>
          <w:sz w:val="24"/>
          <w:lang w:val="en-US"/>
        </w:rPr>
        <w:t>2</w:t>
      </w:r>
      <w:r>
        <w:rPr>
          <w:rFonts w:hint="eastAsia"/>
          <w:color w:val="auto"/>
          <w:sz w:val="24"/>
        </w:rPr>
        <w:t>.7</w:t>
      </w:r>
      <w:r>
        <w:rPr>
          <w:color w:val="auto"/>
          <w:sz w:val="24"/>
        </w:rPr>
        <w:t>已经详细审核了全部</w:t>
      </w:r>
      <w:r>
        <w:rPr>
          <w:rFonts w:hint="eastAsia"/>
          <w:color w:val="auto"/>
          <w:sz w:val="24"/>
        </w:rPr>
        <w:t>磋商</w:t>
      </w:r>
      <w:r>
        <w:rPr>
          <w:color w:val="auto"/>
          <w:sz w:val="24"/>
        </w:rPr>
        <w:t>文件，包括修改、补充的文件（如果有的话）和参考资料，我们完全理解并同意放弃对这方面有不明及误解的权利。</w:t>
      </w:r>
    </w:p>
    <w:p w14:paraId="562FCF49">
      <w:pPr>
        <w:spacing w:line="360" w:lineRule="auto"/>
        <w:ind w:firstLine="480" w:firstLineChars="200"/>
        <w:rPr>
          <w:color w:val="auto"/>
          <w:sz w:val="24"/>
        </w:rPr>
      </w:pPr>
      <w:r>
        <w:rPr>
          <w:rFonts w:hint="eastAsia"/>
          <w:color w:val="auto"/>
          <w:sz w:val="24"/>
          <w:lang w:val="en-US"/>
        </w:rPr>
        <w:t>2</w:t>
      </w:r>
      <w:r>
        <w:rPr>
          <w:rFonts w:hint="eastAsia"/>
          <w:color w:val="auto"/>
          <w:sz w:val="24"/>
        </w:rPr>
        <w:t>.8</w:t>
      </w:r>
      <w:r>
        <w:rPr>
          <w:color w:val="auto"/>
          <w:sz w:val="24"/>
        </w:rPr>
        <w:t>按《中华人民共和国</w:t>
      </w:r>
      <w:r>
        <w:rPr>
          <w:rFonts w:hint="eastAsia"/>
          <w:color w:val="auto"/>
          <w:sz w:val="24"/>
          <w:lang w:eastAsia="zh-CN"/>
        </w:rPr>
        <w:t>民法典</w:t>
      </w:r>
      <w:r>
        <w:rPr>
          <w:color w:val="auto"/>
          <w:sz w:val="24"/>
        </w:rPr>
        <w:t>》履行自己的全部责任。</w:t>
      </w:r>
    </w:p>
    <w:p w14:paraId="52704E65">
      <w:pPr>
        <w:spacing w:line="400" w:lineRule="exact"/>
        <w:ind w:firstLine="4200" w:firstLineChars="1750"/>
        <w:rPr>
          <w:color w:val="auto"/>
          <w:sz w:val="24"/>
        </w:rPr>
      </w:pPr>
    </w:p>
    <w:p w14:paraId="3DD12AE4">
      <w:pPr>
        <w:spacing w:line="360" w:lineRule="auto"/>
        <w:ind w:firstLine="4200" w:firstLineChars="1750"/>
        <w:rPr>
          <w:color w:val="auto"/>
          <w:sz w:val="24"/>
        </w:rPr>
      </w:pPr>
      <w:r>
        <w:rPr>
          <w:rFonts w:hint="eastAsia"/>
          <w:color w:val="auto"/>
          <w:sz w:val="24"/>
        </w:rPr>
        <w:t>供应商：（公章签章）</w:t>
      </w:r>
    </w:p>
    <w:p w14:paraId="725F2083">
      <w:pPr>
        <w:spacing w:line="360" w:lineRule="auto"/>
        <w:jc w:val="center"/>
        <w:rPr>
          <w:color w:val="auto"/>
          <w:sz w:val="24"/>
        </w:rPr>
      </w:pPr>
      <w:bookmarkStart w:id="319" w:name="_Toc13053_WPSOffice_Level3"/>
      <w:r>
        <w:rPr>
          <w:rFonts w:hint="eastAsia"/>
          <w:color w:val="auto"/>
          <w:sz w:val="24"/>
        </w:rPr>
        <w:t>法定代表人或其委托代理人：（法人签章）</w:t>
      </w:r>
      <w:bookmarkEnd w:id="319"/>
    </w:p>
    <w:p w14:paraId="591C0EFC">
      <w:pPr>
        <w:spacing w:line="360" w:lineRule="auto"/>
        <w:ind w:firstLine="960" w:firstLineChars="400"/>
        <w:jc w:val="both"/>
        <w:rPr>
          <w:color w:val="auto"/>
          <w:sz w:val="24"/>
        </w:rPr>
      </w:pPr>
      <w:r>
        <w:rPr>
          <w:rFonts w:hint="eastAsia"/>
          <w:color w:val="auto"/>
          <w:sz w:val="24"/>
        </w:rPr>
        <w:t xml:space="preserve">                                年  月   日</w:t>
      </w:r>
    </w:p>
    <w:p w14:paraId="6E1F1E75">
      <w:pPr>
        <w:spacing w:before="38" w:line="360" w:lineRule="auto"/>
        <w:ind w:left="887" w:right="909"/>
        <w:jc w:val="center"/>
        <w:rPr>
          <w:b/>
          <w:color w:val="auto"/>
          <w:sz w:val="32"/>
        </w:rPr>
      </w:pPr>
      <w:r>
        <w:rPr>
          <w:b/>
          <w:color w:val="auto"/>
          <w:sz w:val="32"/>
        </w:rPr>
        <w:br w:type="page"/>
      </w:r>
    </w:p>
    <w:p w14:paraId="3734CFD8">
      <w:pPr>
        <w:spacing w:line="360" w:lineRule="auto"/>
        <w:jc w:val="center"/>
        <w:outlineLvl w:val="2"/>
        <w:rPr>
          <w:color w:val="auto"/>
          <w:sz w:val="28"/>
          <w:szCs w:val="20"/>
          <w:lang w:val="en-US"/>
        </w:rPr>
      </w:pPr>
      <w:bookmarkStart w:id="320" w:name="_Toc403418420"/>
      <w:bookmarkStart w:id="321" w:name="_Toc403418354"/>
      <w:bookmarkStart w:id="322" w:name="_Toc216842529"/>
      <w:bookmarkStart w:id="323" w:name="_Toc20293"/>
      <w:bookmarkStart w:id="324" w:name="_Toc13604_WPSOffice_Level2"/>
      <w:bookmarkStart w:id="325" w:name="_Toc25194"/>
      <w:bookmarkStart w:id="326" w:name="_Toc14822"/>
      <w:r>
        <w:rPr>
          <w:rFonts w:hint="eastAsia"/>
          <w:color w:val="auto"/>
          <w:sz w:val="28"/>
          <w:szCs w:val="20"/>
          <w:lang w:val="en-US"/>
        </w:rPr>
        <w:t>（二）</w:t>
      </w:r>
      <w:bookmarkEnd w:id="320"/>
      <w:bookmarkEnd w:id="321"/>
      <w:bookmarkEnd w:id="322"/>
      <w:r>
        <w:rPr>
          <w:rFonts w:hint="eastAsia"/>
          <w:color w:val="auto"/>
          <w:sz w:val="28"/>
          <w:szCs w:val="20"/>
          <w:lang w:val="en-US"/>
        </w:rPr>
        <w:t>磋商函附录</w:t>
      </w:r>
      <w:bookmarkEnd w:id="323"/>
      <w:bookmarkEnd w:id="324"/>
      <w:bookmarkEnd w:id="325"/>
      <w:bookmarkEnd w:id="326"/>
    </w:p>
    <w:tbl>
      <w:tblPr>
        <w:tblStyle w:val="20"/>
        <w:tblW w:w="8715" w:type="dxa"/>
        <w:tblInd w:w="-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5"/>
        <w:gridCol w:w="2955"/>
        <w:gridCol w:w="1275"/>
        <w:gridCol w:w="2430"/>
      </w:tblGrid>
      <w:tr w14:paraId="77ADE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2055" w:type="dxa"/>
            <w:vAlign w:val="center"/>
          </w:tcPr>
          <w:p w14:paraId="14A57C71">
            <w:pPr>
              <w:adjustRightInd w:val="0"/>
              <w:snapToGrid w:val="0"/>
              <w:spacing w:line="300" w:lineRule="exact"/>
              <w:jc w:val="center"/>
              <w:rPr>
                <w:rFonts w:ascii="宋体" w:hAnsi="宋体" w:cs="宋体"/>
                <w:color w:val="auto"/>
                <w:sz w:val="24"/>
              </w:rPr>
            </w:pPr>
            <w:r>
              <w:rPr>
                <w:rFonts w:hint="eastAsia" w:ascii="宋体" w:hAnsi="宋体" w:cs="宋体"/>
                <w:color w:val="auto"/>
                <w:sz w:val="24"/>
              </w:rPr>
              <w:t>项目名称</w:t>
            </w:r>
          </w:p>
        </w:tc>
        <w:tc>
          <w:tcPr>
            <w:tcW w:w="6660" w:type="dxa"/>
            <w:gridSpan w:val="3"/>
            <w:vAlign w:val="center"/>
          </w:tcPr>
          <w:p w14:paraId="5C6B0D97">
            <w:pPr>
              <w:adjustRightInd w:val="0"/>
              <w:snapToGrid w:val="0"/>
              <w:spacing w:line="300" w:lineRule="exact"/>
              <w:jc w:val="center"/>
              <w:rPr>
                <w:rFonts w:ascii="宋体" w:hAnsi="宋体" w:cs="宋体"/>
                <w:color w:val="auto"/>
                <w:sz w:val="24"/>
              </w:rPr>
            </w:pPr>
          </w:p>
        </w:tc>
      </w:tr>
      <w:tr w14:paraId="07D50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2055" w:type="dxa"/>
            <w:vAlign w:val="center"/>
          </w:tcPr>
          <w:p w14:paraId="5E34E8F3">
            <w:pPr>
              <w:adjustRightInd w:val="0"/>
              <w:snapToGrid w:val="0"/>
              <w:spacing w:line="300" w:lineRule="exact"/>
              <w:jc w:val="center"/>
              <w:rPr>
                <w:rFonts w:hint="eastAsia" w:ascii="宋体" w:hAnsi="宋体" w:eastAsia="宋体" w:cs="宋体"/>
                <w:color w:val="auto"/>
                <w:sz w:val="24"/>
                <w:lang w:eastAsia="zh-CN"/>
              </w:rPr>
            </w:pPr>
            <w:r>
              <w:rPr>
                <w:rFonts w:hint="eastAsia" w:ascii="宋体" w:hAnsi="宋体" w:cs="宋体"/>
                <w:color w:val="auto"/>
                <w:sz w:val="24"/>
              </w:rPr>
              <w:t>供应商</w:t>
            </w:r>
            <w:r>
              <w:rPr>
                <w:rFonts w:hint="eastAsia" w:ascii="宋体" w:hAnsi="宋体" w:cs="宋体"/>
                <w:color w:val="auto"/>
                <w:sz w:val="24"/>
                <w:lang w:eastAsia="zh-CN"/>
              </w:rPr>
              <w:t>名称</w:t>
            </w:r>
          </w:p>
        </w:tc>
        <w:tc>
          <w:tcPr>
            <w:tcW w:w="6660" w:type="dxa"/>
            <w:gridSpan w:val="3"/>
            <w:vAlign w:val="center"/>
          </w:tcPr>
          <w:p w14:paraId="2308F270">
            <w:pPr>
              <w:adjustRightInd w:val="0"/>
              <w:snapToGrid w:val="0"/>
              <w:spacing w:line="300" w:lineRule="exact"/>
              <w:jc w:val="center"/>
              <w:rPr>
                <w:rFonts w:ascii="宋体" w:hAnsi="宋体" w:cs="宋体"/>
                <w:color w:val="auto"/>
                <w:sz w:val="24"/>
              </w:rPr>
            </w:pPr>
          </w:p>
        </w:tc>
      </w:tr>
      <w:tr w14:paraId="42470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2055" w:type="dxa"/>
            <w:vAlign w:val="center"/>
          </w:tcPr>
          <w:p w14:paraId="4EAF0251">
            <w:pPr>
              <w:adjustRightInd w:val="0"/>
              <w:snapToGrid w:val="0"/>
              <w:spacing w:line="300" w:lineRule="exact"/>
              <w:jc w:val="center"/>
              <w:rPr>
                <w:rFonts w:hint="eastAsia" w:ascii="宋体" w:hAnsi="宋体" w:eastAsia="宋体" w:cs="宋体"/>
                <w:color w:val="auto"/>
                <w:sz w:val="24"/>
                <w:lang w:val="en-US" w:eastAsia="zh-CN"/>
              </w:rPr>
            </w:pPr>
            <w:r>
              <w:rPr>
                <w:rFonts w:hint="eastAsia" w:cs="宋体"/>
                <w:color w:val="auto"/>
                <w:sz w:val="24"/>
                <w:lang w:val="en-US" w:eastAsia="zh-CN"/>
              </w:rPr>
              <w:t>企业资质</w:t>
            </w:r>
          </w:p>
        </w:tc>
        <w:tc>
          <w:tcPr>
            <w:tcW w:w="6660" w:type="dxa"/>
            <w:gridSpan w:val="3"/>
            <w:vAlign w:val="center"/>
          </w:tcPr>
          <w:p w14:paraId="1C28DDE3">
            <w:pPr>
              <w:adjustRightInd w:val="0"/>
              <w:snapToGrid w:val="0"/>
              <w:spacing w:line="380" w:lineRule="exact"/>
              <w:jc w:val="center"/>
              <w:rPr>
                <w:rFonts w:ascii="宋体" w:hAnsi="宋体" w:cs="宋体"/>
                <w:color w:val="auto"/>
                <w:sz w:val="24"/>
              </w:rPr>
            </w:pPr>
          </w:p>
        </w:tc>
      </w:tr>
      <w:tr w14:paraId="30AAA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2055" w:type="dxa"/>
            <w:vAlign w:val="center"/>
          </w:tcPr>
          <w:p w14:paraId="5049D122">
            <w:pPr>
              <w:adjustRightInd w:val="0"/>
              <w:snapToGrid w:val="0"/>
              <w:spacing w:line="300" w:lineRule="exact"/>
              <w:jc w:val="center"/>
              <w:rPr>
                <w:rFonts w:ascii="宋体" w:hAnsi="宋体" w:cs="宋体"/>
                <w:color w:val="auto"/>
                <w:sz w:val="24"/>
              </w:rPr>
            </w:pPr>
            <w:r>
              <w:rPr>
                <w:rFonts w:hint="eastAsia" w:ascii="宋体" w:hAnsi="宋体" w:cs="宋体"/>
                <w:color w:val="auto"/>
                <w:sz w:val="24"/>
              </w:rPr>
              <w:t>投标内容</w:t>
            </w:r>
          </w:p>
        </w:tc>
        <w:tc>
          <w:tcPr>
            <w:tcW w:w="6660" w:type="dxa"/>
            <w:gridSpan w:val="3"/>
            <w:vAlign w:val="center"/>
          </w:tcPr>
          <w:p w14:paraId="2E6E7968">
            <w:pPr>
              <w:adjustRightInd w:val="0"/>
              <w:snapToGrid w:val="0"/>
              <w:spacing w:line="380" w:lineRule="exact"/>
              <w:jc w:val="center"/>
              <w:rPr>
                <w:rFonts w:ascii="宋体" w:hAnsi="宋体" w:cs="宋体"/>
                <w:color w:val="auto"/>
                <w:sz w:val="24"/>
              </w:rPr>
            </w:pPr>
          </w:p>
        </w:tc>
      </w:tr>
      <w:tr w14:paraId="10484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trPr>
        <w:tc>
          <w:tcPr>
            <w:tcW w:w="2055" w:type="dxa"/>
            <w:vAlign w:val="center"/>
          </w:tcPr>
          <w:p w14:paraId="6D714050">
            <w:pPr>
              <w:adjustRightInd w:val="0"/>
              <w:snapToGrid w:val="0"/>
              <w:spacing w:line="300" w:lineRule="exact"/>
              <w:jc w:val="center"/>
              <w:rPr>
                <w:rFonts w:hint="eastAsia" w:ascii="宋体" w:hAnsi="宋体" w:eastAsia="宋体" w:cs="宋体"/>
                <w:color w:val="auto"/>
                <w:sz w:val="24"/>
                <w:lang w:eastAsia="zh-CN"/>
              </w:rPr>
            </w:pPr>
            <w:r>
              <w:rPr>
                <w:rFonts w:hint="eastAsia" w:ascii="宋体" w:hAnsi="宋体" w:cs="宋体"/>
                <w:color w:val="auto"/>
                <w:sz w:val="24"/>
              </w:rPr>
              <w:t>投标报价</w:t>
            </w:r>
          </w:p>
        </w:tc>
        <w:tc>
          <w:tcPr>
            <w:tcW w:w="6660" w:type="dxa"/>
            <w:gridSpan w:val="3"/>
            <w:vAlign w:val="center"/>
          </w:tcPr>
          <w:p w14:paraId="2177841B">
            <w:pPr>
              <w:adjustRightInd w:val="0"/>
              <w:snapToGrid w:val="0"/>
              <w:spacing w:line="380" w:lineRule="exact"/>
              <w:jc w:val="both"/>
              <w:rPr>
                <w:rFonts w:hint="eastAsia" w:cs="宋体"/>
                <w:color w:val="auto"/>
                <w:sz w:val="24"/>
                <w:u w:val="single"/>
                <w:lang w:val="en-US" w:eastAsia="zh-CN"/>
              </w:rPr>
            </w:pPr>
            <w:r>
              <w:rPr>
                <w:rFonts w:hint="eastAsia" w:cs="宋体"/>
                <w:color w:val="auto"/>
                <w:sz w:val="24"/>
                <w:u w:val="single"/>
                <w:lang w:val="en-US" w:eastAsia="zh-CN"/>
              </w:rPr>
              <w:t>大写：</w:t>
            </w:r>
          </w:p>
          <w:p w14:paraId="16846264">
            <w:pPr>
              <w:adjustRightInd w:val="0"/>
              <w:snapToGrid w:val="0"/>
              <w:spacing w:line="380" w:lineRule="exact"/>
              <w:jc w:val="both"/>
              <w:rPr>
                <w:rFonts w:hint="default"/>
                <w:lang w:val="en-US" w:eastAsia="zh-CN"/>
              </w:rPr>
            </w:pPr>
            <w:r>
              <w:rPr>
                <w:rFonts w:hint="eastAsia" w:cs="宋体"/>
                <w:color w:val="auto"/>
                <w:sz w:val="24"/>
                <w:u w:val="single"/>
                <w:lang w:val="en-US" w:eastAsia="zh-CN"/>
              </w:rPr>
              <w:t>小写:</w:t>
            </w:r>
          </w:p>
        </w:tc>
      </w:tr>
      <w:tr w14:paraId="07F36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2055" w:type="dxa"/>
            <w:vAlign w:val="center"/>
          </w:tcPr>
          <w:p w14:paraId="0DCDB7BE">
            <w:pPr>
              <w:adjustRightInd w:val="0"/>
              <w:snapToGrid w:val="0"/>
              <w:spacing w:line="300" w:lineRule="exact"/>
              <w:jc w:val="center"/>
              <w:rPr>
                <w:rFonts w:ascii="宋体" w:hAnsi="宋体" w:cs="宋体"/>
                <w:color w:val="auto"/>
                <w:sz w:val="24"/>
              </w:rPr>
            </w:pPr>
            <w:r>
              <w:rPr>
                <w:rFonts w:hint="eastAsia" w:ascii="宋体" w:hAnsi="宋体" w:cs="宋体"/>
                <w:color w:val="auto"/>
                <w:sz w:val="24"/>
              </w:rPr>
              <w:t>项目负责人</w:t>
            </w:r>
          </w:p>
        </w:tc>
        <w:tc>
          <w:tcPr>
            <w:tcW w:w="2955" w:type="dxa"/>
            <w:vAlign w:val="center"/>
          </w:tcPr>
          <w:p w14:paraId="01168C60">
            <w:pPr>
              <w:adjustRightInd w:val="0"/>
              <w:snapToGrid w:val="0"/>
              <w:spacing w:line="300" w:lineRule="exact"/>
              <w:jc w:val="center"/>
              <w:rPr>
                <w:rFonts w:ascii="宋体" w:hAnsi="宋体" w:cs="宋体"/>
                <w:color w:val="auto"/>
                <w:sz w:val="24"/>
              </w:rPr>
            </w:pPr>
          </w:p>
        </w:tc>
        <w:tc>
          <w:tcPr>
            <w:tcW w:w="1275" w:type="dxa"/>
            <w:vAlign w:val="center"/>
          </w:tcPr>
          <w:p w14:paraId="14BE6798">
            <w:pPr>
              <w:adjustRightInd w:val="0"/>
              <w:snapToGrid w:val="0"/>
              <w:spacing w:line="300" w:lineRule="exact"/>
              <w:jc w:val="center"/>
              <w:rPr>
                <w:rFonts w:ascii="宋体" w:hAnsi="宋体" w:cs="宋体"/>
                <w:color w:val="auto"/>
                <w:sz w:val="24"/>
              </w:rPr>
            </w:pPr>
            <w:r>
              <w:rPr>
                <w:rFonts w:hint="eastAsia" w:ascii="宋体" w:hAnsi="宋体" w:cs="宋体"/>
                <w:color w:val="auto"/>
                <w:sz w:val="24"/>
              </w:rPr>
              <w:t>联系方式</w:t>
            </w:r>
          </w:p>
        </w:tc>
        <w:tc>
          <w:tcPr>
            <w:tcW w:w="2430" w:type="dxa"/>
            <w:vAlign w:val="center"/>
          </w:tcPr>
          <w:p w14:paraId="64EECC24">
            <w:pPr>
              <w:adjustRightInd w:val="0"/>
              <w:snapToGrid w:val="0"/>
              <w:spacing w:line="300" w:lineRule="exact"/>
              <w:jc w:val="center"/>
              <w:rPr>
                <w:rFonts w:ascii="宋体" w:hAnsi="宋体" w:cs="宋体"/>
                <w:color w:val="auto"/>
                <w:sz w:val="24"/>
              </w:rPr>
            </w:pPr>
          </w:p>
        </w:tc>
      </w:tr>
      <w:tr w14:paraId="4A17F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2055" w:type="dxa"/>
            <w:vAlign w:val="center"/>
          </w:tcPr>
          <w:p w14:paraId="53645B6E">
            <w:pPr>
              <w:adjustRightInd w:val="0"/>
              <w:snapToGrid w:val="0"/>
              <w:spacing w:line="300" w:lineRule="exact"/>
              <w:jc w:val="center"/>
              <w:rPr>
                <w:rFonts w:ascii="宋体" w:hAnsi="宋体" w:cs="宋体"/>
                <w:color w:val="auto"/>
                <w:sz w:val="24"/>
              </w:rPr>
            </w:pPr>
            <w:r>
              <w:rPr>
                <w:rFonts w:hint="eastAsia" w:ascii="宋体" w:hAnsi="宋体" w:cs="宋体"/>
                <w:color w:val="auto"/>
                <w:sz w:val="24"/>
                <w:lang w:eastAsia="zh-CN"/>
              </w:rPr>
              <w:t>设计</w:t>
            </w:r>
            <w:r>
              <w:rPr>
                <w:rFonts w:hint="eastAsia" w:ascii="宋体" w:hAnsi="宋体" w:cs="宋体"/>
                <w:color w:val="auto"/>
                <w:sz w:val="24"/>
              </w:rPr>
              <w:t>周期</w:t>
            </w:r>
          </w:p>
        </w:tc>
        <w:tc>
          <w:tcPr>
            <w:tcW w:w="6660" w:type="dxa"/>
            <w:gridSpan w:val="3"/>
            <w:vAlign w:val="center"/>
          </w:tcPr>
          <w:p w14:paraId="76EED3F9">
            <w:pPr>
              <w:adjustRightInd w:val="0"/>
              <w:snapToGrid w:val="0"/>
              <w:spacing w:line="300" w:lineRule="exact"/>
              <w:jc w:val="center"/>
              <w:rPr>
                <w:rFonts w:ascii="宋体" w:hAnsi="宋体" w:cs="宋体"/>
                <w:color w:val="auto"/>
                <w:sz w:val="24"/>
              </w:rPr>
            </w:pPr>
          </w:p>
        </w:tc>
      </w:tr>
      <w:tr w14:paraId="40921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2055" w:type="dxa"/>
            <w:vAlign w:val="center"/>
          </w:tcPr>
          <w:p w14:paraId="75717850">
            <w:pPr>
              <w:adjustRightInd w:val="0"/>
              <w:snapToGrid w:val="0"/>
              <w:spacing w:line="300" w:lineRule="exact"/>
              <w:jc w:val="center"/>
              <w:rPr>
                <w:rFonts w:ascii="宋体" w:hAnsi="宋体" w:cs="宋体"/>
                <w:color w:val="auto"/>
                <w:sz w:val="24"/>
              </w:rPr>
            </w:pPr>
            <w:r>
              <w:rPr>
                <w:rFonts w:hint="eastAsia" w:ascii="宋体" w:hAnsi="宋体" w:cs="宋体"/>
                <w:color w:val="auto"/>
                <w:sz w:val="24"/>
              </w:rPr>
              <w:t>质量标准</w:t>
            </w:r>
          </w:p>
        </w:tc>
        <w:tc>
          <w:tcPr>
            <w:tcW w:w="6660" w:type="dxa"/>
            <w:gridSpan w:val="3"/>
            <w:vAlign w:val="center"/>
          </w:tcPr>
          <w:p w14:paraId="0C482792">
            <w:pPr>
              <w:adjustRightInd w:val="0"/>
              <w:snapToGrid w:val="0"/>
              <w:spacing w:line="300" w:lineRule="exact"/>
              <w:jc w:val="center"/>
              <w:rPr>
                <w:rFonts w:ascii="宋体" w:hAnsi="宋体" w:cs="宋体"/>
                <w:color w:val="auto"/>
                <w:sz w:val="24"/>
              </w:rPr>
            </w:pPr>
          </w:p>
        </w:tc>
      </w:tr>
      <w:tr w14:paraId="7863A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2055" w:type="dxa"/>
            <w:vAlign w:val="center"/>
          </w:tcPr>
          <w:p w14:paraId="1C97E9F6">
            <w:pPr>
              <w:adjustRightInd w:val="0"/>
              <w:snapToGrid w:val="0"/>
              <w:spacing w:line="300" w:lineRule="exact"/>
              <w:jc w:val="center"/>
              <w:rPr>
                <w:rFonts w:ascii="宋体" w:hAnsi="宋体" w:cs="宋体"/>
                <w:color w:val="auto"/>
                <w:sz w:val="24"/>
              </w:rPr>
            </w:pPr>
            <w:r>
              <w:rPr>
                <w:rFonts w:hint="eastAsia" w:ascii="宋体" w:hAnsi="宋体" w:cs="宋体"/>
                <w:color w:val="auto"/>
                <w:sz w:val="24"/>
              </w:rPr>
              <w:t>投标有效期</w:t>
            </w:r>
          </w:p>
        </w:tc>
        <w:tc>
          <w:tcPr>
            <w:tcW w:w="6660" w:type="dxa"/>
            <w:gridSpan w:val="3"/>
            <w:vAlign w:val="center"/>
          </w:tcPr>
          <w:p w14:paraId="09B89CAB">
            <w:pPr>
              <w:adjustRightInd w:val="0"/>
              <w:snapToGrid w:val="0"/>
              <w:spacing w:line="300" w:lineRule="exact"/>
              <w:jc w:val="center"/>
              <w:rPr>
                <w:rFonts w:ascii="宋体" w:hAnsi="宋体" w:cs="宋体"/>
                <w:color w:val="auto"/>
                <w:sz w:val="24"/>
              </w:rPr>
            </w:pPr>
          </w:p>
        </w:tc>
      </w:tr>
      <w:tr w14:paraId="4EAE4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2055" w:type="dxa"/>
            <w:vAlign w:val="center"/>
          </w:tcPr>
          <w:p w14:paraId="2150C237">
            <w:pPr>
              <w:adjustRightInd w:val="0"/>
              <w:snapToGrid w:val="0"/>
              <w:spacing w:line="300" w:lineRule="exact"/>
              <w:jc w:val="center"/>
              <w:rPr>
                <w:rFonts w:ascii="宋体" w:hAnsi="宋体" w:cs="宋体"/>
                <w:color w:val="auto"/>
                <w:sz w:val="24"/>
              </w:rPr>
            </w:pPr>
            <w:r>
              <w:rPr>
                <w:rFonts w:hint="eastAsia" w:ascii="宋体" w:hAnsi="宋体" w:cs="宋体"/>
                <w:color w:val="auto"/>
                <w:sz w:val="24"/>
              </w:rPr>
              <w:t>备注</w:t>
            </w:r>
          </w:p>
        </w:tc>
        <w:tc>
          <w:tcPr>
            <w:tcW w:w="6660" w:type="dxa"/>
            <w:gridSpan w:val="3"/>
            <w:vAlign w:val="center"/>
          </w:tcPr>
          <w:p w14:paraId="3254869A">
            <w:pPr>
              <w:adjustRightInd w:val="0"/>
              <w:snapToGrid w:val="0"/>
              <w:spacing w:line="300" w:lineRule="exact"/>
              <w:jc w:val="center"/>
              <w:rPr>
                <w:rFonts w:ascii="宋体" w:hAnsi="宋体" w:cs="宋体"/>
                <w:color w:val="auto"/>
                <w:sz w:val="24"/>
              </w:rPr>
            </w:pPr>
          </w:p>
        </w:tc>
      </w:tr>
    </w:tbl>
    <w:p w14:paraId="238BF5CB">
      <w:pPr>
        <w:spacing w:line="300" w:lineRule="exact"/>
        <w:rPr>
          <w:color w:val="auto"/>
          <w:szCs w:val="21"/>
        </w:rPr>
      </w:pPr>
    </w:p>
    <w:p w14:paraId="3F5C7DF7">
      <w:pPr>
        <w:spacing w:line="360" w:lineRule="exact"/>
        <w:rPr>
          <w:b/>
          <w:bCs/>
          <w:color w:val="auto"/>
          <w:szCs w:val="21"/>
        </w:rPr>
      </w:pPr>
      <w:r>
        <w:rPr>
          <w:rFonts w:hint="eastAsia"/>
          <w:b/>
          <w:bCs/>
          <w:color w:val="auto"/>
          <w:szCs w:val="21"/>
        </w:rPr>
        <w:t>注：1、投标报价仅且只有一个有效报价，不得出现两个及以上报价，否则作废标处理。</w:t>
      </w:r>
    </w:p>
    <w:p w14:paraId="08224C4C">
      <w:pPr>
        <w:spacing w:line="360" w:lineRule="exact"/>
        <w:rPr>
          <w:color w:val="auto"/>
          <w:szCs w:val="21"/>
        </w:rPr>
      </w:pPr>
      <w:r>
        <w:rPr>
          <w:rFonts w:hint="eastAsia"/>
          <w:b/>
          <w:bCs/>
          <w:color w:val="auto"/>
          <w:szCs w:val="21"/>
        </w:rPr>
        <w:t>2、此处为第一轮报价供</w:t>
      </w:r>
      <w:r>
        <w:rPr>
          <w:rFonts w:hint="eastAsia"/>
          <w:b/>
          <w:bCs/>
          <w:color w:val="auto"/>
          <w:szCs w:val="21"/>
          <w:lang w:eastAsia="zh-CN"/>
        </w:rPr>
        <w:t>磋商</w:t>
      </w:r>
      <w:r>
        <w:rPr>
          <w:rFonts w:hint="eastAsia"/>
          <w:b/>
          <w:bCs/>
          <w:color w:val="auto"/>
          <w:szCs w:val="21"/>
        </w:rPr>
        <w:t>小组在评审时参考比较，此时的最低报价并不是成交的条件。</w:t>
      </w:r>
    </w:p>
    <w:p w14:paraId="7BA3E6D0">
      <w:pPr>
        <w:spacing w:line="300" w:lineRule="exact"/>
        <w:rPr>
          <w:color w:val="auto"/>
          <w:szCs w:val="21"/>
        </w:rPr>
      </w:pPr>
    </w:p>
    <w:p w14:paraId="0EB070D6">
      <w:pPr>
        <w:spacing w:line="300" w:lineRule="exact"/>
        <w:rPr>
          <w:color w:val="auto"/>
          <w:szCs w:val="21"/>
        </w:rPr>
      </w:pPr>
    </w:p>
    <w:p w14:paraId="39A19EDE">
      <w:pPr>
        <w:spacing w:line="300" w:lineRule="exact"/>
        <w:ind w:firstLine="3600" w:firstLineChars="1500"/>
        <w:rPr>
          <w:color w:val="auto"/>
          <w:sz w:val="24"/>
        </w:rPr>
      </w:pPr>
      <w:r>
        <w:rPr>
          <w:rFonts w:hint="eastAsia"/>
          <w:color w:val="auto"/>
          <w:sz w:val="24"/>
        </w:rPr>
        <w:t>供应商：（公章签章）</w:t>
      </w:r>
    </w:p>
    <w:p w14:paraId="100E6BC2">
      <w:pPr>
        <w:spacing w:line="300" w:lineRule="exact"/>
        <w:rPr>
          <w:color w:val="auto"/>
          <w:sz w:val="24"/>
        </w:rPr>
      </w:pPr>
    </w:p>
    <w:p w14:paraId="16891685">
      <w:pPr>
        <w:spacing w:line="300" w:lineRule="exact"/>
        <w:ind w:firstLine="3600" w:firstLineChars="1500"/>
        <w:rPr>
          <w:color w:val="auto"/>
          <w:sz w:val="24"/>
        </w:rPr>
      </w:pPr>
      <w:r>
        <w:rPr>
          <w:rFonts w:hint="eastAsia"/>
          <w:color w:val="auto"/>
          <w:sz w:val="24"/>
        </w:rPr>
        <w:t>联系人：          电话 ：</w:t>
      </w:r>
    </w:p>
    <w:p w14:paraId="29E1AF74">
      <w:pPr>
        <w:spacing w:line="300" w:lineRule="exact"/>
        <w:rPr>
          <w:color w:val="auto"/>
          <w:sz w:val="24"/>
        </w:rPr>
      </w:pPr>
    </w:p>
    <w:p w14:paraId="256DA17F">
      <w:pPr>
        <w:spacing w:line="300" w:lineRule="exact"/>
        <w:ind w:firstLine="3600" w:firstLineChars="1500"/>
        <w:rPr>
          <w:color w:val="auto"/>
          <w:sz w:val="24"/>
        </w:rPr>
      </w:pPr>
      <w:r>
        <w:rPr>
          <w:rFonts w:hint="eastAsia"/>
          <w:color w:val="auto"/>
          <w:sz w:val="24"/>
        </w:rPr>
        <w:t xml:space="preserve">法定代表人或其委托代理人：（法人签章）       </w:t>
      </w:r>
    </w:p>
    <w:p w14:paraId="27F01E1E">
      <w:pPr>
        <w:spacing w:line="300" w:lineRule="exact"/>
        <w:rPr>
          <w:color w:val="auto"/>
          <w:sz w:val="24"/>
        </w:rPr>
      </w:pPr>
    </w:p>
    <w:p w14:paraId="37B7E871">
      <w:pPr>
        <w:spacing w:line="300" w:lineRule="exact"/>
        <w:ind w:firstLine="3600" w:firstLineChars="1500"/>
        <w:rPr>
          <w:color w:val="auto"/>
          <w:sz w:val="24"/>
        </w:rPr>
      </w:pPr>
      <w:r>
        <w:rPr>
          <w:rFonts w:hint="eastAsia"/>
          <w:color w:val="auto"/>
          <w:sz w:val="24"/>
        </w:rPr>
        <w:t>日期：     年   月   日</w:t>
      </w:r>
    </w:p>
    <w:p w14:paraId="61A7A266">
      <w:pPr>
        <w:spacing w:before="38"/>
        <w:ind w:right="909"/>
        <w:jc w:val="both"/>
        <w:rPr>
          <w:b/>
          <w:color w:val="auto"/>
          <w:sz w:val="32"/>
        </w:rPr>
      </w:pPr>
      <w:r>
        <w:rPr>
          <w:b/>
          <w:color w:val="auto"/>
          <w:sz w:val="32"/>
        </w:rPr>
        <w:br w:type="page"/>
      </w:r>
    </w:p>
    <w:p w14:paraId="0ADA3E2B">
      <w:pPr>
        <w:pStyle w:val="37"/>
        <w:ind w:left="0"/>
        <w:jc w:val="center"/>
        <w:outlineLvl w:val="0"/>
        <w:rPr>
          <w:rFonts w:ascii="宋体" w:hAnsi="宋体"/>
          <w:color w:val="auto"/>
        </w:rPr>
      </w:pPr>
      <w:bookmarkStart w:id="327" w:name="_Toc467255652"/>
      <w:bookmarkStart w:id="328" w:name="_Toc424308521"/>
      <w:bookmarkStart w:id="329" w:name="_Toc465887466"/>
      <w:bookmarkStart w:id="330" w:name="_Toc29682"/>
      <w:bookmarkStart w:id="331" w:name="_Toc4976_WPSOffice_Level1"/>
      <w:bookmarkStart w:id="332" w:name="_Toc118"/>
      <w:bookmarkStart w:id="333" w:name="_Toc30441"/>
      <w:r>
        <w:rPr>
          <w:rFonts w:hint="eastAsia" w:ascii="宋体" w:hAnsi="宋体"/>
          <w:color w:val="auto"/>
        </w:rPr>
        <w:t>二、法定代表人身份证明</w:t>
      </w:r>
      <w:bookmarkEnd w:id="327"/>
      <w:bookmarkEnd w:id="328"/>
      <w:bookmarkEnd w:id="329"/>
      <w:bookmarkEnd w:id="330"/>
      <w:bookmarkEnd w:id="331"/>
      <w:bookmarkEnd w:id="332"/>
      <w:bookmarkEnd w:id="333"/>
    </w:p>
    <w:p w14:paraId="56DDEAD2">
      <w:pPr>
        <w:pStyle w:val="3"/>
        <w:tabs>
          <w:tab w:val="left" w:pos="720"/>
        </w:tabs>
        <w:snapToGrid w:val="0"/>
        <w:spacing w:before="0"/>
        <w:ind w:left="0"/>
        <w:outlineLvl w:val="9"/>
        <w:rPr>
          <w:b w:val="0"/>
          <w:color w:val="auto"/>
          <w:sz w:val="24"/>
          <w:szCs w:val="24"/>
        </w:rPr>
      </w:pPr>
      <w:bookmarkStart w:id="334" w:name="_Toc424308522"/>
      <w:bookmarkStart w:id="335" w:name="_Toc467255653"/>
      <w:bookmarkStart w:id="336" w:name="_Toc32377"/>
      <w:bookmarkStart w:id="337" w:name="_Toc465887467"/>
    </w:p>
    <w:p w14:paraId="107BDBE6">
      <w:pPr>
        <w:pStyle w:val="3"/>
        <w:tabs>
          <w:tab w:val="left" w:pos="720"/>
        </w:tabs>
        <w:snapToGrid w:val="0"/>
        <w:spacing w:before="0"/>
        <w:ind w:left="0"/>
        <w:rPr>
          <w:b w:val="0"/>
          <w:color w:val="auto"/>
          <w:sz w:val="24"/>
          <w:szCs w:val="24"/>
        </w:rPr>
      </w:pPr>
      <w:r>
        <w:rPr>
          <w:rFonts w:hint="eastAsia"/>
          <w:b w:val="0"/>
          <w:color w:val="auto"/>
          <w:sz w:val="24"/>
          <w:szCs w:val="24"/>
        </w:rPr>
        <w:t>单位名称：</w:t>
      </w:r>
      <w:bookmarkEnd w:id="334"/>
      <w:bookmarkEnd w:id="335"/>
      <w:bookmarkEnd w:id="336"/>
      <w:bookmarkEnd w:id="337"/>
    </w:p>
    <w:p w14:paraId="1C5AACAA">
      <w:pPr>
        <w:snapToGrid w:val="0"/>
        <w:rPr>
          <w:color w:val="auto"/>
          <w:sz w:val="24"/>
        </w:rPr>
      </w:pPr>
    </w:p>
    <w:p w14:paraId="2D3BEF2A">
      <w:pPr>
        <w:snapToGrid w:val="0"/>
        <w:rPr>
          <w:color w:val="auto"/>
          <w:sz w:val="24"/>
        </w:rPr>
      </w:pPr>
      <w:r>
        <w:rPr>
          <w:rFonts w:hint="eastAsia"/>
          <w:color w:val="auto"/>
          <w:sz w:val="24"/>
        </w:rPr>
        <w:t>单位性质：</w:t>
      </w:r>
    </w:p>
    <w:p w14:paraId="63A67E75">
      <w:pPr>
        <w:snapToGrid w:val="0"/>
        <w:rPr>
          <w:color w:val="auto"/>
          <w:sz w:val="24"/>
        </w:rPr>
      </w:pPr>
    </w:p>
    <w:p w14:paraId="1DDCF181">
      <w:pPr>
        <w:snapToGrid w:val="0"/>
        <w:rPr>
          <w:color w:val="auto"/>
          <w:sz w:val="24"/>
        </w:rPr>
      </w:pPr>
      <w:r>
        <w:rPr>
          <w:rFonts w:hint="eastAsia"/>
          <w:color w:val="auto"/>
          <w:sz w:val="24"/>
        </w:rPr>
        <w:t>地   址：</w:t>
      </w:r>
    </w:p>
    <w:p w14:paraId="48638871">
      <w:pPr>
        <w:snapToGrid w:val="0"/>
        <w:rPr>
          <w:color w:val="auto"/>
          <w:sz w:val="24"/>
        </w:rPr>
      </w:pPr>
    </w:p>
    <w:p w14:paraId="606735E7">
      <w:pPr>
        <w:snapToGrid w:val="0"/>
        <w:rPr>
          <w:color w:val="auto"/>
          <w:sz w:val="24"/>
        </w:rPr>
      </w:pPr>
      <w:r>
        <w:rPr>
          <w:rFonts w:hint="eastAsia"/>
          <w:color w:val="auto"/>
          <w:sz w:val="24"/>
        </w:rPr>
        <w:t>成立时间：</w:t>
      </w:r>
    </w:p>
    <w:p w14:paraId="4525B86B">
      <w:pPr>
        <w:snapToGrid w:val="0"/>
        <w:rPr>
          <w:color w:val="auto"/>
          <w:sz w:val="24"/>
        </w:rPr>
      </w:pPr>
    </w:p>
    <w:p w14:paraId="4676F5A3">
      <w:pPr>
        <w:snapToGrid w:val="0"/>
        <w:rPr>
          <w:color w:val="auto"/>
          <w:sz w:val="24"/>
        </w:rPr>
      </w:pPr>
      <w:r>
        <w:rPr>
          <w:rFonts w:hint="eastAsia"/>
          <w:color w:val="auto"/>
          <w:sz w:val="24"/>
        </w:rPr>
        <w:t>经营期限：</w:t>
      </w:r>
    </w:p>
    <w:p w14:paraId="015D24ED">
      <w:pPr>
        <w:snapToGrid w:val="0"/>
        <w:rPr>
          <w:color w:val="auto"/>
          <w:sz w:val="24"/>
        </w:rPr>
      </w:pPr>
    </w:p>
    <w:p w14:paraId="26B60C68">
      <w:pPr>
        <w:snapToGrid w:val="0"/>
        <w:rPr>
          <w:color w:val="auto"/>
          <w:sz w:val="24"/>
          <w:u w:val="single"/>
        </w:rPr>
      </w:pPr>
      <w:r>
        <w:rPr>
          <w:rFonts w:hint="eastAsia"/>
          <w:color w:val="auto"/>
          <w:sz w:val="24"/>
        </w:rPr>
        <w:t>姓  名：</w:t>
      </w:r>
      <w:r>
        <w:rPr>
          <w:rFonts w:hint="eastAsia"/>
          <w:color w:val="auto"/>
          <w:sz w:val="24"/>
          <w:lang w:val="en-US" w:eastAsia="zh-CN"/>
        </w:rPr>
        <w:t xml:space="preserve">     </w:t>
      </w:r>
      <w:r>
        <w:rPr>
          <w:rFonts w:hint="eastAsia"/>
          <w:color w:val="auto"/>
          <w:sz w:val="24"/>
        </w:rPr>
        <w:t xml:space="preserve"> 性 别：</w:t>
      </w:r>
    </w:p>
    <w:p w14:paraId="6A262ECC">
      <w:pPr>
        <w:snapToGrid w:val="0"/>
        <w:rPr>
          <w:color w:val="auto"/>
          <w:sz w:val="24"/>
          <w:u w:val="single"/>
        </w:rPr>
      </w:pPr>
    </w:p>
    <w:p w14:paraId="2F12FB71">
      <w:pPr>
        <w:snapToGrid w:val="0"/>
        <w:rPr>
          <w:color w:val="auto"/>
          <w:sz w:val="24"/>
        </w:rPr>
      </w:pPr>
      <w:r>
        <w:rPr>
          <w:rFonts w:hint="eastAsia"/>
          <w:color w:val="auto"/>
          <w:sz w:val="24"/>
        </w:rPr>
        <w:t xml:space="preserve">年 龄：  </w:t>
      </w:r>
      <w:r>
        <w:rPr>
          <w:rFonts w:hint="eastAsia"/>
          <w:color w:val="auto"/>
          <w:sz w:val="24"/>
          <w:lang w:val="en-US" w:eastAsia="zh-CN"/>
        </w:rPr>
        <w:t xml:space="preserve">    </w:t>
      </w:r>
      <w:r>
        <w:rPr>
          <w:rFonts w:hint="eastAsia"/>
          <w:color w:val="auto"/>
          <w:sz w:val="24"/>
        </w:rPr>
        <w:t xml:space="preserve"> 职务：</w:t>
      </w:r>
    </w:p>
    <w:p w14:paraId="0370BEA4">
      <w:pPr>
        <w:snapToGrid w:val="0"/>
        <w:rPr>
          <w:color w:val="auto"/>
          <w:sz w:val="24"/>
        </w:rPr>
      </w:pPr>
    </w:p>
    <w:p w14:paraId="66F24F80">
      <w:pPr>
        <w:snapToGrid w:val="0"/>
        <w:rPr>
          <w:color w:val="auto"/>
          <w:sz w:val="24"/>
        </w:rPr>
      </w:pPr>
      <w:r>
        <w:rPr>
          <w:rFonts w:hint="eastAsia"/>
          <w:color w:val="auto"/>
          <w:sz w:val="24"/>
        </w:rPr>
        <w:t>系（投标供应商名称）的法定代表人。</w:t>
      </w:r>
    </w:p>
    <w:p w14:paraId="5F7C9F8A">
      <w:pPr>
        <w:snapToGrid w:val="0"/>
        <w:spacing w:line="360" w:lineRule="auto"/>
        <w:rPr>
          <w:color w:val="auto"/>
          <w:sz w:val="24"/>
        </w:rPr>
      </w:pPr>
    </w:p>
    <w:p w14:paraId="2EC90B05">
      <w:pPr>
        <w:snapToGrid w:val="0"/>
        <w:spacing w:line="360" w:lineRule="auto"/>
        <w:rPr>
          <w:color w:val="auto"/>
          <w:sz w:val="24"/>
        </w:rPr>
      </w:pPr>
    </w:p>
    <w:p w14:paraId="060E32DD">
      <w:pPr>
        <w:snapToGrid w:val="0"/>
        <w:rPr>
          <w:rFonts w:hint="eastAsia"/>
          <w:color w:val="auto"/>
          <w:sz w:val="24"/>
        </w:rPr>
      </w:pPr>
      <w:r>
        <w:rPr>
          <w:rFonts w:hint="eastAsia"/>
          <w:color w:val="auto"/>
          <w:sz w:val="24"/>
        </w:rPr>
        <w:t xml:space="preserve">特此证明   </w:t>
      </w:r>
    </w:p>
    <w:p w14:paraId="17A84035">
      <w:pPr>
        <w:snapToGrid w:val="0"/>
        <w:rPr>
          <w:rFonts w:hint="eastAsia"/>
          <w:color w:val="auto"/>
          <w:sz w:val="24"/>
        </w:rPr>
      </w:pPr>
    </w:p>
    <w:p w14:paraId="4B26C800">
      <w:pPr>
        <w:snapToGrid w:val="0"/>
        <w:rPr>
          <w:rFonts w:hint="eastAsia"/>
          <w:color w:val="auto"/>
          <w:sz w:val="24"/>
        </w:rPr>
      </w:pPr>
    </w:p>
    <w:p w14:paraId="48279C51">
      <w:pPr>
        <w:snapToGrid w:val="0"/>
        <w:rPr>
          <w:rFonts w:hint="eastAsia"/>
          <w:color w:val="auto"/>
          <w:sz w:val="24"/>
        </w:rPr>
      </w:pPr>
      <w:r>
        <w:rPr>
          <w:rFonts w:hint="eastAsia"/>
          <w:color w:val="auto"/>
          <w:sz w:val="24"/>
        </w:rPr>
        <w:t>供应商：（公章签章）</w:t>
      </w:r>
    </w:p>
    <w:p w14:paraId="05095FCD">
      <w:pPr>
        <w:snapToGrid w:val="0"/>
        <w:spacing w:line="360" w:lineRule="auto"/>
        <w:rPr>
          <w:color w:val="auto"/>
        </w:rPr>
      </w:pPr>
    </w:p>
    <w:p w14:paraId="350142F9">
      <w:pPr>
        <w:snapToGrid w:val="0"/>
        <w:spacing w:line="360" w:lineRule="auto"/>
        <w:jc w:val="center"/>
        <w:rPr>
          <w:color w:val="auto"/>
          <w:sz w:val="24"/>
        </w:rPr>
      </w:pPr>
      <w:bookmarkStart w:id="338" w:name="_Toc11862_WPSOffice_Level2"/>
      <w:r>
        <w:rPr>
          <w:rFonts w:hint="eastAsia"/>
          <w:color w:val="auto"/>
          <w:sz w:val="24"/>
        </w:rPr>
        <w:t>年    月    日</w:t>
      </w:r>
      <w:bookmarkEnd w:id="338"/>
    </w:p>
    <w:p w14:paraId="0F7F1325">
      <w:pPr>
        <w:pStyle w:val="4"/>
        <w:tabs>
          <w:tab w:val="left" w:pos="425"/>
          <w:tab w:val="left" w:pos="720"/>
        </w:tabs>
        <w:ind w:left="288"/>
        <w:jc w:val="center"/>
        <w:outlineLvl w:val="9"/>
        <w:rPr>
          <w:color w:val="auto"/>
        </w:rPr>
      </w:pPr>
      <w:r>
        <w:rPr>
          <w:rFonts w:hint="eastAsia"/>
          <w:bCs w:val="0"/>
          <w:color w:val="auto"/>
          <w:sz w:val="36"/>
          <w:szCs w:val="36"/>
        </w:rPr>
        <w:br w:type="page"/>
      </w:r>
    </w:p>
    <w:p w14:paraId="182E5559">
      <w:pPr>
        <w:pStyle w:val="37"/>
        <w:ind w:left="0"/>
        <w:jc w:val="center"/>
        <w:outlineLvl w:val="0"/>
        <w:rPr>
          <w:rFonts w:ascii="宋体" w:hAnsi="宋体"/>
          <w:color w:val="auto"/>
        </w:rPr>
      </w:pPr>
      <w:bookmarkStart w:id="339" w:name="_Toc467255654"/>
      <w:bookmarkStart w:id="340" w:name="_Toc465887468"/>
      <w:bookmarkStart w:id="341" w:name="_Toc3669_WPSOffice_Level1"/>
      <w:bookmarkStart w:id="342" w:name="_Toc13521"/>
      <w:bookmarkStart w:id="343" w:name="_Toc424308523"/>
      <w:bookmarkStart w:id="344" w:name="_Toc29749"/>
      <w:bookmarkStart w:id="345" w:name="_Toc25543"/>
      <w:r>
        <w:rPr>
          <w:rFonts w:hint="eastAsia" w:ascii="宋体" w:hAnsi="宋体"/>
          <w:color w:val="auto"/>
        </w:rPr>
        <w:t>三、法定代表人授权书</w:t>
      </w:r>
      <w:bookmarkEnd w:id="339"/>
      <w:bookmarkEnd w:id="340"/>
      <w:bookmarkEnd w:id="341"/>
      <w:bookmarkEnd w:id="342"/>
      <w:bookmarkEnd w:id="343"/>
      <w:bookmarkEnd w:id="344"/>
      <w:bookmarkEnd w:id="345"/>
    </w:p>
    <w:p w14:paraId="0A0D4D38">
      <w:pPr>
        <w:snapToGrid w:val="0"/>
        <w:spacing w:line="360" w:lineRule="auto"/>
        <w:ind w:firstLine="480" w:firstLineChars="200"/>
        <w:rPr>
          <w:color w:val="auto"/>
          <w:sz w:val="24"/>
        </w:rPr>
      </w:pPr>
    </w:p>
    <w:p w14:paraId="6AAD4EE1">
      <w:pPr>
        <w:spacing w:line="600" w:lineRule="auto"/>
        <w:ind w:firstLine="480" w:firstLineChars="200"/>
        <w:rPr>
          <w:color w:val="auto"/>
          <w:sz w:val="24"/>
          <w:szCs w:val="24"/>
        </w:rPr>
      </w:pPr>
      <w:r>
        <w:rPr>
          <w:rFonts w:hint="eastAsia"/>
          <w:color w:val="auto"/>
          <w:sz w:val="24"/>
          <w:szCs w:val="24"/>
        </w:rPr>
        <w:t>本人</w:t>
      </w:r>
      <w:r>
        <w:rPr>
          <w:rFonts w:hint="eastAsia"/>
          <w:color w:val="auto"/>
          <w:sz w:val="24"/>
          <w:szCs w:val="24"/>
          <w:u w:val="single"/>
        </w:rPr>
        <w:t>（姓名）</w:t>
      </w:r>
      <w:r>
        <w:rPr>
          <w:rFonts w:hint="eastAsia"/>
          <w:color w:val="auto"/>
          <w:sz w:val="24"/>
          <w:szCs w:val="24"/>
        </w:rPr>
        <w:t>系</w:t>
      </w:r>
      <w:r>
        <w:rPr>
          <w:rFonts w:hint="eastAsia"/>
          <w:color w:val="auto"/>
          <w:sz w:val="24"/>
          <w:szCs w:val="24"/>
          <w:u w:val="single"/>
        </w:rPr>
        <w:t>（供应商人名称）</w:t>
      </w:r>
      <w:r>
        <w:rPr>
          <w:rFonts w:hint="eastAsia"/>
          <w:color w:val="auto"/>
          <w:sz w:val="24"/>
          <w:szCs w:val="24"/>
        </w:rPr>
        <w:t>的法定代表人，现委托</w:t>
      </w:r>
      <w:r>
        <w:rPr>
          <w:rFonts w:hint="eastAsia"/>
          <w:color w:val="auto"/>
          <w:sz w:val="24"/>
          <w:szCs w:val="24"/>
          <w:u w:val="single"/>
        </w:rPr>
        <w:t>（姓名）</w:t>
      </w:r>
      <w:r>
        <w:rPr>
          <w:rFonts w:hint="eastAsia"/>
          <w:color w:val="auto"/>
          <w:sz w:val="24"/>
          <w:szCs w:val="24"/>
        </w:rPr>
        <w:t>为我方代理人。代理人根据授权，以我方名义签署、澄清、说明、补正、递交、撤回、修改</w:t>
      </w:r>
      <w:r>
        <w:rPr>
          <w:rFonts w:hint="eastAsia"/>
          <w:color w:val="auto"/>
          <w:sz w:val="24"/>
          <w:szCs w:val="24"/>
          <w:u w:val="single"/>
        </w:rPr>
        <w:t>（项目名称</w:t>
      </w:r>
      <w:r>
        <w:rPr>
          <w:rFonts w:hint="eastAsia"/>
          <w:color w:val="auto"/>
          <w:sz w:val="24"/>
          <w:szCs w:val="24"/>
          <w:u w:val="single"/>
          <w:lang w:eastAsia="zh-CN"/>
        </w:rPr>
        <w:t>）</w:t>
      </w:r>
      <w:r>
        <w:rPr>
          <w:rFonts w:hint="eastAsia"/>
          <w:color w:val="auto"/>
          <w:sz w:val="24"/>
          <w:szCs w:val="24"/>
        </w:rPr>
        <w:t>的响应文件、签订合同和处理有关事宜，其法律后果由我方承担。</w:t>
      </w:r>
    </w:p>
    <w:p w14:paraId="5500B97A">
      <w:pPr>
        <w:spacing w:line="600" w:lineRule="auto"/>
        <w:ind w:firstLine="480" w:firstLineChars="200"/>
        <w:rPr>
          <w:color w:val="auto"/>
          <w:sz w:val="24"/>
          <w:szCs w:val="24"/>
        </w:rPr>
      </w:pPr>
      <w:r>
        <w:rPr>
          <w:rFonts w:hint="eastAsia"/>
          <w:color w:val="auto"/>
          <w:sz w:val="24"/>
          <w:szCs w:val="24"/>
        </w:rPr>
        <w:t>本授权书于</w:t>
      </w:r>
      <w:r>
        <w:rPr>
          <w:rFonts w:hint="eastAsia"/>
          <w:color w:val="auto"/>
          <w:sz w:val="24"/>
          <w:szCs w:val="24"/>
          <w:lang w:val="en-US" w:eastAsia="zh-CN"/>
        </w:rPr>
        <w:t xml:space="preserve">  </w:t>
      </w:r>
      <w:r>
        <w:rPr>
          <w:rFonts w:hint="eastAsia"/>
          <w:color w:val="auto"/>
          <w:sz w:val="24"/>
          <w:szCs w:val="24"/>
        </w:rPr>
        <w:t>年</w:t>
      </w:r>
      <w:r>
        <w:rPr>
          <w:rFonts w:hint="eastAsia"/>
          <w:color w:val="auto"/>
          <w:sz w:val="24"/>
          <w:szCs w:val="24"/>
          <w:lang w:val="en-US" w:eastAsia="zh-CN"/>
        </w:rPr>
        <w:t xml:space="preserve">  </w:t>
      </w:r>
      <w:r>
        <w:rPr>
          <w:rFonts w:hint="eastAsia"/>
          <w:color w:val="auto"/>
          <w:sz w:val="24"/>
          <w:szCs w:val="24"/>
        </w:rPr>
        <w:t>月</w:t>
      </w:r>
      <w:r>
        <w:rPr>
          <w:rFonts w:hint="eastAsia"/>
          <w:color w:val="auto"/>
          <w:sz w:val="24"/>
          <w:szCs w:val="24"/>
          <w:lang w:val="en-US" w:eastAsia="zh-CN"/>
        </w:rPr>
        <w:t xml:space="preserve"> </w:t>
      </w:r>
      <w:r>
        <w:rPr>
          <w:rFonts w:hint="eastAsia"/>
          <w:color w:val="auto"/>
          <w:sz w:val="24"/>
          <w:szCs w:val="24"/>
        </w:rPr>
        <w:t>日签字生效， 特此声明。</w:t>
      </w:r>
    </w:p>
    <w:p w14:paraId="7A5235AF">
      <w:pPr>
        <w:ind w:firstLine="480" w:firstLineChars="200"/>
        <w:rPr>
          <w:color w:val="auto"/>
          <w:sz w:val="24"/>
          <w:szCs w:val="24"/>
        </w:rPr>
      </w:pPr>
      <w:r>
        <w:rPr>
          <w:rFonts w:hint="eastAsia"/>
          <w:color w:val="auto"/>
          <w:sz w:val="24"/>
          <w:szCs w:val="24"/>
        </w:rPr>
        <w:t>附：法定代表人身份证和委托人身份证扫描件</w:t>
      </w:r>
    </w:p>
    <w:p w14:paraId="19C4E3CE">
      <w:pPr>
        <w:spacing w:line="740" w:lineRule="exact"/>
        <w:ind w:firstLine="480" w:firstLineChars="200"/>
        <w:rPr>
          <w:color w:val="auto"/>
          <w:sz w:val="24"/>
        </w:rPr>
      </w:pPr>
    </w:p>
    <w:p w14:paraId="3A1FAA15">
      <w:pPr>
        <w:spacing w:line="740" w:lineRule="exact"/>
        <w:rPr>
          <w:color w:val="auto"/>
          <w:sz w:val="24"/>
        </w:rPr>
      </w:pPr>
      <w:r>
        <w:rPr>
          <w:rFonts w:hint="eastAsia"/>
          <w:color w:val="auto"/>
          <w:sz w:val="24"/>
        </w:rPr>
        <w:t>投标单位： （公章签章）</w:t>
      </w:r>
    </w:p>
    <w:p w14:paraId="36B991A8">
      <w:pPr>
        <w:spacing w:line="740" w:lineRule="exact"/>
        <w:rPr>
          <w:color w:val="auto"/>
          <w:sz w:val="24"/>
          <w:u w:val="single"/>
        </w:rPr>
      </w:pPr>
      <w:r>
        <w:rPr>
          <w:rFonts w:hint="eastAsia"/>
          <w:color w:val="auto"/>
          <w:sz w:val="24"/>
        </w:rPr>
        <w:t>法定代表人：</w:t>
      </w:r>
      <w:r>
        <w:rPr>
          <w:rFonts w:hint="eastAsia"/>
          <w:color w:val="auto"/>
          <w:sz w:val="24"/>
          <w:u w:val="single"/>
        </w:rPr>
        <w:t xml:space="preserve">        　　　　</w:t>
      </w:r>
      <w:r>
        <w:rPr>
          <w:rFonts w:hint="eastAsia"/>
          <w:color w:val="auto"/>
          <w:sz w:val="24"/>
        </w:rPr>
        <w:t>（法人签章）</w:t>
      </w:r>
    </w:p>
    <w:p w14:paraId="151BB1D3">
      <w:pPr>
        <w:spacing w:line="740" w:lineRule="exact"/>
        <w:rPr>
          <w:color w:val="auto"/>
          <w:sz w:val="24"/>
        </w:rPr>
      </w:pPr>
      <w:r>
        <w:rPr>
          <w:rFonts w:hint="eastAsia"/>
          <w:color w:val="auto"/>
          <w:sz w:val="24"/>
        </w:rPr>
        <w:t>委托代理人：</w:t>
      </w:r>
      <w:r>
        <w:rPr>
          <w:rFonts w:hint="eastAsia"/>
          <w:color w:val="auto"/>
          <w:sz w:val="24"/>
          <w:u w:val="single"/>
        </w:rPr>
        <w:t xml:space="preserve">  　　　　      </w:t>
      </w:r>
    </w:p>
    <w:p w14:paraId="33C89D1A">
      <w:pPr>
        <w:pStyle w:val="4"/>
        <w:ind w:left="892" w:right="909"/>
        <w:jc w:val="center"/>
        <w:outlineLvl w:val="9"/>
        <w:rPr>
          <w:color w:val="auto"/>
        </w:rPr>
      </w:pPr>
    </w:p>
    <w:p w14:paraId="1245BE7B">
      <w:pPr>
        <w:jc w:val="center"/>
        <w:rPr>
          <w:color w:val="auto"/>
        </w:rPr>
      </w:pPr>
      <w:r>
        <w:rPr>
          <w:color w:val="auto"/>
        </w:rPr>
        <w:br w:type="page"/>
      </w:r>
    </w:p>
    <w:p w14:paraId="1652C0FF">
      <w:pPr>
        <w:spacing w:line="400" w:lineRule="exact"/>
        <w:ind w:firstLine="562" w:firstLineChars="200"/>
        <w:jc w:val="center"/>
        <w:outlineLvl w:val="0"/>
        <w:rPr>
          <w:b/>
          <w:bCs/>
          <w:color w:val="auto"/>
          <w:sz w:val="28"/>
          <w:szCs w:val="20"/>
        </w:rPr>
      </w:pPr>
      <w:bookmarkStart w:id="346" w:name="_Toc25188"/>
      <w:bookmarkStart w:id="347" w:name="_Toc31152"/>
      <w:bookmarkStart w:id="348" w:name="_Toc23548"/>
      <w:bookmarkStart w:id="349" w:name="_Toc27582"/>
      <w:r>
        <w:rPr>
          <w:rFonts w:hint="eastAsia"/>
          <w:b/>
          <w:bCs/>
          <w:color w:val="auto"/>
          <w:sz w:val="28"/>
          <w:szCs w:val="20"/>
        </w:rPr>
        <w:t>四、投标承诺书</w:t>
      </w:r>
      <w:bookmarkEnd w:id="346"/>
      <w:bookmarkEnd w:id="347"/>
      <w:bookmarkEnd w:id="348"/>
      <w:bookmarkEnd w:id="349"/>
    </w:p>
    <w:p w14:paraId="6BB3BD6B">
      <w:pPr>
        <w:pStyle w:val="37"/>
        <w:outlineLvl w:val="9"/>
        <w:rPr>
          <w:rFonts w:cs="Times New Roman"/>
          <w:color w:val="auto"/>
          <w:sz w:val="21"/>
          <w:szCs w:val="21"/>
        </w:rPr>
      </w:pPr>
    </w:p>
    <w:p w14:paraId="1B352991">
      <w:pPr>
        <w:keepNext w:val="0"/>
        <w:keepLines w:val="0"/>
        <w:pageBreakBefore w:val="0"/>
        <w:widowControl w:val="0"/>
        <w:kinsoku/>
        <w:wordWrap w:val="0"/>
        <w:overflowPunct/>
        <w:topLinePunct w:val="0"/>
        <w:autoSpaceDE w:val="0"/>
        <w:autoSpaceDN w:val="0"/>
        <w:bidi w:val="0"/>
        <w:adjustRightInd/>
        <w:snapToGrid/>
        <w:spacing w:line="560" w:lineRule="exact"/>
        <w:ind w:firstLine="480" w:firstLineChars="200"/>
        <w:textAlignment w:val="auto"/>
        <w:rPr>
          <w:rFonts w:hint="eastAsia"/>
          <w:sz w:val="24"/>
          <w:szCs w:val="24"/>
          <w:lang w:eastAsia="zh-CN"/>
        </w:rPr>
      </w:pPr>
      <w:r>
        <w:rPr>
          <w:rFonts w:hint="eastAsia"/>
          <w:sz w:val="24"/>
          <w:szCs w:val="24"/>
        </w:rPr>
        <w:t>致：</w:t>
      </w:r>
      <w:r>
        <w:rPr>
          <w:rFonts w:hint="eastAsia"/>
          <w:sz w:val="24"/>
          <w:szCs w:val="24"/>
          <w:lang w:eastAsia="zh-CN"/>
        </w:rPr>
        <w:t>（采购人）</w:t>
      </w:r>
    </w:p>
    <w:p w14:paraId="13574097">
      <w:pPr>
        <w:keepNext w:val="0"/>
        <w:keepLines w:val="0"/>
        <w:pageBreakBefore w:val="0"/>
        <w:widowControl w:val="0"/>
        <w:kinsoku/>
        <w:wordWrap w:val="0"/>
        <w:overflowPunct/>
        <w:topLinePunct w:val="0"/>
        <w:autoSpaceDE w:val="0"/>
        <w:autoSpaceDN w:val="0"/>
        <w:bidi w:val="0"/>
        <w:adjustRightInd/>
        <w:snapToGrid/>
        <w:spacing w:line="560" w:lineRule="exact"/>
        <w:ind w:firstLine="480" w:firstLineChars="200"/>
        <w:textAlignment w:val="auto"/>
        <w:rPr>
          <w:sz w:val="24"/>
          <w:szCs w:val="24"/>
        </w:rPr>
      </w:pPr>
      <w:r>
        <w:rPr>
          <w:rFonts w:hint="eastAsia"/>
          <w:sz w:val="24"/>
          <w:szCs w:val="24"/>
        </w:rPr>
        <w:t>我方已充分了解了（项目名称）（项目编号）的竞争性磋商文件，愿意遵照本项目磋商文件、《中华人民共和国政府采购法》等有关规定参与竞标，并承诺如下：</w:t>
      </w:r>
    </w:p>
    <w:p w14:paraId="26CAB7FA">
      <w:pPr>
        <w:keepNext w:val="0"/>
        <w:keepLines w:val="0"/>
        <w:pageBreakBefore w:val="0"/>
        <w:widowControl w:val="0"/>
        <w:kinsoku/>
        <w:wordWrap w:val="0"/>
        <w:overflowPunct/>
        <w:topLinePunct w:val="0"/>
        <w:autoSpaceDE w:val="0"/>
        <w:autoSpaceDN w:val="0"/>
        <w:bidi w:val="0"/>
        <w:adjustRightInd/>
        <w:snapToGrid/>
        <w:spacing w:line="560" w:lineRule="exact"/>
        <w:ind w:firstLine="480" w:firstLineChars="200"/>
        <w:textAlignment w:val="auto"/>
        <w:rPr>
          <w:sz w:val="24"/>
          <w:szCs w:val="24"/>
        </w:rPr>
      </w:pPr>
      <w:r>
        <w:rPr>
          <w:rFonts w:hint="eastAsia"/>
          <w:sz w:val="24"/>
          <w:szCs w:val="24"/>
        </w:rPr>
        <w:t>1、我方承诺将严格按照“公开、公平、公正和诚实信用原则”参与本项目竞标活动。</w:t>
      </w:r>
    </w:p>
    <w:p w14:paraId="07D4A185">
      <w:pPr>
        <w:keepNext w:val="0"/>
        <w:keepLines w:val="0"/>
        <w:pageBreakBefore w:val="0"/>
        <w:widowControl w:val="0"/>
        <w:kinsoku/>
        <w:wordWrap w:val="0"/>
        <w:overflowPunct/>
        <w:topLinePunct w:val="0"/>
        <w:autoSpaceDE w:val="0"/>
        <w:autoSpaceDN w:val="0"/>
        <w:bidi w:val="0"/>
        <w:adjustRightInd/>
        <w:snapToGrid/>
        <w:spacing w:line="560" w:lineRule="exact"/>
        <w:ind w:firstLine="480" w:firstLineChars="200"/>
        <w:textAlignment w:val="auto"/>
        <w:rPr>
          <w:sz w:val="24"/>
          <w:szCs w:val="24"/>
        </w:rPr>
      </w:pPr>
      <w:r>
        <w:rPr>
          <w:rFonts w:hint="eastAsia"/>
          <w:sz w:val="24"/>
          <w:szCs w:val="24"/>
        </w:rPr>
        <w:t>2、我方承诺在投标有效期内不撤销响应文件；</w:t>
      </w:r>
    </w:p>
    <w:p w14:paraId="4CEEDB17">
      <w:pPr>
        <w:keepNext w:val="0"/>
        <w:keepLines w:val="0"/>
        <w:pageBreakBefore w:val="0"/>
        <w:widowControl w:val="0"/>
        <w:kinsoku/>
        <w:wordWrap w:val="0"/>
        <w:overflowPunct/>
        <w:topLinePunct w:val="0"/>
        <w:autoSpaceDE w:val="0"/>
        <w:autoSpaceDN w:val="0"/>
        <w:bidi w:val="0"/>
        <w:adjustRightInd/>
        <w:snapToGrid/>
        <w:spacing w:line="560" w:lineRule="exact"/>
        <w:ind w:firstLine="480" w:firstLineChars="200"/>
        <w:textAlignment w:val="auto"/>
        <w:rPr>
          <w:sz w:val="24"/>
          <w:szCs w:val="24"/>
        </w:rPr>
      </w:pPr>
      <w:r>
        <w:rPr>
          <w:rFonts w:hint="eastAsia"/>
          <w:sz w:val="24"/>
          <w:szCs w:val="24"/>
        </w:rPr>
        <w:t>3、我方承诺在响应文件中及三门峡市公共资源交易供应商市场主体信息库中提供的材</w:t>
      </w:r>
      <w:r>
        <w:rPr>
          <w:rFonts w:hint="eastAsia"/>
          <w:sz w:val="24"/>
          <w:szCs w:val="24"/>
          <w:lang w:val="en-US" w:eastAsia="zh-CN"/>
        </w:rPr>
        <w:t>真</w:t>
      </w:r>
      <w:r>
        <w:rPr>
          <w:rFonts w:hint="eastAsia"/>
          <w:sz w:val="24"/>
          <w:szCs w:val="24"/>
        </w:rPr>
        <w:t>实有效；</w:t>
      </w:r>
    </w:p>
    <w:p w14:paraId="703C7A95">
      <w:pPr>
        <w:keepNext w:val="0"/>
        <w:keepLines w:val="0"/>
        <w:pageBreakBefore w:val="0"/>
        <w:widowControl w:val="0"/>
        <w:kinsoku/>
        <w:wordWrap w:val="0"/>
        <w:overflowPunct/>
        <w:topLinePunct w:val="0"/>
        <w:autoSpaceDE w:val="0"/>
        <w:autoSpaceDN w:val="0"/>
        <w:bidi w:val="0"/>
        <w:adjustRightInd/>
        <w:snapToGrid/>
        <w:spacing w:line="560" w:lineRule="exact"/>
        <w:ind w:firstLine="480" w:firstLineChars="200"/>
        <w:textAlignment w:val="auto"/>
        <w:rPr>
          <w:sz w:val="24"/>
          <w:szCs w:val="24"/>
        </w:rPr>
      </w:pPr>
      <w:r>
        <w:rPr>
          <w:rFonts w:hint="eastAsia"/>
          <w:sz w:val="24"/>
          <w:szCs w:val="24"/>
        </w:rPr>
        <w:t>4、我方承诺绝不采取不正当手段谋取中标；</w:t>
      </w:r>
    </w:p>
    <w:p w14:paraId="712878AF">
      <w:pPr>
        <w:keepNext w:val="0"/>
        <w:keepLines w:val="0"/>
        <w:pageBreakBefore w:val="0"/>
        <w:widowControl w:val="0"/>
        <w:kinsoku/>
        <w:wordWrap w:val="0"/>
        <w:overflowPunct/>
        <w:topLinePunct w:val="0"/>
        <w:autoSpaceDE w:val="0"/>
        <w:autoSpaceDN w:val="0"/>
        <w:bidi w:val="0"/>
        <w:adjustRightInd/>
        <w:snapToGrid/>
        <w:spacing w:line="560" w:lineRule="exact"/>
        <w:ind w:firstLine="480" w:firstLineChars="200"/>
        <w:textAlignment w:val="auto"/>
        <w:rPr>
          <w:sz w:val="24"/>
          <w:szCs w:val="24"/>
        </w:rPr>
      </w:pPr>
      <w:r>
        <w:rPr>
          <w:rFonts w:hint="eastAsia"/>
          <w:sz w:val="24"/>
          <w:szCs w:val="24"/>
        </w:rPr>
        <w:t>5、如我方中标，我方承诺在收到成交通知书后，在成交通知书规定的期限内，根据</w:t>
      </w:r>
      <w:r>
        <w:rPr>
          <w:rFonts w:hint="eastAsia"/>
          <w:sz w:val="24"/>
          <w:szCs w:val="24"/>
          <w:lang w:eastAsia="zh-CN"/>
        </w:rPr>
        <w:t>磋商</w:t>
      </w:r>
      <w:r>
        <w:rPr>
          <w:rFonts w:hint="eastAsia"/>
          <w:sz w:val="24"/>
          <w:szCs w:val="24"/>
        </w:rPr>
        <w:t>文件、我方的响应文件及有关澄清承诺书的要求，与采购人订立书面合同，并按照合同约定承担完成合同的责任和义务.</w:t>
      </w:r>
    </w:p>
    <w:p w14:paraId="6560942D">
      <w:pPr>
        <w:keepNext w:val="0"/>
        <w:keepLines w:val="0"/>
        <w:pageBreakBefore w:val="0"/>
        <w:widowControl w:val="0"/>
        <w:kinsoku/>
        <w:wordWrap w:val="0"/>
        <w:overflowPunct/>
        <w:topLinePunct w:val="0"/>
        <w:autoSpaceDE w:val="0"/>
        <w:autoSpaceDN w:val="0"/>
        <w:bidi w:val="0"/>
        <w:adjustRightInd/>
        <w:snapToGrid/>
        <w:spacing w:line="560" w:lineRule="exact"/>
        <w:ind w:firstLine="480" w:firstLineChars="200"/>
        <w:textAlignment w:val="auto"/>
        <w:rPr>
          <w:sz w:val="24"/>
          <w:szCs w:val="24"/>
        </w:rPr>
      </w:pPr>
      <w:r>
        <w:rPr>
          <w:rFonts w:hint="eastAsia"/>
          <w:sz w:val="24"/>
          <w:szCs w:val="24"/>
        </w:rPr>
        <w:t>6、如我方违反以上承诺，愿意接受本项目预算金额10%的处罚，同时依法承担相应法律责任。</w:t>
      </w:r>
    </w:p>
    <w:p w14:paraId="232D4A07">
      <w:pPr>
        <w:pStyle w:val="39"/>
        <w:spacing w:line="500" w:lineRule="exact"/>
        <w:ind w:firstLine="564" w:firstLineChars="235"/>
        <w:rPr>
          <w:rFonts w:hAnsi="宋体"/>
          <w:b w:val="0"/>
          <w:bCs w:val="0"/>
          <w:color w:val="auto"/>
        </w:rPr>
      </w:pPr>
    </w:p>
    <w:p w14:paraId="5255DAE7">
      <w:pPr>
        <w:pStyle w:val="39"/>
        <w:spacing w:line="500" w:lineRule="exact"/>
        <w:ind w:firstLine="566" w:firstLineChars="235"/>
        <w:rPr>
          <w:rFonts w:hAnsi="宋体"/>
          <w:color w:val="auto"/>
        </w:rPr>
      </w:pPr>
    </w:p>
    <w:p w14:paraId="33E29794">
      <w:pPr>
        <w:spacing w:line="500" w:lineRule="exact"/>
        <w:ind w:firstLine="4252" w:firstLineChars="1772"/>
        <w:rPr>
          <w:bCs/>
          <w:color w:val="auto"/>
          <w:sz w:val="24"/>
        </w:rPr>
      </w:pPr>
      <w:r>
        <w:rPr>
          <w:rFonts w:hint="eastAsia"/>
          <w:bCs/>
          <w:color w:val="auto"/>
          <w:sz w:val="24"/>
        </w:rPr>
        <w:t>供应商：（公章签章）</w:t>
      </w:r>
    </w:p>
    <w:p w14:paraId="3970D5B7">
      <w:pPr>
        <w:spacing w:line="500" w:lineRule="exact"/>
        <w:ind w:firstLine="4252" w:firstLineChars="1772"/>
        <w:rPr>
          <w:bCs/>
          <w:color w:val="auto"/>
          <w:sz w:val="24"/>
        </w:rPr>
      </w:pPr>
      <w:r>
        <w:rPr>
          <w:rFonts w:hint="eastAsia"/>
          <w:bCs/>
          <w:color w:val="auto"/>
          <w:sz w:val="24"/>
        </w:rPr>
        <w:t>法定代表人：（签章）</w:t>
      </w:r>
    </w:p>
    <w:p w14:paraId="1BBDB785">
      <w:pPr>
        <w:spacing w:line="500" w:lineRule="exact"/>
        <w:ind w:firstLine="4252" w:firstLineChars="1772"/>
        <w:rPr>
          <w:bCs/>
          <w:color w:val="auto"/>
          <w:sz w:val="24"/>
        </w:rPr>
      </w:pPr>
      <w:r>
        <w:rPr>
          <w:rFonts w:hint="eastAsia"/>
          <w:bCs/>
          <w:color w:val="auto"/>
          <w:sz w:val="24"/>
        </w:rPr>
        <w:t>日期：</w:t>
      </w:r>
    </w:p>
    <w:p w14:paraId="574F17DF">
      <w:pPr>
        <w:pStyle w:val="8"/>
        <w:rPr>
          <w:color w:val="auto"/>
        </w:rPr>
      </w:pPr>
      <w:r>
        <w:rPr>
          <w:color w:val="auto"/>
        </w:rPr>
        <w:br w:type="page"/>
      </w:r>
    </w:p>
    <w:p w14:paraId="6ABA69C3">
      <w:pPr>
        <w:pStyle w:val="37"/>
        <w:numPr>
          <w:ilvl w:val="0"/>
          <w:numId w:val="17"/>
        </w:numPr>
        <w:ind w:left="0"/>
        <w:jc w:val="center"/>
        <w:outlineLvl w:val="0"/>
        <w:rPr>
          <w:rFonts w:hint="eastAsia" w:ascii="宋体" w:hAnsi="宋体"/>
          <w:color w:val="auto"/>
          <w:lang w:eastAsia="zh-CN"/>
        </w:rPr>
      </w:pPr>
      <w:bookmarkStart w:id="350" w:name="_Toc25743"/>
      <w:bookmarkStart w:id="351" w:name="_Toc30303"/>
      <w:bookmarkStart w:id="352" w:name="_Toc4328_WPSOffice_Level1"/>
      <w:bookmarkStart w:id="353" w:name="_Toc6163"/>
      <w:r>
        <w:rPr>
          <w:rFonts w:hint="eastAsia" w:ascii="宋体" w:hAnsi="宋体"/>
          <w:color w:val="auto"/>
        </w:rPr>
        <w:t>资格审查资料</w:t>
      </w:r>
      <w:bookmarkEnd w:id="350"/>
      <w:bookmarkEnd w:id="351"/>
      <w:bookmarkEnd w:id="352"/>
      <w:bookmarkEnd w:id="353"/>
    </w:p>
    <w:p w14:paraId="0668605E">
      <w:pPr>
        <w:jc w:val="center"/>
        <w:rPr>
          <w:rFonts w:hint="eastAsia"/>
          <w:color w:val="auto"/>
          <w:sz w:val="24"/>
          <w:szCs w:val="32"/>
        </w:rPr>
      </w:pPr>
      <w:bookmarkStart w:id="354" w:name="_Toc10295_WPSOffice_Level2"/>
      <w:r>
        <w:rPr>
          <w:rFonts w:hint="eastAsia"/>
          <w:color w:val="auto"/>
          <w:sz w:val="24"/>
          <w:szCs w:val="32"/>
        </w:rPr>
        <w:t>（</w:t>
      </w:r>
      <w:r>
        <w:rPr>
          <w:rFonts w:hint="eastAsia"/>
          <w:color w:val="auto"/>
          <w:sz w:val="24"/>
          <w:szCs w:val="32"/>
          <w:lang w:eastAsia="zh-CN"/>
        </w:rPr>
        <w:t>一</w:t>
      </w:r>
      <w:r>
        <w:rPr>
          <w:rFonts w:hint="eastAsia"/>
          <w:color w:val="auto"/>
          <w:sz w:val="24"/>
          <w:szCs w:val="32"/>
        </w:rPr>
        <w:t>）供应商基本情况表</w:t>
      </w:r>
      <w:bookmarkEnd w:id="354"/>
    </w:p>
    <w:tbl>
      <w:tblPr>
        <w:tblStyle w:val="20"/>
        <w:tblW w:w="8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1"/>
        <w:gridCol w:w="973"/>
        <w:gridCol w:w="1551"/>
        <w:gridCol w:w="1119"/>
        <w:gridCol w:w="1132"/>
        <w:gridCol w:w="235"/>
        <w:gridCol w:w="1679"/>
      </w:tblGrid>
      <w:tr w14:paraId="0B33C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731" w:type="dxa"/>
            <w:tcBorders>
              <w:top w:val="single" w:color="auto" w:sz="4" w:space="0"/>
              <w:left w:val="single" w:color="auto" w:sz="4" w:space="0"/>
              <w:bottom w:val="single" w:color="auto" w:sz="4" w:space="0"/>
              <w:right w:val="single" w:color="auto" w:sz="4" w:space="0"/>
            </w:tcBorders>
            <w:vAlign w:val="center"/>
          </w:tcPr>
          <w:p w14:paraId="4E019F5A">
            <w:pPr>
              <w:spacing w:line="360" w:lineRule="auto"/>
              <w:jc w:val="center"/>
              <w:rPr>
                <w:color w:val="auto"/>
                <w:sz w:val="24"/>
              </w:rPr>
            </w:pPr>
            <w:r>
              <w:rPr>
                <w:rFonts w:hint="eastAsia"/>
                <w:color w:val="auto"/>
                <w:sz w:val="24"/>
              </w:rPr>
              <w:t>供应商名称</w:t>
            </w:r>
          </w:p>
        </w:tc>
        <w:tc>
          <w:tcPr>
            <w:tcW w:w="6689" w:type="dxa"/>
            <w:gridSpan w:val="6"/>
            <w:tcBorders>
              <w:top w:val="single" w:color="auto" w:sz="4" w:space="0"/>
              <w:left w:val="single" w:color="auto" w:sz="4" w:space="0"/>
              <w:bottom w:val="single" w:color="auto" w:sz="4" w:space="0"/>
              <w:right w:val="single" w:color="auto" w:sz="4" w:space="0"/>
            </w:tcBorders>
            <w:vAlign w:val="center"/>
          </w:tcPr>
          <w:p w14:paraId="2FB20A14">
            <w:pPr>
              <w:spacing w:line="360" w:lineRule="auto"/>
              <w:rPr>
                <w:color w:val="auto"/>
                <w:sz w:val="24"/>
              </w:rPr>
            </w:pPr>
          </w:p>
        </w:tc>
      </w:tr>
      <w:tr w14:paraId="4A821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731" w:type="dxa"/>
            <w:tcBorders>
              <w:top w:val="single" w:color="auto" w:sz="4" w:space="0"/>
              <w:left w:val="single" w:color="auto" w:sz="4" w:space="0"/>
              <w:bottom w:val="single" w:color="auto" w:sz="4" w:space="0"/>
              <w:right w:val="single" w:color="auto" w:sz="4" w:space="0"/>
            </w:tcBorders>
            <w:vAlign w:val="center"/>
          </w:tcPr>
          <w:p w14:paraId="12C4DF0C">
            <w:pPr>
              <w:spacing w:line="360" w:lineRule="auto"/>
              <w:jc w:val="center"/>
              <w:rPr>
                <w:color w:val="auto"/>
                <w:sz w:val="24"/>
              </w:rPr>
            </w:pPr>
            <w:r>
              <w:rPr>
                <w:rFonts w:hint="eastAsia"/>
                <w:color w:val="auto"/>
                <w:sz w:val="24"/>
              </w:rPr>
              <w:t>注册地址</w:t>
            </w:r>
          </w:p>
        </w:tc>
        <w:tc>
          <w:tcPr>
            <w:tcW w:w="3643" w:type="dxa"/>
            <w:gridSpan w:val="3"/>
            <w:tcBorders>
              <w:top w:val="single" w:color="auto" w:sz="4" w:space="0"/>
              <w:left w:val="single" w:color="auto" w:sz="4" w:space="0"/>
              <w:bottom w:val="single" w:color="auto" w:sz="4" w:space="0"/>
              <w:right w:val="single" w:color="auto" w:sz="4" w:space="0"/>
            </w:tcBorders>
            <w:vAlign w:val="center"/>
          </w:tcPr>
          <w:p w14:paraId="3F508159">
            <w:pPr>
              <w:spacing w:line="360" w:lineRule="auto"/>
              <w:jc w:val="center"/>
              <w:rPr>
                <w:color w:val="auto"/>
                <w:sz w:val="24"/>
              </w:rPr>
            </w:pPr>
          </w:p>
        </w:tc>
        <w:tc>
          <w:tcPr>
            <w:tcW w:w="1367" w:type="dxa"/>
            <w:gridSpan w:val="2"/>
            <w:tcBorders>
              <w:top w:val="single" w:color="auto" w:sz="4" w:space="0"/>
              <w:left w:val="single" w:color="auto" w:sz="4" w:space="0"/>
              <w:bottom w:val="single" w:color="auto" w:sz="4" w:space="0"/>
              <w:right w:val="single" w:color="auto" w:sz="4" w:space="0"/>
            </w:tcBorders>
            <w:vAlign w:val="center"/>
          </w:tcPr>
          <w:p w14:paraId="6E853EE0">
            <w:pPr>
              <w:spacing w:line="360" w:lineRule="auto"/>
              <w:jc w:val="center"/>
              <w:rPr>
                <w:color w:val="auto"/>
                <w:sz w:val="24"/>
              </w:rPr>
            </w:pPr>
            <w:r>
              <w:rPr>
                <w:rFonts w:hint="eastAsia"/>
                <w:color w:val="auto"/>
                <w:sz w:val="24"/>
              </w:rPr>
              <w:t>邮政编码</w:t>
            </w:r>
          </w:p>
        </w:tc>
        <w:tc>
          <w:tcPr>
            <w:tcW w:w="1679" w:type="dxa"/>
            <w:tcBorders>
              <w:top w:val="single" w:color="auto" w:sz="4" w:space="0"/>
              <w:left w:val="single" w:color="auto" w:sz="4" w:space="0"/>
              <w:bottom w:val="single" w:color="auto" w:sz="4" w:space="0"/>
              <w:right w:val="single" w:color="auto" w:sz="4" w:space="0"/>
            </w:tcBorders>
            <w:vAlign w:val="center"/>
          </w:tcPr>
          <w:p w14:paraId="1AA8D6AA">
            <w:pPr>
              <w:spacing w:line="360" w:lineRule="auto"/>
              <w:jc w:val="center"/>
              <w:rPr>
                <w:color w:val="auto"/>
                <w:sz w:val="24"/>
              </w:rPr>
            </w:pPr>
          </w:p>
        </w:tc>
      </w:tr>
      <w:tr w14:paraId="1CECF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1731" w:type="dxa"/>
            <w:vMerge w:val="restart"/>
            <w:tcBorders>
              <w:top w:val="single" w:color="auto" w:sz="4" w:space="0"/>
              <w:left w:val="single" w:color="auto" w:sz="4" w:space="0"/>
              <w:bottom w:val="single" w:color="auto" w:sz="4" w:space="0"/>
              <w:right w:val="single" w:color="auto" w:sz="4" w:space="0"/>
            </w:tcBorders>
            <w:vAlign w:val="center"/>
          </w:tcPr>
          <w:p w14:paraId="51045703">
            <w:pPr>
              <w:spacing w:line="360" w:lineRule="auto"/>
              <w:jc w:val="center"/>
              <w:rPr>
                <w:color w:val="auto"/>
                <w:sz w:val="24"/>
              </w:rPr>
            </w:pPr>
            <w:r>
              <w:rPr>
                <w:rFonts w:hint="eastAsia"/>
                <w:color w:val="auto"/>
                <w:sz w:val="24"/>
              </w:rPr>
              <w:t>联系方式</w:t>
            </w:r>
          </w:p>
        </w:tc>
        <w:tc>
          <w:tcPr>
            <w:tcW w:w="973" w:type="dxa"/>
            <w:tcBorders>
              <w:top w:val="single" w:color="auto" w:sz="4" w:space="0"/>
              <w:left w:val="single" w:color="auto" w:sz="4" w:space="0"/>
              <w:bottom w:val="single" w:color="auto" w:sz="4" w:space="0"/>
              <w:right w:val="single" w:color="auto" w:sz="4" w:space="0"/>
            </w:tcBorders>
            <w:vAlign w:val="center"/>
          </w:tcPr>
          <w:p w14:paraId="464082D0">
            <w:pPr>
              <w:spacing w:line="360" w:lineRule="auto"/>
              <w:jc w:val="center"/>
              <w:rPr>
                <w:color w:val="auto"/>
                <w:sz w:val="24"/>
              </w:rPr>
            </w:pPr>
            <w:r>
              <w:rPr>
                <w:rFonts w:hint="eastAsia"/>
                <w:color w:val="auto"/>
                <w:sz w:val="24"/>
              </w:rPr>
              <w:t>联系人</w:t>
            </w:r>
          </w:p>
        </w:tc>
        <w:tc>
          <w:tcPr>
            <w:tcW w:w="2670" w:type="dxa"/>
            <w:gridSpan w:val="2"/>
            <w:tcBorders>
              <w:top w:val="single" w:color="auto" w:sz="4" w:space="0"/>
              <w:left w:val="single" w:color="auto" w:sz="4" w:space="0"/>
              <w:bottom w:val="single" w:color="auto" w:sz="4" w:space="0"/>
              <w:right w:val="single" w:color="auto" w:sz="4" w:space="0"/>
            </w:tcBorders>
            <w:vAlign w:val="center"/>
          </w:tcPr>
          <w:p w14:paraId="2E088B0C">
            <w:pPr>
              <w:spacing w:line="360" w:lineRule="auto"/>
              <w:jc w:val="center"/>
              <w:rPr>
                <w:color w:val="auto"/>
                <w:sz w:val="24"/>
              </w:rPr>
            </w:pPr>
          </w:p>
        </w:tc>
        <w:tc>
          <w:tcPr>
            <w:tcW w:w="1367" w:type="dxa"/>
            <w:gridSpan w:val="2"/>
            <w:tcBorders>
              <w:top w:val="single" w:color="auto" w:sz="4" w:space="0"/>
              <w:left w:val="single" w:color="auto" w:sz="4" w:space="0"/>
              <w:bottom w:val="single" w:color="auto" w:sz="4" w:space="0"/>
              <w:right w:val="single" w:color="auto" w:sz="4" w:space="0"/>
            </w:tcBorders>
            <w:vAlign w:val="center"/>
          </w:tcPr>
          <w:p w14:paraId="60FFFFA9">
            <w:pPr>
              <w:spacing w:line="360" w:lineRule="auto"/>
              <w:jc w:val="center"/>
              <w:rPr>
                <w:color w:val="auto"/>
                <w:sz w:val="24"/>
              </w:rPr>
            </w:pPr>
            <w:r>
              <w:rPr>
                <w:rFonts w:hint="eastAsia"/>
                <w:color w:val="auto"/>
                <w:sz w:val="24"/>
              </w:rPr>
              <w:t>电话</w:t>
            </w:r>
          </w:p>
        </w:tc>
        <w:tc>
          <w:tcPr>
            <w:tcW w:w="1679" w:type="dxa"/>
            <w:tcBorders>
              <w:top w:val="single" w:color="auto" w:sz="4" w:space="0"/>
              <w:left w:val="single" w:color="auto" w:sz="4" w:space="0"/>
              <w:bottom w:val="single" w:color="auto" w:sz="4" w:space="0"/>
              <w:right w:val="single" w:color="auto" w:sz="4" w:space="0"/>
            </w:tcBorders>
            <w:vAlign w:val="center"/>
          </w:tcPr>
          <w:p w14:paraId="3BF3EDA6">
            <w:pPr>
              <w:spacing w:line="360" w:lineRule="auto"/>
              <w:jc w:val="center"/>
              <w:rPr>
                <w:color w:val="auto"/>
                <w:sz w:val="24"/>
              </w:rPr>
            </w:pPr>
          </w:p>
        </w:tc>
      </w:tr>
      <w:tr w14:paraId="5B856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731" w:type="dxa"/>
            <w:vMerge w:val="continue"/>
            <w:tcBorders>
              <w:top w:val="single" w:color="auto" w:sz="4" w:space="0"/>
              <w:left w:val="single" w:color="auto" w:sz="4" w:space="0"/>
              <w:bottom w:val="single" w:color="auto" w:sz="4" w:space="0"/>
              <w:right w:val="single" w:color="auto" w:sz="4" w:space="0"/>
            </w:tcBorders>
            <w:vAlign w:val="center"/>
          </w:tcPr>
          <w:p w14:paraId="00E08CB3">
            <w:pPr>
              <w:jc w:val="center"/>
              <w:rPr>
                <w:color w:val="auto"/>
                <w:sz w:val="20"/>
                <w:szCs w:val="20"/>
              </w:rPr>
            </w:pPr>
          </w:p>
        </w:tc>
        <w:tc>
          <w:tcPr>
            <w:tcW w:w="973" w:type="dxa"/>
            <w:tcBorders>
              <w:top w:val="single" w:color="auto" w:sz="4" w:space="0"/>
              <w:left w:val="single" w:color="auto" w:sz="4" w:space="0"/>
              <w:bottom w:val="single" w:color="auto" w:sz="4" w:space="0"/>
              <w:right w:val="single" w:color="auto" w:sz="4" w:space="0"/>
            </w:tcBorders>
            <w:vAlign w:val="center"/>
          </w:tcPr>
          <w:p w14:paraId="1E4E0698">
            <w:pPr>
              <w:spacing w:line="360" w:lineRule="auto"/>
              <w:jc w:val="center"/>
              <w:rPr>
                <w:color w:val="auto"/>
                <w:sz w:val="24"/>
              </w:rPr>
            </w:pPr>
            <w:r>
              <w:rPr>
                <w:rFonts w:hint="eastAsia"/>
                <w:color w:val="auto"/>
                <w:sz w:val="24"/>
              </w:rPr>
              <w:t>传真</w:t>
            </w:r>
          </w:p>
        </w:tc>
        <w:tc>
          <w:tcPr>
            <w:tcW w:w="2670" w:type="dxa"/>
            <w:gridSpan w:val="2"/>
            <w:tcBorders>
              <w:top w:val="single" w:color="auto" w:sz="4" w:space="0"/>
              <w:left w:val="single" w:color="auto" w:sz="4" w:space="0"/>
              <w:bottom w:val="single" w:color="auto" w:sz="4" w:space="0"/>
              <w:right w:val="single" w:color="auto" w:sz="4" w:space="0"/>
            </w:tcBorders>
            <w:vAlign w:val="center"/>
          </w:tcPr>
          <w:p w14:paraId="6924E1F7">
            <w:pPr>
              <w:spacing w:line="360" w:lineRule="auto"/>
              <w:jc w:val="center"/>
              <w:rPr>
                <w:color w:val="auto"/>
                <w:sz w:val="24"/>
              </w:rPr>
            </w:pPr>
          </w:p>
        </w:tc>
        <w:tc>
          <w:tcPr>
            <w:tcW w:w="1367" w:type="dxa"/>
            <w:gridSpan w:val="2"/>
            <w:tcBorders>
              <w:top w:val="single" w:color="auto" w:sz="4" w:space="0"/>
              <w:left w:val="single" w:color="auto" w:sz="4" w:space="0"/>
              <w:bottom w:val="single" w:color="auto" w:sz="4" w:space="0"/>
              <w:right w:val="single" w:color="auto" w:sz="4" w:space="0"/>
            </w:tcBorders>
            <w:vAlign w:val="center"/>
          </w:tcPr>
          <w:p w14:paraId="316D558B">
            <w:pPr>
              <w:spacing w:line="360" w:lineRule="auto"/>
              <w:jc w:val="center"/>
              <w:rPr>
                <w:color w:val="auto"/>
                <w:sz w:val="24"/>
              </w:rPr>
            </w:pPr>
            <w:r>
              <w:rPr>
                <w:rFonts w:hint="eastAsia"/>
                <w:color w:val="auto"/>
                <w:sz w:val="24"/>
              </w:rPr>
              <w:t>网址</w:t>
            </w:r>
          </w:p>
        </w:tc>
        <w:tc>
          <w:tcPr>
            <w:tcW w:w="1679" w:type="dxa"/>
            <w:tcBorders>
              <w:top w:val="single" w:color="auto" w:sz="4" w:space="0"/>
              <w:left w:val="single" w:color="auto" w:sz="4" w:space="0"/>
              <w:bottom w:val="single" w:color="auto" w:sz="4" w:space="0"/>
              <w:right w:val="single" w:color="auto" w:sz="4" w:space="0"/>
            </w:tcBorders>
            <w:vAlign w:val="center"/>
          </w:tcPr>
          <w:p w14:paraId="7DCA3F0E">
            <w:pPr>
              <w:spacing w:line="360" w:lineRule="auto"/>
              <w:jc w:val="center"/>
              <w:rPr>
                <w:color w:val="auto"/>
                <w:sz w:val="24"/>
              </w:rPr>
            </w:pPr>
          </w:p>
        </w:tc>
      </w:tr>
      <w:tr w14:paraId="0B64C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731" w:type="dxa"/>
            <w:tcBorders>
              <w:top w:val="single" w:color="auto" w:sz="4" w:space="0"/>
              <w:left w:val="single" w:color="auto" w:sz="4" w:space="0"/>
              <w:bottom w:val="single" w:color="auto" w:sz="4" w:space="0"/>
              <w:right w:val="single" w:color="auto" w:sz="4" w:space="0"/>
            </w:tcBorders>
            <w:vAlign w:val="center"/>
          </w:tcPr>
          <w:p w14:paraId="3BF6AC38">
            <w:pPr>
              <w:spacing w:line="360" w:lineRule="auto"/>
              <w:jc w:val="center"/>
              <w:rPr>
                <w:color w:val="auto"/>
                <w:sz w:val="24"/>
              </w:rPr>
            </w:pPr>
            <w:r>
              <w:rPr>
                <w:rFonts w:hint="eastAsia"/>
                <w:color w:val="auto"/>
                <w:sz w:val="24"/>
              </w:rPr>
              <w:t>组织结构</w:t>
            </w:r>
          </w:p>
        </w:tc>
        <w:tc>
          <w:tcPr>
            <w:tcW w:w="6689" w:type="dxa"/>
            <w:gridSpan w:val="6"/>
            <w:tcBorders>
              <w:top w:val="single" w:color="auto" w:sz="4" w:space="0"/>
              <w:left w:val="single" w:color="auto" w:sz="4" w:space="0"/>
              <w:bottom w:val="single" w:color="auto" w:sz="4" w:space="0"/>
              <w:right w:val="single" w:color="auto" w:sz="4" w:space="0"/>
            </w:tcBorders>
            <w:vAlign w:val="center"/>
          </w:tcPr>
          <w:p w14:paraId="5E4B2D34">
            <w:pPr>
              <w:tabs>
                <w:tab w:val="left" w:pos="4776"/>
              </w:tabs>
              <w:spacing w:line="360" w:lineRule="auto"/>
              <w:jc w:val="center"/>
              <w:rPr>
                <w:color w:val="auto"/>
                <w:sz w:val="24"/>
              </w:rPr>
            </w:pPr>
          </w:p>
        </w:tc>
      </w:tr>
      <w:tr w14:paraId="42837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1731" w:type="dxa"/>
            <w:tcBorders>
              <w:top w:val="single" w:color="auto" w:sz="4" w:space="0"/>
              <w:left w:val="single" w:color="auto" w:sz="4" w:space="0"/>
              <w:bottom w:val="single" w:color="auto" w:sz="4" w:space="0"/>
              <w:right w:val="single" w:color="auto" w:sz="4" w:space="0"/>
            </w:tcBorders>
            <w:vAlign w:val="center"/>
          </w:tcPr>
          <w:p w14:paraId="5E428816">
            <w:pPr>
              <w:spacing w:line="360" w:lineRule="auto"/>
              <w:jc w:val="center"/>
              <w:rPr>
                <w:color w:val="auto"/>
                <w:sz w:val="24"/>
              </w:rPr>
            </w:pPr>
            <w:r>
              <w:rPr>
                <w:rFonts w:hint="eastAsia"/>
                <w:color w:val="auto"/>
                <w:sz w:val="24"/>
              </w:rPr>
              <w:t>法定代表人</w:t>
            </w:r>
          </w:p>
        </w:tc>
        <w:tc>
          <w:tcPr>
            <w:tcW w:w="973" w:type="dxa"/>
            <w:tcBorders>
              <w:top w:val="single" w:color="auto" w:sz="4" w:space="0"/>
              <w:left w:val="single" w:color="auto" w:sz="4" w:space="0"/>
              <w:bottom w:val="single" w:color="auto" w:sz="4" w:space="0"/>
              <w:right w:val="single" w:color="auto" w:sz="4" w:space="0"/>
            </w:tcBorders>
            <w:vAlign w:val="center"/>
          </w:tcPr>
          <w:p w14:paraId="2427B8BB">
            <w:pPr>
              <w:spacing w:line="360" w:lineRule="auto"/>
              <w:jc w:val="center"/>
              <w:rPr>
                <w:color w:val="auto"/>
                <w:sz w:val="24"/>
              </w:rPr>
            </w:pPr>
            <w:r>
              <w:rPr>
                <w:rFonts w:hint="eastAsia"/>
                <w:color w:val="auto"/>
                <w:sz w:val="24"/>
              </w:rPr>
              <w:t>姓名</w:t>
            </w:r>
          </w:p>
        </w:tc>
        <w:tc>
          <w:tcPr>
            <w:tcW w:w="2670" w:type="dxa"/>
            <w:gridSpan w:val="2"/>
            <w:tcBorders>
              <w:top w:val="single" w:color="auto" w:sz="4" w:space="0"/>
              <w:left w:val="single" w:color="auto" w:sz="4" w:space="0"/>
              <w:bottom w:val="single" w:color="auto" w:sz="4" w:space="0"/>
              <w:right w:val="single" w:color="auto" w:sz="4" w:space="0"/>
            </w:tcBorders>
            <w:vAlign w:val="center"/>
          </w:tcPr>
          <w:p w14:paraId="4A5166CE">
            <w:pPr>
              <w:spacing w:line="360" w:lineRule="auto"/>
              <w:jc w:val="center"/>
              <w:rPr>
                <w:color w:val="auto"/>
                <w:sz w:val="24"/>
              </w:rPr>
            </w:pPr>
          </w:p>
        </w:tc>
        <w:tc>
          <w:tcPr>
            <w:tcW w:w="1132" w:type="dxa"/>
            <w:tcBorders>
              <w:top w:val="single" w:color="auto" w:sz="4" w:space="0"/>
              <w:left w:val="single" w:color="auto" w:sz="4" w:space="0"/>
              <w:bottom w:val="single" w:color="auto" w:sz="4" w:space="0"/>
              <w:right w:val="single" w:color="auto" w:sz="4" w:space="0"/>
            </w:tcBorders>
            <w:vAlign w:val="center"/>
          </w:tcPr>
          <w:p w14:paraId="1096217A">
            <w:pPr>
              <w:spacing w:line="360" w:lineRule="auto"/>
              <w:jc w:val="center"/>
              <w:rPr>
                <w:color w:val="auto"/>
                <w:sz w:val="24"/>
              </w:rPr>
            </w:pPr>
            <w:r>
              <w:rPr>
                <w:rFonts w:hint="eastAsia"/>
                <w:color w:val="auto"/>
                <w:sz w:val="24"/>
              </w:rPr>
              <w:t>电话</w:t>
            </w:r>
          </w:p>
        </w:tc>
        <w:tc>
          <w:tcPr>
            <w:tcW w:w="1914" w:type="dxa"/>
            <w:gridSpan w:val="2"/>
            <w:tcBorders>
              <w:top w:val="single" w:color="auto" w:sz="4" w:space="0"/>
              <w:left w:val="single" w:color="auto" w:sz="4" w:space="0"/>
              <w:bottom w:val="single" w:color="auto" w:sz="4" w:space="0"/>
              <w:right w:val="single" w:color="auto" w:sz="4" w:space="0"/>
            </w:tcBorders>
            <w:vAlign w:val="center"/>
          </w:tcPr>
          <w:p w14:paraId="720DCBEE">
            <w:pPr>
              <w:spacing w:line="360" w:lineRule="auto"/>
              <w:jc w:val="center"/>
              <w:rPr>
                <w:color w:val="auto"/>
                <w:sz w:val="24"/>
              </w:rPr>
            </w:pPr>
          </w:p>
        </w:tc>
      </w:tr>
      <w:tr w14:paraId="12E21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731" w:type="dxa"/>
            <w:tcBorders>
              <w:top w:val="single" w:color="auto" w:sz="4" w:space="0"/>
              <w:left w:val="single" w:color="auto" w:sz="4" w:space="0"/>
              <w:bottom w:val="single" w:color="auto" w:sz="4" w:space="0"/>
              <w:right w:val="single" w:color="auto" w:sz="4" w:space="0"/>
            </w:tcBorders>
            <w:vAlign w:val="center"/>
          </w:tcPr>
          <w:p w14:paraId="70F29CD0">
            <w:pPr>
              <w:spacing w:line="360" w:lineRule="auto"/>
              <w:jc w:val="center"/>
              <w:rPr>
                <w:color w:val="auto"/>
                <w:sz w:val="24"/>
              </w:rPr>
            </w:pPr>
            <w:r>
              <w:rPr>
                <w:rFonts w:hint="eastAsia"/>
                <w:color w:val="auto"/>
                <w:sz w:val="24"/>
              </w:rPr>
              <w:t>成立时间</w:t>
            </w:r>
          </w:p>
        </w:tc>
        <w:tc>
          <w:tcPr>
            <w:tcW w:w="2524" w:type="dxa"/>
            <w:gridSpan w:val="2"/>
            <w:tcBorders>
              <w:top w:val="single" w:color="auto" w:sz="4" w:space="0"/>
              <w:left w:val="single" w:color="auto" w:sz="4" w:space="0"/>
              <w:bottom w:val="single" w:color="auto" w:sz="4" w:space="0"/>
              <w:right w:val="single" w:color="auto" w:sz="4" w:space="0"/>
            </w:tcBorders>
            <w:vAlign w:val="center"/>
          </w:tcPr>
          <w:p w14:paraId="45DA3ACE">
            <w:pPr>
              <w:spacing w:line="360" w:lineRule="auto"/>
              <w:jc w:val="center"/>
              <w:rPr>
                <w:color w:val="auto"/>
                <w:sz w:val="24"/>
              </w:rPr>
            </w:pPr>
          </w:p>
        </w:tc>
        <w:tc>
          <w:tcPr>
            <w:tcW w:w="4165" w:type="dxa"/>
            <w:gridSpan w:val="4"/>
            <w:tcBorders>
              <w:top w:val="single" w:color="auto" w:sz="4" w:space="0"/>
              <w:left w:val="single" w:color="auto" w:sz="4" w:space="0"/>
              <w:bottom w:val="single" w:color="auto" w:sz="4" w:space="0"/>
              <w:right w:val="single" w:color="auto" w:sz="4" w:space="0"/>
            </w:tcBorders>
            <w:vAlign w:val="center"/>
          </w:tcPr>
          <w:p w14:paraId="49732B4E">
            <w:pPr>
              <w:spacing w:line="360" w:lineRule="auto"/>
              <w:jc w:val="center"/>
              <w:rPr>
                <w:color w:val="auto"/>
                <w:sz w:val="24"/>
              </w:rPr>
            </w:pPr>
            <w:r>
              <w:rPr>
                <w:rFonts w:hint="eastAsia"/>
                <w:color w:val="auto"/>
                <w:sz w:val="24"/>
              </w:rPr>
              <w:t>员工总人数：</w:t>
            </w:r>
          </w:p>
        </w:tc>
      </w:tr>
      <w:tr w14:paraId="03441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1731" w:type="dxa"/>
            <w:tcBorders>
              <w:top w:val="single" w:color="auto" w:sz="4" w:space="0"/>
              <w:left w:val="single" w:color="auto" w:sz="4" w:space="0"/>
              <w:bottom w:val="single" w:color="auto" w:sz="4" w:space="0"/>
              <w:right w:val="single" w:color="auto" w:sz="4" w:space="0"/>
            </w:tcBorders>
            <w:vAlign w:val="center"/>
          </w:tcPr>
          <w:p w14:paraId="0D6D522A">
            <w:pPr>
              <w:spacing w:line="360" w:lineRule="auto"/>
              <w:jc w:val="center"/>
              <w:rPr>
                <w:color w:val="auto"/>
                <w:sz w:val="24"/>
              </w:rPr>
            </w:pPr>
            <w:r>
              <w:rPr>
                <w:rFonts w:hint="eastAsia"/>
                <w:color w:val="auto"/>
                <w:sz w:val="24"/>
              </w:rPr>
              <w:t>营业执照号</w:t>
            </w:r>
          </w:p>
        </w:tc>
        <w:tc>
          <w:tcPr>
            <w:tcW w:w="6689" w:type="dxa"/>
            <w:gridSpan w:val="6"/>
            <w:tcBorders>
              <w:top w:val="single" w:color="auto" w:sz="4" w:space="0"/>
              <w:left w:val="single" w:color="auto" w:sz="4" w:space="0"/>
              <w:bottom w:val="single" w:color="auto" w:sz="4" w:space="0"/>
              <w:right w:val="single" w:color="auto" w:sz="4" w:space="0"/>
            </w:tcBorders>
            <w:vAlign w:val="center"/>
          </w:tcPr>
          <w:p w14:paraId="017F575E">
            <w:pPr>
              <w:spacing w:line="360" w:lineRule="auto"/>
              <w:jc w:val="center"/>
              <w:rPr>
                <w:color w:val="auto"/>
                <w:sz w:val="24"/>
              </w:rPr>
            </w:pPr>
          </w:p>
        </w:tc>
      </w:tr>
      <w:tr w14:paraId="27952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1731" w:type="dxa"/>
            <w:tcBorders>
              <w:top w:val="single" w:color="auto" w:sz="4" w:space="0"/>
              <w:left w:val="single" w:color="auto" w:sz="4" w:space="0"/>
              <w:bottom w:val="single" w:color="auto" w:sz="4" w:space="0"/>
              <w:right w:val="single" w:color="auto" w:sz="4" w:space="0"/>
            </w:tcBorders>
            <w:vAlign w:val="center"/>
          </w:tcPr>
          <w:p w14:paraId="34831733">
            <w:pPr>
              <w:spacing w:line="360" w:lineRule="auto"/>
              <w:jc w:val="center"/>
              <w:rPr>
                <w:color w:val="auto"/>
                <w:sz w:val="24"/>
              </w:rPr>
            </w:pPr>
            <w:r>
              <w:rPr>
                <w:rFonts w:hint="eastAsia"/>
                <w:color w:val="auto"/>
                <w:sz w:val="24"/>
              </w:rPr>
              <w:t>注册资金</w:t>
            </w:r>
          </w:p>
        </w:tc>
        <w:tc>
          <w:tcPr>
            <w:tcW w:w="2524" w:type="dxa"/>
            <w:gridSpan w:val="2"/>
            <w:tcBorders>
              <w:top w:val="single" w:color="auto" w:sz="4" w:space="0"/>
              <w:left w:val="single" w:color="auto" w:sz="4" w:space="0"/>
              <w:bottom w:val="single" w:color="auto" w:sz="4" w:space="0"/>
              <w:right w:val="single" w:color="auto" w:sz="4" w:space="0"/>
            </w:tcBorders>
            <w:vAlign w:val="center"/>
          </w:tcPr>
          <w:p w14:paraId="093C5737">
            <w:pPr>
              <w:spacing w:line="360" w:lineRule="auto"/>
              <w:jc w:val="center"/>
              <w:rPr>
                <w:color w:val="auto"/>
                <w:sz w:val="24"/>
              </w:rPr>
            </w:pPr>
          </w:p>
        </w:tc>
        <w:tc>
          <w:tcPr>
            <w:tcW w:w="2251" w:type="dxa"/>
            <w:gridSpan w:val="2"/>
            <w:tcBorders>
              <w:top w:val="single" w:color="auto" w:sz="4" w:space="0"/>
              <w:left w:val="single" w:color="auto" w:sz="4" w:space="0"/>
              <w:bottom w:val="single" w:color="auto" w:sz="4" w:space="0"/>
              <w:right w:val="single" w:color="auto" w:sz="4" w:space="0"/>
            </w:tcBorders>
            <w:vAlign w:val="center"/>
          </w:tcPr>
          <w:p w14:paraId="5B01E148">
            <w:pPr>
              <w:spacing w:line="360" w:lineRule="auto"/>
              <w:jc w:val="center"/>
              <w:rPr>
                <w:color w:val="auto"/>
                <w:sz w:val="24"/>
              </w:rPr>
            </w:pPr>
            <w:r>
              <w:rPr>
                <w:rFonts w:hint="eastAsia"/>
                <w:color w:val="auto"/>
                <w:sz w:val="24"/>
              </w:rPr>
              <w:t>开户银行</w:t>
            </w:r>
          </w:p>
        </w:tc>
        <w:tc>
          <w:tcPr>
            <w:tcW w:w="1914" w:type="dxa"/>
            <w:gridSpan w:val="2"/>
            <w:tcBorders>
              <w:top w:val="single" w:color="auto" w:sz="4" w:space="0"/>
              <w:left w:val="single" w:color="auto" w:sz="4" w:space="0"/>
              <w:bottom w:val="single" w:color="auto" w:sz="4" w:space="0"/>
              <w:right w:val="single" w:color="auto" w:sz="4" w:space="0"/>
            </w:tcBorders>
            <w:vAlign w:val="center"/>
          </w:tcPr>
          <w:p w14:paraId="08BAA4B7">
            <w:pPr>
              <w:spacing w:line="360" w:lineRule="auto"/>
              <w:jc w:val="center"/>
              <w:rPr>
                <w:color w:val="auto"/>
                <w:sz w:val="24"/>
              </w:rPr>
            </w:pPr>
          </w:p>
        </w:tc>
      </w:tr>
      <w:tr w14:paraId="58CF2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1731" w:type="dxa"/>
            <w:tcBorders>
              <w:top w:val="single" w:color="auto" w:sz="4" w:space="0"/>
              <w:left w:val="single" w:color="auto" w:sz="4" w:space="0"/>
              <w:bottom w:val="single" w:color="auto" w:sz="4" w:space="0"/>
              <w:right w:val="single" w:color="auto" w:sz="4" w:space="0"/>
            </w:tcBorders>
            <w:vAlign w:val="center"/>
          </w:tcPr>
          <w:p w14:paraId="5EF56276">
            <w:pPr>
              <w:spacing w:line="360" w:lineRule="auto"/>
              <w:jc w:val="center"/>
              <w:rPr>
                <w:color w:val="auto"/>
                <w:sz w:val="24"/>
              </w:rPr>
            </w:pPr>
            <w:r>
              <w:rPr>
                <w:rFonts w:hint="eastAsia"/>
                <w:color w:val="auto"/>
                <w:sz w:val="24"/>
              </w:rPr>
              <w:t>账号</w:t>
            </w:r>
          </w:p>
        </w:tc>
        <w:tc>
          <w:tcPr>
            <w:tcW w:w="6689" w:type="dxa"/>
            <w:gridSpan w:val="6"/>
            <w:tcBorders>
              <w:top w:val="single" w:color="auto" w:sz="4" w:space="0"/>
              <w:left w:val="single" w:color="auto" w:sz="4" w:space="0"/>
              <w:bottom w:val="single" w:color="auto" w:sz="4" w:space="0"/>
              <w:right w:val="single" w:color="auto" w:sz="4" w:space="0"/>
            </w:tcBorders>
            <w:vAlign w:val="center"/>
          </w:tcPr>
          <w:p w14:paraId="0437E82F">
            <w:pPr>
              <w:spacing w:line="360" w:lineRule="auto"/>
              <w:rPr>
                <w:color w:val="auto"/>
                <w:sz w:val="24"/>
              </w:rPr>
            </w:pPr>
          </w:p>
        </w:tc>
      </w:tr>
      <w:tr w14:paraId="540E9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1731" w:type="dxa"/>
            <w:tcBorders>
              <w:top w:val="single" w:color="auto" w:sz="4" w:space="0"/>
              <w:left w:val="single" w:color="auto" w:sz="4" w:space="0"/>
              <w:bottom w:val="single" w:color="auto" w:sz="4" w:space="0"/>
              <w:right w:val="single" w:color="auto" w:sz="4" w:space="0"/>
            </w:tcBorders>
            <w:vAlign w:val="center"/>
          </w:tcPr>
          <w:p w14:paraId="4F8844DE">
            <w:pPr>
              <w:spacing w:line="360" w:lineRule="auto"/>
              <w:jc w:val="center"/>
              <w:rPr>
                <w:color w:val="auto"/>
                <w:sz w:val="24"/>
              </w:rPr>
            </w:pPr>
            <w:r>
              <w:rPr>
                <w:rFonts w:hint="eastAsia"/>
                <w:color w:val="auto"/>
                <w:sz w:val="24"/>
              </w:rPr>
              <w:t>经营范围备注</w:t>
            </w:r>
          </w:p>
        </w:tc>
        <w:tc>
          <w:tcPr>
            <w:tcW w:w="6689" w:type="dxa"/>
            <w:gridSpan w:val="6"/>
            <w:tcBorders>
              <w:top w:val="single" w:color="auto" w:sz="4" w:space="0"/>
              <w:left w:val="single" w:color="auto" w:sz="4" w:space="0"/>
              <w:bottom w:val="single" w:color="auto" w:sz="4" w:space="0"/>
              <w:right w:val="single" w:color="auto" w:sz="4" w:space="0"/>
            </w:tcBorders>
            <w:vAlign w:val="center"/>
          </w:tcPr>
          <w:p w14:paraId="2B2AB778">
            <w:pPr>
              <w:spacing w:line="360" w:lineRule="auto"/>
              <w:rPr>
                <w:color w:val="auto"/>
                <w:sz w:val="24"/>
              </w:rPr>
            </w:pPr>
          </w:p>
        </w:tc>
      </w:tr>
    </w:tbl>
    <w:p w14:paraId="576D5004">
      <w:pPr>
        <w:spacing w:line="360" w:lineRule="auto"/>
        <w:rPr>
          <w:color w:val="auto"/>
          <w:sz w:val="24"/>
        </w:rPr>
      </w:pPr>
      <w:bookmarkStart w:id="355" w:name="_Toc15473_WPSOffice_Level3"/>
      <w:r>
        <w:rPr>
          <w:rFonts w:hint="eastAsia"/>
          <w:color w:val="auto"/>
          <w:sz w:val="24"/>
        </w:rPr>
        <w:t>附：1、营业执照、税务登记证、组织机构代码证等相关证件的扫描件</w:t>
      </w:r>
      <w:bookmarkEnd w:id="355"/>
    </w:p>
    <w:p w14:paraId="32D29588">
      <w:pPr>
        <w:spacing w:line="360" w:lineRule="auto"/>
        <w:rPr>
          <w:color w:val="auto"/>
          <w:sz w:val="24"/>
        </w:rPr>
      </w:pPr>
    </w:p>
    <w:p w14:paraId="1977B6AA">
      <w:pPr>
        <w:spacing w:line="360" w:lineRule="auto"/>
        <w:rPr>
          <w:color w:val="auto"/>
          <w:sz w:val="24"/>
        </w:rPr>
      </w:pPr>
    </w:p>
    <w:p w14:paraId="1F607147">
      <w:pPr>
        <w:spacing w:line="360" w:lineRule="auto"/>
        <w:rPr>
          <w:color w:val="auto"/>
          <w:sz w:val="24"/>
        </w:rPr>
      </w:pPr>
    </w:p>
    <w:p w14:paraId="17D5664D">
      <w:pPr>
        <w:spacing w:line="360" w:lineRule="auto"/>
        <w:rPr>
          <w:color w:val="auto"/>
          <w:sz w:val="24"/>
        </w:rPr>
      </w:pPr>
    </w:p>
    <w:p w14:paraId="42E119A5">
      <w:pPr>
        <w:spacing w:line="360" w:lineRule="auto"/>
        <w:rPr>
          <w:color w:val="auto"/>
          <w:sz w:val="24"/>
        </w:rPr>
      </w:pPr>
    </w:p>
    <w:p w14:paraId="5773DA75">
      <w:pPr>
        <w:spacing w:line="360" w:lineRule="auto"/>
        <w:rPr>
          <w:color w:val="auto"/>
          <w:sz w:val="24"/>
        </w:rPr>
      </w:pPr>
    </w:p>
    <w:p w14:paraId="1939CA96">
      <w:pPr>
        <w:spacing w:line="360" w:lineRule="auto"/>
        <w:rPr>
          <w:color w:val="auto"/>
          <w:sz w:val="24"/>
        </w:rPr>
      </w:pPr>
    </w:p>
    <w:p w14:paraId="1E41E257">
      <w:pPr>
        <w:spacing w:line="360" w:lineRule="auto"/>
        <w:rPr>
          <w:color w:val="auto"/>
          <w:sz w:val="24"/>
        </w:rPr>
      </w:pPr>
    </w:p>
    <w:p w14:paraId="397C0AA2">
      <w:pPr>
        <w:widowControl/>
        <w:jc w:val="left"/>
        <w:rPr>
          <w:rFonts w:ascii="宋体" w:hAnsi="宋体" w:cs="宋体"/>
          <w:b/>
          <w:bCs/>
          <w:color w:val="auto"/>
          <w:kern w:val="0"/>
          <w:sz w:val="24"/>
        </w:rPr>
      </w:pPr>
      <w:bookmarkStart w:id="356" w:name="_Toc13068_WPSOffice_Level2"/>
    </w:p>
    <w:p w14:paraId="5B082126">
      <w:pPr>
        <w:jc w:val="center"/>
        <w:rPr>
          <w:color w:val="auto"/>
          <w:sz w:val="24"/>
          <w:szCs w:val="32"/>
        </w:rPr>
      </w:pPr>
      <w:r>
        <w:rPr>
          <w:rFonts w:hint="eastAsia"/>
          <w:color w:val="auto"/>
          <w:sz w:val="24"/>
          <w:szCs w:val="32"/>
        </w:rPr>
        <w:t>（二）近三年来完成</w:t>
      </w:r>
      <w:r>
        <w:rPr>
          <w:rFonts w:hint="eastAsia"/>
          <w:color w:val="auto"/>
          <w:sz w:val="24"/>
          <w:szCs w:val="32"/>
          <w:lang w:eastAsia="zh-CN"/>
        </w:rPr>
        <w:t>类似</w:t>
      </w:r>
      <w:r>
        <w:rPr>
          <w:rFonts w:hint="eastAsia"/>
          <w:color w:val="auto"/>
          <w:sz w:val="24"/>
          <w:szCs w:val="32"/>
        </w:rPr>
        <w:t>项目情况表</w:t>
      </w:r>
    </w:p>
    <w:tbl>
      <w:tblPr>
        <w:tblStyle w:val="20"/>
        <w:tblpPr w:leftFromText="180" w:rightFromText="180" w:vertAnchor="text" w:horzAnchor="page" w:tblpX="2102" w:tblpY="786"/>
        <w:tblOverlap w:val="never"/>
        <w:tblW w:w="8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85"/>
        <w:gridCol w:w="5795"/>
      </w:tblGrid>
      <w:tr w14:paraId="6B822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trPr>
        <w:tc>
          <w:tcPr>
            <w:tcW w:w="2385" w:type="dxa"/>
            <w:vAlign w:val="center"/>
          </w:tcPr>
          <w:p w14:paraId="746511BF">
            <w:pPr>
              <w:adjustRightInd w:val="0"/>
              <w:snapToGrid w:val="0"/>
              <w:spacing w:line="480" w:lineRule="exact"/>
              <w:jc w:val="center"/>
              <w:rPr>
                <w:rFonts w:ascii="宋体" w:cs="宋体"/>
                <w:color w:val="auto"/>
              </w:rPr>
            </w:pPr>
            <w:r>
              <w:rPr>
                <w:rFonts w:hint="eastAsia" w:ascii="宋体" w:hAnsi="宋体" w:cs="宋体"/>
                <w:color w:val="auto"/>
              </w:rPr>
              <w:t>建设单位</w:t>
            </w:r>
          </w:p>
          <w:p w14:paraId="13E8FE95">
            <w:pPr>
              <w:adjustRightInd w:val="0"/>
              <w:snapToGrid w:val="0"/>
              <w:spacing w:line="480" w:lineRule="exact"/>
              <w:jc w:val="center"/>
              <w:rPr>
                <w:rFonts w:ascii="宋体" w:cs="宋体"/>
                <w:color w:val="auto"/>
              </w:rPr>
            </w:pPr>
            <w:r>
              <w:rPr>
                <w:rFonts w:hint="eastAsia" w:ascii="宋体" w:hAnsi="宋体" w:cs="宋体"/>
                <w:color w:val="auto"/>
              </w:rPr>
              <w:t>（业主）</w:t>
            </w:r>
          </w:p>
        </w:tc>
        <w:tc>
          <w:tcPr>
            <w:tcW w:w="5795" w:type="dxa"/>
            <w:vAlign w:val="center"/>
          </w:tcPr>
          <w:p w14:paraId="6923A359">
            <w:pPr>
              <w:adjustRightInd w:val="0"/>
              <w:snapToGrid w:val="0"/>
              <w:spacing w:line="480" w:lineRule="exact"/>
              <w:jc w:val="center"/>
              <w:rPr>
                <w:rFonts w:ascii="宋体" w:cs="宋体"/>
                <w:color w:val="auto"/>
              </w:rPr>
            </w:pPr>
          </w:p>
        </w:tc>
      </w:tr>
      <w:tr w14:paraId="7A188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trPr>
        <w:tc>
          <w:tcPr>
            <w:tcW w:w="2385" w:type="dxa"/>
            <w:vAlign w:val="center"/>
          </w:tcPr>
          <w:p w14:paraId="56DE6AE6">
            <w:pPr>
              <w:adjustRightInd w:val="0"/>
              <w:snapToGrid w:val="0"/>
              <w:spacing w:line="480" w:lineRule="exact"/>
              <w:jc w:val="center"/>
              <w:rPr>
                <w:rFonts w:ascii="宋体" w:cs="宋体"/>
                <w:color w:val="auto"/>
              </w:rPr>
            </w:pPr>
            <w:r>
              <w:rPr>
                <w:rFonts w:hint="eastAsia" w:ascii="宋体" w:hAnsi="宋体" w:cs="宋体"/>
                <w:color w:val="auto"/>
              </w:rPr>
              <w:t>工程名称</w:t>
            </w:r>
          </w:p>
        </w:tc>
        <w:tc>
          <w:tcPr>
            <w:tcW w:w="5795" w:type="dxa"/>
            <w:vAlign w:val="center"/>
          </w:tcPr>
          <w:p w14:paraId="7AEC4AB3">
            <w:pPr>
              <w:adjustRightInd w:val="0"/>
              <w:snapToGrid w:val="0"/>
              <w:spacing w:line="480" w:lineRule="exact"/>
              <w:jc w:val="center"/>
              <w:rPr>
                <w:rFonts w:ascii="宋体" w:cs="宋体"/>
                <w:color w:val="auto"/>
              </w:rPr>
            </w:pPr>
          </w:p>
        </w:tc>
      </w:tr>
      <w:tr w14:paraId="064CF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trPr>
        <w:tc>
          <w:tcPr>
            <w:tcW w:w="2385" w:type="dxa"/>
            <w:vAlign w:val="center"/>
          </w:tcPr>
          <w:p w14:paraId="2596380F">
            <w:pPr>
              <w:adjustRightInd w:val="0"/>
              <w:snapToGrid w:val="0"/>
              <w:spacing w:line="480" w:lineRule="exact"/>
              <w:jc w:val="center"/>
              <w:rPr>
                <w:rFonts w:ascii="宋体" w:cs="宋体"/>
                <w:color w:val="auto"/>
              </w:rPr>
            </w:pPr>
            <w:r>
              <w:rPr>
                <w:rFonts w:hint="eastAsia" w:ascii="宋体" w:hAnsi="宋体" w:cs="宋体"/>
                <w:color w:val="auto"/>
              </w:rPr>
              <w:t>建设规模</w:t>
            </w:r>
          </w:p>
        </w:tc>
        <w:tc>
          <w:tcPr>
            <w:tcW w:w="5795" w:type="dxa"/>
            <w:vAlign w:val="center"/>
          </w:tcPr>
          <w:p w14:paraId="3EB277B7">
            <w:pPr>
              <w:adjustRightInd w:val="0"/>
              <w:snapToGrid w:val="0"/>
              <w:spacing w:line="480" w:lineRule="exact"/>
              <w:jc w:val="center"/>
              <w:rPr>
                <w:rFonts w:ascii="宋体" w:cs="宋体"/>
                <w:color w:val="auto"/>
              </w:rPr>
            </w:pPr>
          </w:p>
        </w:tc>
      </w:tr>
      <w:tr w14:paraId="77AAF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trPr>
        <w:tc>
          <w:tcPr>
            <w:tcW w:w="2385" w:type="dxa"/>
            <w:vAlign w:val="center"/>
          </w:tcPr>
          <w:p w14:paraId="3AE3FA92">
            <w:pPr>
              <w:adjustRightInd w:val="0"/>
              <w:snapToGrid w:val="0"/>
              <w:spacing w:line="480" w:lineRule="exact"/>
              <w:jc w:val="center"/>
              <w:rPr>
                <w:rFonts w:ascii="宋体" w:cs="宋体"/>
                <w:color w:val="auto"/>
              </w:rPr>
            </w:pPr>
            <w:r>
              <w:rPr>
                <w:rFonts w:hint="eastAsia" w:ascii="宋体" w:hAnsi="宋体" w:cs="宋体"/>
                <w:color w:val="auto"/>
              </w:rPr>
              <w:t>完成日期</w:t>
            </w:r>
          </w:p>
          <w:p w14:paraId="7D48F889">
            <w:pPr>
              <w:adjustRightInd w:val="0"/>
              <w:snapToGrid w:val="0"/>
              <w:spacing w:line="480" w:lineRule="exact"/>
              <w:jc w:val="center"/>
              <w:rPr>
                <w:rFonts w:ascii="宋体" w:cs="宋体"/>
                <w:color w:val="auto"/>
              </w:rPr>
            </w:pPr>
            <w:r>
              <w:rPr>
                <w:rFonts w:hint="eastAsia" w:ascii="宋体" w:hAnsi="宋体" w:cs="宋体"/>
                <w:color w:val="auto"/>
              </w:rPr>
              <w:t>（年</w:t>
            </w:r>
            <w:r>
              <w:rPr>
                <w:rFonts w:ascii="宋体" w:hAnsi="宋体" w:cs="宋体"/>
                <w:color w:val="auto"/>
              </w:rPr>
              <w:t>/</w:t>
            </w:r>
            <w:r>
              <w:rPr>
                <w:rFonts w:hint="eastAsia" w:ascii="宋体" w:hAnsi="宋体" w:cs="宋体"/>
                <w:color w:val="auto"/>
              </w:rPr>
              <w:t>月</w:t>
            </w:r>
            <w:r>
              <w:rPr>
                <w:rFonts w:ascii="宋体" w:hAnsi="宋体" w:cs="宋体"/>
                <w:color w:val="auto"/>
              </w:rPr>
              <w:t>/</w:t>
            </w:r>
            <w:r>
              <w:rPr>
                <w:rFonts w:hint="eastAsia" w:ascii="宋体" w:hAnsi="宋体" w:cs="宋体"/>
                <w:color w:val="auto"/>
              </w:rPr>
              <w:t>日）</w:t>
            </w:r>
          </w:p>
        </w:tc>
        <w:tc>
          <w:tcPr>
            <w:tcW w:w="5795" w:type="dxa"/>
            <w:vAlign w:val="center"/>
          </w:tcPr>
          <w:p w14:paraId="501D49C0">
            <w:pPr>
              <w:adjustRightInd w:val="0"/>
              <w:snapToGrid w:val="0"/>
              <w:spacing w:line="480" w:lineRule="exact"/>
              <w:jc w:val="center"/>
              <w:rPr>
                <w:rFonts w:ascii="宋体" w:cs="宋体"/>
                <w:color w:val="auto"/>
              </w:rPr>
            </w:pPr>
          </w:p>
        </w:tc>
      </w:tr>
      <w:tr w14:paraId="0277B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trPr>
        <w:tc>
          <w:tcPr>
            <w:tcW w:w="2385" w:type="dxa"/>
            <w:vAlign w:val="center"/>
          </w:tcPr>
          <w:p w14:paraId="49FB8353">
            <w:pPr>
              <w:adjustRightInd w:val="0"/>
              <w:snapToGrid w:val="0"/>
              <w:spacing w:line="480" w:lineRule="exact"/>
              <w:jc w:val="center"/>
              <w:rPr>
                <w:rFonts w:ascii="宋体" w:cs="宋体"/>
                <w:color w:val="auto"/>
              </w:rPr>
            </w:pPr>
            <w:r>
              <w:rPr>
                <w:rFonts w:hint="eastAsia" w:ascii="宋体" w:hAnsi="宋体" w:cs="宋体"/>
                <w:color w:val="auto"/>
              </w:rPr>
              <w:t>主要设计人员情况</w:t>
            </w:r>
          </w:p>
        </w:tc>
        <w:tc>
          <w:tcPr>
            <w:tcW w:w="5795" w:type="dxa"/>
            <w:vAlign w:val="center"/>
          </w:tcPr>
          <w:p w14:paraId="1EAA9574">
            <w:pPr>
              <w:adjustRightInd w:val="0"/>
              <w:snapToGrid w:val="0"/>
              <w:spacing w:line="480" w:lineRule="exact"/>
              <w:jc w:val="center"/>
              <w:rPr>
                <w:rFonts w:ascii="宋体" w:cs="宋体"/>
                <w:color w:val="auto"/>
              </w:rPr>
            </w:pPr>
          </w:p>
        </w:tc>
      </w:tr>
      <w:tr w14:paraId="6AEFC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trPr>
        <w:tc>
          <w:tcPr>
            <w:tcW w:w="2385" w:type="dxa"/>
            <w:vAlign w:val="center"/>
          </w:tcPr>
          <w:p w14:paraId="31D5A25F">
            <w:pPr>
              <w:adjustRightInd w:val="0"/>
              <w:snapToGrid w:val="0"/>
              <w:spacing w:line="480" w:lineRule="exact"/>
              <w:jc w:val="center"/>
              <w:rPr>
                <w:rFonts w:ascii="宋体" w:cs="宋体"/>
                <w:color w:val="auto"/>
              </w:rPr>
            </w:pPr>
            <w:r>
              <w:rPr>
                <w:rFonts w:hint="eastAsia" w:ascii="宋体" w:hAnsi="宋体" w:cs="宋体"/>
                <w:color w:val="auto"/>
              </w:rPr>
              <w:t>……</w:t>
            </w:r>
          </w:p>
        </w:tc>
        <w:tc>
          <w:tcPr>
            <w:tcW w:w="5795" w:type="dxa"/>
            <w:vAlign w:val="center"/>
          </w:tcPr>
          <w:p w14:paraId="43C110B2">
            <w:pPr>
              <w:adjustRightInd w:val="0"/>
              <w:snapToGrid w:val="0"/>
              <w:spacing w:line="480" w:lineRule="exact"/>
              <w:jc w:val="center"/>
              <w:rPr>
                <w:rFonts w:ascii="宋体" w:cs="宋体"/>
                <w:color w:val="auto"/>
              </w:rPr>
            </w:pPr>
          </w:p>
        </w:tc>
      </w:tr>
    </w:tbl>
    <w:p w14:paraId="5F4B0818">
      <w:pPr>
        <w:autoSpaceDE w:val="0"/>
        <w:autoSpaceDN w:val="0"/>
        <w:adjustRightInd w:val="0"/>
        <w:snapToGrid w:val="0"/>
        <w:spacing w:line="480" w:lineRule="exact"/>
        <w:rPr>
          <w:rFonts w:ascii="宋体" w:cs="宋体"/>
          <w:b/>
          <w:color w:val="auto"/>
        </w:rPr>
      </w:pPr>
    </w:p>
    <w:p w14:paraId="76C1C21A">
      <w:pPr>
        <w:spacing w:line="480" w:lineRule="exact"/>
        <w:ind w:left="2750" w:leftChars="1250"/>
        <w:rPr>
          <w:rFonts w:ascii="宋体" w:hAnsi="宋体" w:cs="宋体"/>
          <w:color w:val="auto"/>
        </w:rPr>
      </w:pPr>
    </w:p>
    <w:p w14:paraId="54B37C23">
      <w:pPr>
        <w:spacing w:line="480" w:lineRule="exact"/>
        <w:ind w:left="2750" w:leftChars="1250"/>
        <w:rPr>
          <w:rFonts w:ascii="宋体" w:hAnsi="宋体" w:cs="宋体"/>
          <w:color w:val="auto"/>
        </w:rPr>
      </w:pPr>
    </w:p>
    <w:p w14:paraId="072E37CD">
      <w:pPr>
        <w:spacing w:line="500" w:lineRule="exact"/>
        <w:ind w:firstLine="4252" w:firstLineChars="1772"/>
        <w:rPr>
          <w:bCs/>
          <w:color w:val="auto"/>
          <w:sz w:val="24"/>
        </w:rPr>
      </w:pPr>
      <w:r>
        <w:rPr>
          <w:rFonts w:hint="eastAsia"/>
          <w:bCs/>
          <w:color w:val="auto"/>
          <w:sz w:val="24"/>
        </w:rPr>
        <w:t>供应商：（公章签章）</w:t>
      </w:r>
    </w:p>
    <w:p w14:paraId="10BEAF4F">
      <w:pPr>
        <w:spacing w:line="500" w:lineRule="exact"/>
        <w:ind w:firstLine="4252" w:firstLineChars="1772"/>
        <w:rPr>
          <w:bCs/>
          <w:color w:val="auto"/>
          <w:sz w:val="24"/>
        </w:rPr>
      </w:pPr>
      <w:r>
        <w:rPr>
          <w:rFonts w:hint="eastAsia"/>
          <w:bCs/>
          <w:color w:val="auto"/>
          <w:sz w:val="24"/>
        </w:rPr>
        <w:t>法定代表人：（签章）</w:t>
      </w:r>
    </w:p>
    <w:p w14:paraId="2D8A67FD">
      <w:pPr>
        <w:spacing w:line="500" w:lineRule="exact"/>
        <w:ind w:firstLine="4252" w:firstLineChars="1772"/>
        <w:rPr>
          <w:bCs/>
          <w:color w:val="auto"/>
          <w:sz w:val="24"/>
        </w:rPr>
      </w:pPr>
      <w:r>
        <w:rPr>
          <w:rFonts w:hint="eastAsia"/>
          <w:bCs/>
          <w:color w:val="auto"/>
          <w:sz w:val="24"/>
        </w:rPr>
        <w:t>日期：</w:t>
      </w:r>
    </w:p>
    <w:p w14:paraId="6A206F93">
      <w:pPr>
        <w:widowControl/>
        <w:spacing w:line="700" w:lineRule="exact"/>
        <w:jc w:val="center"/>
        <w:rPr>
          <w:rFonts w:ascii="宋体" w:hAnsi="宋体" w:cs="宋体"/>
          <w:b/>
          <w:bCs/>
          <w:color w:val="auto"/>
          <w:kern w:val="0"/>
          <w:sz w:val="24"/>
        </w:rPr>
      </w:pPr>
    </w:p>
    <w:p w14:paraId="650604A5">
      <w:pPr>
        <w:adjustRightInd w:val="0"/>
        <w:snapToGrid w:val="0"/>
        <w:spacing w:line="480" w:lineRule="exact"/>
        <w:ind w:left="826" w:hanging="866" w:hangingChars="392"/>
        <w:rPr>
          <w:rFonts w:ascii="宋体" w:cs="宋体"/>
          <w:b/>
          <w:color w:val="auto"/>
        </w:rPr>
      </w:pPr>
    </w:p>
    <w:p w14:paraId="1D96FFD2">
      <w:pPr>
        <w:adjustRightInd w:val="0"/>
        <w:snapToGrid w:val="0"/>
        <w:spacing w:line="480" w:lineRule="exact"/>
        <w:ind w:left="826" w:hanging="866" w:hangingChars="392"/>
        <w:rPr>
          <w:rFonts w:ascii="宋体" w:cs="宋体"/>
          <w:b/>
          <w:color w:val="auto"/>
        </w:rPr>
      </w:pPr>
      <w:r>
        <w:rPr>
          <w:rFonts w:hint="eastAsia" w:ascii="宋体" w:hAnsi="宋体" w:cs="宋体"/>
          <w:b/>
          <w:color w:val="auto"/>
        </w:rPr>
        <w:t>注：</w:t>
      </w:r>
      <w:r>
        <w:rPr>
          <w:rFonts w:ascii="宋体" w:hAnsi="宋体" w:cs="宋体"/>
          <w:b/>
          <w:color w:val="auto"/>
        </w:rPr>
        <w:t>1</w:t>
      </w:r>
      <w:r>
        <w:rPr>
          <w:rFonts w:hint="eastAsia" w:ascii="宋体" w:hAnsi="宋体" w:cs="宋体"/>
          <w:b/>
          <w:color w:val="auto"/>
        </w:rPr>
        <w:t>、</w:t>
      </w:r>
      <w:r>
        <w:rPr>
          <w:rFonts w:hint="eastAsia" w:ascii="宋体" w:hAnsi="宋体" w:cs="宋体"/>
          <w:b/>
          <w:color w:val="auto"/>
          <w:lang w:eastAsia="zh-CN"/>
        </w:rPr>
        <w:t>供应商</w:t>
      </w:r>
      <w:r>
        <w:rPr>
          <w:rFonts w:hint="eastAsia" w:ascii="宋体" w:hAnsi="宋体" w:cs="宋体"/>
          <w:b/>
          <w:color w:val="auto"/>
        </w:rPr>
        <w:t>应随此表附上相关的业绩证明（合同</w:t>
      </w:r>
      <w:r>
        <w:rPr>
          <w:rFonts w:hint="eastAsia" w:cs="宋体"/>
          <w:b/>
          <w:color w:val="auto"/>
          <w:lang w:eastAsia="zh-CN"/>
        </w:rPr>
        <w:t>或</w:t>
      </w:r>
      <w:r>
        <w:rPr>
          <w:rFonts w:hint="eastAsia" w:ascii="宋体" w:hAnsi="宋体" w:cs="宋体"/>
          <w:b/>
          <w:color w:val="auto"/>
          <w:lang w:eastAsia="zh-CN"/>
        </w:rPr>
        <w:t>中标通知书</w:t>
      </w:r>
      <w:r>
        <w:rPr>
          <w:rFonts w:hint="eastAsia" w:ascii="宋体" w:hAnsi="宋体" w:cs="宋体"/>
          <w:b/>
          <w:color w:val="auto"/>
        </w:rPr>
        <w:t>的</w:t>
      </w:r>
      <w:r>
        <w:rPr>
          <w:rFonts w:hint="eastAsia" w:ascii="宋体" w:hAnsi="宋体" w:cs="宋体"/>
          <w:b/>
          <w:color w:val="auto"/>
          <w:lang w:val="en-US" w:eastAsia="zh-CN"/>
        </w:rPr>
        <w:t>扫描</w:t>
      </w:r>
      <w:r>
        <w:rPr>
          <w:rFonts w:hint="eastAsia" w:ascii="宋体" w:hAnsi="宋体" w:cs="宋体"/>
          <w:b/>
          <w:color w:val="auto"/>
        </w:rPr>
        <w:t>件）。</w:t>
      </w:r>
    </w:p>
    <w:p w14:paraId="7C27C7CA">
      <w:pPr>
        <w:adjustRightInd w:val="0"/>
        <w:snapToGrid w:val="0"/>
        <w:spacing w:line="480" w:lineRule="exact"/>
        <w:rPr>
          <w:rFonts w:ascii="宋体" w:cs="宋体"/>
          <w:b/>
          <w:color w:val="auto"/>
        </w:rPr>
      </w:pPr>
      <w:r>
        <w:rPr>
          <w:rFonts w:ascii="宋体" w:hAnsi="宋体" w:cs="宋体"/>
          <w:b/>
          <w:color w:val="auto"/>
        </w:rPr>
        <w:t xml:space="preserve">    2</w:t>
      </w:r>
      <w:r>
        <w:rPr>
          <w:rFonts w:hint="eastAsia" w:ascii="宋体" w:hAnsi="宋体" w:cs="宋体"/>
          <w:b/>
          <w:color w:val="auto"/>
        </w:rPr>
        <w:t>、如有多个已完成项目，每个项目填一张此表，附后。</w:t>
      </w:r>
    </w:p>
    <w:p w14:paraId="7572C456">
      <w:pPr>
        <w:adjustRightInd w:val="0"/>
        <w:snapToGrid w:val="0"/>
        <w:spacing w:line="480" w:lineRule="exact"/>
        <w:rPr>
          <w:rFonts w:ascii="宋体" w:cs="宋体"/>
          <w:b/>
          <w:color w:val="auto"/>
        </w:rPr>
      </w:pPr>
    </w:p>
    <w:p w14:paraId="3418E686">
      <w:pPr>
        <w:adjustRightInd w:val="0"/>
        <w:snapToGrid w:val="0"/>
        <w:spacing w:line="480" w:lineRule="exact"/>
        <w:rPr>
          <w:rFonts w:ascii="宋体" w:cs="宋体"/>
          <w:b/>
          <w:color w:val="auto"/>
        </w:rPr>
      </w:pPr>
    </w:p>
    <w:p w14:paraId="69013D96">
      <w:pPr>
        <w:pageBreakBefore/>
        <w:spacing w:line="480" w:lineRule="exact"/>
        <w:jc w:val="center"/>
        <w:rPr>
          <w:rFonts w:ascii="宋体" w:cs="宋体"/>
          <w:b/>
          <w:color w:val="auto"/>
          <w:sz w:val="24"/>
        </w:rPr>
      </w:pPr>
      <w:r>
        <w:rPr>
          <w:rFonts w:hint="eastAsia" w:ascii="宋体" w:hAnsi="宋体" w:cs="宋体"/>
          <w:bCs/>
          <w:color w:val="auto"/>
          <w:sz w:val="24"/>
        </w:rPr>
        <w:t>（三）</w:t>
      </w:r>
      <w:r>
        <w:rPr>
          <w:rFonts w:hint="eastAsia" w:ascii="宋体" w:hAnsi="宋体" w:cs="宋体"/>
          <w:color w:val="auto"/>
          <w:kern w:val="1"/>
          <w:sz w:val="24"/>
        </w:rPr>
        <w:t>主要人员简历表</w:t>
      </w:r>
    </w:p>
    <w:p w14:paraId="5EB2F87A">
      <w:pPr>
        <w:adjustRightInd w:val="0"/>
        <w:snapToGrid w:val="0"/>
        <w:spacing w:after="100" w:afterAutospacing="1" w:line="480" w:lineRule="exact"/>
        <w:jc w:val="center"/>
        <w:rPr>
          <w:rFonts w:ascii="宋体" w:cs="宋体"/>
          <w:b/>
          <w:color w:val="auto"/>
        </w:rPr>
      </w:pPr>
      <w:r>
        <w:rPr>
          <w:rFonts w:ascii="宋体" w:hAnsi="宋体" w:cs="宋体"/>
          <w:b/>
          <w:color w:val="auto"/>
        </w:rPr>
        <w:t>1</w:t>
      </w:r>
      <w:r>
        <w:rPr>
          <w:rFonts w:hint="eastAsia" w:ascii="宋体" w:hAnsi="宋体" w:cs="宋体"/>
          <w:b/>
          <w:color w:val="auto"/>
        </w:rPr>
        <w:t>、项目负责人基本情况表</w:t>
      </w:r>
    </w:p>
    <w:tbl>
      <w:tblPr>
        <w:tblStyle w:val="20"/>
        <w:tblW w:w="8380" w:type="dxa"/>
        <w:jc w:val="center"/>
        <w:tblLayout w:type="fixed"/>
        <w:tblCellMar>
          <w:top w:w="0" w:type="dxa"/>
          <w:left w:w="0" w:type="dxa"/>
          <w:bottom w:w="0" w:type="dxa"/>
          <w:right w:w="0" w:type="dxa"/>
        </w:tblCellMar>
      </w:tblPr>
      <w:tblGrid>
        <w:gridCol w:w="720"/>
        <w:gridCol w:w="811"/>
        <w:gridCol w:w="556"/>
        <w:gridCol w:w="1063"/>
        <w:gridCol w:w="730"/>
        <w:gridCol w:w="746"/>
        <w:gridCol w:w="1833"/>
        <w:gridCol w:w="1921"/>
      </w:tblGrid>
      <w:tr w14:paraId="13FF046C">
        <w:tblPrEx>
          <w:tblCellMar>
            <w:top w:w="0" w:type="dxa"/>
            <w:left w:w="0" w:type="dxa"/>
            <w:bottom w:w="0" w:type="dxa"/>
            <w:right w:w="0" w:type="dxa"/>
          </w:tblCellMar>
        </w:tblPrEx>
        <w:trPr>
          <w:trHeight w:val="680" w:hRule="exact"/>
          <w:jc w:val="center"/>
        </w:trPr>
        <w:tc>
          <w:tcPr>
            <w:tcW w:w="1531" w:type="dxa"/>
            <w:gridSpan w:val="2"/>
            <w:tcBorders>
              <w:top w:val="single" w:color="auto" w:sz="8" w:space="0"/>
              <w:left w:val="single" w:color="auto" w:sz="8" w:space="0"/>
              <w:bottom w:val="single" w:color="auto" w:sz="8" w:space="0"/>
              <w:right w:val="single" w:color="auto" w:sz="8" w:space="0"/>
            </w:tcBorders>
            <w:vAlign w:val="center"/>
          </w:tcPr>
          <w:p w14:paraId="5CA11329">
            <w:pPr>
              <w:adjustRightInd w:val="0"/>
              <w:snapToGrid w:val="0"/>
              <w:spacing w:line="480" w:lineRule="exact"/>
              <w:jc w:val="center"/>
              <w:rPr>
                <w:rFonts w:ascii="宋体" w:cs="宋体"/>
                <w:color w:val="auto"/>
              </w:rPr>
            </w:pPr>
            <w:r>
              <w:rPr>
                <w:rFonts w:hint="eastAsia" w:ascii="宋体" w:hAnsi="宋体" w:cs="宋体"/>
                <w:color w:val="auto"/>
              </w:rPr>
              <w:t>姓名</w:t>
            </w:r>
          </w:p>
        </w:tc>
        <w:tc>
          <w:tcPr>
            <w:tcW w:w="1619" w:type="dxa"/>
            <w:gridSpan w:val="2"/>
            <w:tcBorders>
              <w:top w:val="single" w:color="auto" w:sz="8" w:space="0"/>
              <w:left w:val="single" w:color="auto" w:sz="8" w:space="0"/>
              <w:bottom w:val="single" w:color="auto" w:sz="8" w:space="0"/>
              <w:right w:val="single" w:color="auto" w:sz="8" w:space="0"/>
            </w:tcBorders>
            <w:vAlign w:val="center"/>
          </w:tcPr>
          <w:p w14:paraId="78965BD2">
            <w:pPr>
              <w:adjustRightInd w:val="0"/>
              <w:snapToGrid w:val="0"/>
              <w:spacing w:line="480" w:lineRule="exact"/>
              <w:jc w:val="center"/>
              <w:rPr>
                <w:rFonts w:ascii="宋体" w:cs="宋体"/>
                <w:color w:val="auto"/>
              </w:rPr>
            </w:pPr>
          </w:p>
        </w:tc>
        <w:tc>
          <w:tcPr>
            <w:tcW w:w="730" w:type="dxa"/>
            <w:tcBorders>
              <w:top w:val="single" w:color="auto" w:sz="8" w:space="0"/>
              <w:left w:val="single" w:color="auto" w:sz="8" w:space="0"/>
              <w:bottom w:val="single" w:color="auto" w:sz="8" w:space="0"/>
              <w:right w:val="single" w:color="auto" w:sz="8" w:space="0"/>
            </w:tcBorders>
            <w:vAlign w:val="center"/>
          </w:tcPr>
          <w:p w14:paraId="717A0893">
            <w:pPr>
              <w:adjustRightInd w:val="0"/>
              <w:snapToGrid w:val="0"/>
              <w:spacing w:line="480" w:lineRule="exact"/>
              <w:jc w:val="center"/>
              <w:rPr>
                <w:rFonts w:ascii="宋体" w:cs="宋体"/>
                <w:color w:val="auto"/>
              </w:rPr>
            </w:pPr>
            <w:r>
              <w:rPr>
                <w:rFonts w:hint="eastAsia" w:ascii="宋体" w:hAnsi="宋体" w:cs="宋体"/>
                <w:color w:val="auto"/>
              </w:rPr>
              <w:t>性别</w:t>
            </w:r>
          </w:p>
        </w:tc>
        <w:tc>
          <w:tcPr>
            <w:tcW w:w="746" w:type="dxa"/>
            <w:tcBorders>
              <w:top w:val="single" w:color="auto" w:sz="8" w:space="0"/>
              <w:left w:val="single" w:color="auto" w:sz="8" w:space="0"/>
              <w:bottom w:val="single" w:color="auto" w:sz="8" w:space="0"/>
              <w:right w:val="single" w:color="auto" w:sz="8" w:space="0"/>
            </w:tcBorders>
            <w:vAlign w:val="center"/>
          </w:tcPr>
          <w:p w14:paraId="00819C05">
            <w:pPr>
              <w:adjustRightInd w:val="0"/>
              <w:snapToGrid w:val="0"/>
              <w:spacing w:line="480" w:lineRule="exact"/>
              <w:jc w:val="center"/>
              <w:rPr>
                <w:rFonts w:ascii="宋体" w:cs="宋体"/>
                <w:color w:val="auto"/>
              </w:rPr>
            </w:pPr>
          </w:p>
        </w:tc>
        <w:tc>
          <w:tcPr>
            <w:tcW w:w="1833" w:type="dxa"/>
            <w:tcBorders>
              <w:top w:val="single" w:color="auto" w:sz="8" w:space="0"/>
              <w:left w:val="single" w:color="auto" w:sz="8" w:space="0"/>
              <w:bottom w:val="single" w:color="auto" w:sz="8" w:space="0"/>
              <w:right w:val="single" w:color="auto" w:sz="8" w:space="0"/>
            </w:tcBorders>
            <w:vAlign w:val="center"/>
          </w:tcPr>
          <w:p w14:paraId="1BF26BBE">
            <w:pPr>
              <w:adjustRightInd w:val="0"/>
              <w:snapToGrid w:val="0"/>
              <w:spacing w:line="480" w:lineRule="exact"/>
              <w:jc w:val="center"/>
              <w:rPr>
                <w:rFonts w:ascii="宋体" w:cs="宋体"/>
                <w:color w:val="auto"/>
              </w:rPr>
            </w:pPr>
            <w:r>
              <w:rPr>
                <w:rFonts w:hint="eastAsia" w:ascii="宋体" w:hAnsi="宋体" w:cs="宋体"/>
                <w:color w:val="auto"/>
              </w:rPr>
              <w:t>出生</w:t>
            </w:r>
          </w:p>
          <w:p w14:paraId="341656AE">
            <w:pPr>
              <w:adjustRightInd w:val="0"/>
              <w:snapToGrid w:val="0"/>
              <w:spacing w:line="480" w:lineRule="exact"/>
              <w:jc w:val="center"/>
              <w:rPr>
                <w:rFonts w:ascii="宋体" w:cs="宋体"/>
                <w:color w:val="auto"/>
              </w:rPr>
            </w:pPr>
            <w:r>
              <w:rPr>
                <w:rFonts w:hint="eastAsia" w:ascii="宋体" w:hAnsi="宋体" w:cs="宋体"/>
                <w:color w:val="auto"/>
              </w:rPr>
              <w:t>日期</w:t>
            </w:r>
          </w:p>
        </w:tc>
        <w:tc>
          <w:tcPr>
            <w:tcW w:w="1921" w:type="dxa"/>
            <w:tcBorders>
              <w:top w:val="single" w:color="auto" w:sz="8" w:space="0"/>
              <w:left w:val="single" w:color="auto" w:sz="8" w:space="0"/>
              <w:bottom w:val="single" w:color="auto" w:sz="8" w:space="0"/>
              <w:right w:val="single" w:color="auto" w:sz="8" w:space="0"/>
            </w:tcBorders>
            <w:vAlign w:val="center"/>
          </w:tcPr>
          <w:p w14:paraId="472B3D6C">
            <w:pPr>
              <w:adjustRightInd w:val="0"/>
              <w:snapToGrid w:val="0"/>
              <w:spacing w:line="480" w:lineRule="exact"/>
              <w:jc w:val="center"/>
              <w:rPr>
                <w:rFonts w:ascii="宋体" w:cs="宋体"/>
                <w:color w:val="auto"/>
              </w:rPr>
            </w:pPr>
            <w:r>
              <w:rPr>
                <w:rFonts w:hint="eastAsia" w:ascii="宋体" w:hAnsi="宋体" w:cs="宋体"/>
                <w:color w:val="auto"/>
              </w:rPr>
              <w:t>年月日</w:t>
            </w:r>
          </w:p>
        </w:tc>
      </w:tr>
      <w:tr w14:paraId="5A382ED9">
        <w:tblPrEx>
          <w:tblCellMar>
            <w:top w:w="0" w:type="dxa"/>
            <w:left w:w="0" w:type="dxa"/>
            <w:bottom w:w="0" w:type="dxa"/>
            <w:right w:w="0" w:type="dxa"/>
          </w:tblCellMar>
        </w:tblPrEx>
        <w:trPr>
          <w:trHeight w:val="1085" w:hRule="exact"/>
          <w:jc w:val="center"/>
        </w:trPr>
        <w:tc>
          <w:tcPr>
            <w:tcW w:w="1531" w:type="dxa"/>
            <w:gridSpan w:val="2"/>
            <w:tcBorders>
              <w:top w:val="single" w:color="auto" w:sz="8" w:space="0"/>
              <w:left w:val="single" w:color="auto" w:sz="8" w:space="0"/>
              <w:bottom w:val="single" w:color="auto" w:sz="8" w:space="0"/>
              <w:right w:val="single" w:color="auto" w:sz="8" w:space="0"/>
            </w:tcBorders>
            <w:vAlign w:val="center"/>
          </w:tcPr>
          <w:p w14:paraId="5FC47C4A">
            <w:pPr>
              <w:adjustRightInd w:val="0"/>
              <w:snapToGrid w:val="0"/>
              <w:spacing w:line="480" w:lineRule="exact"/>
              <w:jc w:val="center"/>
              <w:rPr>
                <w:rFonts w:ascii="宋体" w:cs="宋体"/>
                <w:color w:val="auto"/>
              </w:rPr>
            </w:pPr>
            <w:r>
              <w:rPr>
                <w:rFonts w:hint="eastAsia" w:ascii="宋体" w:hAnsi="宋体" w:cs="宋体"/>
                <w:color w:val="auto"/>
              </w:rPr>
              <w:t>毕业院校专业</w:t>
            </w:r>
          </w:p>
        </w:tc>
        <w:tc>
          <w:tcPr>
            <w:tcW w:w="3095" w:type="dxa"/>
            <w:gridSpan w:val="4"/>
            <w:tcBorders>
              <w:top w:val="single" w:color="auto" w:sz="8" w:space="0"/>
              <w:left w:val="single" w:color="auto" w:sz="8" w:space="0"/>
              <w:bottom w:val="single" w:color="auto" w:sz="8" w:space="0"/>
              <w:right w:val="single" w:color="auto" w:sz="8" w:space="0"/>
            </w:tcBorders>
            <w:vAlign w:val="center"/>
          </w:tcPr>
          <w:p w14:paraId="38A30240">
            <w:pPr>
              <w:adjustRightInd w:val="0"/>
              <w:snapToGrid w:val="0"/>
              <w:spacing w:line="480" w:lineRule="exact"/>
              <w:jc w:val="center"/>
              <w:rPr>
                <w:rFonts w:ascii="宋体" w:cs="宋体"/>
                <w:color w:val="auto"/>
              </w:rPr>
            </w:pPr>
          </w:p>
        </w:tc>
        <w:tc>
          <w:tcPr>
            <w:tcW w:w="1833" w:type="dxa"/>
            <w:tcBorders>
              <w:top w:val="single" w:color="auto" w:sz="8" w:space="0"/>
              <w:left w:val="single" w:color="auto" w:sz="8" w:space="0"/>
              <w:bottom w:val="single" w:color="auto" w:sz="8" w:space="0"/>
              <w:right w:val="single" w:color="auto" w:sz="8" w:space="0"/>
            </w:tcBorders>
            <w:vAlign w:val="center"/>
          </w:tcPr>
          <w:p w14:paraId="77928264">
            <w:pPr>
              <w:adjustRightInd w:val="0"/>
              <w:snapToGrid w:val="0"/>
              <w:spacing w:line="480" w:lineRule="exact"/>
              <w:jc w:val="center"/>
              <w:rPr>
                <w:rFonts w:ascii="宋体" w:cs="宋体"/>
                <w:color w:val="auto"/>
              </w:rPr>
            </w:pPr>
            <w:r>
              <w:rPr>
                <w:rFonts w:hint="eastAsia" w:ascii="宋体" w:hAnsi="宋体" w:cs="宋体"/>
                <w:color w:val="auto"/>
              </w:rPr>
              <w:t>毕业时间</w:t>
            </w:r>
          </w:p>
        </w:tc>
        <w:tc>
          <w:tcPr>
            <w:tcW w:w="1921" w:type="dxa"/>
            <w:tcBorders>
              <w:top w:val="single" w:color="auto" w:sz="8" w:space="0"/>
              <w:left w:val="single" w:color="auto" w:sz="8" w:space="0"/>
              <w:bottom w:val="single" w:color="auto" w:sz="8" w:space="0"/>
              <w:right w:val="single" w:color="auto" w:sz="8" w:space="0"/>
            </w:tcBorders>
            <w:vAlign w:val="center"/>
          </w:tcPr>
          <w:p w14:paraId="247C41A3">
            <w:pPr>
              <w:adjustRightInd w:val="0"/>
              <w:snapToGrid w:val="0"/>
              <w:spacing w:line="480" w:lineRule="exact"/>
              <w:jc w:val="center"/>
              <w:rPr>
                <w:rFonts w:ascii="宋体" w:cs="宋体"/>
                <w:color w:val="auto"/>
              </w:rPr>
            </w:pPr>
            <w:r>
              <w:rPr>
                <w:rFonts w:hint="eastAsia" w:ascii="宋体" w:hAnsi="宋体" w:cs="宋体"/>
                <w:color w:val="auto"/>
              </w:rPr>
              <w:t>年月日</w:t>
            </w:r>
          </w:p>
        </w:tc>
      </w:tr>
      <w:tr w14:paraId="7FB277E0">
        <w:tblPrEx>
          <w:tblCellMar>
            <w:top w:w="0" w:type="dxa"/>
            <w:left w:w="0" w:type="dxa"/>
            <w:bottom w:w="0" w:type="dxa"/>
            <w:right w:w="0" w:type="dxa"/>
          </w:tblCellMar>
        </w:tblPrEx>
        <w:trPr>
          <w:trHeight w:val="1068" w:hRule="exact"/>
          <w:jc w:val="center"/>
        </w:trPr>
        <w:tc>
          <w:tcPr>
            <w:tcW w:w="1531" w:type="dxa"/>
            <w:gridSpan w:val="2"/>
            <w:tcBorders>
              <w:top w:val="single" w:color="auto" w:sz="8" w:space="0"/>
              <w:left w:val="single" w:color="auto" w:sz="8" w:space="0"/>
              <w:bottom w:val="single" w:color="auto" w:sz="8" w:space="0"/>
              <w:right w:val="single" w:color="auto" w:sz="8" w:space="0"/>
            </w:tcBorders>
            <w:vAlign w:val="center"/>
          </w:tcPr>
          <w:p w14:paraId="16AB1954">
            <w:pPr>
              <w:adjustRightInd w:val="0"/>
              <w:snapToGrid w:val="0"/>
              <w:spacing w:line="480" w:lineRule="exact"/>
              <w:jc w:val="center"/>
              <w:rPr>
                <w:rFonts w:ascii="宋体" w:hAnsi="宋体" w:cs="宋体"/>
                <w:color w:val="auto"/>
              </w:rPr>
            </w:pPr>
            <w:r>
              <w:rPr>
                <w:rFonts w:hint="eastAsia" w:ascii="宋体" w:hAnsi="宋体" w:cs="宋体"/>
                <w:color w:val="auto"/>
              </w:rPr>
              <w:t>参加工作时间</w:t>
            </w:r>
          </w:p>
        </w:tc>
        <w:tc>
          <w:tcPr>
            <w:tcW w:w="3095" w:type="dxa"/>
            <w:gridSpan w:val="4"/>
            <w:tcBorders>
              <w:top w:val="single" w:color="auto" w:sz="8" w:space="0"/>
              <w:left w:val="single" w:color="auto" w:sz="8" w:space="0"/>
              <w:bottom w:val="single" w:color="auto" w:sz="8" w:space="0"/>
              <w:right w:val="single" w:color="auto" w:sz="8" w:space="0"/>
            </w:tcBorders>
            <w:vAlign w:val="center"/>
          </w:tcPr>
          <w:p w14:paraId="2ADBFB87">
            <w:pPr>
              <w:adjustRightInd w:val="0"/>
              <w:snapToGrid w:val="0"/>
              <w:spacing w:line="480" w:lineRule="exact"/>
              <w:jc w:val="center"/>
              <w:rPr>
                <w:rFonts w:ascii="宋体" w:hAnsi="宋体" w:cs="宋体"/>
                <w:color w:val="auto"/>
              </w:rPr>
            </w:pPr>
          </w:p>
        </w:tc>
        <w:tc>
          <w:tcPr>
            <w:tcW w:w="1833" w:type="dxa"/>
            <w:tcBorders>
              <w:top w:val="single" w:color="auto" w:sz="8" w:space="0"/>
              <w:left w:val="single" w:color="auto" w:sz="8" w:space="0"/>
              <w:bottom w:val="single" w:color="auto" w:sz="8" w:space="0"/>
              <w:right w:val="single" w:color="auto" w:sz="8" w:space="0"/>
            </w:tcBorders>
            <w:vAlign w:val="center"/>
          </w:tcPr>
          <w:p w14:paraId="1BCC394D">
            <w:pPr>
              <w:adjustRightInd w:val="0"/>
              <w:snapToGrid w:val="0"/>
              <w:spacing w:line="480" w:lineRule="exact"/>
              <w:jc w:val="center"/>
              <w:rPr>
                <w:rFonts w:ascii="宋体" w:hAnsi="宋体" w:cs="宋体"/>
                <w:color w:val="auto"/>
              </w:rPr>
            </w:pPr>
            <w:r>
              <w:rPr>
                <w:rFonts w:hint="eastAsia" w:ascii="宋体" w:hAnsi="宋体" w:cs="宋体"/>
                <w:color w:val="auto"/>
              </w:rPr>
              <w:t>从事本专业年限</w:t>
            </w:r>
          </w:p>
        </w:tc>
        <w:tc>
          <w:tcPr>
            <w:tcW w:w="1921" w:type="dxa"/>
            <w:tcBorders>
              <w:top w:val="single" w:color="auto" w:sz="8" w:space="0"/>
              <w:left w:val="single" w:color="auto" w:sz="8" w:space="0"/>
              <w:bottom w:val="single" w:color="auto" w:sz="8" w:space="0"/>
              <w:right w:val="single" w:color="auto" w:sz="8" w:space="0"/>
            </w:tcBorders>
            <w:vAlign w:val="center"/>
          </w:tcPr>
          <w:p w14:paraId="3B136B11">
            <w:pPr>
              <w:adjustRightInd w:val="0"/>
              <w:snapToGrid w:val="0"/>
              <w:spacing w:line="480" w:lineRule="exact"/>
              <w:jc w:val="center"/>
              <w:rPr>
                <w:rFonts w:ascii="宋体" w:hAnsi="宋体" w:cs="宋体"/>
                <w:color w:val="auto"/>
              </w:rPr>
            </w:pPr>
          </w:p>
        </w:tc>
      </w:tr>
      <w:tr w14:paraId="78EDD4C0">
        <w:tblPrEx>
          <w:tblCellMar>
            <w:top w:w="0" w:type="dxa"/>
            <w:left w:w="0" w:type="dxa"/>
            <w:bottom w:w="0" w:type="dxa"/>
            <w:right w:w="0" w:type="dxa"/>
          </w:tblCellMar>
        </w:tblPrEx>
        <w:trPr>
          <w:trHeight w:val="1636" w:hRule="exact"/>
          <w:jc w:val="center"/>
        </w:trPr>
        <w:tc>
          <w:tcPr>
            <w:tcW w:w="1531" w:type="dxa"/>
            <w:gridSpan w:val="2"/>
            <w:tcBorders>
              <w:top w:val="single" w:color="auto" w:sz="8" w:space="0"/>
              <w:left w:val="single" w:color="auto" w:sz="8" w:space="0"/>
              <w:bottom w:val="single" w:color="auto" w:sz="8" w:space="0"/>
              <w:right w:val="single" w:color="auto" w:sz="8" w:space="0"/>
            </w:tcBorders>
            <w:vAlign w:val="center"/>
          </w:tcPr>
          <w:p w14:paraId="11FCDD8C">
            <w:pPr>
              <w:adjustRightInd w:val="0"/>
              <w:snapToGrid w:val="0"/>
              <w:spacing w:line="480" w:lineRule="exact"/>
              <w:jc w:val="center"/>
              <w:rPr>
                <w:rFonts w:ascii="宋体" w:cs="宋体"/>
                <w:color w:val="auto"/>
              </w:rPr>
            </w:pPr>
            <w:r>
              <w:rPr>
                <w:rFonts w:hint="eastAsia" w:ascii="宋体" w:hAnsi="宋体" w:cs="宋体"/>
                <w:color w:val="auto"/>
              </w:rPr>
              <w:t>执业注册资格职称（须提供复印件）</w:t>
            </w:r>
          </w:p>
        </w:tc>
        <w:tc>
          <w:tcPr>
            <w:tcW w:w="3095" w:type="dxa"/>
            <w:gridSpan w:val="4"/>
            <w:tcBorders>
              <w:top w:val="single" w:color="auto" w:sz="8" w:space="0"/>
              <w:left w:val="single" w:color="auto" w:sz="8" w:space="0"/>
              <w:bottom w:val="single" w:color="auto" w:sz="8" w:space="0"/>
              <w:right w:val="single" w:color="auto" w:sz="8" w:space="0"/>
            </w:tcBorders>
            <w:vAlign w:val="center"/>
          </w:tcPr>
          <w:p w14:paraId="01353641">
            <w:pPr>
              <w:adjustRightInd w:val="0"/>
              <w:snapToGrid w:val="0"/>
              <w:spacing w:line="480" w:lineRule="exact"/>
              <w:jc w:val="center"/>
              <w:rPr>
                <w:rFonts w:ascii="宋体" w:cs="宋体"/>
                <w:color w:val="auto"/>
              </w:rPr>
            </w:pPr>
          </w:p>
        </w:tc>
        <w:tc>
          <w:tcPr>
            <w:tcW w:w="1833" w:type="dxa"/>
            <w:tcBorders>
              <w:top w:val="single" w:color="auto" w:sz="8" w:space="0"/>
              <w:left w:val="single" w:color="auto" w:sz="8" w:space="0"/>
              <w:bottom w:val="single" w:color="auto" w:sz="8" w:space="0"/>
              <w:right w:val="single" w:color="auto" w:sz="8" w:space="0"/>
            </w:tcBorders>
            <w:vAlign w:val="center"/>
          </w:tcPr>
          <w:p w14:paraId="1408DE40">
            <w:pPr>
              <w:adjustRightInd w:val="0"/>
              <w:snapToGrid w:val="0"/>
              <w:spacing w:line="480" w:lineRule="exact"/>
              <w:jc w:val="center"/>
              <w:rPr>
                <w:rFonts w:ascii="宋体" w:cs="宋体"/>
                <w:color w:val="auto"/>
              </w:rPr>
            </w:pPr>
            <w:r>
              <w:rPr>
                <w:rFonts w:hint="eastAsia" w:ascii="宋体" w:hAnsi="宋体" w:cs="宋体"/>
                <w:color w:val="auto"/>
              </w:rPr>
              <w:t>是否本单位</w:t>
            </w:r>
          </w:p>
          <w:p w14:paraId="4FE49CF7">
            <w:pPr>
              <w:adjustRightInd w:val="0"/>
              <w:snapToGrid w:val="0"/>
              <w:spacing w:line="480" w:lineRule="exact"/>
              <w:jc w:val="center"/>
              <w:rPr>
                <w:rFonts w:ascii="宋体" w:cs="宋体"/>
                <w:color w:val="auto"/>
              </w:rPr>
            </w:pPr>
            <w:r>
              <w:rPr>
                <w:rFonts w:hint="eastAsia" w:ascii="宋体" w:hAnsi="宋体" w:cs="宋体"/>
                <w:color w:val="auto"/>
              </w:rPr>
              <w:t>长期雇员</w:t>
            </w:r>
          </w:p>
        </w:tc>
        <w:tc>
          <w:tcPr>
            <w:tcW w:w="1921" w:type="dxa"/>
            <w:tcBorders>
              <w:top w:val="single" w:color="auto" w:sz="8" w:space="0"/>
              <w:left w:val="single" w:color="auto" w:sz="8" w:space="0"/>
              <w:bottom w:val="single" w:color="auto" w:sz="8" w:space="0"/>
              <w:right w:val="single" w:color="auto" w:sz="8" w:space="0"/>
            </w:tcBorders>
            <w:vAlign w:val="center"/>
          </w:tcPr>
          <w:p w14:paraId="6F8A891E">
            <w:pPr>
              <w:adjustRightInd w:val="0"/>
              <w:snapToGrid w:val="0"/>
              <w:spacing w:line="480" w:lineRule="exact"/>
              <w:jc w:val="center"/>
              <w:rPr>
                <w:rFonts w:ascii="宋体" w:cs="宋体"/>
                <w:color w:val="auto"/>
              </w:rPr>
            </w:pPr>
          </w:p>
        </w:tc>
      </w:tr>
      <w:tr w14:paraId="7F7B4927">
        <w:tblPrEx>
          <w:tblCellMar>
            <w:top w:w="0" w:type="dxa"/>
            <w:left w:w="0" w:type="dxa"/>
            <w:bottom w:w="0" w:type="dxa"/>
            <w:right w:w="0" w:type="dxa"/>
          </w:tblCellMar>
        </w:tblPrEx>
        <w:trPr>
          <w:trHeight w:val="1290" w:hRule="exact"/>
          <w:jc w:val="center"/>
        </w:trPr>
        <w:tc>
          <w:tcPr>
            <w:tcW w:w="1531" w:type="dxa"/>
            <w:gridSpan w:val="2"/>
            <w:tcBorders>
              <w:top w:val="single" w:color="auto" w:sz="8" w:space="0"/>
              <w:left w:val="single" w:color="auto" w:sz="8" w:space="0"/>
              <w:bottom w:val="single" w:color="auto" w:sz="8" w:space="0"/>
              <w:right w:val="single" w:color="auto" w:sz="8" w:space="0"/>
            </w:tcBorders>
            <w:vAlign w:val="center"/>
          </w:tcPr>
          <w:p w14:paraId="5BA496F5">
            <w:pPr>
              <w:adjustRightInd w:val="0"/>
              <w:snapToGrid w:val="0"/>
              <w:spacing w:line="480" w:lineRule="exact"/>
              <w:jc w:val="center"/>
              <w:rPr>
                <w:rFonts w:ascii="宋体" w:cs="宋体"/>
                <w:color w:val="auto"/>
              </w:rPr>
            </w:pPr>
            <w:r>
              <w:rPr>
                <w:rFonts w:hint="eastAsia" w:ascii="宋体" w:hAnsi="宋体" w:cs="宋体"/>
                <w:color w:val="auto"/>
              </w:rPr>
              <w:t>在本项目中担任任务</w:t>
            </w:r>
          </w:p>
        </w:tc>
        <w:tc>
          <w:tcPr>
            <w:tcW w:w="6849" w:type="dxa"/>
            <w:gridSpan w:val="6"/>
            <w:tcBorders>
              <w:top w:val="single" w:color="auto" w:sz="8" w:space="0"/>
              <w:left w:val="single" w:color="auto" w:sz="8" w:space="0"/>
              <w:bottom w:val="single" w:color="auto" w:sz="8" w:space="0"/>
              <w:right w:val="single" w:color="auto" w:sz="8" w:space="0"/>
            </w:tcBorders>
            <w:vAlign w:val="center"/>
          </w:tcPr>
          <w:p w14:paraId="3871C598">
            <w:pPr>
              <w:adjustRightInd w:val="0"/>
              <w:snapToGrid w:val="0"/>
              <w:spacing w:line="480" w:lineRule="exact"/>
              <w:jc w:val="center"/>
              <w:rPr>
                <w:rFonts w:ascii="宋体" w:cs="宋体"/>
                <w:color w:val="auto"/>
              </w:rPr>
            </w:pPr>
          </w:p>
        </w:tc>
      </w:tr>
      <w:tr w14:paraId="1ED3A245">
        <w:tblPrEx>
          <w:tblCellMar>
            <w:top w:w="0" w:type="dxa"/>
            <w:left w:w="0" w:type="dxa"/>
            <w:bottom w:w="0" w:type="dxa"/>
            <w:right w:w="0" w:type="dxa"/>
          </w:tblCellMar>
        </w:tblPrEx>
        <w:trPr>
          <w:cantSplit/>
          <w:trHeight w:val="516" w:hRule="exact"/>
          <w:jc w:val="center"/>
        </w:trPr>
        <w:tc>
          <w:tcPr>
            <w:tcW w:w="8380" w:type="dxa"/>
            <w:gridSpan w:val="8"/>
            <w:tcBorders>
              <w:top w:val="single" w:color="auto" w:sz="8" w:space="0"/>
              <w:left w:val="single" w:color="auto" w:sz="8" w:space="0"/>
              <w:bottom w:val="single" w:color="auto" w:sz="4" w:space="0"/>
              <w:right w:val="single" w:color="auto" w:sz="8" w:space="0"/>
            </w:tcBorders>
            <w:vAlign w:val="center"/>
          </w:tcPr>
          <w:p w14:paraId="087A341C">
            <w:pPr>
              <w:adjustRightInd w:val="0"/>
              <w:snapToGrid w:val="0"/>
              <w:spacing w:line="480" w:lineRule="exact"/>
              <w:jc w:val="center"/>
              <w:rPr>
                <w:rFonts w:ascii="宋体" w:cs="宋体"/>
                <w:color w:val="auto"/>
              </w:rPr>
            </w:pPr>
            <w:r>
              <w:rPr>
                <w:rFonts w:hint="eastAsia" w:ascii="宋体" w:hAnsi="宋体" w:cs="宋体"/>
                <w:color w:val="auto"/>
              </w:rPr>
              <w:t>主要经历</w:t>
            </w:r>
          </w:p>
          <w:p w14:paraId="4D122019">
            <w:pPr>
              <w:adjustRightInd w:val="0"/>
              <w:snapToGrid w:val="0"/>
              <w:spacing w:line="480" w:lineRule="exact"/>
              <w:jc w:val="center"/>
              <w:rPr>
                <w:rFonts w:ascii="宋体" w:cs="宋体"/>
                <w:color w:val="auto"/>
              </w:rPr>
            </w:pPr>
          </w:p>
          <w:p w14:paraId="5CCF3514">
            <w:pPr>
              <w:adjustRightInd w:val="0"/>
              <w:snapToGrid w:val="0"/>
              <w:spacing w:line="480" w:lineRule="exact"/>
              <w:jc w:val="center"/>
              <w:rPr>
                <w:rFonts w:ascii="宋体" w:cs="宋体"/>
                <w:color w:val="auto"/>
              </w:rPr>
            </w:pPr>
            <w:r>
              <w:rPr>
                <w:rFonts w:hint="eastAsia" w:ascii="宋体" w:hAnsi="宋体" w:cs="宋体"/>
                <w:color w:val="auto"/>
              </w:rPr>
              <w:t>本人主要设计成果</w:t>
            </w:r>
          </w:p>
        </w:tc>
      </w:tr>
      <w:tr w14:paraId="64081B31">
        <w:tblPrEx>
          <w:tblCellMar>
            <w:top w:w="0" w:type="dxa"/>
            <w:left w:w="0" w:type="dxa"/>
            <w:bottom w:w="0" w:type="dxa"/>
            <w:right w:w="0" w:type="dxa"/>
          </w:tblCellMar>
        </w:tblPrEx>
        <w:trPr>
          <w:cantSplit/>
          <w:trHeight w:val="742" w:hRule="exact"/>
          <w:jc w:val="center"/>
        </w:trPr>
        <w:tc>
          <w:tcPr>
            <w:tcW w:w="720" w:type="dxa"/>
            <w:tcBorders>
              <w:top w:val="single" w:color="auto" w:sz="4" w:space="0"/>
              <w:left w:val="single" w:color="auto" w:sz="8" w:space="0"/>
              <w:bottom w:val="single" w:color="auto" w:sz="4" w:space="0"/>
              <w:right w:val="single" w:color="auto" w:sz="4" w:space="0"/>
            </w:tcBorders>
            <w:vAlign w:val="center"/>
          </w:tcPr>
          <w:p w14:paraId="6FAA0441">
            <w:pPr>
              <w:adjustRightInd w:val="0"/>
              <w:snapToGrid w:val="0"/>
              <w:spacing w:line="480" w:lineRule="exact"/>
              <w:jc w:val="center"/>
              <w:rPr>
                <w:rFonts w:ascii="宋体" w:cs="宋体"/>
                <w:color w:val="auto"/>
              </w:rPr>
            </w:pPr>
            <w:r>
              <w:rPr>
                <w:rFonts w:hint="eastAsia" w:ascii="宋体" w:hAnsi="宋体" w:cs="宋体"/>
                <w:color w:val="auto"/>
              </w:rPr>
              <w:t>序号</w:t>
            </w:r>
          </w:p>
        </w:tc>
        <w:tc>
          <w:tcPr>
            <w:tcW w:w="1367" w:type="dxa"/>
            <w:gridSpan w:val="2"/>
            <w:tcBorders>
              <w:top w:val="single" w:color="auto" w:sz="4" w:space="0"/>
              <w:left w:val="single" w:color="auto" w:sz="4" w:space="0"/>
              <w:bottom w:val="single" w:color="auto" w:sz="4" w:space="0"/>
              <w:right w:val="single" w:color="auto" w:sz="8" w:space="0"/>
            </w:tcBorders>
            <w:vAlign w:val="center"/>
          </w:tcPr>
          <w:p w14:paraId="40852EEA">
            <w:pPr>
              <w:adjustRightInd w:val="0"/>
              <w:snapToGrid w:val="0"/>
              <w:spacing w:line="480" w:lineRule="exact"/>
              <w:jc w:val="center"/>
              <w:rPr>
                <w:rFonts w:ascii="宋体" w:cs="宋体"/>
                <w:color w:val="auto"/>
              </w:rPr>
            </w:pPr>
            <w:r>
              <w:rPr>
                <w:rFonts w:hint="eastAsia" w:ascii="宋体" w:hAnsi="宋体" w:cs="宋体"/>
                <w:color w:val="auto"/>
              </w:rPr>
              <w:t>时间</w:t>
            </w:r>
          </w:p>
        </w:tc>
        <w:tc>
          <w:tcPr>
            <w:tcW w:w="4372" w:type="dxa"/>
            <w:gridSpan w:val="4"/>
            <w:tcBorders>
              <w:top w:val="single" w:color="auto" w:sz="8" w:space="0"/>
              <w:left w:val="single" w:color="auto" w:sz="8" w:space="0"/>
              <w:bottom w:val="single" w:color="auto" w:sz="8" w:space="0"/>
              <w:right w:val="single" w:color="auto" w:sz="8" w:space="0"/>
            </w:tcBorders>
            <w:vAlign w:val="center"/>
          </w:tcPr>
          <w:p w14:paraId="4476602D">
            <w:pPr>
              <w:adjustRightInd w:val="0"/>
              <w:snapToGrid w:val="0"/>
              <w:spacing w:line="480" w:lineRule="exact"/>
              <w:jc w:val="center"/>
              <w:rPr>
                <w:rFonts w:ascii="宋体" w:cs="宋体"/>
                <w:color w:val="auto"/>
              </w:rPr>
            </w:pPr>
            <w:r>
              <w:rPr>
                <w:rFonts w:hint="eastAsia" w:ascii="宋体" w:hAnsi="宋体" w:cs="宋体"/>
                <w:color w:val="auto"/>
              </w:rPr>
              <w:t>参加过的工程项目名称及规模</w:t>
            </w:r>
          </w:p>
        </w:tc>
        <w:tc>
          <w:tcPr>
            <w:tcW w:w="1921" w:type="dxa"/>
            <w:tcBorders>
              <w:top w:val="single" w:color="auto" w:sz="8" w:space="0"/>
              <w:left w:val="single" w:color="auto" w:sz="8" w:space="0"/>
              <w:bottom w:val="single" w:color="auto" w:sz="8" w:space="0"/>
              <w:right w:val="single" w:color="auto" w:sz="8" w:space="0"/>
            </w:tcBorders>
            <w:vAlign w:val="center"/>
          </w:tcPr>
          <w:p w14:paraId="11CC5F87">
            <w:pPr>
              <w:adjustRightInd w:val="0"/>
              <w:snapToGrid w:val="0"/>
              <w:spacing w:line="480" w:lineRule="exact"/>
              <w:jc w:val="center"/>
              <w:rPr>
                <w:rFonts w:ascii="宋体" w:cs="宋体"/>
                <w:color w:val="auto"/>
              </w:rPr>
            </w:pPr>
            <w:r>
              <w:rPr>
                <w:rFonts w:hint="eastAsia" w:ascii="宋体" w:hAnsi="宋体" w:cs="宋体"/>
                <w:color w:val="auto"/>
              </w:rPr>
              <w:t>该项目中任职</w:t>
            </w:r>
          </w:p>
        </w:tc>
      </w:tr>
      <w:tr w14:paraId="0C910F8C">
        <w:tblPrEx>
          <w:tblCellMar>
            <w:top w:w="0" w:type="dxa"/>
            <w:left w:w="0" w:type="dxa"/>
            <w:bottom w:w="0" w:type="dxa"/>
            <w:right w:w="0" w:type="dxa"/>
          </w:tblCellMar>
        </w:tblPrEx>
        <w:trPr>
          <w:cantSplit/>
          <w:trHeight w:val="487" w:hRule="exact"/>
          <w:jc w:val="center"/>
        </w:trPr>
        <w:tc>
          <w:tcPr>
            <w:tcW w:w="720" w:type="dxa"/>
            <w:tcBorders>
              <w:top w:val="single" w:color="auto" w:sz="4" w:space="0"/>
              <w:left w:val="single" w:color="auto" w:sz="8" w:space="0"/>
              <w:bottom w:val="single" w:color="auto" w:sz="4" w:space="0"/>
              <w:right w:val="single" w:color="auto" w:sz="4" w:space="0"/>
            </w:tcBorders>
            <w:vAlign w:val="center"/>
          </w:tcPr>
          <w:p w14:paraId="28AA6594">
            <w:pPr>
              <w:spacing w:line="480" w:lineRule="exact"/>
              <w:jc w:val="center"/>
              <w:rPr>
                <w:rFonts w:ascii="宋体" w:hAnsi="宋体" w:cs="宋体"/>
                <w:color w:val="auto"/>
              </w:rPr>
            </w:pPr>
            <w:r>
              <w:rPr>
                <w:rFonts w:ascii="宋体" w:hAnsi="宋体" w:cs="宋体"/>
                <w:color w:val="auto"/>
              </w:rPr>
              <w:t>1</w:t>
            </w:r>
          </w:p>
        </w:tc>
        <w:tc>
          <w:tcPr>
            <w:tcW w:w="1367" w:type="dxa"/>
            <w:gridSpan w:val="2"/>
            <w:tcBorders>
              <w:top w:val="single" w:color="auto" w:sz="4" w:space="0"/>
              <w:left w:val="single" w:color="auto" w:sz="4" w:space="0"/>
              <w:bottom w:val="single" w:color="auto" w:sz="8" w:space="0"/>
              <w:right w:val="single" w:color="auto" w:sz="8" w:space="0"/>
            </w:tcBorders>
            <w:vAlign w:val="center"/>
          </w:tcPr>
          <w:p w14:paraId="6DF0C61D">
            <w:pPr>
              <w:adjustRightInd w:val="0"/>
              <w:snapToGrid w:val="0"/>
              <w:spacing w:line="480" w:lineRule="exact"/>
              <w:jc w:val="center"/>
              <w:rPr>
                <w:rFonts w:ascii="宋体" w:cs="宋体"/>
                <w:color w:val="auto"/>
              </w:rPr>
            </w:pPr>
          </w:p>
        </w:tc>
        <w:tc>
          <w:tcPr>
            <w:tcW w:w="4372" w:type="dxa"/>
            <w:gridSpan w:val="4"/>
            <w:tcBorders>
              <w:top w:val="single" w:color="auto" w:sz="8" w:space="0"/>
              <w:left w:val="single" w:color="auto" w:sz="8" w:space="0"/>
              <w:bottom w:val="single" w:color="auto" w:sz="8" w:space="0"/>
              <w:right w:val="single" w:color="auto" w:sz="8" w:space="0"/>
            </w:tcBorders>
            <w:vAlign w:val="center"/>
          </w:tcPr>
          <w:p w14:paraId="72F678AA">
            <w:pPr>
              <w:adjustRightInd w:val="0"/>
              <w:snapToGrid w:val="0"/>
              <w:spacing w:line="480" w:lineRule="exact"/>
              <w:jc w:val="center"/>
              <w:rPr>
                <w:rFonts w:ascii="宋体" w:cs="宋体"/>
                <w:color w:val="auto"/>
              </w:rPr>
            </w:pPr>
          </w:p>
        </w:tc>
        <w:tc>
          <w:tcPr>
            <w:tcW w:w="1921" w:type="dxa"/>
            <w:tcBorders>
              <w:top w:val="single" w:color="auto" w:sz="8" w:space="0"/>
              <w:left w:val="single" w:color="auto" w:sz="8" w:space="0"/>
              <w:bottom w:val="single" w:color="auto" w:sz="8" w:space="0"/>
              <w:right w:val="single" w:color="auto" w:sz="8" w:space="0"/>
            </w:tcBorders>
            <w:vAlign w:val="center"/>
          </w:tcPr>
          <w:p w14:paraId="587000BA">
            <w:pPr>
              <w:adjustRightInd w:val="0"/>
              <w:snapToGrid w:val="0"/>
              <w:spacing w:line="480" w:lineRule="exact"/>
              <w:jc w:val="center"/>
              <w:rPr>
                <w:rFonts w:ascii="宋体" w:cs="宋体"/>
                <w:color w:val="auto"/>
              </w:rPr>
            </w:pPr>
          </w:p>
        </w:tc>
      </w:tr>
      <w:tr w14:paraId="2D14B31D">
        <w:tblPrEx>
          <w:tblCellMar>
            <w:top w:w="0" w:type="dxa"/>
            <w:left w:w="0" w:type="dxa"/>
            <w:bottom w:w="0" w:type="dxa"/>
            <w:right w:w="0" w:type="dxa"/>
          </w:tblCellMar>
        </w:tblPrEx>
        <w:trPr>
          <w:cantSplit/>
          <w:trHeight w:val="504" w:hRule="exact"/>
          <w:jc w:val="center"/>
        </w:trPr>
        <w:tc>
          <w:tcPr>
            <w:tcW w:w="720" w:type="dxa"/>
            <w:tcBorders>
              <w:top w:val="single" w:color="auto" w:sz="4" w:space="0"/>
              <w:left w:val="single" w:color="auto" w:sz="8" w:space="0"/>
              <w:bottom w:val="single" w:color="auto" w:sz="4" w:space="0"/>
              <w:right w:val="single" w:color="auto" w:sz="8" w:space="0"/>
            </w:tcBorders>
            <w:vAlign w:val="center"/>
          </w:tcPr>
          <w:p w14:paraId="14053BB3">
            <w:pPr>
              <w:spacing w:line="480" w:lineRule="exact"/>
              <w:jc w:val="center"/>
              <w:rPr>
                <w:rFonts w:ascii="宋体" w:hAnsi="宋体" w:cs="宋体"/>
                <w:color w:val="auto"/>
              </w:rPr>
            </w:pPr>
            <w:r>
              <w:rPr>
                <w:rFonts w:ascii="宋体" w:hAnsi="宋体" w:cs="宋体"/>
                <w:color w:val="auto"/>
              </w:rPr>
              <w:t>2</w:t>
            </w:r>
          </w:p>
        </w:tc>
        <w:tc>
          <w:tcPr>
            <w:tcW w:w="1367" w:type="dxa"/>
            <w:gridSpan w:val="2"/>
            <w:tcBorders>
              <w:top w:val="single" w:color="auto" w:sz="8" w:space="0"/>
              <w:left w:val="single" w:color="auto" w:sz="8" w:space="0"/>
              <w:bottom w:val="single" w:color="auto" w:sz="4" w:space="0"/>
              <w:right w:val="single" w:color="auto" w:sz="8" w:space="0"/>
            </w:tcBorders>
            <w:vAlign w:val="center"/>
          </w:tcPr>
          <w:p w14:paraId="492A50C8">
            <w:pPr>
              <w:adjustRightInd w:val="0"/>
              <w:snapToGrid w:val="0"/>
              <w:spacing w:line="480" w:lineRule="exact"/>
              <w:jc w:val="center"/>
              <w:rPr>
                <w:rFonts w:ascii="宋体" w:cs="宋体"/>
                <w:color w:val="auto"/>
              </w:rPr>
            </w:pPr>
          </w:p>
          <w:p w14:paraId="46F8F47E">
            <w:pPr>
              <w:adjustRightInd w:val="0"/>
              <w:snapToGrid w:val="0"/>
              <w:spacing w:line="480" w:lineRule="exact"/>
              <w:jc w:val="center"/>
              <w:rPr>
                <w:rFonts w:ascii="宋体" w:cs="宋体"/>
                <w:color w:val="auto"/>
              </w:rPr>
            </w:pPr>
          </w:p>
        </w:tc>
        <w:tc>
          <w:tcPr>
            <w:tcW w:w="4372" w:type="dxa"/>
            <w:gridSpan w:val="4"/>
            <w:tcBorders>
              <w:top w:val="single" w:color="auto" w:sz="8" w:space="0"/>
              <w:left w:val="single" w:color="auto" w:sz="8" w:space="0"/>
              <w:bottom w:val="single" w:color="auto" w:sz="8" w:space="0"/>
              <w:right w:val="single" w:color="auto" w:sz="8" w:space="0"/>
            </w:tcBorders>
            <w:vAlign w:val="center"/>
          </w:tcPr>
          <w:p w14:paraId="532C1D4C">
            <w:pPr>
              <w:adjustRightInd w:val="0"/>
              <w:snapToGrid w:val="0"/>
              <w:spacing w:line="480" w:lineRule="exact"/>
              <w:jc w:val="center"/>
              <w:rPr>
                <w:rFonts w:ascii="宋体" w:cs="宋体"/>
                <w:color w:val="auto"/>
              </w:rPr>
            </w:pPr>
          </w:p>
        </w:tc>
        <w:tc>
          <w:tcPr>
            <w:tcW w:w="1921" w:type="dxa"/>
            <w:tcBorders>
              <w:top w:val="single" w:color="auto" w:sz="8" w:space="0"/>
              <w:left w:val="single" w:color="auto" w:sz="8" w:space="0"/>
              <w:bottom w:val="single" w:color="auto" w:sz="8" w:space="0"/>
              <w:right w:val="single" w:color="auto" w:sz="8" w:space="0"/>
            </w:tcBorders>
            <w:vAlign w:val="center"/>
          </w:tcPr>
          <w:p w14:paraId="0C8D9126">
            <w:pPr>
              <w:adjustRightInd w:val="0"/>
              <w:snapToGrid w:val="0"/>
              <w:spacing w:line="480" w:lineRule="exact"/>
              <w:jc w:val="center"/>
              <w:rPr>
                <w:rFonts w:ascii="宋体" w:cs="宋体"/>
                <w:color w:val="auto"/>
              </w:rPr>
            </w:pPr>
          </w:p>
        </w:tc>
      </w:tr>
      <w:tr w14:paraId="4664A7AD">
        <w:tblPrEx>
          <w:tblCellMar>
            <w:top w:w="0" w:type="dxa"/>
            <w:left w:w="0" w:type="dxa"/>
            <w:bottom w:w="0" w:type="dxa"/>
            <w:right w:w="0" w:type="dxa"/>
          </w:tblCellMar>
        </w:tblPrEx>
        <w:trPr>
          <w:cantSplit/>
          <w:trHeight w:val="482" w:hRule="exact"/>
          <w:jc w:val="center"/>
        </w:trPr>
        <w:tc>
          <w:tcPr>
            <w:tcW w:w="720" w:type="dxa"/>
            <w:tcBorders>
              <w:top w:val="single" w:color="auto" w:sz="4" w:space="0"/>
              <w:left w:val="single" w:color="auto" w:sz="8" w:space="0"/>
              <w:bottom w:val="single" w:color="auto" w:sz="8" w:space="0"/>
              <w:right w:val="single" w:color="auto" w:sz="8" w:space="0"/>
            </w:tcBorders>
            <w:vAlign w:val="center"/>
          </w:tcPr>
          <w:p w14:paraId="06BED617">
            <w:pPr>
              <w:spacing w:line="480" w:lineRule="exact"/>
              <w:jc w:val="center"/>
              <w:rPr>
                <w:rFonts w:ascii="宋体" w:hAnsi="宋体" w:cs="宋体"/>
                <w:color w:val="auto"/>
              </w:rPr>
            </w:pPr>
            <w:r>
              <w:rPr>
                <w:rFonts w:ascii="宋体" w:hAnsi="宋体" w:cs="宋体"/>
                <w:color w:val="auto"/>
              </w:rPr>
              <w:t>3</w:t>
            </w:r>
          </w:p>
        </w:tc>
        <w:tc>
          <w:tcPr>
            <w:tcW w:w="1367" w:type="dxa"/>
            <w:gridSpan w:val="2"/>
            <w:tcBorders>
              <w:top w:val="single" w:color="auto" w:sz="4" w:space="0"/>
              <w:left w:val="single" w:color="auto" w:sz="8" w:space="0"/>
              <w:bottom w:val="single" w:color="auto" w:sz="8" w:space="0"/>
              <w:right w:val="single" w:color="auto" w:sz="8" w:space="0"/>
            </w:tcBorders>
            <w:vAlign w:val="center"/>
          </w:tcPr>
          <w:p w14:paraId="5F62349A">
            <w:pPr>
              <w:adjustRightInd w:val="0"/>
              <w:snapToGrid w:val="0"/>
              <w:spacing w:line="480" w:lineRule="exact"/>
              <w:jc w:val="center"/>
              <w:rPr>
                <w:rFonts w:ascii="宋体" w:cs="宋体"/>
                <w:color w:val="auto"/>
              </w:rPr>
            </w:pPr>
          </w:p>
          <w:p w14:paraId="76B37B15">
            <w:pPr>
              <w:adjustRightInd w:val="0"/>
              <w:snapToGrid w:val="0"/>
              <w:spacing w:line="480" w:lineRule="exact"/>
              <w:jc w:val="center"/>
              <w:rPr>
                <w:rFonts w:ascii="宋体" w:cs="宋体"/>
                <w:color w:val="auto"/>
              </w:rPr>
            </w:pPr>
          </w:p>
        </w:tc>
        <w:tc>
          <w:tcPr>
            <w:tcW w:w="4372" w:type="dxa"/>
            <w:gridSpan w:val="4"/>
            <w:tcBorders>
              <w:top w:val="single" w:color="auto" w:sz="8" w:space="0"/>
              <w:left w:val="single" w:color="auto" w:sz="8" w:space="0"/>
              <w:bottom w:val="single" w:color="auto" w:sz="8" w:space="0"/>
              <w:right w:val="single" w:color="auto" w:sz="8" w:space="0"/>
            </w:tcBorders>
            <w:vAlign w:val="center"/>
          </w:tcPr>
          <w:p w14:paraId="2106BDF7">
            <w:pPr>
              <w:adjustRightInd w:val="0"/>
              <w:snapToGrid w:val="0"/>
              <w:spacing w:line="480" w:lineRule="exact"/>
              <w:jc w:val="center"/>
              <w:rPr>
                <w:rFonts w:ascii="宋体" w:cs="宋体"/>
                <w:color w:val="auto"/>
              </w:rPr>
            </w:pPr>
          </w:p>
        </w:tc>
        <w:tc>
          <w:tcPr>
            <w:tcW w:w="1921" w:type="dxa"/>
            <w:tcBorders>
              <w:top w:val="single" w:color="auto" w:sz="8" w:space="0"/>
              <w:left w:val="single" w:color="auto" w:sz="8" w:space="0"/>
              <w:bottom w:val="single" w:color="auto" w:sz="8" w:space="0"/>
              <w:right w:val="single" w:color="auto" w:sz="8" w:space="0"/>
            </w:tcBorders>
            <w:vAlign w:val="center"/>
          </w:tcPr>
          <w:p w14:paraId="3B29B970">
            <w:pPr>
              <w:adjustRightInd w:val="0"/>
              <w:snapToGrid w:val="0"/>
              <w:spacing w:line="480" w:lineRule="exact"/>
              <w:jc w:val="center"/>
              <w:rPr>
                <w:rFonts w:ascii="宋体" w:cs="宋体"/>
                <w:color w:val="auto"/>
              </w:rPr>
            </w:pPr>
          </w:p>
        </w:tc>
      </w:tr>
    </w:tbl>
    <w:p w14:paraId="1F7CCA2B">
      <w:pPr>
        <w:spacing w:line="480" w:lineRule="exact"/>
        <w:ind w:left="2750" w:leftChars="1250"/>
        <w:rPr>
          <w:rFonts w:ascii="宋体" w:hAnsi="宋体" w:cs="宋体"/>
          <w:color w:val="auto"/>
        </w:rPr>
      </w:pPr>
    </w:p>
    <w:p w14:paraId="02601B85">
      <w:pPr>
        <w:spacing w:line="500" w:lineRule="exact"/>
        <w:ind w:firstLine="4252" w:firstLineChars="1772"/>
        <w:rPr>
          <w:bCs/>
          <w:color w:val="auto"/>
          <w:sz w:val="24"/>
        </w:rPr>
      </w:pPr>
      <w:r>
        <w:rPr>
          <w:rFonts w:hint="eastAsia"/>
          <w:bCs/>
          <w:color w:val="auto"/>
          <w:sz w:val="24"/>
        </w:rPr>
        <w:t>供应商：（公章签章）</w:t>
      </w:r>
    </w:p>
    <w:p w14:paraId="1602712B">
      <w:pPr>
        <w:spacing w:line="500" w:lineRule="exact"/>
        <w:ind w:firstLine="4252" w:firstLineChars="1772"/>
        <w:rPr>
          <w:bCs/>
          <w:color w:val="auto"/>
          <w:sz w:val="24"/>
        </w:rPr>
      </w:pPr>
      <w:r>
        <w:rPr>
          <w:rFonts w:hint="eastAsia"/>
          <w:bCs/>
          <w:color w:val="auto"/>
          <w:sz w:val="24"/>
        </w:rPr>
        <w:t>法定代表人：（签章）</w:t>
      </w:r>
    </w:p>
    <w:p w14:paraId="24A2A694">
      <w:pPr>
        <w:spacing w:line="500" w:lineRule="exact"/>
        <w:ind w:firstLine="4252" w:firstLineChars="1772"/>
        <w:rPr>
          <w:bCs/>
          <w:color w:val="auto"/>
          <w:sz w:val="24"/>
        </w:rPr>
      </w:pPr>
      <w:r>
        <w:rPr>
          <w:rFonts w:hint="eastAsia"/>
          <w:bCs/>
          <w:color w:val="auto"/>
          <w:sz w:val="24"/>
        </w:rPr>
        <w:t>日期：</w:t>
      </w:r>
    </w:p>
    <w:p w14:paraId="10354B99">
      <w:pPr>
        <w:widowControl/>
        <w:spacing w:line="700" w:lineRule="exact"/>
        <w:jc w:val="center"/>
        <w:rPr>
          <w:rFonts w:ascii="宋体" w:hAnsi="宋体" w:cs="宋体"/>
          <w:color w:val="auto"/>
          <w:kern w:val="0"/>
          <w:sz w:val="24"/>
        </w:rPr>
      </w:pPr>
    </w:p>
    <w:p w14:paraId="1A0FBF9B">
      <w:pPr>
        <w:widowControl/>
        <w:spacing w:line="700" w:lineRule="exact"/>
        <w:jc w:val="center"/>
        <w:rPr>
          <w:rFonts w:ascii="宋体" w:hAnsi="宋体" w:cs="宋体"/>
          <w:color w:val="auto"/>
          <w:kern w:val="0"/>
          <w:sz w:val="24"/>
        </w:rPr>
      </w:pPr>
    </w:p>
    <w:p w14:paraId="3C4C0811">
      <w:pPr>
        <w:widowControl/>
        <w:spacing w:line="700" w:lineRule="exact"/>
        <w:jc w:val="center"/>
        <w:rPr>
          <w:rFonts w:ascii="宋体" w:hAnsi="宋体" w:cs="宋体"/>
          <w:color w:val="auto"/>
          <w:kern w:val="0"/>
          <w:sz w:val="24"/>
        </w:rPr>
      </w:pPr>
    </w:p>
    <w:p w14:paraId="50D3343A">
      <w:pPr>
        <w:widowControl/>
        <w:spacing w:line="700" w:lineRule="exact"/>
        <w:jc w:val="center"/>
        <w:rPr>
          <w:rFonts w:ascii="宋体" w:cs="宋体"/>
          <w:b/>
          <w:color w:val="auto"/>
        </w:rPr>
      </w:pPr>
      <w:r>
        <w:rPr>
          <w:rFonts w:ascii="宋体" w:hAnsi="宋体" w:cs="宋体"/>
          <w:b/>
          <w:color w:val="auto"/>
        </w:rPr>
        <w:t>2</w:t>
      </w:r>
      <w:r>
        <w:rPr>
          <w:rFonts w:hint="eastAsia" w:ascii="宋体" w:hAnsi="宋体" w:cs="宋体"/>
          <w:b/>
          <w:color w:val="auto"/>
        </w:rPr>
        <w:t>、拟投入主要人员简历表</w:t>
      </w:r>
    </w:p>
    <w:tbl>
      <w:tblPr>
        <w:tblStyle w:val="20"/>
        <w:tblW w:w="94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3"/>
        <w:gridCol w:w="1305"/>
        <w:gridCol w:w="1177"/>
        <w:gridCol w:w="942"/>
        <w:gridCol w:w="404"/>
        <w:gridCol w:w="1454"/>
        <w:gridCol w:w="2062"/>
      </w:tblGrid>
      <w:tr w14:paraId="5CA80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2133" w:type="dxa"/>
            <w:vAlign w:val="center"/>
          </w:tcPr>
          <w:p w14:paraId="5797895E">
            <w:pPr>
              <w:adjustRightInd w:val="0"/>
              <w:snapToGrid w:val="0"/>
              <w:spacing w:line="480" w:lineRule="exact"/>
              <w:jc w:val="center"/>
              <w:rPr>
                <w:rFonts w:ascii="宋体" w:cs="宋体"/>
                <w:color w:val="auto"/>
              </w:rPr>
            </w:pPr>
            <w:r>
              <w:rPr>
                <w:rFonts w:hint="eastAsia" w:ascii="宋体" w:hAnsi="宋体" w:cs="宋体"/>
                <w:color w:val="auto"/>
              </w:rPr>
              <w:t>姓名</w:t>
            </w:r>
          </w:p>
        </w:tc>
        <w:tc>
          <w:tcPr>
            <w:tcW w:w="1305" w:type="dxa"/>
            <w:vAlign w:val="center"/>
          </w:tcPr>
          <w:p w14:paraId="4412A771">
            <w:pPr>
              <w:adjustRightInd w:val="0"/>
              <w:snapToGrid w:val="0"/>
              <w:spacing w:line="480" w:lineRule="exact"/>
              <w:jc w:val="center"/>
              <w:rPr>
                <w:rFonts w:ascii="宋体" w:cs="宋体"/>
                <w:color w:val="auto"/>
              </w:rPr>
            </w:pPr>
          </w:p>
        </w:tc>
        <w:tc>
          <w:tcPr>
            <w:tcW w:w="1177" w:type="dxa"/>
            <w:vAlign w:val="center"/>
          </w:tcPr>
          <w:p w14:paraId="57F205D0">
            <w:pPr>
              <w:adjustRightInd w:val="0"/>
              <w:snapToGrid w:val="0"/>
              <w:spacing w:line="480" w:lineRule="exact"/>
              <w:jc w:val="center"/>
              <w:rPr>
                <w:rFonts w:ascii="宋体" w:cs="宋体"/>
                <w:color w:val="auto"/>
              </w:rPr>
            </w:pPr>
            <w:r>
              <w:rPr>
                <w:rFonts w:hint="eastAsia" w:ascii="宋体" w:hAnsi="宋体" w:cs="宋体"/>
                <w:color w:val="auto"/>
              </w:rPr>
              <w:t>性别</w:t>
            </w:r>
          </w:p>
        </w:tc>
        <w:tc>
          <w:tcPr>
            <w:tcW w:w="942" w:type="dxa"/>
            <w:vAlign w:val="center"/>
          </w:tcPr>
          <w:p w14:paraId="3AB68FF6">
            <w:pPr>
              <w:adjustRightInd w:val="0"/>
              <w:snapToGrid w:val="0"/>
              <w:spacing w:line="480" w:lineRule="exact"/>
              <w:jc w:val="center"/>
              <w:rPr>
                <w:rFonts w:ascii="宋体" w:cs="宋体"/>
                <w:color w:val="auto"/>
              </w:rPr>
            </w:pPr>
          </w:p>
        </w:tc>
        <w:tc>
          <w:tcPr>
            <w:tcW w:w="1858" w:type="dxa"/>
            <w:gridSpan w:val="2"/>
            <w:vAlign w:val="center"/>
          </w:tcPr>
          <w:p w14:paraId="3A62F6BD">
            <w:pPr>
              <w:adjustRightInd w:val="0"/>
              <w:snapToGrid w:val="0"/>
              <w:spacing w:line="480" w:lineRule="exact"/>
              <w:jc w:val="center"/>
              <w:rPr>
                <w:rFonts w:ascii="宋体" w:cs="宋体"/>
                <w:color w:val="auto"/>
              </w:rPr>
            </w:pPr>
            <w:r>
              <w:rPr>
                <w:rFonts w:hint="eastAsia" w:ascii="宋体" w:hAnsi="宋体" w:cs="宋体"/>
                <w:color w:val="auto"/>
              </w:rPr>
              <w:t>出生日期</w:t>
            </w:r>
          </w:p>
        </w:tc>
        <w:tc>
          <w:tcPr>
            <w:tcW w:w="2062" w:type="dxa"/>
            <w:vAlign w:val="center"/>
          </w:tcPr>
          <w:p w14:paraId="29F10BB4">
            <w:pPr>
              <w:adjustRightInd w:val="0"/>
              <w:snapToGrid w:val="0"/>
              <w:spacing w:line="480" w:lineRule="exact"/>
              <w:jc w:val="center"/>
              <w:rPr>
                <w:rFonts w:ascii="宋体" w:cs="宋体"/>
                <w:color w:val="auto"/>
              </w:rPr>
            </w:pPr>
            <w:r>
              <w:rPr>
                <w:rFonts w:hint="eastAsia" w:ascii="宋体" w:hAnsi="宋体" w:cs="宋体"/>
                <w:color w:val="auto"/>
              </w:rPr>
              <w:t>年月日</w:t>
            </w:r>
          </w:p>
        </w:tc>
      </w:tr>
      <w:tr w14:paraId="08FDE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2133" w:type="dxa"/>
            <w:vAlign w:val="center"/>
          </w:tcPr>
          <w:p w14:paraId="4BC9E5D7">
            <w:pPr>
              <w:adjustRightInd w:val="0"/>
              <w:snapToGrid w:val="0"/>
              <w:spacing w:line="480" w:lineRule="exact"/>
              <w:jc w:val="center"/>
              <w:rPr>
                <w:rFonts w:ascii="宋体" w:cs="宋体"/>
                <w:color w:val="auto"/>
              </w:rPr>
            </w:pPr>
            <w:r>
              <w:rPr>
                <w:rFonts w:hint="eastAsia" w:ascii="宋体" w:hAnsi="宋体" w:cs="宋体"/>
                <w:color w:val="auto"/>
              </w:rPr>
              <w:t>毕业院校专业</w:t>
            </w:r>
          </w:p>
        </w:tc>
        <w:tc>
          <w:tcPr>
            <w:tcW w:w="3424" w:type="dxa"/>
            <w:gridSpan w:val="3"/>
            <w:vAlign w:val="center"/>
          </w:tcPr>
          <w:p w14:paraId="0FD0AD73">
            <w:pPr>
              <w:adjustRightInd w:val="0"/>
              <w:snapToGrid w:val="0"/>
              <w:spacing w:line="480" w:lineRule="exact"/>
              <w:jc w:val="center"/>
              <w:rPr>
                <w:rFonts w:ascii="宋体" w:cs="宋体"/>
                <w:color w:val="auto"/>
              </w:rPr>
            </w:pPr>
          </w:p>
        </w:tc>
        <w:tc>
          <w:tcPr>
            <w:tcW w:w="1858" w:type="dxa"/>
            <w:gridSpan w:val="2"/>
            <w:vAlign w:val="center"/>
          </w:tcPr>
          <w:p w14:paraId="43A8A208">
            <w:pPr>
              <w:adjustRightInd w:val="0"/>
              <w:snapToGrid w:val="0"/>
              <w:spacing w:line="480" w:lineRule="exact"/>
              <w:jc w:val="center"/>
              <w:rPr>
                <w:rFonts w:ascii="宋体" w:cs="宋体"/>
                <w:color w:val="auto"/>
              </w:rPr>
            </w:pPr>
            <w:r>
              <w:rPr>
                <w:rFonts w:hint="eastAsia" w:ascii="宋体" w:hAnsi="宋体" w:cs="宋体"/>
                <w:color w:val="auto"/>
              </w:rPr>
              <w:t>毕业时间</w:t>
            </w:r>
          </w:p>
        </w:tc>
        <w:tc>
          <w:tcPr>
            <w:tcW w:w="2062" w:type="dxa"/>
            <w:vAlign w:val="center"/>
          </w:tcPr>
          <w:p w14:paraId="41595068">
            <w:pPr>
              <w:adjustRightInd w:val="0"/>
              <w:snapToGrid w:val="0"/>
              <w:spacing w:line="480" w:lineRule="exact"/>
              <w:ind w:firstLine="220" w:firstLineChars="100"/>
              <w:rPr>
                <w:rFonts w:ascii="宋体" w:cs="宋体"/>
                <w:color w:val="auto"/>
              </w:rPr>
            </w:pPr>
            <w:r>
              <w:rPr>
                <w:rFonts w:hint="eastAsia" w:ascii="宋体" w:hAnsi="宋体" w:cs="宋体"/>
                <w:color w:val="auto"/>
              </w:rPr>
              <w:t>年月日</w:t>
            </w:r>
          </w:p>
        </w:tc>
      </w:tr>
      <w:tr w14:paraId="37EAB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2133" w:type="dxa"/>
            <w:vAlign w:val="center"/>
          </w:tcPr>
          <w:p w14:paraId="564E1C11">
            <w:pPr>
              <w:adjustRightInd w:val="0"/>
              <w:snapToGrid w:val="0"/>
              <w:spacing w:line="480" w:lineRule="exact"/>
              <w:jc w:val="center"/>
              <w:rPr>
                <w:rFonts w:ascii="宋体" w:cs="宋体"/>
                <w:color w:val="auto"/>
              </w:rPr>
            </w:pPr>
            <w:r>
              <w:rPr>
                <w:rFonts w:hint="eastAsia" w:ascii="宋体" w:hAnsi="宋体" w:cs="宋体"/>
                <w:color w:val="auto"/>
              </w:rPr>
              <w:t>参加工作时间</w:t>
            </w:r>
          </w:p>
        </w:tc>
        <w:tc>
          <w:tcPr>
            <w:tcW w:w="2482" w:type="dxa"/>
            <w:gridSpan w:val="2"/>
            <w:vAlign w:val="center"/>
          </w:tcPr>
          <w:p w14:paraId="37F44730">
            <w:pPr>
              <w:adjustRightInd w:val="0"/>
              <w:snapToGrid w:val="0"/>
              <w:spacing w:line="480" w:lineRule="exact"/>
              <w:jc w:val="center"/>
              <w:rPr>
                <w:rFonts w:ascii="宋体" w:cs="宋体"/>
                <w:color w:val="auto"/>
              </w:rPr>
            </w:pPr>
          </w:p>
        </w:tc>
        <w:tc>
          <w:tcPr>
            <w:tcW w:w="2800" w:type="dxa"/>
            <w:gridSpan w:val="3"/>
            <w:vAlign w:val="center"/>
          </w:tcPr>
          <w:p w14:paraId="6290510B">
            <w:pPr>
              <w:adjustRightInd w:val="0"/>
              <w:snapToGrid w:val="0"/>
              <w:spacing w:line="480" w:lineRule="exact"/>
              <w:jc w:val="center"/>
              <w:rPr>
                <w:rFonts w:ascii="宋体" w:cs="宋体"/>
                <w:color w:val="auto"/>
              </w:rPr>
            </w:pPr>
            <w:r>
              <w:rPr>
                <w:rFonts w:hint="eastAsia" w:ascii="宋体" w:hAnsi="宋体" w:cs="宋体"/>
                <w:color w:val="auto"/>
              </w:rPr>
              <w:t>从事本专业年限</w:t>
            </w:r>
          </w:p>
        </w:tc>
        <w:tc>
          <w:tcPr>
            <w:tcW w:w="2062" w:type="dxa"/>
            <w:vAlign w:val="center"/>
          </w:tcPr>
          <w:p w14:paraId="2C893340">
            <w:pPr>
              <w:adjustRightInd w:val="0"/>
              <w:snapToGrid w:val="0"/>
              <w:spacing w:line="480" w:lineRule="exact"/>
              <w:jc w:val="center"/>
              <w:rPr>
                <w:rFonts w:ascii="宋体" w:cs="宋体"/>
                <w:color w:val="auto"/>
              </w:rPr>
            </w:pPr>
          </w:p>
        </w:tc>
      </w:tr>
      <w:tr w14:paraId="5FEA8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2133" w:type="dxa"/>
            <w:vAlign w:val="center"/>
          </w:tcPr>
          <w:p w14:paraId="1DFCBCE4">
            <w:pPr>
              <w:adjustRightInd w:val="0"/>
              <w:snapToGrid w:val="0"/>
              <w:spacing w:line="480" w:lineRule="exact"/>
              <w:jc w:val="center"/>
              <w:rPr>
                <w:rFonts w:ascii="宋体" w:cs="宋体"/>
                <w:color w:val="auto"/>
              </w:rPr>
            </w:pPr>
            <w:r>
              <w:rPr>
                <w:rFonts w:hint="eastAsia" w:ascii="宋体" w:hAnsi="宋体" w:cs="宋体"/>
                <w:color w:val="auto"/>
              </w:rPr>
              <w:t>执业注册</w:t>
            </w:r>
          </w:p>
        </w:tc>
        <w:tc>
          <w:tcPr>
            <w:tcW w:w="2482" w:type="dxa"/>
            <w:gridSpan w:val="2"/>
            <w:vAlign w:val="center"/>
          </w:tcPr>
          <w:p w14:paraId="540472A9">
            <w:pPr>
              <w:adjustRightInd w:val="0"/>
              <w:snapToGrid w:val="0"/>
              <w:spacing w:line="480" w:lineRule="exact"/>
              <w:jc w:val="center"/>
              <w:rPr>
                <w:rFonts w:ascii="宋体" w:cs="宋体"/>
                <w:color w:val="auto"/>
              </w:rPr>
            </w:pPr>
          </w:p>
        </w:tc>
        <w:tc>
          <w:tcPr>
            <w:tcW w:w="2800" w:type="dxa"/>
            <w:gridSpan w:val="3"/>
            <w:vAlign w:val="center"/>
          </w:tcPr>
          <w:p w14:paraId="665316FC">
            <w:pPr>
              <w:adjustRightInd w:val="0"/>
              <w:snapToGrid w:val="0"/>
              <w:spacing w:line="480" w:lineRule="exact"/>
              <w:jc w:val="center"/>
              <w:rPr>
                <w:rFonts w:ascii="宋体" w:cs="宋体"/>
                <w:color w:val="auto"/>
              </w:rPr>
            </w:pPr>
            <w:r>
              <w:rPr>
                <w:rFonts w:hint="eastAsia" w:ascii="宋体" w:hAnsi="宋体" w:cs="宋体"/>
                <w:color w:val="auto"/>
              </w:rPr>
              <w:t>职称</w:t>
            </w:r>
          </w:p>
        </w:tc>
        <w:tc>
          <w:tcPr>
            <w:tcW w:w="2062" w:type="dxa"/>
            <w:vAlign w:val="center"/>
          </w:tcPr>
          <w:p w14:paraId="22EC22FF">
            <w:pPr>
              <w:adjustRightInd w:val="0"/>
              <w:snapToGrid w:val="0"/>
              <w:spacing w:line="480" w:lineRule="exact"/>
              <w:jc w:val="center"/>
              <w:rPr>
                <w:rFonts w:ascii="宋体" w:cs="宋体"/>
                <w:color w:val="auto"/>
              </w:rPr>
            </w:pPr>
          </w:p>
        </w:tc>
      </w:tr>
      <w:tr w14:paraId="09B32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4615" w:type="dxa"/>
            <w:gridSpan w:val="3"/>
            <w:vAlign w:val="center"/>
          </w:tcPr>
          <w:p w14:paraId="55CF675B">
            <w:pPr>
              <w:adjustRightInd w:val="0"/>
              <w:snapToGrid w:val="0"/>
              <w:spacing w:line="480" w:lineRule="exact"/>
              <w:jc w:val="center"/>
              <w:rPr>
                <w:rFonts w:ascii="宋体" w:cs="宋体"/>
                <w:color w:val="auto"/>
              </w:rPr>
            </w:pPr>
            <w:r>
              <w:rPr>
                <w:rFonts w:hint="eastAsia" w:ascii="宋体" w:hAnsi="宋体" w:cs="宋体"/>
                <w:color w:val="auto"/>
              </w:rPr>
              <w:t>在本项目拟任职务</w:t>
            </w:r>
          </w:p>
        </w:tc>
        <w:tc>
          <w:tcPr>
            <w:tcW w:w="4862" w:type="dxa"/>
            <w:gridSpan w:val="4"/>
            <w:vAlign w:val="center"/>
          </w:tcPr>
          <w:p w14:paraId="4504DE2D">
            <w:pPr>
              <w:adjustRightInd w:val="0"/>
              <w:snapToGrid w:val="0"/>
              <w:spacing w:line="480" w:lineRule="exact"/>
              <w:jc w:val="center"/>
              <w:rPr>
                <w:rFonts w:ascii="宋体" w:cs="宋体"/>
                <w:color w:val="auto"/>
              </w:rPr>
            </w:pPr>
          </w:p>
        </w:tc>
      </w:tr>
      <w:tr w14:paraId="1E6F5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477" w:type="dxa"/>
            <w:gridSpan w:val="7"/>
            <w:vAlign w:val="center"/>
          </w:tcPr>
          <w:p w14:paraId="6143330B">
            <w:pPr>
              <w:adjustRightInd w:val="0"/>
              <w:snapToGrid w:val="0"/>
              <w:spacing w:line="480" w:lineRule="exact"/>
              <w:jc w:val="center"/>
              <w:rPr>
                <w:rFonts w:ascii="宋体" w:cs="宋体"/>
                <w:color w:val="auto"/>
              </w:rPr>
            </w:pPr>
            <w:r>
              <w:rPr>
                <w:rFonts w:hint="eastAsia" w:ascii="宋体" w:hAnsi="宋体" w:cs="宋体"/>
                <w:color w:val="auto"/>
              </w:rPr>
              <w:t>主要经历</w:t>
            </w:r>
          </w:p>
        </w:tc>
      </w:tr>
      <w:tr w14:paraId="6BDA6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2133" w:type="dxa"/>
            <w:vAlign w:val="center"/>
          </w:tcPr>
          <w:p w14:paraId="1DC33E7B">
            <w:pPr>
              <w:adjustRightInd w:val="0"/>
              <w:snapToGrid w:val="0"/>
              <w:spacing w:line="480" w:lineRule="exact"/>
              <w:jc w:val="center"/>
              <w:rPr>
                <w:rFonts w:ascii="宋体" w:cs="宋体"/>
                <w:color w:val="auto"/>
              </w:rPr>
            </w:pPr>
            <w:r>
              <w:rPr>
                <w:rFonts w:hint="eastAsia" w:ascii="宋体" w:hAnsi="宋体" w:cs="宋体"/>
                <w:color w:val="auto"/>
              </w:rPr>
              <w:t>时间</w:t>
            </w:r>
          </w:p>
        </w:tc>
        <w:tc>
          <w:tcPr>
            <w:tcW w:w="3828" w:type="dxa"/>
            <w:gridSpan w:val="4"/>
            <w:vAlign w:val="center"/>
          </w:tcPr>
          <w:p w14:paraId="658E90BE">
            <w:pPr>
              <w:adjustRightInd w:val="0"/>
              <w:snapToGrid w:val="0"/>
              <w:spacing w:line="480" w:lineRule="exact"/>
              <w:jc w:val="center"/>
              <w:rPr>
                <w:rFonts w:ascii="宋体" w:cs="宋体"/>
                <w:color w:val="auto"/>
              </w:rPr>
            </w:pPr>
            <w:r>
              <w:rPr>
                <w:rFonts w:hint="eastAsia" w:ascii="宋体" w:hAnsi="宋体" w:cs="宋体"/>
                <w:color w:val="auto"/>
              </w:rPr>
              <w:t>参加过的工程项目名称及规模</w:t>
            </w:r>
          </w:p>
        </w:tc>
        <w:tc>
          <w:tcPr>
            <w:tcW w:w="3516" w:type="dxa"/>
            <w:gridSpan w:val="2"/>
            <w:vAlign w:val="center"/>
          </w:tcPr>
          <w:p w14:paraId="50314277">
            <w:pPr>
              <w:adjustRightInd w:val="0"/>
              <w:snapToGrid w:val="0"/>
              <w:spacing w:line="480" w:lineRule="exact"/>
              <w:jc w:val="center"/>
              <w:rPr>
                <w:rFonts w:ascii="宋体" w:cs="宋体"/>
                <w:color w:val="auto"/>
              </w:rPr>
            </w:pPr>
            <w:r>
              <w:rPr>
                <w:rFonts w:hint="eastAsia" w:ascii="宋体" w:hAnsi="宋体" w:cs="宋体"/>
                <w:color w:val="auto"/>
              </w:rPr>
              <w:t>该项目中任职</w:t>
            </w:r>
          </w:p>
        </w:tc>
      </w:tr>
      <w:tr w14:paraId="0141F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2133" w:type="dxa"/>
            <w:vAlign w:val="center"/>
          </w:tcPr>
          <w:p w14:paraId="07306D8A">
            <w:pPr>
              <w:adjustRightInd w:val="0"/>
              <w:snapToGrid w:val="0"/>
              <w:spacing w:line="480" w:lineRule="exact"/>
              <w:jc w:val="center"/>
              <w:rPr>
                <w:rFonts w:ascii="宋体" w:cs="宋体"/>
                <w:color w:val="auto"/>
              </w:rPr>
            </w:pPr>
          </w:p>
        </w:tc>
        <w:tc>
          <w:tcPr>
            <w:tcW w:w="3828" w:type="dxa"/>
            <w:gridSpan w:val="4"/>
            <w:vAlign w:val="center"/>
          </w:tcPr>
          <w:p w14:paraId="443649DA">
            <w:pPr>
              <w:adjustRightInd w:val="0"/>
              <w:snapToGrid w:val="0"/>
              <w:spacing w:line="480" w:lineRule="exact"/>
              <w:jc w:val="center"/>
              <w:rPr>
                <w:rFonts w:ascii="宋体" w:cs="宋体"/>
                <w:color w:val="auto"/>
              </w:rPr>
            </w:pPr>
          </w:p>
        </w:tc>
        <w:tc>
          <w:tcPr>
            <w:tcW w:w="3516" w:type="dxa"/>
            <w:gridSpan w:val="2"/>
            <w:vAlign w:val="center"/>
          </w:tcPr>
          <w:p w14:paraId="23C02462">
            <w:pPr>
              <w:adjustRightInd w:val="0"/>
              <w:snapToGrid w:val="0"/>
              <w:spacing w:line="480" w:lineRule="exact"/>
              <w:jc w:val="center"/>
              <w:rPr>
                <w:rFonts w:ascii="宋体" w:cs="宋体"/>
                <w:color w:val="auto"/>
              </w:rPr>
            </w:pPr>
          </w:p>
        </w:tc>
      </w:tr>
    </w:tbl>
    <w:p w14:paraId="748C1B65">
      <w:pPr>
        <w:adjustRightInd w:val="0"/>
        <w:snapToGrid w:val="0"/>
        <w:spacing w:line="480" w:lineRule="exact"/>
        <w:rPr>
          <w:rFonts w:ascii="宋体" w:cs="宋体"/>
          <w:b/>
          <w:color w:val="auto"/>
        </w:rPr>
      </w:pPr>
    </w:p>
    <w:p w14:paraId="447152EF">
      <w:pPr>
        <w:adjustRightInd w:val="0"/>
        <w:snapToGrid w:val="0"/>
        <w:spacing w:line="480" w:lineRule="exact"/>
        <w:ind w:firstLine="440" w:firstLineChars="200"/>
        <w:rPr>
          <w:rFonts w:ascii="宋体" w:cs="宋体"/>
          <w:color w:val="auto"/>
        </w:rPr>
      </w:pPr>
    </w:p>
    <w:p w14:paraId="2589C4D1">
      <w:pPr>
        <w:adjustRightInd w:val="0"/>
        <w:snapToGrid w:val="0"/>
        <w:spacing w:line="480" w:lineRule="exact"/>
        <w:ind w:firstLine="440" w:firstLineChars="200"/>
        <w:rPr>
          <w:rFonts w:ascii="宋体" w:cs="宋体"/>
          <w:color w:val="auto"/>
        </w:rPr>
      </w:pPr>
    </w:p>
    <w:p w14:paraId="6C293112">
      <w:pPr>
        <w:spacing w:line="500" w:lineRule="exact"/>
        <w:jc w:val="center"/>
        <w:rPr>
          <w:bCs/>
          <w:color w:val="auto"/>
          <w:sz w:val="24"/>
        </w:rPr>
      </w:pPr>
      <w:r>
        <w:rPr>
          <w:rFonts w:hint="eastAsia"/>
          <w:bCs/>
          <w:color w:val="auto"/>
          <w:sz w:val="24"/>
        </w:rPr>
        <w:t>供应商：（公章签章）</w:t>
      </w:r>
    </w:p>
    <w:p w14:paraId="7FD87EE7">
      <w:pPr>
        <w:spacing w:line="500" w:lineRule="exact"/>
        <w:jc w:val="center"/>
        <w:rPr>
          <w:bCs/>
          <w:color w:val="auto"/>
          <w:sz w:val="24"/>
        </w:rPr>
      </w:pPr>
      <w:r>
        <w:rPr>
          <w:rFonts w:hint="eastAsia"/>
          <w:bCs/>
          <w:color w:val="auto"/>
          <w:sz w:val="24"/>
        </w:rPr>
        <w:t>法定代表人：（签章）</w:t>
      </w:r>
    </w:p>
    <w:p w14:paraId="552EFEE8">
      <w:pPr>
        <w:spacing w:line="500" w:lineRule="exact"/>
        <w:jc w:val="center"/>
        <w:rPr>
          <w:bCs/>
          <w:color w:val="auto"/>
          <w:sz w:val="24"/>
        </w:rPr>
      </w:pPr>
      <w:r>
        <w:rPr>
          <w:rFonts w:hint="eastAsia"/>
          <w:bCs/>
          <w:color w:val="auto"/>
          <w:sz w:val="24"/>
        </w:rPr>
        <w:t>日期：</w:t>
      </w:r>
    </w:p>
    <w:p w14:paraId="2F9DB2D5">
      <w:pPr>
        <w:widowControl/>
        <w:spacing w:line="700" w:lineRule="exact"/>
        <w:jc w:val="center"/>
        <w:rPr>
          <w:rFonts w:ascii="宋体" w:hAnsi="宋体" w:cs="宋体"/>
          <w:color w:val="auto"/>
          <w:kern w:val="0"/>
          <w:sz w:val="24"/>
        </w:rPr>
      </w:pPr>
    </w:p>
    <w:p w14:paraId="0721037E">
      <w:pPr>
        <w:spacing w:line="360" w:lineRule="auto"/>
        <w:jc w:val="center"/>
        <w:rPr>
          <w:rFonts w:hint="eastAsia"/>
          <w:color w:val="auto"/>
          <w:sz w:val="28"/>
          <w:szCs w:val="20"/>
        </w:rPr>
      </w:pPr>
    </w:p>
    <w:p w14:paraId="1249D320">
      <w:pPr>
        <w:spacing w:line="360" w:lineRule="auto"/>
        <w:jc w:val="center"/>
        <w:rPr>
          <w:rFonts w:hint="eastAsia"/>
          <w:color w:val="auto"/>
          <w:sz w:val="28"/>
          <w:szCs w:val="20"/>
        </w:rPr>
      </w:pPr>
    </w:p>
    <w:p w14:paraId="6153545F">
      <w:pPr>
        <w:spacing w:line="360" w:lineRule="auto"/>
        <w:jc w:val="center"/>
        <w:rPr>
          <w:rFonts w:hint="eastAsia"/>
          <w:color w:val="auto"/>
          <w:sz w:val="28"/>
          <w:szCs w:val="20"/>
        </w:rPr>
      </w:pPr>
    </w:p>
    <w:p w14:paraId="23BF6B6E">
      <w:pPr>
        <w:spacing w:line="360" w:lineRule="auto"/>
        <w:jc w:val="center"/>
        <w:rPr>
          <w:rFonts w:hint="eastAsia"/>
          <w:color w:val="auto"/>
          <w:sz w:val="28"/>
          <w:szCs w:val="20"/>
        </w:rPr>
      </w:pPr>
    </w:p>
    <w:p w14:paraId="2D46DDC6">
      <w:pPr>
        <w:spacing w:line="360" w:lineRule="auto"/>
        <w:jc w:val="center"/>
        <w:rPr>
          <w:rFonts w:hint="eastAsia"/>
          <w:color w:val="auto"/>
          <w:sz w:val="28"/>
          <w:szCs w:val="20"/>
        </w:rPr>
      </w:pPr>
    </w:p>
    <w:bookmarkEnd w:id="356"/>
    <w:p w14:paraId="38634347">
      <w:pPr>
        <w:spacing w:line="360" w:lineRule="auto"/>
        <w:rPr>
          <w:color w:val="auto"/>
          <w:sz w:val="24"/>
        </w:rPr>
      </w:pPr>
    </w:p>
    <w:p w14:paraId="1939AF2C">
      <w:pPr>
        <w:pStyle w:val="7"/>
        <w:rPr>
          <w:color w:val="auto"/>
        </w:rPr>
      </w:pPr>
    </w:p>
    <w:p w14:paraId="29F013EC">
      <w:pPr>
        <w:pStyle w:val="37"/>
        <w:ind w:left="0"/>
        <w:jc w:val="center"/>
        <w:outlineLvl w:val="0"/>
        <w:rPr>
          <w:rFonts w:hint="eastAsia" w:ascii="宋体" w:hAnsi="宋体"/>
          <w:color w:val="auto"/>
        </w:rPr>
      </w:pPr>
      <w:bookmarkStart w:id="357" w:name="_Toc5151"/>
      <w:bookmarkStart w:id="358" w:name="_Toc13086"/>
      <w:r>
        <w:rPr>
          <w:rFonts w:hint="eastAsia" w:ascii="宋体" w:hAnsi="宋体"/>
          <w:color w:val="auto"/>
        </w:rPr>
        <w:t>六、资格审查资料</w:t>
      </w:r>
      <w:bookmarkEnd w:id="357"/>
      <w:bookmarkEnd w:id="358"/>
    </w:p>
    <w:p w14:paraId="7CE3CC70">
      <w:pPr>
        <w:pStyle w:val="37"/>
        <w:ind w:left="0"/>
        <w:jc w:val="center"/>
        <w:outlineLvl w:val="9"/>
        <w:rPr>
          <w:color w:val="auto"/>
        </w:rPr>
        <w:sectPr>
          <w:pgSz w:w="11910" w:h="16840"/>
          <w:pgMar w:top="1440" w:right="1800" w:bottom="1440" w:left="1800" w:header="0" w:footer="720" w:gutter="0"/>
          <w:pgNumType w:fmt="decimal"/>
          <w:cols w:space="720" w:num="1"/>
        </w:sectPr>
      </w:pPr>
    </w:p>
    <w:p w14:paraId="369A7ABD">
      <w:pPr>
        <w:jc w:val="center"/>
        <w:outlineLvl w:val="0"/>
        <w:rPr>
          <w:rFonts w:hint="eastAsia" w:ascii="宋体" w:hAnsi="宋体" w:eastAsia="宋体" w:cs="宋体"/>
          <w:b/>
          <w:bCs/>
          <w:color w:val="auto"/>
          <w:sz w:val="28"/>
          <w:szCs w:val="20"/>
          <w:lang w:val="zh-CN" w:eastAsia="zh-CN" w:bidi="zh-CN"/>
        </w:rPr>
      </w:pPr>
      <w:bookmarkStart w:id="359" w:name="5、资格审查资料"/>
      <w:bookmarkEnd w:id="359"/>
      <w:bookmarkStart w:id="360" w:name="_Toc9365"/>
      <w:bookmarkStart w:id="361" w:name="_Toc877"/>
      <w:bookmarkStart w:id="362" w:name="_Toc318"/>
      <w:bookmarkStart w:id="363" w:name="_Toc14427"/>
      <w:bookmarkStart w:id="364" w:name="_Toc29623"/>
      <w:r>
        <w:rPr>
          <w:rFonts w:hint="eastAsia" w:ascii="宋体" w:hAnsi="宋体" w:eastAsia="宋体" w:cs="宋体"/>
          <w:b/>
          <w:bCs/>
          <w:color w:val="auto"/>
          <w:sz w:val="28"/>
          <w:szCs w:val="20"/>
          <w:lang w:val="zh-CN" w:eastAsia="zh-CN" w:bidi="zh-CN"/>
        </w:rPr>
        <w:t>七、</w:t>
      </w:r>
      <w:bookmarkEnd w:id="360"/>
      <w:bookmarkEnd w:id="361"/>
      <w:bookmarkEnd w:id="362"/>
      <w:r>
        <w:rPr>
          <w:rFonts w:hint="eastAsia" w:ascii="宋体" w:hAnsi="宋体" w:eastAsia="宋体" w:cs="宋体"/>
          <w:b/>
          <w:bCs/>
          <w:color w:val="auto"/>
          <w:sz w:val="28"/>
          <w:szCs w:val="20"/>
          <w:lang w:val="zh-CN" w:eastAsia="zh-CN" w:bidi="zh-CN"/>
        </w:rPr>
        <w:t>技术标</w:t>
      </w:r>
      <w:bookmarkEnd w:id="363"/>
      <w:bookmarkEnd w:id="364"/>
    </w:p>
    <w:p w14:paraId="650B5EB4">
      <w:pPr>
        <w:spacing w:line="500" w:lineRule="exact"/>
        <w:jc w:val="center"/>
        <w:rPr>
          <w:rFonts w:hint="eastAsia" w:ascii="宋体" w:hAnsi="宋体" w:eastAsia="宋体" w:cs="宋体"/>
          <w:bCs/>
          <w:color w:val="auto"/>
          <w:sz w:val="24"/>
        </w:rPr>
      </w:pPr>
      <w:r>
        <w:rPr>
          <w:rFonts w:hint="eastAsia" w:ascii="宋体" w:hAnsi="宋体" w:eastAsia="宋体" w:cs="宋体"/>
          <w:bCs/>
          <w:color w:val="auto"/>
          <w:sz w:val="24"/>
        </w:rPr>
        <w:t>（格式自拟）</w:t>
      </w:r>
    </w:p>
    <w:p w14:paraId="7A5202D8">
      <w:pPr>
        <w:spacing w:line="500" w:lineRule="exact"/>
        <w:jc w:val="center"/>
        <w:rPr>
          <w:rFonts w:hint="eastAsia" w:ascii="宋体" w:hAnsi="宋体" w:eastAsia="宋体" w:cs="宋体"/>
          <w:bCs/>
          <w:color w:val="auto"/>
          <w:sz w:val="24"/>
        </w:rPr>
      </w:pPr>
      <w:r>
        <w:rPr>
          <w:rFonts w:hint="eastAsia" w:ascii="宋体" w:hAnsi="宋体" w:eastAsia="宋体" w:cs="宋体"/>
          <w:bCs/>
          <w:color w:val="auto"/>
          <w:sz w:val="24"/>
          <w:lang w:eastAsia="zh-CN"/>
        </w:rPr>
        <w:t>供应商</w:t>
      </w:r>
      <w:r>
        <w:rPr>
          <w:rFonts w:hint="eastAsia" w:ascii="宋体" w:hAnsi="宋体" w:eastAsia="宋体" w:cs="宋体"/>
          <w:bCs/>
          <w:color w:val="auto"/>
          <w:sz w:val="24"/>
        </w:rPr>
        <w:t>应在充分理解</w:t>
      </w:r>
      <w:r>
        <w:rPr>
          <w:rFonts w:hint="eastAsia" w:ascii="宋体" w:hAnsi="宋体" w:eastAsia="宋体" w:cs="宋体"/>
          <w:bCs/>
          <w:color w:val="auto"/>
          <w:sz w:val="24"/>
          <w:lang w:eastAsia="zh-CN"/>
        </w:rPr>
        <w:t>竞争性磋商</w:t>
      </w:r>
      <w:r>
        <w:rPr>
          <w:rFonts w:hint="eastAsia" w:ascii="宋体" w:hAnsi="宋体" w:eastAsia="宋体" w:cs="宋体"/>
          <w:bCs/>
          <w:color w:val="auto"/>
          <w:sz w:val="24"/>
        </w:rPr>
        <w:t>文件第</w:t>
      </w:r>
      <w:r>
        <w:rPr>
          <w:rFonts w:hint="eastAsia" w:ascii="宋体" w:hAnsi="宋体" w:eastAsia="宋体" w:cs="宋体"/>
          <w:bCs/>
          <w:color w:val="auto"/>
          <w:sz w:val="24"/>
          <w:lang w:eastAsia="zh-CN"/>
        </w:rPr>
        <w:t>三</w:t>
      </w:r>
      <w:r>
        <w:rPr>
          <w:rFonts w:hint="eastAsia" w:ascii="宋体" w:hAnsi="宋体" w:eastAsia="宋体" w:cs="宋体"/>
          <w:bCs/>
          <w:color w:val="auto"/>
          <w:sz w:val="24"/>
        </w:rPr>
        <w:t>章《</w:t>
      </w:r>
      <w:r>
        <w:rPr>
          <w:rFonts w:hint="eastAsia" w:ascii="宋体" w:hAnsi="宋体" w:eastAsia="宋体" w:cs="宋体"/>
          <w:bCs/>
          <w:color w:val="auto"/>
          <w:sz w:val="24"/>
          <w:lang w:eastAsia="zh-CN"/>
        </w:rPr>
        <w:t>服务需求</w:t>
      </w:r>
      <w:r>
        <w:rPr>
          <w:rFonts w:hint="eastAsia" w:ascii="宋体" w:hAnsi="宋体" w:eastAsia="宋体" w:cs="宋体"/>
          <w:bCs/>
          <w:color w:val="auto"/>
          <w:sz w:val="24"/>
        </w:rPr>
        <w:t>》的基础上，编制本项目技术服务方案</w:t>
      </w:r>
    </w:p>
    <w:p w14:paraId="71817F58">
      <w:pPr>
        <w:spacing w:line="500" w:lineRule="exact"/>
        <w:jc w:val="center"/>
        <w:rPr>
          <w:rFonts w:hint="eastAsia" w:ascii="宋体" w:hAnsi="宋体" w:eastAsia="宋体" w:cs="宋体"/>
          <w:bCs/>
          <w:color w:val="auto"/>
          <w:sz w:val="24"/>
        </w:rPr>
      </w:pPr>
    </w:p>
    <w:p w14:paraId="6B8A760E">
      <w:pPr>
        <w:pStyle w:val="37"/>
        <w:widowControl/>
        <w:spacing w:before="156"/>
        <w:jc w:val="center"/>
        <w:outlineLvl w:val="9"/>
        <w:rPr>
          <w:rFonts w:ascii="宋体" w:hAnsi="宋体" w:eastAsia="宋体" w:cs="宋体"/>
          <w:iCs/>
          <w:color w:val="auto"/>
        </w:rPr>
      </w:pPr>
    </w:p>
    <w:p w14:paraId="2BE2F491">
      <w:pPr>
        <w:pStyle w:val="37"/>
        <w:widowControl/>
        <w:spacing w:before="156"/>
        <w:ind w:left="0" w:leftChars="0" w:firstLine="0" w:firstLineChars="0"/>
        <w:jc w:val="center"/>
        <w:outlineLvl w:val="0"/>
        <w:rPr>
          <w:rFonts w:ascii="宋体" w:hAnsi="宋体" w:eastAsia="宋体" w:cs="宋体"/>
          <w:iCs/>
          <w:color w:val="auto"/>
        </w:rPr>
      </w:pPr>
      <w:bookmarkStart w:id="365" w:name="_Toc20376"/>
      <w:bookmarkStart w:id="366" w:name="_Toc9311"/>
      <w:r>
        <w:rPr>
          <w:rFonts w:hint="eastAsia" w:ascii="宋体" w:hAnsi="宋体" w:eastAsia="宋体" w:cs="宋体"/>
          <w:iCs/>
          <w:color w:val="auto"/>
        </w:rPr>
        <w:br w:type="page"/>
      </w:r>
      <w:bookmarkStart w:id="367" w:name="_Toc16588"/>
      <w:bookmarkStart w:id="368" w:name="_Toc27563"/>
      <w:bookmarkStart w:id="369" w:name="_Toc30750"/>
      <w:bookmarkStart w:id="370" w:name="_Toc6757"/>
      <w:r>
        <w:rPr>
          <w:rFonts w:hint="eastAsia" w:ascii="宋体" w:hAnsi="宋体" w:eastAsia="宋体" w:cs="宋体"/>
          <w:iCs/>
          <w:color w:val="auto"/>
        </w:rPr>
        <w:t>八、</w:t>
      </w:r>
      <w:r>
        <w:rPr>
          <w:rFonts w:hint="eastAsia" w:ascii="宋体" w:hAnsi="宋体" w:eastAsia="宋体" w:cs="宋体"/>
          <w:iCs/>
          <w:color w:val="auto"/>
          <w:lang w:val="en-US"/>
        </w:rPr>
        <w:t>商务标</w:t>
      </w:r>
      <w:bookmarkEnd w:id="367"/>
      <w:bookmarkEnd w:id="368"/>
      <w:bookmarkEnd w:id="369"/>
    </w:p>
    <w:p w14:paraId="71E4D060">
      <w:pPr>
        <w:spacing w:line="500" w:lineRule="exact"/>
        <w:jc w:val="center"/>
        <w:rPr>
          <w:rFonts w:hint="eastAsia" w:ascii="宋体" w:hAnsi="宋体" w:eastAsia="宋体" w:cs="宋体"/>
          <w:bCs/>
          <w:color w:val="auto"/>
          <w:sz w:val="24"/>
        </w:rPr>
      </w:pPr>
      <w:r>
        <w:rPr>
          <w:rFonts w:hint="eastAsia" w:ascii="宋体" w:hAnsi="宋体" w:eastAsia="宋体" w:cs="宋体"/>
          <w:bCs/>
          <w:color w:val="auto"/>
          <w:sz w:val="24"/>
        </w:rPr>
        <w:t>（格式自拟）</w:t>
      </w:r>
    </w:p>
    <w:p w14:paraId="2777BC66">
      <w:pPr>
        <w:pStyle w:val="37"/>
        <w:widowControl/>
        <w:spacing w:before="156"/>
        <w:jc w:val="center"/>
        <w:outlineLvl w:val="9"/>
        <w:rPr>
          <w:rFonts w:ascii="宋体" w:hAnsi="宋体" w:eastAsia="宋体" w:cs="宋体"/>
          <w:iCs/>
          <w:color w:val="auto"/>
        </w:rPr>
      </w:pPr>
    </w:p>
    <w:bookmarkEnd w:id="365"/>
    <w:bookmarkEnd w:id="366"/>
    <w:bookmarkEnd w:id="370"/>
    <w:p w14:paraId="21736F5D">
      <w:pPr>
        <w:pStyle w:val="37"/>
        <w:widowControl/>
        <w:numPr>
          <w:ilvl w:val="0"/>
          <w:numId w:val="18"/>
        </w:numPr>
        <w:spacing w:before="156"/>
        <w:ind w:left="0" w:leftChars="0" w:firstLine="0" w:firstLineChars="0"/>
        <w:jc w:val="center"/>
        <w:outlineLvl w:val="0"/>
        <w:rPr>
          <w:rFonts w:hint="eastAsia" w:ascii="宋体" w:hAnsi="宋体" w:eastAsia="宋体" w:cs="宋体"/>
          <w:iCs/>
          <w:color w:val="auto"/>
        </w:rPr>
      </w:pPr>
      <w:r>
        <w:rPr>
          <w:rFonts w:hint="eastAsia"/>
          <w:color w:val="auto"/>
          <w:lang w:val="en-US"/>
        </w:rPr>
        <w:br w:type="page"/>
      </w:r>
      <w:bookmarkStart w:id="371" w:name="_Toc18887"/>
      <w:bookmarkStart w:id="372" w:name="_Toc2416"/>
      <w:bookmarkStart w:id="373" w:name="_Toc7984"/>
      <w:r>
        <w:rPr>
          <w:rFonts w:hint="eastAsia" w:ascii="宋体" w:hAnsi="宋体" w:eastAsia="宋体" w:cs="宋体"/>
          <w:iCs/>
          <w:color w:val="auto"/>
        </w:rPr>
        <w:t>其他材料</w:t>
      </w:r>
      <w:bookmarkEnd w:id="371"/>
      <w:bookmarkEnd w:id="372"/>
      <w:bookmarkEnd w:id="373"/>
    </w:p>
    <w:p w14:paraId="7AE0BC1A">
      <w:pPr>
        <w:numPr>
          <w:ilvl w:val="0"/>
          <w:numId w:val="0"/>
        </w:numPr>
        <w:rPr>
          <w:color w:val="auto"/>
        </w:rPr>
      </w:pPr>
    </w:p>
    <w:p w14:paraId="3570E7DC">
      <w:pPr>
        <w:spacing w:line="500" w:lineRule="exact"/>
        <w:jc w:val="left"/>
        <w:rPr>
          <w:rFonts w:hint="eastAsia" w:ascii="宋体" w:hAnsi="宋体" w:eastAsia="宋体" w:cs="宋体"/>
          <w:bCs/>
          <w:color w:val="auto"/>
          <w:sz w:val="24"/>
          <w:lang w:eastAsia="zh-CN"/>
        </w:rPr>
      </w:pPr>
      <w:r>
        <w:rPr>
          <w:rFonts w:hint="eastAsia" w:ascii="宋体" w:hAnsi="宋体" w:eastAsia="宋体" w:cs="宋体"/>
          <w:bCs/>
          <w:color w:val="auto"/>
          <w:sz w:val="24"/>
          <w:lang w:eastAsia="zh-CN"/>
        </w:rPr>
        <w:t xml:space="preserve"> 一、响应文件的组成中要求的其他内容；</w:t>
      </w:r>
    </w:p>
    <w:p w14:paraId="4E0E08A2">
      <w:pPr>
        <w:spacing w:line="500" w:lineRule="exact"/>
        <w:jc w:val="left"/>
        <w:rPr>
          <w:rFonts w:hint="eastAsia" w:ascii="宋体" w:hAnsi="宋体" w:eastAsia="宋体" w:cs="宋体"/>
          <w:bCs/>
          <w:color w:val="auto"/>
          <w:sz w:val="24"/>
          <w:lang w:eastAsia="zh-CN"/>
        </w:rPr>
      </w:pPr>
      <w:r>
        <w:rPr>
          <w:rFonts w:hint="eastAsia" w:ascii="宋体" w:hAnsi="宋体" w:eastAsia="宋体" w:cs="宋体"/>
          <w:bCs/>
          <w:color w:val="auto"/>
          <w:sz w:val="24"/>
          <w:lang w:eastAsia="zh-CN"/>
        </w:rPr>
        <w:t xml:space="preserve"> 二、供应商认为有必要提供的、有利于其成交的其他文件材料。</w:t>
      </w:r>
    </w:p>
    <w:p w14:paraId="525D8540">
      <w:pPr>
        <w:pStyle w:val="37"/>
        <w:ind w:left="0"/>
        <w:jc w:val="both"/>
        <w:outlineLvl w:val="0"/>
        <w:rPr>
          <w:rFonts w:hint="eastAsia" w:ascii="宋体" w:hAnsi="宋体" w:eastAsia="宋体"/>
          <w:color w:val="auto"/>
          <w:highlight w:val="none"/>
          <w:lang w:val="en-US" w:eastAsia="zh-CN"/>
        </w:rPr>
      </w:pPr>
      <w:r>
        <w:rPr>
          <w:rFonts w:hint="eastAsia"/>
          <w:color w:val="auto"/>
        </w:rPr>
        <w:br w:type="page"/>
      </w:r>
      <w:bookmarkStart w:id="374" w:name="_Toc32503"/>
      <w:r>
        <w:rPr>
          <w:rFonts w:hint="eastAsia" w:ascii="宋体" w:hAnsi="宋体"/>
          <w:color w:val="auto"/>
          <w:highlight w:val="none"/>
          <w:lang w:val="en-US" w:eastAsia="zh-CN"/>
        </w:rPr>
        <w:t>附件：</w:t>
      </w:r>
      <w:bookmarkEnd w:id="374"/>
    </w:p>
    <w:p w14:paraId="65CDD3D9">
      <w:pPr>
        <w:rPr>
          <w:color w:val="auto"/>
          <w:highlight w:val="none"/>
        </w:rPr>
      </w:pPr>
    </w:p>
    <w:p w14:paraId="04CE8F45">
      <w:pPr>
        <w:keepNext w:val="0"/>
        <w:keepLines w:val="0"/>
        <w:pageBreakBefore w:val="0"/>
        <w:widowControl w:val="0"/>
        <w:kinsoku/>
        <w:wordWrap w:val="0"/>
        <w:overflowPunct/>
        <w:topLinePunct w:val="0"/>
        <w:autoSpaceDE w:val="0"/>
        <w:autoSpaceDN w:val="0"/>
        <w:bidi w:val="0"/>
        <w:adjustRightInd w:val="0"/>
        <w:spacing w:line="560" w:lineRule="exact"/>
        <w:ind w:right="0" w:rightChars="0" w:firstLine="482" w:firstLineChars="200"/>
        <w:jc w:val="center"/>
        <w:textAlignment w:val="auto"/>
        <w:rPr>
          <w:rFonts w:hint="eastAsia" w:ascii="宋体" w:eastAsia="宋体" w:cs="宋体"/>
          <w:b/>
          <w:bCs/>
          <w:color w:val="auto"/>
          <w:sz w:val="24"/>
          <w:szCs w:val="24"/>
          <w:lang w:eastAsia="zh-CN"/>
        </w:rPr>
      </w:pPr>
      <w:r>
        <w:rPr>
          <w:rFonts w:hint="eastAsia" w:ascii="宋体" w:cs="宋体"/>
          <w:b/>
          <w:bCs/>
          <w:color w:val="auto"/>
          <w:sz w:val="24"/>
          <w:szCs w:val="24"/>
        </w:rPr>
        <w:t>中小企业声明函</w:t>
      </w:r>
      <w:r>
        <w:rPr>
          <w:rFonts w:hint="eastAsia" w:ascii="宋体" w:cs="宋体"/>
          <w:b/>
          <w:bCs/>
          <w:color w:val="auto"/>
          <w:sz w:val="24"/>
          <w:szCs w:val="24"/>
          <w:lang w:eastAsia="zh-CN"/>
        </w:rPr>
        <w:t>（服务）</w:t>
      </w:r>
    </w:p>
    <w:p w14:paraId="7F1B3BEE">
      <w:pPr>
        <w:keepNext w:val="0"/>
        <w:keepLines w:val="0"/>
        <w:pageBreakBefore w:val="0"/>
        <w:widowControl w:val="0"/>
        <w:kinsoku/>
        <w:wordWrap w:val="0"/>
        <w:overflowPunct/>
        <w:topLinePunct w:val="0"/>
        <w:autoSpaceDE w:val="0"/>
        <w:autoSpaceDN w:val="0"/>
        <w:bidi w:val="0"/>
        <w:adjustRightInd w:val="0"/>
        <w:spacing w:line="560" w:lineRule="exact"/>
        <w:ind w:right="0" w:rightChars="0" w:firstLine="480" w:firstLineChars="200"/>
        <w:jc w:val="left"/>
        <w:textAlignment w:val="auto"/>
        <w:rPr>
          <w:rFonts w:ascii="宋体" w:hAnsi="宋体" w:cs="仿宋"/>
          <w:color w:val="auto"/>
          <w:sz w:val="24"/>
          <w:szCs w:val="24"/>
        </w:rPr>
      </w:pPr>
      <w:r>
        <w:rPr>
          <w:rFonts w:hint="eastAsia" w:ascii="宋体" w:hAnsi="宋体" w:cs="仿宋"/>
          <w:color w:val="auto"/>
          <w:sz w:val="24"/>
          <w:szCs w:val="24"/>
        </w:rPr>
        <w:t>本公司（联合体）郑重声明，根据《政府采购促进中小企业发展管理办法》（财库</w:t>
      </w:r>
      <w:r>
        <w:rPr>
          <w:rFonts w:hint="eastAsia" w:ascii="宋体" w:hAnsi="宋体" w:cs="宋体"/>
          <w:color w:val="auto"/>
          <w:sz w:val="24"/>
          <w:szCs w:val="24"/>
        </w:rPr>
        <w:t>﹝</w:t>
      </w:r>
      <w:r>
        <w:rPr>
          <w:rFonts w:ascii="宋体" w:hAnsi="宋体" w:cs="仿宋"/>
          <w:color w:val="auto"/>
          <w:sz w:val="24"/>
          <w:szCs w:val="24"/>
        </w:rPr>
        <w:t>2020</w:t>
      </w:r>
      <w:r>
        <w:rPr>
          <w:rFonts w:hint="eastAsia" w:ascii="宋体" w:hAnsi="宋体" w:cs="宋体"/>
          <w:color w:val="auto"/>
          <w:sz w:val="24"/>
          <w:szCs w:val="24"/>
        </w:rPr>
        <w:t>﹞</w:t>
      </w:r>
      <w:r>
        <w:rPr>
          <w:rFonts w:ascii="宋体" w:hAnsi="宋体" w:cs="仿宋"/>
          <w:color w:val="auto"/>
          <w:sz w:val="24"/>
          <w:szCs w:val="24"/>
        </w:rPr>
        <w:t xml:space="preserve">46 </w:t>
      </w:r>
      <w:r>
        <w:rPr>
          <w:rFonts w:hint="eastAsia" w:ascii="宋体" w:hAnsi="宋体" w:cs="仿宋"/>
          <w:color w:val="auto"/>
          <w:sz w:val="24"/>
          <w:szCs w:val="24"/>
        </w:rPr>
        <w:t>号）的规定，本公司（联合体）参加</w:t>
      </w:r>
      <w:r>
        <w:rPr>
          <w:rFonts w:hint="eastAsia" w:ascii="宋体" w:hAnsi="宋体" w:cs="仿宋"/>
          <w:color w:val="auto"/>
          <w:sz w:val="24"/>
          <w:szCs w:val="24"/>
          <w:u w:val="single"/>
        </w:rPr>
        <w:t>（单位名称）</w:t>
      </w:r>
      <w:r>
        <w:rPr>
          <w:rFonts w:hint="eastAsia" w:ascii="宋体" w:hAnsi="宋体" w:cs="仿宋"/>
          <w:color w:val="auto"/>
          <w:sz w:val="24"/>
          <w:szCs w:val="24"/>
        </w:rPr>
        <w:t>的</w:t>
      </w:r>
      <w:r>
        <w:rPr>
          <w:rFonts w:hint="eastAsia" w:ascii="宋体" w:hAnsi="宋体" w:cs="仿宋"/>
          <w:color w:val="auto"/>
          <w:sz w:val="24"/>
          <w:szCs w:val="24"/>
          <w:u w:val="single"/>
        </w:rPr>
        <w:t>（项目名称）</w:t>
      </w:r>
      <w:r>
        <w:rPr>
          <w:rFonts w:hint="eastAsia" w:ascii="宋体" w:hAnsi="宋体" w:cs="仿宋"/>
          <w:color w:val="auto"/>
          <w:sz w:val="24"/>
          <w:szCs w:val="24"/>
          <w:u w:val="single"/>
          <w:lang w:eastAsia="zh-CN"/>
        </w:rPr>
        <w:t>（标段）</w:t>
      </w:r>
      <w:r>
        <w:rPr>
          <w:rFonts w:hint="eastAsia" w:ascii="宋体" w:hAnsi="宋体" w:cs="仿宋"/>
          <w:color w:val="auto"/>
          <w:sz w:val="24"/>
          <w:szCs w:val="24"/>
        </w:rPr>
        <w:t>采购活动，工程的施工单位全部为符合政策要求的中小企业（或者：货物全部由符合政策要求的中小企业承接）。相关企业（含联合体中的中小企业、签订分包意向协议的中小企业）的具体情况如下：</w:t>
      </w:r>
    </w:p>
    <w:p w14:paraId="4B9A59F8">
      <w:pPr>
        <w:keepNext w:val="0"/>
        <w:keepLines w:val="0"/>
        <w:pageBreakBefore w:val="0"/>
        <w:widowControl w:val="0"/>
        <w:kinsoku/>
        <w:wordWrap w:val="0"/>
        <w:overflowPunct/>
        <w:topLinePunct w:val="0"/>
        <w:autoSpaceDE w:val="0"/>
        <w:autoSpaceDN w:val="0"/>
        <w:bidi w:val="0"/>
        <w:adjustRightInd w:val="0"/>
        <w:spacing w:line="560" w:lineRule="exact"/>
        <w:ind w:right="0" w:rightChars="0" w:firstLine="480" w:firstLineChars="200"/>
        <w:jc w:val="left"/>
        <w:textAlignment w:val="auto"/>
        <w:rPr>
          <w:rFonts w:ascii="宋体" w:hAnsi="宋体" w:cs="仿宋"/>
          <w:color w:val="auto"/>
          <w:sz w:val="24"/>
          <w:szCs w:val="24"/>
        </w:rPr>
      </w:pPr>
      <w:r>
        <w:rPr>
          <w:rFonts w:ascii="宋体" w:hAnsi="宋体" w:cs="仿宋"/>
          <w:color w:val="auto"/>
          <w:sz w:val="24"/>
          <w:szCs w:val="24"/>
        </w:rPr>
        <w:t xml:space="preserve">1. </w:t>
      </w:r>
      <w:r>
        <w:rPr>
          <w:rFonts w:hint="eastAsia" w:ascii="宋体" w:hAnsi="宋体" w:cs="仿宋"/>
          <w:color w:val="auto"/>
          <w:sz w:val="24"/>
          <w:szCs w:val="24"/>
          <w:u w:val="single"/>
        </w:rPr>
        <w:t>（标的名称）</w:t>
      </w:r>
      <w:r>
        <w:rPr>
          <w:rFonts w:ascii="宋体" w:hAnsi="宋体" w:cs="仿宋"/>
          <w:color w:val="auto"/>
          <w:sz w:val="24"/>
          <w:szCs w:val="24"/>
        </w:rPr>
        <w:t xml:space="preserve"> </w:t>
      </w:r>
      <w:r>
        <w:rPr>
          <w:rFonts w:hint="eastAsia" w:ascii="宋体" w:hAnsi="宋体" w:cs="仿宋"/>
          <w:color w:val="auto"/>
          <w:sz w:val="24"/>
          <w:szCs w:val="24"/>
        </w:rPr>
        <w:t>，属于</w:t>
      </w:r>
      <w:r>
        <w:rPr>
          <w:rFonts w:hint="eastAsia" w:ascii="宋体" w:hAnsi="宋体" w:cs="仿宋"/>
          <w:color w:val="auto"/>
          <w:sz w:val="24"/>
          <w:szCs w:val="24"/>
          <w:u w:val="single"/>
          <w:lang w:val="en-US" w:eastAsia="zh-CN"/>
        </w:rPr>
        <w:t xml:space="preserve">   </w:t>
      </w:r>
      <w:r>
        <w:rPr>
          <w:rFonts w:hint="eastAsia" w:ascii="宋体" w:hAnsi="宋体" w:cs="仿宋"/>
          <w:color w:val="auto"/>
          <w:sz w:val="24"/>
          <w:szCs w:val="24"/>
          <w:u w:val="single"/>
        </w:rPr>
        <w:t>（采购文件中明确的所属行业）</w:t>
      </w:r>
      <w:r>
        <w:rPr>
          <w:rFonts w:hint="eastAsia" w:ascii="宋体" w:hAnsi="宋体" w:cs="仿宋"/>
          <w:color w:val="auto"/>
          <w:sz w:val="24"/>
          <w:szCs w:val="24"/>
        </w:rPr>
        <w:t>；承建（承接）企业为</w:t>
      </w:r>
      <w:r>
        <w:rPr>
          <w:rFonts w:hint="eastAsia" w:ascii="宋体" w:hAnsi="宋体" w:cs="仿宋"/>
          <w:color w:val="auto"/>
          <w:sz w:val="24"/>
          <w:szCs w:val="24"/>
          <w:u w:val="single"/>
        </w:rPr>
        <w:t>（企业名称）</w:t>
      </w:r>
      <w:r>
        <w:rPr>
          <w:rFonts w:hint="eastAsia" w:ascii="宋体" w:hAnsi="宋体" w:cs="仿宋"/>
          <w:color w:val="auto"/>
          <w:sz w:val="24"/>
          <w:szCs w:val="24"/>
        </w:rPr>
        <w:t>，从业人员</w:t>
      </w:r>
      <w:r>
        <w:rPr>
          <w:rFonts w:hint="eastAsia" w:ascii="宋体" w:hAnsi="宋体" w:cs="仿宋"/>
          <w:color w:val="auto"/>
          <w:sz w:val="24"/>
          <w:szCs w:val="24"/>
          <w:u w:val="single"/>
        </w:rPr>
        <w:t xml:space="preserve">    </w:t>
      </w:r>
      <w:r>
        <w:rPr>
          <w:rFonts w:hint="eastAsia" w:ascii="宋体" w:hAnsi="宋体" w:cs="仿宋"/>
          <w:color w:val="auto"/>
          <w:sz w:val="24"/>
          <w:szCs w:val="24"/>
        </w:rPr>
        <w:t xml:space="preserve"> 人，营业收入为</w:t>
      </w:r>
      <w:r>
        <w:rPr>
          <w:rFonts w:hint="eastAsia" w:ascii="宋体" w:hAnsi="宋体" w:cs="仿宋"/>
          <w:color w:val="auto"/>
          <w:sz w:val="24"/>
          <w:szCs w:val="24"/>
          <w:u w:val="single"/>
        </w:rPr>
        <w:t xml:space="preserve">     </w:t>
      </w:r>
      <w:r>
        <w:rPr>
          <w:rFonts w:hint="eastAsia" w:ascii="宋体" w:hAnsi="宋体" w:cs="仿宋"/>
          <w:color w:val="auto"/>
          <w:sz w:val="24"/>
          <w:szCs w:val="24"/>
        </w:rPr>
        <w:t>万元，资产总额为</w:t>
      </w:r>
      <w:r>
        <w:rPr>
          <w:rFonts w:hint="eastAsia" w:ascii="宋体" w:hAnsi="宋体" w:cs="仿宋"/>
          <w:color w:val="auto"/>
          <w:sz w:val="24"/>
          <w:szCs w:val="24"/>
          <w:u w:val="single"/>
        </w:rPr>
        <w:t xml:space="preserve">   </w:t>
      </w:r>
      <w:r>
        <w:rPr>
          <w:rFonts w:hint="eastAsia" w:ascii="宋体" w:hAnsi="宋体" w:cs="仿宋"/>
          <w:color w:val="auto"/>
          <w:sz w:val="24"/>
          <w:szCs w:val="24"/>
        </w:rPr>
        <w:t>万元，属于</w:t>
      </w:r>
      <w:r>
        <w:rPr>
          <w:rFonts w:hint="eastAsia" w:ascii="宋体" w:hAnsi="宋体" w:cs="仿宋"/>
          <w:color w:val="auto"/>
          <w:sz w:val="24"/>
          <w:szCs w:val="24"/>
          <w:u w:val="single"/>
        </w:rPr>
        <w:t>（中型企业、小型企业、微型企业）</w:t>
      </w:r>
      <w:r>
        <w:rPr>
          <w:rFonts w:hint="eastAsia" w:ascii="宋体" w:hAnsi="宋体" w:cs="仿宋"/>
          <w:color w:val="auto"/>
          <w:sz w:val="24"/>
          <w:szCs w:val="24"/>
        </w:rPr>
        <w:t>；</w:t>
      </w:r>
    </w:p>
    <w:p w14:paraId="3126106B">
      <w:pPr>
        <w:keepNext w:val="0"/>
        <w:keepLines w:val="0"/>
        <w:pageBreakBefore w:val="0"/>
        <w:widowControl w:val="0"/>
        <w:kinsoku/>
        <w:wordWrap w:val="0"/>
        <w:overflowPunct/>
        <w:topLinePunct w:val="0"/>
        <w:autoSpaceDE w:val="0"/>
        <w:autoSpaceDN w:val="0"/>
        <w:bidi w:val="0"/>
        <w:adjustRightInd w:val="0"/>
        <w:spacing w:line="560" w:lineRule="exact"/>
        <w:ind w:right="0" w:rightChars="0" w:firstLine="480" w:firstLineChars="200"/>
        <w:jc w:val="left"/>
        <w:textAlignment w:val="auto"/>
        <w:rPr>
          <w:rFonts w:ascii="宋体" w:hAnsi="宋体" w:cs="仿宋"/>
          <w:color w:val="auto"/>
          <w:sz w:val="24"/>
          <w:szCs w:val="24"/>
        </w:rPr>
      </w:pPr>
      <w:r>
        <w:rPr>
          <w:rFonts w:ascii="宋体" w:hAnsi="宋体" w:cs="仿宋"/>
          <w:color w:val="auto"/>
          <w:sz w:val="24"/>
          <w:szCs w:val="24"/>
        </w:rPr>
        <w:t xml:space="preserve">2. </w:t>
      </w:r>
      <w:r>
        <w:rPr>
          <w:rFonts w:hint="eastAsia" w:ascii="宋体" w:hAnsi="宋体" w:cs="仿宋"/>
          <w:color w:val="auto"/>
          <w:sz w:val="24"/>
          <w:szCs w:val="24"/>
          <w:u w:val="single"/>
        </w:rPr>
        <w:t>（标的名称</w:t>
      </w:r>
      <w:r>
        <w:rPr>
          <w:rFonts w:hint="eastAsia" w:ascii="宋体" w:hAnsi="宋体" w:cs="仿宋"/>
          <w:color w:val="auto"/>
          <w:sz w:val="24"/>
          <w:szCs w:val="24"/>
        </w:rPr>
        <w:t>）</w:t>
      </w:r>
      <w:r>
        <w:rPr>
          <w:rFonts w:ascii="宋体" w:hAnsi="宋体" w:cs="仿宋"/>
          <w:color w:val="auto"/>
          <w:sz w:val="24"/>
          <w:szCs w:val="24"/>
        </w:rPr>
        <w:t xml:space="preserve"> </w:t>
      </w:r>
      <w:r>
        <w:rPr>
          <w:rFonts w:hint="eastAsia" w:ascii="宋体" w:hAnsi="宋体" w:cs="仿宋"/>
          <w:color w:val="auto"/>
          <w:sz w:val="24"/>
          <w:szCs w:val="24"/>
        </w:rPr>
        <w:t>，属于</w:t>
      </w:r>
      <w:r>
        <w:rPr>
          <w:rFonts w:hint="eastAsia" w:ascii="宋体" w:hAnsi="宋体" w:cs="仿宋"/>
          <w:color w:val="auto"/>
          <w:sz w:val="24"/>
          <w:szCs w:val="24"/>
          <w:u w:val="single"/>
        </w:rPr>
        <w:t>（采购文件中明确的所属行业）</w:t>
      </w:r>
      <w:r>
        <w:rPr>
          <w:rFonts w:hint="eastAsia" w:ascii="宋体" w:hAnsi="宋体" w:cs="仿宋"/>
          <w:color w:val="auto"/>
          <w:sz w:val="24"/>
          <w:szCs w:val="24"/>
        </w:rPr>
        <w:t>；承建（承接）企业为（</w:t>
      </w:r>
      <w:r>
        <w:rPr>
          <w:rFonts w:hint="eastAsia" w:ascii="宋体" w:hAnsi="宋体" w:cs="仿宋"/>
          <w:color w:val="auto"/>
          <w:sz w:val="24"/>
          <w:szCs w:val="24"/>
          <w:u w:val="single"/>
        </w:rPr>
        <w:t>企业名称</w:t>
      </w:r>
      <w:r>
        <w:rPr>
          <w:rFonts w:hint="eastAsia" w:ascii="宋体" w:hAnsi="宋体" w:cs="仿宋"/>
          <w:color w:val="auto"/>
          <w:sz w:val="24"/>
          <w:szCs w:val="24"/>
        </w:rPr>
        <w:t>），从业人员</w:t>
      </w:r>
      <w:r>
        <w:rPr>
          <w:rFonts w:hint="eastAsia" w:ascii="宋体" w:hAnsi="宋体" w:cs="仿宋"/>
          <w:color w:val="auto"/>
          <w:sz w:val="24"/>
          <w:szCs w:val="24"/>
          <w:u w:val="single"/>
        </w:rPr>
        <w:t xml:space="preserve">    </w:t>
      </w:r>
      <w:r>
        <w:rPr>
          <w:rFonts w:hint="eastAsia" w:ascii="宋体" w:hAnsi="宋体" w:cs="仿宋"/>
          <w:color w:val="auto"/>
          <w:sz w:val="24"/>
          <w:szCs w:val="24"/>
        </w:rPr>
        <w:t xml:space="preserve"> 人，营业收入为</w:t>
      </w:r>
      <w:r>
        <w:rPr>
          <w:rFonts w:hint="eastAsia" w:ascii="宋体" w:hAnsi="宋体" w:cs="仿宋"/>
          <w:color w:val="auto"/>
          <w:sz w:val="24"/>
          <w:szCs w:val="24"/>
          <w:u w:val="single"/>
        </w:rPr>
        <w:t xml:space="preserve">     </w:t>
      </w:r>
      <w:r>
        <w:rPr>
          <w:rFonts w:hint="eastAsia" w:ascii="宋体" w:hAnsi="宋体" w:cs="仿宋"/>
          <w:color w:val="auto"/>
          <w:sz w:val="24"/>
          <w:szCs w:val="24"/>
        </w:rPr>
        <w:t>万元，资产总额为</w:t>
      </w:r>
      <w:r>
        <w:rPr>
          <w:rFonts w:hint="eastAsia" w:ascii="宋体" w:hAnsi="宋体" w:cs="仿宋"/>
          <w:color w:val="auto"/>
          <w:sz w:val="24"/>
          <w:szCs w:val="24"/>
          <w:u w:val="single"/>
        </w:rPr>
        <w:t xml:space="preserve">   </w:t>
      </w:r>
      <w:r>
        <w:rPr>
          <w:rFonts w:hint="eastAsia" w:ascii="宋体" w:hAnsi="宋体" w:cs="仿宋"/>
          <w:color w:val="auto"/>
          <w:sz w:val="24"/>
          <w:szCs w:val="24"/>
        </w:rPr>
        <w:t>万元，属于</w:t>
      </w:r>
      <w:r>
        <w:rPr>
          <w:rFonts w:hint="eastAsia" w:ascii="宋体" w:hAnsi="宋体" w:cs="仿宋"/>
          <w:color w:val="auto"/>
          <w:sz w:val="24"/>
          <w:szCs w:val="24"/>
          <w:u w:val="single"/>
        </w:rPr>
        <w:t>（中型企业、小型企业、微型企业）</w:t>
      </w:r>
      <w:r>
        <w:rPr>
          <w:rFonts w:hint="eastAsia" w:ascii="宋体" w:hAnsi="宋体" w:cs="仿宋"/>
          <w:color w:val="auto"/>
          <w:sz w:val="24"/>
          <w:szCs w:val="24"/>
        </w:rPr>
        <w:t>；</w:t>
      </w:r>
    </w:p>
    <w:p w14:paraId="74BB9D8D">
      <w:pPr>
        <w:keepNext w:val="0"/>
        <w:keepLines w:val="0"/>
        <w:pageBreakBefore w:val="0"/>
        <w:widowControl w:val="0"/>
        <w:kinsoku/>
        <w:wordWrap w:val="0"/>
        <w:overflowPunct/>
        <w:topLinePunct w:val="0"/>
        <w:autoSpaceDE w:val="0"/>
        <w:autoSpaceDN w:val="0"/>
        <w:bidi w:val="0"/>
        <w:adjustRightInd w:val="0"/>
        <w:spacing w:line="560" w:lineRule="exact"/>
        <w:ind w:right="0" w:rightChars="0" w:firstLine="480" w:firstLineChars="200"/>
        <w:jc w:val="left"/>
        <w:textAlignment w:val="auto"/>
        <w:rPr>
          <w:rFonts w:ascii="宋体" w:hAnsi="宋体" w:cs="仿宋"/>
          <w:color w:val="auto"/>
          <w:sz w:val="24"/>
          <w:szCs w:val="24"/>
        </w:rPr>
      </w:pPr>
      <w:r>
        <w:rPr>
          <w:rFonts w:hint="eastAsia" w:ascii="宋体" w:hAnsi="宋体" w:cs="仿宋"/>
          <w:color w:val="auto"/>
          <w:sz w:val="24"/>
          <w:szCs w:val="24"/>
        </w:rPr>
        <w:t>……</w:t>
      </w:r>
    </w:p>
    <w:p w14:paraId="28F48B0B">
      <w:pPr>
        <w:keepNext w:val="0"/>
        <w:keepLines w:val="0"/>
        <w:pageBreakBefore w:val="0"/>
        <w:widowControl w:val="0"/>
        <w:kinsoku/>
        <w:wordWrap w:val="0"/>
        <w:overflowPunct/>
        <w:topLinePunct w:val="0"/>
        <w:autoSpaceDE w:val="0"/>
        <w:autoSpaceDN w:val="0"/>
        <w:bidi w:val="0"/>
        <w:adjustRightInd w:val="0"/>
        <w:spacing w:line="560" w:lineRule="exact"/>
        <w:ind w:right="0" w:rightChars="0" w:firstLine="480" w:firstLineChars="200"/>
        <w:jc w:val="left"/>
        <w:textAlignment w:val="auto"/>
        <w:rPr>
          <w:rFonts w:ascii="宋体" w:hAnsi="宋体" w:cs="仿宋"/>
          <w:color w:val="auto"/>
          <w:sz w:val="24"/>
          <w:szCs w:val="24"/>
        </w:rPr>
      </w:pPr>
      <w:r>
        <w:rPr>
          <w:rFonts w:hint="eastAsia" w:ascii="宋体" w:hAnsi="宋体" w:cs="仿宋"/>
          <w:color w:val="auto"/>
          <w:sz w:val="24"/>
          <w:szCs w:val="24"/>
        </w:rPr>
        <w:t>以上企业，不属于大企业的分支机构，不存在控股股东为大企业的情形，也不存在与大企业的负责人为同一人的情形。</w:t>
      </w:r>
    </w:p>
    <w:p w14:paraId="612FEBE2">
      <w:pPr>
        <w:keepNext w:val="0"/>
        <w:keepLines w:val="0"/>
        <w:pageBreakBefore w:val="0"/>
        <w:widowControl w:val="0"/>
        <w:kinsoku/>
        <w:wordWrap w:val="0"/>
        <w:overflowPunct/>
        <w:topLinePunct w:val="0"/>
        <w:autoSpaceDE w:val="0"/>
        <w:autoSpaceDN w:val="0"/>
        <w:bidi w:val="0"/>
        <w:adjustRightInd w:val="0"/>
        <w:spacing w:line="560" w:lineRule="exact"/>
        <w:ind w:right="0" w:rightChars="0" w:firstLine="480" w:firstLineChars="200"/>
        <w:jc w:val="left"/>
        <w:textAlignment w:val="auto"/>
        <w:rPr>
          <w:rFonts w:ascii="宋体" w:hAnsi="宋体" w:cs="仿宋"/>
          <w:color w:val="auto"/>
          <w:sz w:val="24"/>
          <w:szCs w:val="24"/>
        </w:rPr>
      </w:pPr>
      <w:r>
        <w:rPr>
          <w:rFonts w:hint="eastAsia" w:ascii="宋体" w:hAnsi="宋体" w:cs="仿宋"/>
          <w:color w:val="auto"/>
          <w:sz w:val="24"/>
          <w:szCs w:val="24"/>
        </w:rPr>
        <w:t>本企业对上述声明内容的真实性负责。如有虚假，将依法承担相应责任。</w:t>
      </w:r>
    </w:p>
    <w:p w14:paraId="72E435B3">
      <w:pPr>
        <w:keepNext w:val="0"/>
        <w:keepLines w:val="0"/>
        <w:pageBreakBefore w:val="0"/>
        <w:widowControl w:val="0"/>
        <w:kinsoku/>
        <w:wordWrap w:val="0"/>
        <w:overflowPunct/>
        <w:topLinePunct w:val="0"/>
        <w:autoSpaceDE w:val="0"/>
        <w:autoSpaceDN w:val="0"/>
        <w:bidi w:val="0"/>
        <w:spacing w:line="560" w:lineRule="exact"/>
        <w:ind w:right="0" w:rightChars="0"/>
        <w:jc w:val="left"/>
        <w:textAlignment w:val="auto"/>
        <w:rPr>
          <w:rFonts w:ascii="宋体" w:hAnsi="宋体" w:cs="宋体"/>
          <w:color w:val="auto"/>
          <w:spacing w:val="6"/>
          <w:sz w:val="24"/>
          <w:szCs w:val="24"/>
        </w:rPr>
      </w:pPr>
    </w:p>
    <w:p w14:paraId="7C57B76E">
      <w:pPr>
        <w:keepNext w:val="0"/>
        <w:keepLines w:val="0"/>
        <w:pageBreakBefore w:val="0"/>
        <w:widowControl w:val="0"/>
        <w:kinsoku/>
        <w:wordWrap w:val="0"/>
        <w:overflowPunct/>
        <w:topLinePunct w:val="0"/>
        <w:autoSpaceDE w:val="0"/>
        <w:autoSpaceDN w:val="0"/>
        <w:bidi w:val="0"/>
        <w:snapToGrid w:val="0"/>
        <w:spacing w:line="560" w:lineRule="exact"/>
        <w:ind w:right="0" w:rightChars="0" w:firstLine="480" w:firstLineChars="200"/>
        <w:jc w:val="right"/>
        <w:textAlignment w:val="auto"/>
        <w:rPr>
          <w:rFonts w:ascii="宋体" w:hAnsi="宋体" w:cs="宋体"/>
          <w:color w:val="auto"/>
          <w:sz w:val="24"/>
          <w:szCs w:val="24"/>
        </w:rPr>
      </w:pPr>
      <w:r>
        <w:rPr>
          <w:rFonts w:hint="eastAsia" w:ascii="宋体" w:hAnsi="宋体" w:cs="宋体"/>
          <w:color w:val="auto"/>
          <w:sz w:val="24"/>
          <w:szCs w:val="24"/>
        </w:rPr>
        <w:t>供应商：</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（电子签章） </w:t>
      </w:r>
    </w:p>
    <w:p w14:paraId="4296CCCF">
      <w:pPr>
        <w:keepNext w:val="0"/>
        <w:keepLines w:val="0"/>
        <w:pageBreakBefore w:val="0"/>
        <w:widowControl w:val="0"/>
        <w:kinsoku/>
        <w:wordWrap w:val="0"/>
        <w:overflowPunct/>
        <w:topLinePunct w:val="0"/>
        <w:autoSpaceDE w:val="0"/>
        <w:autoSpaceDN w:val="0"/>
        <w:bidi w:val="0"/>
        <w:spacing w:line="560" w:lineRule="exact"/>
        <w:ind w:right="0" w:rightChars="0" w:firstLine="480" w:firstLineChars="200"/>
        <w:jc w:val="right"/>
        <w:textAlignment w:val="auto"/>
        <w:rPr>
          <w:rFonts w:ascii="宋体" w:hAnsi="宋体" w:cs="宋体"/>
          <w:color w:val="auto"/>
          <w:sz w:val="24"/>
          <w:szCs w:val="24"/>
        </w:rPr>
      </w:pPr>
      <w:r>
        <w:rPr>
          <w:rFonts w:hint="eastAsia" w:ascii="宋体" w:hAnsi="宋体" w:cs="宋体"/>
          <w:color w:val="auto"/>
          <w:sz w:val="24"/>
          <w:szCs w:val="24"/>
        </w:rPr>
        <w:t>法定代表人或委托代理人：</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（签章） </w:t>
      </w:r>
    </w:p>
    <w:p w14:paraId="5423B303">
      <w:pPr>
        <w:keepNext w:val="0"/>
        <w:keepLines w:val="0"/>
        <w:pageBreakBefore w:val="0"/>
        <w:widowControl w:val="0"/>
        <w:kinsoku/>
        <w:wordWrap w:val="0"/>
        <w:overflowPunct/>
        <w:topLinePunct w:val="0"/>
        <w:autoSpaceDE w:val="0"/>
        <w:autoSpaceDN w:val="0"/>
        <w:bidi w:val="0"/>
        <w:spacing w:line="560" w:lineRule="exact"/>
        <w:ind w:right="0" w:rightChars="0" w:firstLine="480" w:firstLineChars="200"/>
        <w:jc w:val="right"/>
        <w:textAlignment w:val="auto"/>
        <w:rPr>
          <w:rFonts w:ascii="宋体" w:hAnsi="宋体" w:cs="宋体"/>
          <w:color w:val="auto"/>
          <w:sz w:val="24"/>
          <w:szCs w:val="24"/>
        </w:rPr>
      </w:pPr>
      <w:r>
        <w:rPr>
          <w:rFonts w:hint="eastAsia" w:ascii="宋体" w:hAnsi="宋体" w:cs="宋体"/>
          <w:color w:val="auto"/>
          <w:sz w:val="24"/>
          <w:szCs w:val="24"/>
        </w:rPr>
        <w:t>日期：   年    月    日</w:t>
      </w:r>
    </w:p>
    <w:p w14:paraId="7D78E16E">
      <w:pPr>
        <w:keepNext w:val="0"/>
        <w:keepLines w:val="0"/>
        <w:pageBreakBefore w:val="0"/>
        <w:widowControl w:val="0"/>
        <w:kinsoku/>
        <w:wordWrap w:val="0"/>
        <w:overflowPunct/>
        <w:topLinePunct w:val="0"/>
        <w:autoSpaceDE w:val="0"/>
        <w:autoSpaceDN w:val="0"/>
        <w:bidi w:val="0"/>
        <w:spacing w:line="560" w:lineRule="exact"/>
        <w:ind w:right="0" w:rightChars="0" w:firstLine="506" w:firstLineChars="200"/>
        <w:jc w:val="left"/>
        <w:textAlignment w:val="auto"/>
        <w:rPr>
          <w:rFonts w:ascii="宋体" w:hAnsi="宋体" w:cs="宋体"/>
          <w:b/>
          <w:color w:val="auto"/>
          <w:spacing w:val="6"/>
          <w:sz w:val="24"/>
          <w:szCs w:val="24"/>
        </w:rPr>
      </w:pPr>
      <w:r>
        <w:rPr>
          <w:rFonts w:hint="eastAsia" w:ascii="宋体" w:hAnsi="宋体" w:cs="宋体"/>
          <w:b/>
          <w:color w:val="auto"/>
          <w:spacing w:val="6"/>
          <w:sz w:val="24"/>
          <w:szCs w:val="24"/>
        </w:rPr>
        <w:t>从业人员、营业收入、资产总额填报上一年度数据，无上一年度数据的新成立企业可不填报</w:t>
      </w:r>
    </w:p>
    <w:p w14:paraId="6E9758E1"/>
    <w:sectPr>
      <w:headerReference r:id="rId8" w:type="default"/>
      <w:footerReference r:id="rId9" w:type="default"/>
      <w:pgSz w:w="11910" w:h="16840"/>
      <w:pgMar w:top="1440" w:right="1800" w:bottom="1440" w:left="1800" w:header="0" w:footer="993" w:gutter="0"/>
      <w:pgNumType w:fmt="decimal"/>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roman"/>
    <w:pitch w:val="default"/>
    <w:sig w:usb0="00000000" w:usb1="00000000"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250738">
    <w:pPr>
      <w:pStyle w:val="8"/>
      <w:spacing w:line="14" w:lineRule="auto"/>
      <w:ind w:left="0"/>
      <w:rPr>
        <w:sz w:val="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1C835C">
    <w:pPr>
      <w:pStyle w:val="8"/>
      <w:spacing w:line="14" w:lineRule="auto"/>
      <w:ind w:left="0"/>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F12B5B">
    <w:pPr>
      <w:pStyle w:val="8"/>
      <w:spacing w:line="14" w:lineRule="auto"/>
      <w:ind w:left="0"/>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5D5BF2">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B5D5BF2">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191D60">
    <w:pPr>
      <w:pStyle w:val="8"/>
      <w:spacing w:line="14" w:lineRule="auto"/>
      <w:ind w:left="0"/>
      <w:rPr>
        <w:sz w:val="12"/>
      </w:rPr>
    </w:pPr>
    <w:r>
      <w:rPr>
        <w:sz w:val="1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1E3159">
                          <w:pPr>
                            <w:pStyle w:val="12"/>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391E3159">
                    <w:pPr>
                      <w:pStyle w:val="12"/>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059E55">
    <w:pPr>
      <w:pStyle w:val="8"/>
      <w:spacing w:line="14" w:lineRule="auto"/>
      <w:ind w:left="0"/>
      <w:rPr>
        <w:sz w:val="20"/>
      </w:rPr>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3B565D">
                          <w:pPr>
                            <w:pStyle w:val="12"/>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283B565D">
                    <w:pPr>
                      <w:pStyle w:val="12"/>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E583CA">
    <w:pPr>
      <w:pStyle w:val="8"/>
      <w:spacing w:line="14" w:lineRule="auto"/>
      <w:ind w:left="0"/>
      <w:rPr>
        <w:sz w:val="20"/>
      </w:rPr>
    </w:pPr>
    <w:r>
      <w:rPr>
        <w:sz w:val="20"/>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BB09A4">
                          <w:pPr>
                            <w:pStyle w:val="12"/>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29BB09A4">
                    <w:pPr>
                      <w:pStyle w:val="12"/>
                    </w:pPr>
                    <w:r>
                      <w:fldChar w:fldCharType="begin"/>
                    </w:r>
                    <w:r>
                      <w:instrText xml:space="preserve"> PAGE  \* MERGEFORMAT </w:instrText>
                    </w:r>
                    <w:r>
                      <w:fldChar w:fldCharType="separate"/>
                    </w:r>
                    <w:r>
                      <w:t>54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97012F">
    <w:pPr>
      <w:spacing w:line="240" w:lineRule="auto"/>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584CEA"/>
    <w:multiLevelType w:val="singleLevel"/>
    <w:tmpl w:val="83584CEA"/>
    <w:lvl w:ilvl="0" w:tentative="0">
      <w:start w:val="1"/>
      <w:numFmt w:val="decimal"/>
      <w:suff w:val="nothing"/>
      <w:lvlText w:val="%1、"/>
      <w:lvlJc w:val="left"/>
    </w:lvl>
  </w:abstractNum>
  <w:abstractNum w:abstractNumId="1">
    <w:nsid w:val="9C8AC8EF"/>
    <w:multiLevelType w:val="multilevel"/>
    <w:tmpl w:val="9C8AC8EF"/>
    <w:lvl w:ilvl="0" w:tentative="0">
      <w:start w:val="21"/>
      <w:numFmt w:val="decimal"/>
      <w:lvlText w:val="%1"/>
      <w:lvlJc w:val="left"/>
      <w:pPr>
        <w:ind w:left="320" w:hanging="540"/>
      </w:pPr>
      <w:rPr>
        <w:rFonts w:hint="default"/>
        <w:lang w:val="zh-CN" w:eastAsia="zh-CN" w:bidi="zh-CN"/>
      </w:rPr>
    </w:lvl>
    <w:lvl w:ilvl="1" w:tentative="0">
      <w:start w:val="1"/>
      <w:numFmt w:val="decimal"/>
      <w:lvlText w:val="%1.%2"/>
      <w:lvlJc w:val="left"/>
      <w:pPr>
        <w:ind w:left="320" w:hanging="540"/>
      </w:pPr>
      <w:rPr>
        <w:rFonts w:hint="default" w:ascii="宋体" w:hAnsi="宋体" w:eastAsia="宋体" w:cs="宋体"/>
        <w:w w:val="100"/>
        <w:sz w:val="24"/>
        <w:szCs w:val="24"/>
        <w:lang w:val="zh-CN" w:eastAsia="zh-CN" w:bidi="zh-CN"/>
      </w:rPr>
    </w:lvl>
    <w:lvl w:ilvl="2" w:tentative="0">
      <w:start w:val="0"/>
      <w:numFmt w:val="bullet"/>
      <w:lvlText w:val="•"/>
      <w:lvlJc w:val="left"/>
      <w:pPr>
        <w:ind w:left="2225" w:hanging="540"/>
      </w:pPr>
      <w:rPr>
        <w:rFonts w:hint="default"/>
        <w:lang w:val="zh-CN" w:eastAsia="zh-CN" w:bidi="zh-CN"/>
      </w:rPr>
    </w:lvl>
    <w:lvl w:ilvl="3" w:tentative="0">
      <w:start w:val="0"/>
      <w:numFmt w:val="bullet"/>
      <w:lvlText w:val="•"/>
      <w:lvlJc w:val="left"/>
      <w:pPr>
        <w:ind w:left="3177" w:hanging="540"/>
      </w:pPr>
      <w:rPr>
        <w:rFonts w:hint="default"/>
        <w:lang w:val="zh-CN" w:eastAsia="zh-CN" w:bidi="zh-CN"/>
      </w:rPr>
    </w:lvl>
    <w:lvl w:ilvl="4" w:tentative="0">
      <w:start w:val="0"/>
      <w:numFmt w:val="bullet"/>
      <w:lvlText w:val="•"/>
      <w:lvlJc w:val="left"/>
      <w:pPr>
        <w:ind w:left="4130" w:hanging="540"/>
      </w:pPr>
      <w:rPr>
        <w:rFonts w:hint="default"/>
        <w:lang w:val="zh-CN" w:eastAsia="zh-CN" w:bidi="zh-CN"/>
      </w:rPr>
    </w:lvl>
    <w:lvl w:ilvl="5" w:tentative="0">
      <w:start w:val="0"/>
      <w:numFmt w:val="bullet"/>
      <w:lvlText w:val="•"/>
      <w:lvlJc w:val="left"/>
      <w:pPr>
        <w:ind w:left="5083" w:hanging="540"/>
      </w:pPr>
      <w:rPr>
        <w:rFonts w:hint="default"/>
        <w:lang w:val="zh-CN" w:eastAsia="zh-CN" w:bidi="zh-CN"/>
      </w:rPr>
    </w:lvl>
    <w:lvl w:ilvl="6" w:tentative="0">
      <w:start w:val="0"/>
      <w:numFmt w:val="bullet"/>
      <w:lvlText w:val="•"/>
      <w:lvlJc w:val="left"/>
      <w:pPr>
        <w:ind w:left="6035" w:hanging="540"/>
      </w:pPr>
      <w:rPr>
        <w:rFonts w:hint="default"/>
        <w:lang w:val="zh-CN" w:eastAsia="zh-CN" w:bidi="zh-CN"/>
      </w:rPr>
    </w:lvl>
    <w:lvl w:ilvl="7" w:tentative="0">
      <w:start w:val="0"/>
      <w:numFmt w:val="bullet"/>
      <w:lvlText w:val="•"/>
      <w:lvlJc w:val="left"/>
      <w:pPr>
        <w:ind w:left="6988" w:hanging="540"/>
      </w:pPr>
      <w:rPr>
        <w:rFonts w:hint="default"/>
        <w:lang w:val="zh-CN" w:eastAsia="zh-CN" w:bidi="zh-CN"/>
      </w:rPr>
    </w:lvl>
    <w:lvl w:ilvl="8" w:tentative="0">
      <w:start w:val="0"/>
      <w:numFmt w:val="bullet"/>
      <w:lvlText w:val="•"/>
      <w:lvlJc w:val="left"/>
      <w:pPr>
        <w:ind w:left="7940" w:hanging="540"/>
      </w:pPr>
      <w:rPr>
        <w:rFonts w:hint="default"/>
        <w:lang w:val="zh-CN" w:eastAsia="zh-CN" w:bidi="zh-CN"/>
      </w:rPr>
    </w:lvl>
  </w:abstractNum>
  <w:abstractNum w:abstractNumId="2">
    <w:nsid w:val="B0F1ACD9"/>
    <w:multiLevelType w:val="multilevel"/>
    <w:tmpl w:val="B0F1ACD9"/>
    <w:lvl w:ilvl="0" w:tentative="0">
      <w:start w:val="28"/>
      <w:numFmt w:val="decimal"/>
      <w:lvlText w:val="%1"/>
      <w:lvlJc w:val="left"/>
      <w:pPr>
        <w:ind w:left="320" w:hanging="540"/>
      </w:pPr>
      <w:rPr>
        <w:rFonts w:hint="default"/>
        <w:lang w:val="zh-CN" w:eastAsia="zh-CN" w:bidi="zh-CN"/>
      </w:rPr>
    </w:lvl>
    <w:lvl w:ilvl="1" w:tentative="0">
      <w:start w:val="1"/>
      <w:numFmt w:val="decimal"/>
      <w:lvlText w:val="%1.%2"/>
      <w:lvlJc w:val="left"/>
      <w:pPr>
        <w:ind w:left="320" w:hanging="540"/>
      </w:pPr>
      <w:rPr>
        <w:rFonts w:hint="default" w:ascii="宋体" w:hAnsi="宋体" w:eastAsia="宋体" w:cs="宋体"/>
        <w:w w:val="100"/>
        <w:sz w:val="24"/>
        <w:szCs w:val="24"/>
        <w:lang w:val="zh-CN" w:eastAsia="zh-CN" w:bidi="zh-CN"/>
      </w:rPr>
    </w:lvl>
    <w:lvl w:ilvl="2" w:tentative="0">
      <w:start w:val="0"/>
      <w:numFmt w:val="bullet"/>
      <w:lvlText w:val="•"/>
      <w:lvlJc w:val="left"/>
      <w:pPr>
        <w:ind w:left="2225" w:hanging="540"/>
      </w:pPr>
      <w:rPr>
        <w:rFonts w:hint="default"/>
        <w:lang w:val="zh-CN" w:eastAsia="zh-CN" w:bidi="zh-CN"/>
      </w:rPr>
    </w:lvl>
    <w:lvl w:ilvl="3" w:tentative="0">
      <w:start w:val="0"/>
      <w:numFmt w:val="bullet"/>
      <w:lvlText w:val="•"/>
      <w:lvlJc w:val="left"/>
      <w:pPr>
        <w:ind w:left="3177" w:hanging="540"/>
      </w:pPr>
      <w:rPr>
        <w:rFonts w:hint="default"/>
        <w:lang w:val="zh-CN" w:eastAsia="zh-CN" w:bidi="zh-CN"/>
      </w:rPr>
    </w:lvl>
    <w:lvl w:ilvl="4" w:tentative="0">
      <w:start w:val="0"/>
      <w:numFmt w:val="bullet"/>
      <w:lvlText w:val="•"/>
      <w:lvlJc w:val="left"/>
      <w:pPr>
        <w:ind w:left="4130" w:hanging="540"/>
      </w:pPr>
      <w:rPr>
        <w:rFonts w:hint="default"/>
        <w:lang w:val="zh-CN" w:eastAsia="zh-CN" w:bidi="zh-CN"/>
      </w:rPr>
    </w:lvl>
    <w:lvl w:ilvl="5" w:tentative="0">
      <w:start w:val="0"/>
      <w:numFmt w:val="bullet"/>
      <w:lvlText w:val="•"/>
      <w:lvlJc w:val="left"/>
      <w:pPr>
        <w:ind w:left="5083" w:hanging="540"/>
      </w:pPr>
      <w:rPr>
        <w:rFonts w:hint="default"/>
        <w:lang w:val="zh-CN" w:eastAsia="zh-CN" w:bidi="zh-CN"/>
      </w:rPr>
    </w:lvl>
    <w:lvl w:ilvl="6" w:tentative="0">
      <w:start w:val="0"/>
      <w:numFmt w:val="bullet"/>
      <w:lvlText w:val="•"/>
      <w:lvlJc w:val="left"/>
      <w:pPr>
        <w:ind w:left="6035" w:hanging="540"/>
      </w:pPr>
      <w:rPr>
        <w:rFonts w:hint="default"/>
        <w:lang w:val="zh-CN" w:eastAsia="zh-CN" w:bidi="zh-CN"/>
      </w:rPr>
    </w:lvl>
    <w:lvl w:ilvl="7" w:tentative="0">
      <w:start w:val="0"/>
      <w:numFmt w:val="bullet"/>
      <w:lvlText w:val="•"/>
      <w:lvlJc w:val="left"/>
      <w:pPr>
        <w:ind w:left="6988" w:hanging="540"/>
      </w:pPr>
      <w:rPr>
        <w:rFonts w:hint="default"/>
        <w:lang w:val="zh-CN" w:eastAsia="zh-CN" w:bidi="zh-CN"/>
      </w:rPr>
    </w:lvl>
    <w:lvl w:ilvl="8" w:tentative="0">
      <w:start w:val="0"/>
      <w:numFmt w:val="bullet"/>
      <w:lvlText w:val="•"/>
      <w:lvlJc w:val="left"/>
      <w:pPr>
        <w:ind w:left="7940" w:hanging="540"/>
      </w:pPr>
      <w:rPr>
        <w:rFonts w:hint="default"/>
        <w:lang w:val="zh-CN" w:eastAsia="zh-CN" w:bidi="zh-CN"/>
      </w:rPr>
    </w:lvl>
  </w:abstractNum>
  <w:abstractNum w:abstractNumId="3">
    <w:nsid w:val="B78700D7"/>
    <w:multiLevelType w:val="singleLevel"/>
    <w:tmpl w:val="B78700D7"/>
    <w:lvl w:ilvl="0" w:tentative="0">
      <w:start w:val="5"/>
      <w:numFmt w:val="chineseCounting"/>
      <w:suff w:val="nothing"/>
      <w:lvlText w:val="%1、"/>
      <w:lvlJc w:val="left"/>
      <w:rPr>
        <w:rFonts w:hint="eastAsia"/>
      </w:rPr>
    </w:lvl>
  </w:abstractNum>
  <w:abstractNum w:abstractNumId="4">
    <w:nsid w:val="BE923771"/>
    <w:multiLevelType w:val="multilevel"/>
    <w:tmpl w:val="BE923771"/>
    <w:lvl w:ilvl="0" w:tentative="0">
      <w:start w:val="1"/>
      <w:numFmt w:val="decimal"/>
      <w:lvlText w:val="(%1)"/>
      <w:lvlJc w:val="left"/>
      <w:pPr>
        <w:ind w:left="1220" w:hanging="480"/>
      </w:pPr>
      <w:rPr>
        <w:rFonts w:hint="default" w:ascii="宋体" w:hAnsi="宋体" w:eastAsia="宋体" w:cs="宋体"/>
        <w:w w:val="100"/>
        <w:sz w:val="24"/>
        <w:szCs w:val="24"/>
        <w:lang w:val="zh-CN" w:eastAsia="zh-CN" w:bidi="zh-CN"/>
      </w:rPr>
    </w:lvl>
    <w:lvl w:ilvl="1" w:tentative="0">
      <w:start w:val="0"/>
      <w:numFmt w:val="bullet"/>
      <w:lvlText w:val="•"/>
      <w:lvlJc w:val="left"/>
      <w:pPr>
        <w:ind w:left="2082" w:hanging="480"/>
      </w:pPr>
      <w:rPr>
        <w:rFonts w:hint="default"/>
        <w:lang w:val="zh-CN" w:eastAsia="zh-CN" w:bidi="zh-CN"/>
      </w:rPr>
    </w:lvl>
    <w:lvl w:ilvl="2" w:tentative="0">
      <w:start w:val="0"/>
      <w:numFmt w:val="bullet"/>
      <w:lvlText w:val="•"/>
      <w:lvlJc w:val="left"/>
      <w:pPr>
        <w:ind w:left="2945" w:hanging="480"/>
      </w:pPr>
      <w:rPr>
        <w:rFonts w:hint="default"/>
        <w:lang w:val="zh-CN" w:eastAsia="zh-CN" w:bidi="zh-CN"/>
      </w:rPr>
    </w:lvl>
    <w:lvl w:ilvl="3" w:tentative="0">
      <w:start w:val="0"/>
      <w:numFmt w:val="bullet"/>
      <w:lvlText w:val="•"/>
      <w:lvlJc w:val="left"/>
      <w:pPr>
        <w:ind w:left="3807" w:hanging="480"/>
      </w:pPr>
      <w:rPr>
        <w:rFonts w:hint="default"/>
        <w:lang w:val="zh-CN" w:eastAsia="zh-CN" w:bidi="zh-CN"/>
      </w:rPr>
    </w:lvl>
    <w:lvl w:ilvl="4" w:tentative="0">
      <w:start w:val="0"/>
      <w:numFmt w:val="bullet"/>
      <w:lvlText w:val="•"/>
      <w:lvlJc w:val="left"/>
      <w:pPr>
        <w:ind w:left="4670" w:hanging="480"/>
      </w:pPr>
      <w:rPr>
        <w:rFonts w:hint="default"/>
        <w:lang w:val="zh-CN" w:eastAsia="zh-CN" w:bidi="zh-CN"/>
      </w:rPr>
    </w:lvl>
    <w:lvl w:ilvl="5" w:tentative="0">
      <w:start w:val="0"/>
      <w:numFmt w:val="bullet"/>
      <w:lvlText w:val="•"/>
      <w:lvlJc w:val="left"/>
      <w:pPr>
        <w:ind w:left="5533" w:hanging="480"/>
      </w:pPr>
      <w:rPr>
        <w:rFonts w:hint="default"/>
        <w:lang w:val="zh-CN" w:eastAsia="zh-CN" w:bidi="zh-CN"/>
      </w:rPr>
    </w:lvl>
    <w:lvl w:ilvl="6" w:tentative="0">
      <w:start w:val="0"/>
      <w:numFmt w:val="bullet"/>
      <w:lvlText w:val="•"/>
      <w:lvlJc w:val="left"/>
      <w:pPr>
        <w:ind w:left="6395" w:hanging="480"/>
      </w:pPr>
      <w:rPr>
        <w:rFonts w:hint="default"/>
        <w:lang w:val="zh-CN" w:eastAsia="zh-CN" w:bidi="zh-CN"/>
      </w:rPr>
    </w:lvl>
    <w:lvl w:ilvl="7" w:tentative="0">
      <w:start w:val="0"/>
      <w:numFmt w:val="bullet"/>
      <w:lvlText w:val="•"/>
      <w:lvlJc w:val="left"/>
      <w:pPr>
        <w:ind w:left="7258" w:hanging="480"/>
      </w:pPr>
      <w:rPr>
        <w:rFonts w:hint="default"/>
        <w:lang w:val="zh-CN" w:eastAsia="zh-CN" w:bidi="zh-CN"/>
      </w:rPr>
    </w:lvl>
    <w:lvl w:ilvl="8" w:tentative="0">
      <w:start w:val="0"/>
      <w:numFmt w:val="bullet"/>
      <w:lvlText w:val="•"/>
      <w:lvlJc w:val="left"/>
      <w:pPr>
        <w:ind w:left="8120" w:hanging="480"/>
      </w:pPr>
      <w:rPr>
        <w:rFonts w:hint="default"/>
        <w:lang w:val="zh-CN" w:eastAsia="zh-CN" w:bidi="zh-CN"/>
      </w:rPr>
    </w:lvl>
  </w:abstractNum>
  <w:abstractNum w:abstractNumId="5">
    <w:nsid w:val="DCBA6B53"/>
    <w:multiLevelType w:val="multilevel"/>
    <w:tmpl w:val="DCBA6B53"/>
    <w:lvl w:ilvl="0" w:tentative="0">
      <w:start w:val="20"/>
      <w:numFmt w:val="decimal"/>
      <w:lvlText w:val="%1"/>
      <w:lvlJc w:val="left"/>
      <w:pPr>
        <w:ind w:left="320" w:hanging="540"/>
      </w:pPr>
      <w:rPr>
        <w:rFonts w:hint="default"/>
        <w:lang w:val="zh-CN" w:eastAsia="zh-CN" w:bidi="zh-CN"/>
      </w:rPr>
    </w:lvl>
    <w:lvl w:ilvl="1" w:tentative="0">
      <w:start w:val="1"/>
      <w:numFmt w:val="decimal"/>
      <w:lvlText w:val="%1.%2"/>
      <w:lvlJc w:val="left"/>
      <w:pPr>
        <w:ind w:left="320" w:hanging="540"/>
      </w:pPr>
      <w:rPr>
        <w:rFonts w:hint="default" w:ascii="宋体" w:hAnsi="宋体" w:eastAsia="宋体" w:cs="宋体"/>
        <w:w w:val="100"/>
        <w:sz w:val="24"/>
        <w:szCs w:val="24"/>
        <w:lang w:val="zh-CN" w:eastAsia="zh-CN" w:bidi="zh-CN"/>
      </w:rPr>
    </w:lvl>
    <w:lvl w:ilvl="2" w:tentative="0">
      <w:start w:val="1"/>
      <w:numFmt w:val="decimal"/>
      <w:lvlText w:val="%1.%2.%3"/>
      <w:lvlJc w:val="left"/>
      <w:pPr>
        <w:ind w:left="320" w:hanging="780"/>
      </w:pPr>
      <w:rPr>
        <w:rFonts w:hint="default" w:ascii="宋体" w:hAnsi="宋体" w:eastAsia="宋体" w:cs="宋体"/>
        <w:w w:val="100"/>
        <w:sz w:val="24"/>
        <w:szCs w:val="24"/>
        <w:lang w:val="zh-CN" w:eastAsia="zh-CN" w:bidi="zh-CN"/>
      </w:rPr>
    </w:lvl>
    <w:lvl w:ilvl="3" w:tentative="0">
      <w:start w:val="0"/>
      <w:numFmt w:val="bullet"/>
      <w:lvlText w:val="•"/>
      <w:lvlJc w:val="left"/>
      <w:pPr>
        <w:ind w:left="3177" w:hanging="780"/>
      </w:pPr>
      <w:rPr>
        <w:rFonts w:hint="default"/>
        <w:lang w:val="zh-CN" w:eastAsia="zh-CN" w:bidi="zh-CN"/>
      </w:rPr>
    </w:lvl>
    <w:lvl w:ilvl="4" w:tentative="0">
      <w:start w:val="0"/>
      <w:numFmt w:val="bullet"/>
      <w:lvlText w:val="•"/>
      <w:lvlJc w:val="left"/>
      <w:pPr>
        <w:ind w:left="4130" w:hanging="780"/>
      </w:pPr>
      <w:rPr>
        <w:rFonts w:hint="default"/>
        <w:lang w:val="zh-CN" w:eastAsia="zh-CN" w:bidi="zh-CN"/>
      </w:rPr>
    </w:lvl>
    <w:lvl w:ilvl="5" w:tentative="0">
      <w:start w:val="0"/>
      <w:numFmt w:val="bullet"/>
      <w:lvlText w:val="•"/>
      <w:lvlJc w:val="left"/>
      <w:pPr>
        <w:ind w:left="5083" w:hanging="780"/>
      </w:pPr>
      <w:rPr>
        <w:rFonts w:hint="default"/>
        <w:lang w:val="zh-CN" w:eastAsia="zh-CN" w:bidi="zh-CN"/>
      </w:rPr>
    </w:lvl>
    <w:lvl w:ilvl="6" w:tentative="0">
      <w:start w:val="0"/>
      <w:numFmt w:val="bullet"/>
      <w:lvlText w:val="•"/>
      <w:lvlJc w:val="left"/>
      <w:pPr>
        <w:ind w:left="6035" w:hanging="780"/>
      </w:pPr>
      <w:rPr>
        <w:rFonts w:hint="default"/>
        <w:lang w:val="zh-CN" w:eastAsia="zh-CN" w:bidi="zh-CN"/>
      </w:rPr>
    </w:lvl>
    <w:lvl w:ilvl="7" w:tentative="0">
      <w:start w:val="0"/>
      <w:numFmt w:val="bullet"/>
      <w:lvlText w:val="•"/>
      <w:lvlJc w:val="left"/>
      <w:pPr>
        <w:ind w:left="6988" w:hanging="780"/>
      </w:pPr>
      <w:rPr>
        <w:rFonts w:hint="default"/>
        <w:lang w:val="zh-CN" w:eastAsia="zh-CN" w:bidi="zh-CN"/>
      </w:rPr>
    </w:lvl>
    <w:lvl w:ilvl="8" w:tentative="0">
      <w:start w:val="0"/>
      <w:numFmt w:val="bullet"/>
      <w:lvlText w:val="•"/>
      <w:lvlJc w:val="left"/>
      <w:pPr>
        <w:ind w:left="7940" w:hanging="780"/>
      </w:pPr>
      <w:rPr>
        <w:rFonts w:hint="default"/>
        <w:lang w:val="zh-CN" w:eastAsia="zh-CN" w:bidi="zh-CN"/>
      </w:rPr>
    </w:lvl>
  </w:abstractNum>
  <w:abstractNum w:abstractNumId="6">
    <w:nsid w:val="F4B5D9F5"/>
    <w:multiLevelType w:val="multilevel"/>
    <w:tmpl w:val="F4B5D9F5"/>
    <w:lvl w:ilvl="0" w:tentative="0">
      <w:start w:val="18"/>
      <w:numFmt w:val="decimal"/>
      <w:lvlText w:val="%1"/>
      <w:lvlJc w:val="left"/>
      <w:pPr>
        <w:ind w:left="1280" w:hanging="540"/>
      </w:pPr>
      <w:rPr>
        <w:rFonts w:hint="default"/>
        <w:lang w:val="zh-CN" w:eastAsia="zh-CN" w:bidi="zh-CN"/>
      </w:rPr>
    </w:lvl>
    <w:lvl w:ilvl="1" w:tentative="0">
      <w:start w:val="1"/>
      <w:numFmt w:val="decimal"/>
      <w:lvlText w:val="%1.%2"/>
      <w:lvlJc w:val="left"/>
      <w:pPr>
        <w:ind w:left="1280" w:hanging="540"/>
      </w:pPr>
      <w:rPr>
        <w:rFonts w:hint="default" w:ascii="宋体" w:hAnsi="宋体" w:eastAsia="宋体" w:cs="宋体"/>
        <w:w w:val="100"/>
        <w:sz w:val="24"/>
        <w:szCs w:val="24"/>
        <w:lang w:val="zh-CN" w:eastAsia="zh-CN" w:bidi="zh-CN"/>
      </w:rPr>
    </w:lvl>
    <w:lvl w:ilvl="2" w:tentative="0">
      <w:start w:val="0"/>
      <w:numFmt w:val="bullet"/>
      <w:lvlText w:val="•"/>
      <w:lvlJc w:val="left"/>
      <w:pPr>
        <w:ind w:left="2231" w:hanging="540"/>
      </w:pPr>
      <w:rPr>
        <w:rFonts w:hint="default"/>
        <w:lang w:val="zh-CN" w:eastAsia="zh-CN" w:bidi="zh-CN"/>
      </w:rPr>
    </w:lvl>
    <w:lvl w:ilvl="3" w:tentative="0">
      <w:start w:val="0"/>
      <w:numFmt w:val="bullet"/>
      <w:lvlText w:val="•"/>
      <w:lvlJc w:val="left"/>
      <w:pPr>
        <w:ind w:left="3183" w:hanging="540"/>
      </w:pPr>
      <w:rPr>
        <w:rFonts w:hint="default"/>
        <w:lang w:val="zh-CN" w:eastAsia="zh-CN" w:bidi="zh-CN"/>
      </w:rPr>
    </w:lvl>
    <w:lvl w:ilvl="4" w:tentative="0">
      <w:start w:val="0"/>
      <w:numFmt w:val="bullet"/>
      <w:lvlText w:val="•"/>
      <w:lvlJc w:val="left"/>
      <w:pPr>
        <w:ind w:left="4135" w:hanging="540"/>
      </w:pPr>
      <w:rPr>
        <w:rFonts w:hint="default"/>
        <w:lang w:val="zh-CN" w:eastAsia="zh-CN" w:bidi="zh-CN"/>
      </w:rPr>
    </w:lvl>
    <w:lvl w:ilvl="5" w:tentative="0">
      <w:start w:val="0"/>
      <w:numFmt w:val="bullet"/>
      <w:lvlText w:val="•"/>
      <w:lvlJc w:val="left"/>
      <w:pPr>
        <w:ind w:left="5087" w:hanging="540"/>
      </w:pPr>
      <w:rPr>
        <w:rFonts w:hint="default"/>
        <w:lang w:val="zh-CN" w:eastAsia="zh-CN" w:bidi="zh-CN"/>
      </w:rPr>
    </w:lvl>
    <w:lvl w:ilvl="6" w:tentative="0">
      <w:start w:val="0"/>
      <w:numFmt w:val="bullet"/>
      <w:lvlText w:val="•"/>
      <w:lvlJc w:val="left"/>
      <w:pPr>
        <w:ind w:left="6038" w:hanging="540"/>
      </w:pPr>
      <w:rPr>
        <w:rFonts w:hint="default"/>
        <w:lang w:val="zh-CN" w:eastAsia="zh-CN" w:bidi="zh-CN"/>
      </w:rPr>
    </w:lvl>
    <w:lvl w:ilvl="7" w:tentative="0">
      <w:start w:val="0"/>
      <w:numFmt w:val="bullet"/>
      <w:lvlText w:val="•"/>
      <w:lvlJc w:val="left"/>
      <w:pPr>
        <w:ind w:left="6990" w:hanging="540"/>
      </w:pPr>
      <w:rPr>
        <w:rFonts w:hint="default"/>
        <w:lang w:val="zh-CN" w:eastAsia="zh-CN" w:bidi="zh-CN"/>
      </w:rPr>
    </w:lvl>
    <w:lvl w:ilvl="8" w:tentative="0">
      <w:start w:val="0"/>
      <w:numFmt w:val="bullet"/>
      <w:lvlText w:val="•"/>
      <w:lvlJc w:val="left"/>
      <w:pPr>
        <w:ind w:left="7942" w:hanging="540"/>
      </w:pPr>
      <w:rPr>
        <w:rFonts w:hint="default"/>
        <w:lang w:val="zh-CN" w:eastAsia="zh-CN" w:bidi="zh-CN"/>
      </w:rPr>
    </w:lvl>
  </w:abstractNum>
  <w:abstractNum w:abstractNumId="7">
    <w:nsid w:val="F572E1FF"/>
    <w:multiLevelType w:val="singleLevel"/>
    <w:tmpl w:val="F572E1FF"/>
    <w:lvl w:ilvl="0" w:tentative="0">
      <w:start w:val="1"/>
      <w:numFmt w:val="decimal"/>
      <w:suff w:val="nothing"/>
      <w:lvlText w:val="%1、"/>
      <w:lvlJc w:val="left"/>
    </w:lvl>
  </w:abstractNum>
  <w:abstractNum w:abstractNumId="8">
    <w:nsid w:val="FDE3F33A"/>
    <w:multiLevelType w:val="singleLevel"/>
    <w:tmpl w:val="FDE3F33A"/>
    <w:lvl w:ilvl="0" w:tentative="0">
      <w:start w:val="9"/>
      <w:numFmt w:val="chineseCounting"/>
      <w:suff w:val="nothing"/>
      <w:lvlText w:val="%1、"/>
      <w:lvlJc w:val="left"/>
      <w:rPr>
        <w:rFonts w:hint="eastAsia"/>
      </w:rPr>
    </w:lvl>
  </w:abstractNum>
  <w:abstractNum w:abstractNumId="9">
    <w:nsid w:val="0E640482"/>
    <w:multiLevelType w:val="multilevel"/>
    <w:tmpl w:val="0E640482"/>
    <w:lvl w:ilvl="0" w:tentative="0">
      <w:start w:val="25"/>
      <w:numFmt w:val="decimal"/>
      <w:lvlText w:val="%1"/>
      <w:lvlJc w:val="left"/>
      <w:pPr>
        <w:ind w:left="1280" w:hanging="540"/>
      </w:pPr>
      <w:rPr>
        <w:rFonts w:hint="default"/>
        <w:lang w:val="zh-CN" w:eastAsia="zh-CN" w:bidi="zh-CN"/>
      </w:rPr>
    </w:lvl>
    <w:lvl w:ilvl="1" w:tentative="0">
      <w:start w:val="1"/>
      <w:numFmt w:val="decimal"/>
      <w:lvlText w:val="%1.%2"/>
      <w:lvlJc w:val="left"/>
      <w:pPr>
        <w:ind w:left="1280" w:hanging="540"/>
      </w:pPr>
      <w:rPr>
        <w:rFonts w:hint="default" w:ascii="宋体" w:hAnsi="宋体" w:eastAsia="宋体" w:cs="宋体"/>
        <w:w w:val="100"/>
        <w:sz w:val="24"/>
        <w:szCs w:val="24"/>
        <w:lang w:val="zh-CN" w:eastAsia="zh-CN" w:bidi="zh-CN"/>
      </w:rPr>
    </w:lvl>
    <w:lvl w:ilvl="2" w:tentative="0">
      <w:start w:val="0"/>
      <w:numFmt w:val="bullet"/>
      <w:lvlText w:val="•"/>
      <w:lvlJc w:val="left"/>
      <w:pPr>
        <w:ind w:left="2993" w:hanging="540"/>
      </w:pPr>
      <w:rPr>
        <w:rFonts w:hint="default"/>
        <w:lang w:val="zh-CN" w:eastAsia="zh-CN" w:bidi="zh-CN"/>
      </w:rPr>
    </w:lvl>
    <w:lvl w:ilvl="3" w:tentative="0">
      <w:start w:val="0"/>
      <w:numFmt w:val="bullet"/>
      <w:lvlText w:val="•"/>
      <w:lvlJc w:val="left"/>
      <w:pPr>
        <w:ind w:left="3849" w:hanging="540"/>
      </w:pPr>
      <w:rPr>
        <w:rFonts w:hint="default"/>
        <w:lang w:val="zh-CN" w:eastAsia="zh-CN" w:bidi="zh-CN"/>
      </w:rPr>
    </w:lvl>
    <w:lvl w:ilvl="4" w:tentative="0">
      <w:start w:val="0"/>
      <w:numFmt w:val="bullet"/>
      <w:lvlText w:val="•"/>
      <w:lvlJc w:val="left"/>
      <w:pPr>
        <w:ind w:left="4706" w:hanging="540"/>
      </w:pPr>
      <w:rPr>
        <w:rFonts w:hint="default"/>
        <w:lang w:val="zh-CN" w:eastAsia="zh-CN" w:bidi="zh-CN"/>
      </w:rPr>
    </w:lvl>
    <w:lvl w:ilvl="5" w:tentative="0">
      <w:start w:val="0"/>
      <w:numFmt w:val="bullet"/>
      <w:lvlText w:val="•"/>
      <w:lvlJc w:val="left"/>
      <w:pPr>
        <w:ind w:left="5563" w:hanging="540"/>
      </w:pPr>
      <w:rPr>
        <w:rFonts w:hint="default"/>
        <w:lang w:val="zh-CN" w:eastAsia="zh-CN" w:bidi="zh-CN"/>
      </w:rPr>
    </w:lvl>
    <w:lvl w:ilvl="6" w:tentative="0">
      <w:start w:val="0"/>
      <w:numFmt w:val="bullet"/>
      <w:lvlText w:val="•"/>
      <w:lvlJc w:val="left"/>
      <w:pPr>
        <w:ind w:left="6419" w:hanging="540"/>
      </w:pPr>
      <w:rPr>
        <w:rFonts w:hint="default"/>
        <w:lang w:val="zh-CN" w:eastAsia="zh-CN" w:bidi="zh-CN"/>
      </w:rPr>
    </w:lvl>
    <w:lvl w:ilvl="7" w:tentative="0">
      <w:start w:val="0"/>
      <w:numFmt w:val="bullet"/>
      <w:lvlText w:val="•"/>
      <w:lvlJc w:val="left"/>
      <w:pPr>
        <w:ind w:left="7276" w:hanging="540"/>
      </w:pPr>
      <w:rPr>
        <w:rFonts w:hint="default"/>
        <w:lang w:val="zh-CN" w:eastAsia="zh-CN" w:bidi="zh-CN"/>
      </w:rPr>
    </w:lvl>
    <w:lvl w:ilvl="8" w:tentative="0">
      <w:start w:val="0"/>
      <w:numFmt w:val="bullet"/>
      <w:lvlText w:val="•"/>
      <w:lvlJc w:val="left"/>
      <w:pPr>
        <w:ind w:left="8132" w:hanging="540"/>
      </w:pPr>
      <w:rPr>
        <w:rFonts w:hint="default"/>
        <w:lang w:val="zh-CN" w:eastAsia="zh-CN" w:bidi="zh-CN"/>
      </w:rPr>
    </w:lvl>
  </w:abstractNum>
  <w:abstractNum w:abstractNumId="10">
    <w:nsid w:val="2470EC97"/>
    <w:multiLevelType w:val="multilevel"/>
    <w:tmpl w:val="2470EC97"/>
    <w:lvl w:ilvl="0" w:tentative="0">
      <w:start w:val="19"/>
      <w:numFmt w:val="decimal"/>
      <w:lvlText w:val="%1"/>
      <w:lvlJc w:val="left"/>
      <w:pPr>
        <w:ind w:left="320" w:hanging="540"/>
      </w:pPr>
      <w:rPr>
        <w:rFonts w:hint="default"/>
        <w:lang w:val="zh-CN" w:eastAsia="zh-CN" w:bidi="zh-CN"/>
      </w:rPr>
    </w:lvl>
    <w:lvl w:ilvl="1" w:tentative="0">
      <w:start w:val="1"/>
      <w:numFmt w:val="decimal"/>
      <w:lvlText w:val="%1.%2"/>
      <w:lvlJc w:val="left"/>
      <w:pPr>
        <w:ind w:left="320" w:hanging="540"/>
      </w:pPr>
      <w:rPr>
        <w:rFonts w:hint="default" w:ascii="宋体" w:hAnsi="宋体" w:eastAsia="宋体" w:cs="宋体"/>
        <w:w w:val="100"/>
        <w:sz w:val="24"/>
        <w:szCs w:val="24"/>
        <w:lang w:val="zh-CN" w:eastAsia="zh-CN" w:bidi="zh-CN"/>
      </w:rPr>
    </w:lvl>
    <w:lvl w:ilvl="2" w:tentative="0">
      <w:start w:val="0"/>
      <w:numFmt w:val="bullet"/>
      <w:lvlText w:val="•"/>
      <w:lvlJc w:val="left"/>
      <w:pPr>
        <w:ind w:left="2225" w:hanging="540"/>
      </w:pPr>
      <w:rPr>
        <w:rFonts w:hint="default"/>
        <w:lang w:val="zh-CN" w:eastAsia="zh-CN" w:bidi="zh-CN"/>
      </w:rPr>
    </w:lvl>
    <w:lvl w:ilvl="3" w:tentative="0">
      <w:start w:val="0"/>
      <w:numFmt w:val="bullet"/>
      <w:lvlText w:val="•"/>
      <w:lvlJc w:val="left"/>
      <w:pPr>
        <w:ind w:left="3177" w:hanging="540"/>
      </w:pPr>
      <w:rPr>
        <w:rFonts w:hint="default"/>
        <w:lang w:val="zh-CN" w:eastAsia="zh-CN" w:bidi="zh-CN"/>
      </w:rPr>
    </w:lvl>
    <w:lvl w:ilvl="4" w:tentative="0">
      <w:start w:val="0"/>
      <w:numFmt w:val="bullet"/>
      <w:lvlText w:val="•"/>
      <w:lvlJc w:val="left"/>
      <w:pPr>
        <w:ind w:left="4130" w:hanging="540"/>
      </w:pPr>
      <w:rPr>
        <w:rFonts w:hint="default"/>
        <w:lang w:val="zh-CN" w:eastAsia="zh-CN" w:bidi="zh-CN"/>
      </w:rPr>
    </w:lvl>
    <w:lvl w:ilvl="5" w:tentative="0">
      <w:start w:val="0"/>
      <w:numFmt w:val="bullet"/>
      <w:lvlText w:val="•"/>
      <w:lvlJc w:val="left"/>
      <w:pPr>
        <w:ind w:left="5083" w:hanging="540"/>
      </w:pPr>
      <w:rPr>
        <w:rFonts w:hint="default"/>
        <w:lang w:val="zh-CN" w:eastAsia="zh-CN" w:bidi="zh-CN"/>
      </w:rPr>
    </w:lvl>
    <w:lvl w:ilvl="6" w:tentative="0">
      <w:start w:val="0"/>
      <w:numFmt w:val="bullet"/>
      <w:lvlText w:val="•"/>
      <w:lvlJc w:val="left"/>
      <w:pPr>
        <w:ind w:left="6035" w:hanging="540"/>
      </w:pPr>
      <w:rPr>
        <w:rFonts w:hint="default"/>
        <w:lang w:val="zh-CN" w:eastAsia="zh-CN" w:bidi="zh-CN"/>
      </w:rPr>
    </w:lvl>
    <w:lvl w:ilvl="7" w:tentative="0">
      <w:start w:val="0"/>
      <w:numFmt w:val="bullet"/>
      <w:lvlText w:val="•"/>
      <w:lvlJc w:val="left"/>
      <w:pPr>
        <w:ind w:left="6988" w:hanging="540"/>
      </w:pPr>
      <w:rPr>
        <w:rFonts w:hint="default"/>
        <w:lang w:val="zh-CN" w:eastAsia="zh-CN" w:bidi="zh-CN"/>
      </w:rPr>
    </w:lvl>
    <w:lvl w:ilvl="8" w:tentative="0">
      <w:start w:val="0"/>
      <w:numFmt w:val="bullet"/>
      <w:lvlText w:val="•"/>
      <w:lvlJc w:val="left"/>
      <w:pPr>
        <w:ind w:left="7940" w:hanging="540"/>
      </w:pPr>
      <w:rPr>
        <w:rFonts w:hint="default"/>
        <w:lang w:val="zh-CN" w:eastAsia="zh-CN" w:bidi="zh-CN"/>
      </w:rPr>
    </w:lvl>
  </w:abstractNum>
  <w:abstractNum w:abstractNumId="11">
    <w:nsid w:val="25B654F3"/>
    <w:multiLevelType w:val="multilevel"/>
    <w:tmpl w:val="25B654F3"/>
    <w:lvl w:ilvl="0" w:tentative="0">
      <w:start w:val="5"/>
      <w:numFmt w:val="decimal"/>
      <w:lvlText w:val="%1"/>
      <w:lvlJc w:val="left"/>
      <w:pPr>
        <w:ind w:left="320" w:hanging="420"/>
      </w:pPr>
      <w:rPr>
        <w:rFonts w:hint="default"/>
        <w:lang w:val="zh-CN" w:eastAsia="zh-CN" w:bidi="zh-CN"/>
      </w:rPr>
    </w:lvl>
    <w:lvl w:ilvl="1" w:tentative="0">
      <w:start w:val="1"/>
      <w:numFmt w:val="decimal"/>
      <w:lvlText w:val="%1.%2"/>
      <w:lvlJc w:val="left"/>
      <w:pPr>
        <w:ind w:left="320" w:hanging="420"/>
      </w:pPr>
      <w:rPr>
        <w:rFonts w:hint="default" w:ascii="宋体" w:hAnsi="宋体" w:eastAsia="宋体" w:cs="宋体"/>
        <w:w w:val="100"/>
        <w:sz w:val="24"/>
        <w:szCs w:val="24"/>
        <w:lang w:val="zh-CN" w:eastAsia="zh-CN" w:bidi="zh-CN"/>
      </w:rPr>
    </w:lvl>
    <w:lvl w:ilvl="2" w:tentative="0">
      <w:start w:val="0"/>
      <w:numFmt w:val="bullet"/>
      <w:lvlText w:val="•"/>
      <w:lvlJc w:val="left"/>
      <w:pPr>
        <w:ind w:left="2225" w:hanging="420"/>
      </w:pPr>
      <w:rPr>
        <w:rFonts w:hint="default"/>
        <w:lang w:val="zh-CN" w:eastAsia="zh-CN" w:bidi="zh-CN"/>
      </w:rPr>
    </w:lvl>
    <w:lvl w:ilvl="3" w:tentative="0">
      <w:start w:val="0"/>
      <w:numFmt w:val="bullet"/>
      <w:lvlText w:val="•"/>
      <w:lvlJc w:val="left"/>
      <w:pPr>
        <w:ind w:left="3177" w:hanging="420"/>
      </w:pPr>
      <w:rPr>
        <w:rFonts w:hint="default"/>
        <w:lang w:val="zh-CN" w:eastAsia="zh-CN" w:bidi="zh-CN"/>
      </w:rPr>
    </w:lvl>
    <w:lvl w:ilvl="4" w:tentative="0">
      <w:start w:val="0"/>
      <w:numFmt w:val="bullet"/>
      <w:lvlText w:val="•"/>
      <w:lvlJc w:val="left"/>
      <w:pPr>
        <w:ind w:left="4130" w:hanging="420"/>
      </w:pPr>
      <w:rPr>
        <w:rFonts w:hint="default"/>
        <w:lang w:val="zh-CN" w:eastAsia="zh-CN" w:bidi="zh-CN"/>
      </w:rPr>
    </w:lvl>
    <w:lvl w:ilvl="5" w:tentative="0">
      <w:start w:val="0"/>
      <w:numFmt w:val="bullet"/>
      <w:lvlText w:val="•"/>
      <w:lvlJc w:val="left"/>
      <w:pPr>
        <w:ind w:left="5083" w:hanging="420"/>
      </w:pPr>
      <w:rPr>
        <w:rFonts w:hint="default"/>
        <w:lang w:val="zh-CN" w:eastAsia="zh-CN" w:bidi="zh-CN"/>
      </w:rPr>
    </w:lvl>
    <w:lvl w:ilvl="6" w:tentative="0">
      <w:start w:val="0"/>
      <w:numFmt w:val="bullet"/>
      <w:lvlText w:val="•"/>
      <w:lvlJc w:val="left"/>
      <w:pPr>
        <w:ind w:left="6035" w:hanging="420"/>
      </w:pPr>
      <w:rPr>
        <w:rFonts w:hint="default"/>
        <w:lang w:val="zh-CN" w:eastAsia="zh-CN" w:bidi="zh-CN"/>
      </w:rPr>
    </w:lvl>
    <w:lvl w:ilvl="7" w:tentative="0">
      <w:start w:val="0"/>
      <w:numFmt w:val="bullet"/>
      <w:lvlText w:val="•"/>
      <w:lvlJc w:val="left"/>
      <w:pPr>
        <w:ind w:left="6988" w:hanging="420"/>
      </w:pPr>
      <w:rPr>
        <w:rFonts w:hint="default"/>
        <w:lang w:val="zh-CN" w:eastAsia="zh-CN" w:bidi="zh-CN"/>
      </w:rPr>
    </w:lvl>
    <w:lvl w:ilvl="8" w:tentative="0">
      <w:start w:val="0"/>
      <w:numFmt w:val="bullet"/>
      <w:lvlText w:val="•"/>
      <w:lvlJc w:val="left"/>
      <w:pPr>
        <w:ind w:left="7940" w:hanging="420"/>
      </w:pPr>
      <w:rPr>
        <w:rFonts w:hint="default"/>
        <w:lang w:val="zh-CN" w:eastAsia="zh-CN" w:bidi="zh-CN"/>
      </w:rPr>
    </w:lvl>
  </w:abstractNum>
  <w:abstractNum w:abstractNumId="12">
    <w:nsid w:val="4C1BAE26"/>
    <w:multiLevelType w:val="multilevel"/>
    <w:tmpl w:val="4C1BAE26"/>
    <w:lvl w:ilvl="0" w:tentative="0">
      <w:start w:val="22"/>
      <w:numFmt w:val="decimal"/>
      <w:lvlText w:val="%1"/>
      <w:lvlJc w:val="left"/>
      <w:pPr>
        <w:ind w:left="320" w:hanging="540"/>
      </w:pPr>
      <w:rPr>
        <w:rFonts w:hint="default"/>
        <w:lang w:val="zh-CN" w:eastAsia="zh-CN" w:bidi="zh-CN"/>
      </w:rPr>
    </w:lvl>
    <w:lvl w:ilvl="1" w:tentative="0">
      <w:start w:val="1"/>
      <w:numFmt w:val="decimal"/>
      <w:lvlText w:val="%1.%2"/>
      <w:lvlJc w:val="left"/>
      <w:pPr>
        <w:ind w:left="320" w:hanging="540"/>
      </w:pPr>
      <w:rPr>
        <w:rFonts w:hint="default" w:ascii="宋体" w:hAnsi="宋体" w:eastAsia="宋体" w:cs="宋体"/>
        <w:w w:val="100"/>
        <w:sz w:val="24"/>
        <w:szCs w:val="24"/>
        <w:lang w:val="zh-CN" w:eastAsia="zh-CN" w:bidi="zh-CN"/>
      </w:rPr>
    </w:lvl>
    <w:lvl w:ilvl="2" w:tentative="0">
      <w:start w:val="0"/>
      <w:numFmt w:val="bullet"/>
      <w:lvlText w:val="•"/>
      <w:lvlJc w:val="left"/>
      <w:pPr>
        <w:ind w:left="2225" w:hanging="540"/>
      </w:pPr>
      <w:rPr>
        <w:rFonts w:hint="default"/>
        <w:lang w:val="zh-CN" w:eastAsia="zh-CN" w:bidi="zh-CN"/>
      </w:rPr>
    </w:lvl>
    <w:lvl w:ilvl="3" w:tentative="0">
      <w:start w:val="0"/>
      <w:numFmt w:val="bullet"/>
      <w:lvlText w:val="•"/>
      <w:lvlJc w:val="left"/>
      <w:pPr>
        <w:ind w:left="3177" w:hanging="540"/>
      </w:pPr>
      <w:rPr>
        <w:rFonts w:hint="default"/>
        <w:lang w:val="zh-CN" w:eastAsia="zh-CN" w:bidi="zh-CN"/>
      </w:rPr>
    </w:lvl>
    <w:lvl w:ilvl="4" w:tentative="0">
      <w:start w:val="0"/>
      <w:numFmt w:val="bullet"/>
      <w:lvlText w:val="•"/>
      <w:lvlJc w:val="left"/>
      <w:pPr>
        <w:ind w:left="4130" w:hanging="540"/>
      </w:pPr>
      <w:rPr>
        <w:rFonts w:hint="default"/>
        <w:lang w:val="zh-CN" w:eastAsia="zh-CN" w:bidi="zh-CN"/>
      </w:rPr>
    </w:lvl>
    <w:lvl w:ilvl="5" w:tentative="0">
      <w:start w:val="0"/>
      <w:numFmt w:val="bullet"/>
      <w:lvlText w:val="•"/>
      <w:lvlJc w:val="left"/>
      <w:pPr>
        <w:ind w:left="5083" w:hanging="540"/>
      </w:pPr>
      <w:rPr>
        <w:rFonts w:hint="default"/>
        <w:lang w:val="zh-CN" w:eastAsia="zh-CN" w:bidi="zh-CN"/>
      </w:rPr>
    </w:lvl>
    <w:lvl w:ilvl="6" w:tentative="0">
      <w:start w:val="0"/>
      <w:numFmt w:val="bullet"/>
      <w:lvlText w:val="•"/>
      <w:lvlJc w:val="left"/>
      <w:pPr>
        <w:ind w:left="6035" w:hanging="540"/>
      </w:pPr>
      <w:rPr>
        <w:rFonts w:hint="default"/>
        <w:lang w:val="zh-CN" w:eastAsia="zh-CN" w:bidi="zh-CN"/>
      </w:rPr>
    </w:lvl>
    <w:lvl w:ilvl="7" w:tentative="0">
      <w:start w:val="0"/>
      <w:numFmt w:val="bullet"/>
      <w:lvlText w:val="•"/>
      <w:lvlJc w:val="left"/>
      <w:pPr>
        <w:ind w:left="6988" w:hanging="540"/>
      </w:pPr>
      <w:rPr>
        <w:rFonts w:hint="default"/>
        <w:lang w:val="zh-CN" w:eastAsia="zh-CN" w:bidi="zh-CN"/>
      </w:rPr>
    </w:lvl>
    <w:lvl w:ilvl="8" w:tentative="0">
      <w:start w:val="0"/>
      <w:numFmt w:val="bullet"/>
      <w:lvlText w:val="•"/>
      <w:lvlJc w:val="left"/>
      <w:pPr>
        <w:ind w:left="7940" w:hanging="540"/>
      </w:pPr>
      <w:rPr>
        <w:rFonts w:hint="default"/>
        <w:lang w:val="zh-CN" w:eastAsia="zh-CN" w:bidi="zh-CN"/>
      </w:rPr>
    </w:lvl>
  </w:abstractNum>
  <w:abstractNum w:abstractNumId="13">
    <w:nsid w:val="4D4DC07F"/>
    <w:multiLevelType w:val="multilevel"/>
    <w:tmpl w:val="4D4DC07F"/>
    <w:lvl w:ilvl="0" w:tentative="0">
      <w:start w:val="17"/>
      <w:numFmt w:val="decimal"/>
      <w:lvlText w:val="%1"/>
      <w:lvlJc w:val="left"/>
      <w:pPr>
        <w:ind w:left="320" w:hanging="540"/>
      </w:pPr>
      <w:rPr>
        <w:rFonts w:hint="default"/>
        <w:lang w:val="zh-CN" w:eastAsia="zh-CN" w:bidi="zh-CN"/>
      </w:rPr>
    </w:lvl>
    <w:lvl w:ilvl="1" w:tentative="0">
      <w:start w:val="1"/>
      <w:numFmt w:val="decimal"/>
      <w:lvlText w:val="%1.%2"/>
      <w:lvlJc w:val="left"/>
      <w:pPr>
        <w:ind w:left="320" w:hanging="540"/>
      </w:pPr>
      <w:rPr>
        <w:rFonts w:hint="default" w:ascii="宋体" w:hAnsi="宋体" w:eastAsia="宋体" w:cs="宋体"/>
        <w:w w:val="100"/>
        <w:sz w:val="24"/>
        <w:szCs w:val="24"/>
        <w:lang w:val="zh-CN" w:eastAsia="zh-CN" w:bidi="zh-CN"/>
      </w:rPr>
    </w:lvl>
    <w:lvl w:ilvl="2" w:tentative="0">
      <w:start w:val="0"/>
      <w:numFmt w:val="bullet"/>
      <w:lvlText w:val="•"/>
      <w:lvlJc w:val="left"/>
      <w:pPr>
        <w:ind w:left="2225" w:hanging="540"/>
      </w:pPr>
      <w:rPr>
        <w:rFonts w:hint="default"/>
        <w:lang w:val="zh-CN" w:eastAsia="zh-CN" w:bidi="zh-CN"/>
      </w:rPr>
    </w:lvl>
    <w:lvl w:ilvl="3" w:tentative="0">
      <w:start w:val="0"/>
      <w:numFmt w:val="bullet"/>
      <w:lvlText w:val="•"/>
      <w:lvlJc w:val="left"/>
      <w:pPr>
        <w:ind w:left="3177" w:hanging="540"/>
      </w:pPr>
      <w:rPr>
        <w:rFonts w:hint="default"/>
        <w:lang w:val="zh-CN" w:eastAsia="zh-CN" w:bidi="zh-CN"/>
      </w:rPr>
    </w:lvl>
    <w:lvl w:ilvl="4" w:tentative="0">
      <w:start w:val="0"/>
      <w:numFmt w:val="bullet"/>
      <w:lvlText w:val="•"/>
      <w:lvlJc w:val="left"/>
      <w:pPr>
        <w:ind w:left="4130" w:hanging="540"/>
      </w:pPr>
      <w:rPr>
        <w:rFonts w:hint="default"/>
        <w:lang w:val="zh-CN" w:eastAsia="zh-CN" w:bidi="zh-CN"/>
      </w:rPr>
    </w:lvl>
    <w:lvl w:ilvl="5" w:tentative="0">
      <w:start w:val="0"/>
      <w:numFmt w:val="bullet"/>
      <w:lvlText w:val="•"/>
      <w:lvlJc w:val="left"/>
      <w:pPr>
        <w:ind w:left="5083" w:hanging="540"/>
      </w:pPr>
      <w:rPr>
        <w:rFonts w:hint="default"/>
        <w:lang w:val="zh-CN" w:eastAsia="zh-CN" w:bidi="zh-CN"/>
      </w:rPr>
    </w:lvl>
    <w:lvl w:ilvl="6" w:tentative="0">
      <w:start w:val="0"/>
      <w:numFmt w:val="bullet"/>
      <w:lvlText w:val="•"/>
      <w:lvlJc w:val="left"/>
      <w:pPr>
        <w:ind w:left="6035" w:hanging="540"/>
      </w:pPr>
      <w:rPr>
        <w:rFonts w:hint="default"/>
        <w:lang w:val="zh-CN" w:eastAsia="zh-CN" w:bidi="zh-CN"/>
      </w:rPr>
    </w:lvl>
    <w:lvl w:ilvl="7" w:tentative="0">
      <w:start w:val="0"/>
      <w:numFmt w:val="bullet"/>
      <w:lvlText w:val="•"/>
      <w:lvlJc w:val="left"/>
      <w:pPr>
        <w:ind w:left="6988" w:hanging="540"/>
      </w:pPr>
      <w:rPr>
        <w:rFonts w:hint="default"/>
        <w:lang w:val="zh-CN" w:eastAsia="zh-CN" w:bidi="zh-CN"/>
      </w:rPr>
    </w:lvl>
    <w:lvl w:ilvl="8" w:tentative="0">
      <w:start w:val="0"/>
      <w:numFmt w:val="bullet"/>
      <w:lvlText w:val="•"/>
      <w:lvlJc w:val="left"/>
      <w:pPr>
        <w:ind w:left="7940" w:hanging="540"/>
      </w:pPr>
      <w:rPr>
        <w:rFonts w:hint="default"/>
        <w:lang w:val="zh-CN" w:eastAsia="zh-CN" w:bidi="zh-CN"/>
      </w:rPr>
    </w:lvl>
  </w:abstractNum>
  <w:abstractNum w:abstractNumId="14">
    <w:nsid w:val="60382F6E"/>
    <w:multiLevelType w:val="multilevel"/>
    <w:tmpl w:val="60382F6E"/>
    <w:lvl w:ilvl="0" w:tentative="0">
      <w:start w:val="23"/>
      <w:numFmt w:val="decimal"/>
      <w:lvlText w:val="%1"/>
      <w:lvlJc w:val="left"/>
      <w:pPr>
        <w:ind w:left="1280" w:hanging="540"/>
      </w:pPr>
      <w:rPr>
        <w:rFonts w:hint="default"/>
        <w:lang w:val="zh-CN" w:eastAsia="zh-CN" w:bidi="zh-CN"/>
      </w:rPr>
    </w:lvl>
    <w:lvl w:ilvl="1" w:tentative="0">
      <w:start w:val="1"/>
      <w:numFmt w:val="decimal"/>
      <w:lvlText w:val="%1.%2"/>
      <w:lvlJc w:val="left"/>
      <w:pPr>
        <w:ind w:left="1280" w:hanging="540"/>
      </w:pPr>
      <w:rPr>
        <w:rFonts w:hint="default" w:ascii="宋体" w:hAnsi="宋体" w:eastAsia="宋体" w:cs="宋体"/>
        <w:w w:val="100"/>
        <w:sz w:val="24"/>
        <w:szCs w:val="24"/>
        <w:lang w:val="zh-CN" w:eastAsia="zh-CN" w:bidi="zh-CN"/>
      </w:rPr>
    </w:lvl>
    <w:lvl w:ilvl="2" w:tentative="0">
      <w:start w:val="1"/>
      <w:numFmt w:val="decimal"/>
      <w:lvlText w:val="%1.%2.%3"/>
      <w:lvlJc w:val="left"/>
      <w:pPr>
        <w:ind w:left="1520" w:hanging="780"/>
      </w:pPr>
      <w:rPr>
        <w:rFonts w:hint="default" w:ascii="宋体" w:hAnsi="宋体" w:eastAsia="宋体" w:cs="宋体"/>
        <w:w w:val="100"/>
        <w:sz w:val="24"/>
        <w:szCs w:val="24"/>
        <w:lang w:val="zh-CN" w:eastAsia="zh-CN" w:bidi="zh-CN"/>
      </w:rPr>
    </w:lvl>
    <w:lvl w:ilvl="3" w:tentative="0">
      <w:start w:val="0"/>
      <w:numFmt w:val="bullet"/>
      <w:lvlText w:val="•"/>
      <w:lvlJc w:val="left"/>
      <w:pPr>
        <w:ind w:left="3370" w:hanging="780"/>
      </w:pPr>
      <w:rPr>
        <w:rFonts w:hint="default"/>
        <w:lang w:val="zh-CN" w:eastAsia="zh-CN" w:bidi="zh-CN"/>
      </w:rPr>
    </w:lvl>
    <w:lvl w:ilvl="4" w:tentative="0">
      <w:start w:val="0"/>
      <w:numFmt w:val="bullet"/>
      <w:lvlText w:val="•"/>
      <w:lvlJc w:val="left"/>
      <w:pPr>
        <w:ind w:left="4295" w:hanging="780"/>
      </w:pPr>
      <w:rPr>
        <w:rFonts w:hint="default"/>
        <w:lang w:val="zh-CN" w:eastAsia="zh-CN" w:bidi="zh-CN"/>
      </w:rPr>
    </w:lvl>
    <w:lvl w:ilvl="5" w:tentative="0">
      <w:start w:val="0"/>
      <w:numFmt w:val="bullet"/>
      <w:lvlText w:val="•"/>
      <w:lvlJc w:val="left"/>
      <w:pPr>
        <w:ind w:left="5220" w:hanging="780"/>
      </w:pPr>
      <w:rPr>
        <w:rFonts w:hint="default"/>
        <w:lang w:val="zh-CN" w:eastAsia="zh-CN" w:bidi="zh-CN"/>
      </w:rPr>
    </w:lvl>
    <w:lvl w:ilvl="6" w:tentative="0">
      <w:start w:val="0"/>
      <w:numFmt w:val="bullet"/>
      <w:lvlText w:val="•"/>
      <w:lvlJc w:val="left"/>
      <w:pPr>
        <w:ind w:left="6145" w:hanging="780"/>
      </w:pPr>
      <w:rPr>
        <w:rFonts w:hint="default"/>
        <w:lang w:val="zh-CN" w:eastAsia="zh-CN" w:bidi="zh-CN"/>
      </w:rPr>
    </w:lvl>
    <w:lvl w:ilvl="7" w:tentative="0">
      <w:start w:val="0"/>
      <w:numFmt w:val="bullet"/>
      <w:lvlText w:val="•"/>
      <w:lvlJc w:val="left"/>
      <w:pPr>
        <w:ind w:left="7070" w:hanging="780"/>
      </w:pPr>
      <w:rPr>
        <w:rFonts w:hint="default"/>
        <w:lang w:val="zh-CN" w:eastAsia="zh-CN" w:bidi="zh-CN"/>
      </w:rPr>
    </w:lvl>
    <w:lvl w:ilvl="8" w:tentative="0">
      <w:start w:val="0"/>
      <w:numFmt w:val="bullet"/>
      <w:lvlText w:val="•"/>
      <w:lvlJc w:val="left"/>
      <w:pPr>
        <w:ind w:left="7995" w:hanging="780"/>
      </w:pPr>
      <w:rPr>
        <w:rFonts w:hint="default"/>
        <w:lang w:val="zh-CN" w:eastAsia="zh-CN" w:bidi="zh-CN"/>
      </w:rPr>
    </w:lvl>
  </w:abstractNum>
  <w:abstractNum w:abstractNumId="15">
    <w:nsid w:val="71D1AEF7"/>
    <w:multiLevelType w:val="singleLevel"/>
    <w:tmpl w:val="71D1AEF7"/>
    <w:lvl w:ilvl="0" w:tentative="0">
      <w:start w:val="1"/>
      <w:numFmt w:val="decimal"/>
      <w:lvlText w:val="%1."/>
      <w:lvlJc w:val="left"/>
      <w:pPr>
        <w:tabs>
          <w:tab w:val="left" w:pos="312"/>
        </w:tabs>
      </w:pPr>
    </w:lvl>
  </w:abstractNum>
  <w:abstractNum w:abstractNumId="16">
    <w:nsid w:val="77ECEA79"/>
    <w:multiLevelType w:val="multilevel"/>
    <w:tmpl w:val="77ECEA79"/>
    <w:lvl w:ilvl="0" w:tentative="0">
      <w:start w:val="1"/>
      <w:numFmt w:val="decimal"/>
      <w:lvlText w:val="（%1）"/>
      <w:lvlJc w:val="left"/>
      <w:pPr>
        <w:ind w:left="1341" w:hanging="601"/>
      </w:pPr>
      <w:rPr>
        <w:rFonts w:hint="default" w:ascii="宋体" w:hAnsi="宋体" w:eastAsia="宋体" w:cs="宋体"/>
        <w:w w:val="100"/>
        <w:sz w:val="22"/>
        <w:szCs w:val="22"/>
        <w:lang w:val="zh-CN" w:eastAsia="zh-CN" w:bidi="zh-CN"/>
      </w:rPr>
    </w:lvl>
    <w:lvl w:ilvl="1" w:tentative="0">
      <w:start w:val="0"/>
      <w:numFmt w:val="bullet"/>
      <w:lvlText w:val="•"/>
      <w:lvlJc w:val="left"/>
      <w:pPr>
        <w:ind w:left="2190" w:hanging="601"/>
      </w:pPr>
      <w:rPr>
        <w:rFonts w:hint="default"/>
        <w:lang w:val="zh-CN" w:eastAsia="zh-CN" w:bidi="zh-CN"/>
      </w:rPr>
    </w:lvl>
    <w:lvl w:ilvl="2" w:tentative="0">
      <w:start w:val="0"/>
      <w:numFmt w:val="bullet"/>
      <w:lvlText w:val="•"/>
      <w:lvlJc w:val="left"/>
      <w:pPr>
        <w:ind w:left="3041" w:hanging="601"/>
      </w:pPr>
      <w:rPr>
        <w:rFonts w:hint="default"/>
        <w:lang w:val="zh-CN" w:eastAsia="zh-CN" w:bidi="zh-CN"/>
      </w:rPr>
    </w:lvl>
    <w:lvl w:ilvl="3" w:tentative="0">
      <w:start w:val="0"/>
      <w:numFmt w:val="bullet"/>
      <w:lvlText w:val="•"/>
      <w:lvlJc w:val="left"/>
      <w:pPr>
        <w:ind w:left="3891" w:hanging="601"/>
      </w:pPr>
      <w:rPr>
        <w:rFonts w:hint="default"/>
        <w:lang w:val="zh-CN" w:eastAsia="zh-CN" w:bidi="zh-CN"/>
      </w:rPr>
    </w:lvl>
    <w:lvl w:ilvl="4" w:tentative="0">
      <w:start w:val="0"/>
      <w:numFmt w:val="bullet"/>
      <w:lvlText w:val="•"/>
      <w:lvlJc w:val="left"/>
      <w:pPr>
        <w:ind w:left="4742" w:hanging="601"/>
      </w:pPr>
      <w:rPr>
        <w:rFonts w:hint="default"/>
        <w:lang w:val="zh-CN" w:eastAsia="zh-CN" w:bidi="zh-CN"/>
      </w:rPr>
    </w:lvl>
    <w:lvl w:ilvl="5" w:tentative="0">
      <w:start w:val="0"/>
      <w:numFmt w:val="bullet"/>
      <w:lvlText w:val="•"/>
      <w:lvlJc w:val="left"/>
      <w:pPr>
        <w:ind w:left="5593" w:hanging="601"/>
      </w:pPr>
      <w:rPr>
        <w:rFonts w:hint="default"/>
        <w:lang w:val="zh-CN" w:eastAsia="zh-CN" w:bidi="zh-CN"/>
      </w:rPr>
    </w:lvl>
    <w:lvl w:ilvl="6" w:tentative="0">
      <w:start w:val="0"/>
      <w:numFmt w:val="bullet"/>
      <w:lvlText w:val="•"/>
      <w:lvlJc w:val="left"/>
      <w:pPr>
        <w:ind w:left="6443" w:hanging="601"/>
      </w:pPr>
      <w:rPr>
        <w:rFonts w:hint="default"/>
        <w:lang w:val="zh-CN" w:eastAsia="zh-CN" w:bidi="zh-CN"/>
      </w:rPr>
    </w:lvl>
    <w:lvl w:ilvl="7" w:tentative="0">
      <w:start w:val="0"/>
      <w:numFmt w:val="bullet"/>
      <w:lvlText w:val="•"/>
      <w:lvlJc w:val="left"/>
      <w:pPr>
        <w:ind w:left="7294" w:hanging="601"/>
      </w:pPr>
      <w:rPr>
        <w:rFonts w:hint="default"/>
        <w:lang w:val="zh-CN" w:eastAsia="zh-CN" w:bidi="zh-CN"/>
      </w:rPr>
    </w:lvl>
    <w:lvl w:ilvl="8" w:tentative="0">
      <w:start w:val="0"/>
      <w:numFmt w:val="bullet"/>
      <w:lvlText w:val="•"/>
      <w:lvlJc w:val="left"/>
      <w:pPr>
        <w:ind w:left="8144" w:hanging="601"/>
      </w:pPr>
      <w:rPr>
        <w:rFonts w:hint="default"/>
        <w:lang w:val="zh-CN" w:eastAsia="zh-CN" w:bidi="zh-CN"/>
      </w:rPr>
    </w:lvl>
  </w:abstractNum>
  <w:abstractNum w:abstractNumId="17">
    <w:nsid w:val="7C246926"/>
    <w:multiLevelType w:val="multilevel"/>
    <w:tmpl w:val="7C246926"/>
    <w:lvl w:ilvl="0" w:tentative="0">
      <w:start w:val="29"/>
      <w:numFmt w:val="decimal"/>
      <w:lvlText w:val="%1."/>
      <w:lvlJc w:val="left"/>
      <w:pPr>
        <w:ind w:left="1221" w:hanging="481"/>
      </w:pPr>
      <w:rPr>
        <w:rFonts w:hint="default"/>
        <w:w w:val="100"/>
        <w:lang w:val="zh-CN" w:eastAsia="zh-CN" w:bidi="zh-CN"/>
      </w:rPr>
    </w:lvl>
    <w:lvl w:ilvl="1" w:tentative="0">
      <w:start w:val="1"/>
      <w:numFmt w:val="decimal"/>
      <w:lvlText w:val="%1.%2"/>
      <w:lvlJc w:val="left"/>
      <w:pPr>
        <w:ind w:left="1340" w:hanging="600"/>
      </w:pPr>
      <w:rPr>
        <w:rFonts w:hint="default" w:ascii="宋体" w:hAnsi="宋体" w:eastAsia="宋体" w:cs="宋体"/>
        <w:w w:val="100"/>
        <w:sz w:val="24"/>
        <w:szCs w:val="24"/>
        <w:lang w:val="zh-CN" w:eastAsia="zh-CN" w:bidi="zh-CN"/>
      </w:rPr>
    </w:lvl>
    <w:lvl w:ilvl="2" w:tentative="0">
      <w:start w:val="0"/>
      <w:numFmt w:val="bullet"/>
      <w:lvlText w:val="•"/>
      <w:lvlJc w:val="left"/>
      <w:pPr>
        <w:ind w:left="1340" w:hanging="600"/>
      </w:pPr>
      <w:rPr>
        <w:rFonts w:hint="default"/>
        <w:lang w:val="zh-CN" w:eastAsia="zh-CN" w:bidi="zh-CN"/>
      </w:rPr>
    </w:lvl>
    <w:lvl w:ilvl="3" w:tentative="0">
      <w:start w:val="0"/>
      <w:numFmt w:val="bullet"/>
      <w:lvlText w:val="•"/>
      <w:lvlJc w:val="left"/>
      <w:pPr>
        <w:ind w:left="2403" w:hanging="600"/>
      </w:pPr>
      <w:rPr>
        <w:rFonts w:hint="default"/>
        <w:lang w:val="zh-CN" w:eastAsia="zh-CN" w:bidi="zh-CN"/>
      </w:rPr>
    </w:lvl>
    <w:lvl w:ilvl="4" w:tentative="0">
      <w:start w:val="0"/>
      <w:numFmt w:val="bullet"/>
      <w:lvlText w:val="•"/>
      <w:lvlJc w:val="left"/>
      <w:pPr>
        <w:ind w:left="3466" w:hanging="600"/>
      </w:pPr>
      <w:rPr>
        <w:rFonts w:hint="default"/>
        <w:lang w:val="zh-CN" w:eastAsia="zh-CN" w:bidi="zh-CN"/>
      </w:rPr>
    </w:lvl>
    <w:lvl w:ilvl="5" w:tentative="0">
      <w:start w:val="0"/>
      <w:numFmt w:val="bullet"/>
      <w:lvlText w:val="•"/>
      <w:lvlJc w:val="left"/>
      <w:pPr>
        <w:ind w:left="4529" w:hanging="600"/>
      </w:pPr>
      <w:rPr>
        <w:rFonts w:hint="default"/>
        <w:lang w:val="zh-CN" w:eastAsia="zh-CN" w:bidi="zh-CN"/>
      </w:rPr>
    </w:lvl>
    <w:lvl w:ilvl="6" w:tentative="0">
      <w:start w:val="0"/>
      <w:numFmt w:val="bullet"/>
      <w:lvlText w:val="•"/>
      <w:lvlJc w:val="left"/>
      <w:pPr>
        <w:ind w:left="5593" w:hanging="600"/>
      </w:pPr>
      <w:rPr>
        <w:rFonts w:hint="default"/>
        <w:lang w:val="zh-CN" w:eastAsia="zh-CN" w:bidi="zh-CN"/>
      </w:rPr>
    </w:lvl>
    <w:lvl w:ilvl="7" w:tentative="0">
      <w:start w:val="0"/>
      <w:numFmt w:val="bullet"/>
      <w:lvlText w:val="•"/>
      <w:lvlJc w:val="left"/>
      <w:pPr>
        <w:ind w:left="6656" w:hanging="600"/>
      </w:pPr>
      <w:rPr>
        <w:rFonts w:hint="default"/>
        <w:lang w:val="zh-CN" w:eastAsia="zh-CN" w:bidi="zh-CN"/>
      </w:rPr>
    </w:lvl>
    <w:lvl w:ilvl="8" w:tentative="0">
      <w:start w:val="0"/>
      <w:numFmt w:val="bullet"/>
      <w:lvlText w:val="•"/>
      <w:lvlJc w:val="left"/>
      <w:pPr>
        <w:ind w:left="7719" w:hanging="600"/>
      </w:pPr>
      <w:rPr>
        <w:rFonts w:hint="default"/>
        <w:lang w:val="zh-CN" w:eastAsia="zh-CN" w:bidi="zh-CN"/>
      </w:rPr>
    </w:lvl>
  </w:abstractNum>
  <w:num w:numId="1">
    <w:abstractNumId w:val="0"/>
  </w:num>
  <w:num w:numId="2">
    <w:abstractNumId w:val="11"/>
  </w:num>
  <w:num w:numId="3">
    <w:abstractNumId w:val="13"/>
  </w:num>
  <w:num w:numId="4">
    <w:abstractNumId w:val="6"/>
  </w:num>
  <w:num w:numId="5">
    <w:abstractNumId w:val="10"/>
  </w:num>
  <w:num w:numId="6">
    <w:abstractNumId w:val="5"/>
  </w:num>
  <w:num w:numId="7">
    <w:abstractNumId w:val="1"/>
  </w:num>
  <w:num w:numId="8">
    <w:abstractNumId w:val="12"/>
  </w:num>
  <w:num w:numId="9">
    <w:abstractNumId w:val="14"/>
  </w:num>
  <w:num w:numId="10">
    <w:abstractNumId w:val="9"/>
  </w:num>
  <w:num w:numId="11">
    <w:abstractNumId w:val="2"/>
  </w:num>
  <w:num w:numId="12">
    <w:abstractNumId w:val="17"/>
  </w:num>
  <w:num w:numId="13">
    <w:abstractNumId w:val="16"/>
  </w:num>
  <w:num w:numId="14">
    <w:abstractNumId w:val="4"/>
  </w:num>
  <w:num w:numId="15">
    <w:abstractNumId w:val="7"/>
  </w:num>
  <w:num w:numId="16">
    <w:abstractNumId w:val="15"/>
  </w:num>
  <w:num w:numId="17">
    <w:abstractNumId w:val="3"/>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dit="trackedChanges" w:enforcement="1" w:cryptProviderType="rsaFull" w:cryptAlgorithmClass="hash" w:cryptAlgorithmType="typeAny" w:cryptAlgorithmSid="4" w:cryptSpinCount="0" w:hash="LQbvTVrhhxj3isasE41ynBpKp1w=" w:salt="D/+MDfNeeH4VjgW0hRze6Q=="/>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4F7A9E"/>
    <w:rsid w:val="054F7A9E"/>
    <w:rsid w:val="0A560A40"/>
    <w:rsid w:val="1752433D"/>
    <w:rsid w:val="192C10D8"/>
    <w:rsid w:val="1BCD48DA"/>
    <w:rsid w:val="24724271"/>
    <w:rsid w:val="25BC763F"/>
    <w:rsid w:val="27D42BAF"/>
    <w:rsid w:val="28292E99"/>
    <w:rsid w:val="28D21782"/>
    <w:rsid w:val="29DD5F17"/>
    <w:rsid w:val="2DE81100"/>
    <w:rsid w:val="305637DC"/>
    <w:rsid w:val="32027AD8"/>
    <w:rsid w:val="45915C64"/>
    <w:rsid w:val="45AD7C90"/>
    <w:rsid w:val="4BE827B8"/>
    <w:rsid w:val="4F1D07B2"/>
    <w:rsid w:val="62674344"/>
    <w:rsid w:val="6FF84CBF"/>
    <w:rsid w:val="70FF5420"/>
    <w:rsid w:val="73A6496A"/>
    <w:rsid w:val="78057814"/>
    <w:rsid w:val="7B1F572E"/>
    <w:rsid w:val="7BEC13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iPriority="99"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0"/>
    <w:pPr>
      <w:spacing w:before="38"/>
      <w:ind w:left="892"/>
      <w:jc w:val="center"/>
      <w:outlineLvl w:val="0"/>
    </w:pPr>
    <w:rPr>
      <w:sz w:val="32"/>
      <w:szCs w:val="32"/>
    </w:rPr>
  </w:style>
  <w:style w:type="paragraph" w:styleId="3">
    <w:name w:val="heading 2"/>
    <w:basedOn w:val="1"/>
    <w:next w:val="1"/>
    <w:qFormat/>
    <w:uiPriority w:val="0"/>
    <w:pPr>
      <w:spacing w:before="1"/>
      <w:ind w:left="1600"/>
      <w:outlineLvl w:val="1"/>
    </w:pPr>
    <w:rPr>
      <w:sz w:val="30"/>
      <w:szCs w:val="30"/>
    </w:rPr>
  </w:style>
  <w:style w:type="paragraph" w:styleId="4">
    <w:name w:val="heading 3"/>
    <w:basedOn w:val="1"/>
    <w:next w:val="1"/>
    <w:qFormat/>
    <w:uiPriority w:val="0"/>
    <w:pPr>
      <w:ind w:left="2015"/>
      <w:outlineLvl w:val="2"/>
    </w:pPr>
    <w:rPr>
      <w:b/>
      <w:bCs/>
      <w:sz w:val="28"/>
      <w:szCs w:val="28"/>
    </w:rPr>
  </w:style>
  <w:style w:type="paragraph" w:styleId="5">
    <w:name w:val="heading 4"/>
    <w:basedOn w:val="1"/>
    <w:next w:val="1"/>
    <w:qFormat/>
    <w:uiPriority w:val="0"/>
    <w:pPr>
      <w:ind w:left="740"/>
      <w:outlineLvl w:val="3"/>
    </w:pPr>
    <w:rPr>
      <w:b/>
      <w:bCs/>
      <w:sz w:val="24"/>
      <w:szCs w:val="24"/>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6">
    <w:name w:val="Normal Indent"/>
    <w:basedOn w:val="1"/>
    <w:next w:val="1"/>
    <w:qFormat/>
    <w:uiPriority w:val="0"/>
    <w:pPr>
      <w:widowControl w:val="0"/>
      <w:ind w:firstLine="420" w:firstLineChars="200"/>
      <w:jc w:val="both"/>
    </w:pPr>
    <w:rPr>
      <w:rFonts w:ascii="Calibri" w:hAnsi="Calibri" w:eastAsia="仿宋" w:cs="宋体"/>
      <w:kern w:val="2"/>
      <w:sz w:val="32"/>
      <w:lang w:eastAsia="zh-CN"/>
    </w:rPr>
  </w:style>
  <w:style w:type="paragraph" w:styleId="7">
    <w:name w:val="toa heading"/>
    <w:basedOn w:val="1"/>
    <w:next w:val="1"/>
    <w:unhideWhenUsed/>
    <w:qFormat/>
    <w:uiPriority w:val="99"/>
    <w:pPr>
      <w:spacing w:before="120"/>
    </w:pPr>
    <w:rPr>
      <w:rFonts w:ascii="Arial" w:hAnsi="Arial" w:cs="Arial"/>
      <w:sz w:val="24"/>
    </w:rPr>
  </w:style>
  <w:style w:type="paragraph" w:styleId="8">
    <w:name w:val="Body Text"/>
    <w:basedOn w:val="1"/>
    <w:next w:val="1"/>
    <w:qFormat/>
    <w:uiPriority w:val="0"/>
    <w:pPr>
      <w:ind w:left="320"/>
    </w:pPr>
    <w:rPr>
      <w:rFonts w:ascii="Times New Roman" w:hAnsi="Times New Roman" w:cs="Times New Roman"/>
      <w:sz w:val="24"/>
      <w:szCs w:val="24"/>
      <w:lang w:bidi="ar-SA"/>
    </w:rPr>
  </w:style>
  <w:style w:type="paragraph" w:styleId="9">
    <w:name w:val="Body Text Indent"/>
    <w:basedOn w:val="1"/>
    <w:next w:val="6"/>
    <w:qFormat/>
    <w:uiPriority w:val="0"/>
    <w:pPr>
      <w:spacing w:after="120"/>
      <w:ind w:left="200" w:leftChars="200"/>
      <w:jc w:val="both"/>
    </w:pPr>
    <w:rPr>
      <w:kern w:val="2"/>
      <w:sz w:val="21"/>
    </w:rPr>
  </w:style>
  <w:style w:type="paragraph" w:styleId="10">
    <w:name w:val="Plain Text"/>
    <w:basedOn w:val="1"/>
    <w:next w:val="11"/>
    <w:qFormat/>
    <w:uiPriority w:val="0"/>
    <w:pPr>
      <w:adjustRightInd w:val="0"/>
      <w:textAlignment w:val="baseline"/>
    </w:pPr>
    <w:rPr>
      <w:rFonts w:ascii="宋体" w:hAnsi="Courier New" w:eastAsia="宋体" w:cs="Times New Roman"/>
      <w:kern w:val="0"/>
      <w:sz w:val="20"/>
      <w:szCs w:val="20"/>
    </w:rPr>
  </w:style>
  <w:style w:type="paragraph" w:styleId="11">
    <w:name w:val="index 7"/>
    <w:basedOn w:val="1"/>
    <w:next w:val="1"/>
    <w:unhideWhenUsed/>
    <w:qFormat/>
    <w:uiPriority w:val="99"/>
    <w:pPr>
      <w:ind w:left="1200" w:leftChars="1200"/>
    </w:pPr>
  </w:style>
  <w:style w:type="paragraph" w:styleId="12">
    <w:name w:val="footer"/>
    <w:basedOn w:val="1"/>
    <w:qFormat/>
    <w:uiPriority w:val="0"/>
    <w:pPr>
      <w:tabs>
        <w:tab w:val="center" w:pos="4153"/>
        <w:tab w:val="right" w:pos="8306"/>
      </w:tabs>
      <w:snapToGrid w:val="0"/>
    </w:pPr>
    <w:rPr>
      <w:sz w:val="18"/>
      <w:szCs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toc 2"/>
    <w:basedOn w:val="1"/>
    <w:next w:val="1"/>
    <w:qFormat/>
    <w:uiPriority w:val="0"/>
    <w:pPr>
      <w:spacing w:line="440" w:lineRule="exact"/>
      <w:ind w:firstLine="300"/>
    </w:pPr>
    <w:rPr>
      <w:rFonts w:ascii="Calibri" w:hAnsi="Calibri" w:eastAsia="宋体" w:cs="Calibri"/>
      <w:smallCaps/>
      <w:sz w:val="20"/>
      <w:szCs w:val="20"/>
    </w:rPr>
  </w:style>
  <w:style w:type="paragraph" w:styleId="15">
    <w:name w:val="Body Text 2"/>
    <w:basedOn w:val="1"/>
    <w:next w:val="8"/>
    <w:qFormat/>
    <w:uiPriority w:val="0"/>
    <w:rPr>
      <w:rFonts w:ascii="宋体" w:hAnsi="宋体" w:eastAsia="宋体" w:cs="Arial"/>
      <w:b/>
      <w:kern w:val="0"/>
      <w:sz w:val="28"/>
      <w:szCs w:val="20"/>
    </w:rPr>
  </w:style>
  <w:style w:type="paragraph" w:styleId="16">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17">
    <w:name w:val="Title"/>
    <w:basedOn w:val="14"/>
    <w:next w:val="1"/>
    <w:qFormat/>
    <w:uiPriority w:val="0"/>
    <w:pPr>
      <w:spacing w:before="240" w:after="60"/>
      <w:jc w:val="center"/>
      <w:outlineLvl w:val="0"/>
    </w:pPr>
    <w:rPr>
      <w:rFonts w:ascii="Cambria" w:hAnsi="Cambria" w:eastAsia="宋体" w:cs="Times New Roman"/>
      <w:b/>
      <w:bCs/>
      <w:kern w:val="2"/>
      <w:sz w:val="32"/>
      <w:szCs w:val="32"/>
    </w:rPr>
  </w:style>
  <w:style w:type="paragraph" w:styleId="18">
    <w:name w:val="Body Text First Indent"/>
    <w:basedOn w:val="8"/>
    <w:next w:val="1"/>
    <w:unhideWhenUsed/>
    <w:qFormat/>
    <w:uiPriority w:val="99"/>
    <w:pPr>
      <w:ind w:firstLine="420" w:firstLineChars="100"/>
    </w:pPr>
  </w:style>
  <w:style w:type="paragraph" w:styleId="19">
    <w:name w:val="Body Text First Indent 2"/>
    <w:basedOn w:val="9"/>
    <w:next w:val="18"/>
    <w:qFormat/>
    <w:uiPriority w:val="0"/>
    <w:pPr>
      <w:ind w:firstLine="200" w:firstLineChars="200"/>
    </w:pPr>
  </w:style>
  <w:style w:type="table" w:styleId="21">
    <w:name w:val="Table Grid"/>
    <w:basedOn w:val="20"/>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0"/>
  </w:style>
  <w:style w:type="character" w:styleId="24">
    <w:name w:val="FollowedHyperlink"/>
    <w:basedOn w:val="22"/>
    <w:qFormat/>
    <w:uiPriority w:val="0"/>
    <w:rPr>
      <w:color w:val="800080"/>
      <w:u w:val="none"/>
    </w:rPr>
  </w:style>
  <w:style w:type="character" w:styleId="25">
    <w:name w:val="Emphasis"/>
    <w:basedOn w:val="22"/>
    <w:qFormat/>
    <w:uiPriority w:val="0"/>
  </w:style>
  <w:style w:type="character" w:styleId="26">
    <w:name w:val="HTML Definition"/>
    <w:basedOn w:val="22"/>
    <w:qFormat/>
    <w:uiPriority w:val="0"/>
  </w:style>
  <w:style w:type="character" w:styleId="27">
    <w:name w:val="HTML Typewriter"/>
    <w:basedOn w:val="22"/>
    <w:qFormat/>
    <w:uiPriority w:val="0"/>
    <w:rPr>
      <w:rFonts w:hint="default" w:ascii="monospace" w:hAnsi="monospace" w:eastAsia="monospace" w:cs="monospace"/>
      <w:sz w:val="20"/>
    </w:rPr>
  </w:style>
  <w:style w:type="character" w:styleId="28">
    <w:name w:val="HTML Acronym"/>
    <w:basedOn w:val="22"/>
    <w:qFormat/>
    <w:uiPriority w:val="0"/>
  </w:style>
  <w:style w:type="character" w:styleId="29">
    <w:name w:val="HTML Variable"/>
    <w:basedOn w:val="22"/>
    <w:qFormat/>
    <w:uiPriority w:val="0"/>
  </w:style>
  <w:style w:type="character" w:styleId="30">
    <w:name w:val="Hyperlink"/>
    <w:basedOn w:val="22"/>
    <w:qFormat/>
    <w:uiPriority w:val="0"/>
    <w:rPr>
      <w:color w:val="0000FF"/>
      <w:u w:val="none"/>
    </w:rPr>
  </w:style>
  <w:style w:type="character" w:styleId="31">
    <w:name w:val="HTML Code"/>
    <w:basedOn w:val="22"/>
    <w:qFormat/>
    <w:uiPriority w:val="0"/>
    <w:rPr>
      <w:rFonts w:hint="default" w:ascii="monospace" w:hAnsi="monospace" w:eastAsia="monospace" w:cs="monospace"/>
      <w:sz w:val="20"/>
    </w:rPr>
  </w:style>
  <w:style w:type="character" w:styleId="32">
    <w:name w:val="HTML Cite"/>
    <w:basedOn w:val="22"/>
    <w:qFormat/>
    <w:uiPriority w:val="0"/>
  </w:style>
  <w:style w:type="character" w:styleId="33">
    <w:name w:val="HTML Keyboard"/>
    <w:basedOn w:val="22"/>
    <w:qFormat/>
    <w:uiPriority w:val="0"/>
    <w:rPr>
      <w:rFonts w:hint="default" w:ascii="monospace" w:hAnsi="monospace" w:eastAsia="monospace" w:cs="monospace"/>
      <w:sz w:val="20"/>
    </w:rPr>
  </w:style>
  <w:style w:type="character" w:styleId="34">
    <w:name w:val="HTML Sample"/>
    <w:basedOn w:val="22"/>
    <w:qFormat/>
    <w:uiPriority w:val="0"/>
    <w:rPr>
      <w:rFonts w:ascii="monospace" w:hAnsi="monospace" w:eastAsia="monospace" w:cs="monospace"/>
    </w:rPr>
  </w:style>
  <w:style w:type="paragraph" w:customStyle="1" w:styleId="35">
    <w:name w:val="WPSOffice手动目录 1"/>
    <w:qFormat/>
    <w:uiPriority w:val="0"/>
    <w:pPr>
      <w:ind w:leftChars="0"/>
    </w:pPr>
    <w:rPr>
      <w:rFonts w:asciiTheme="minorHAnsi" w:hAnsiTheme="minorHAnsi" w:eastAsiaTheme="minorEastAsia" w:cstheme="minorBidi"/>
      <w:sz w:val="20"/>
      <w:szCs w:val="20"/>
    </w:rPr>
  </w:style>
  <w:style w:type="paragraph" w:customStyle="1" w:styleId="36">
    <w:name w:val="Table Paragraph"/>
    <w:basedOn w:val="1"/>
    <w:qFormat/>
    <w:uiPriority w:val="0"/>
  </w:style>
  <w:style w:type="paragraph" w:customStyle="1" w:styleId="37">
    <w:name w:val="样式 标题 2 + Times New Roman 四号 非加粗 段前: 5 磅 段后: 0 磅 行距: 固定值 20..."/>
    <w:basedOn w:val="3"/>
    <w:qFormat/>
    <w:uiPriority w:val="0"/>
    <w:pPr>
      <w:spacing w:before="100" w:line="400" w:lineRule="exact"/>
    </w:pPr>
    <w:rPr>
      <w:rFonts w:ascii="Times New Roman" w:hAnsi="Times New Roman"/>
      <w:b/>
      <w:bCs/>
      <w:sz w:val="28"/>
      <w:szCs w:val="20"/>
    </w:rPr>
  </w:style>
  <w:style w:type="paragraph" w:styleId="38">
    <w:name w:val="List Paragraph"/>
    <w:basedOn w:val="1"/>
    <w:qFormat/>
    <w:uiPriority w:val="0"/>
    <w:pPr>
      <w:ind w:left="320" w:firstLine="420"/>
    </w:pPr>
  </w:style>
  <w:style w:type="paragraph" w:customStyle="1" w:styleId="39">
    <w:name w:val="Default"/>
    <w:basedOn w:val="17"/>
    <w:next w:val="40"/>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40">
    <w:name w:val="正文 A"/>
    <w:next w:val="39"/>
    <w:qFormat/>
    <w:uiPriority w:val="0"/>
    <w:pPr>
      <w:framePr w:wrap="around" w:vAnchor="margin" w:hAnchor="text" w:y="1"/>
      <w:spacing w:line="360" w:lineRule="auto"/>
      <w:ind w:firstLine="200"/>
      <w:jc w:val="both"/>
    </w:pPr>
    <w:rPr>
      <w:rFonts w:ascii="Calibri" w:hAnsi="Calibri" w:eastAsia="Arial Unicode MS" w:cs="Arial Unicode MS"/>
      <w:color w:val="000000"/>
      <w:kern w:val="2"/>
      <w:sz w:val="21"/>
      <w:szCs w:val="21"/>
      <w:lang w:val="en-US" w:eastAsia="zh-CN" w:bidi="ar-SA"/>
    </w:rPr>
  </w:style>
  <w:style w:type="paragraph" w:customStyle="1" w:styleId="41">
    <w:name w:val="TOC 标题1"/>
    <w:basedOn w:val="2"/>
    <w:next w:val="1"/>
    <w:qFormat/>
    <w:uiPriority w:val="39"/>
    <w:pPr>
      <w:spacing w:before="480" w:after="0" w:line="276" w:lineRule="auto"/>
      <w:outlineLvl w:val="9"/>
    </w:pPr>
    <w:rPr>
      <w:rFonts w:ascii="仿宋" w:hAnsi="仿宋" w:eastAsia="仿宋"/>
      <w:color w:val="000000"/>
      <w:kern w:val="0"/>
      <w:sz w:val="32"/>
      <w:szCs w:val="32"/>
    </w:rPr>
  </w:style>
  <w:style w:type="paragraph" w:customStyle="1" w:styleId="42">
    <w:name w:val="style4"/>
    <w:basedOn w:val="1"/>
    <w:next w:val="43"/>
    <w:qFormat/>
    <w:uiPriority w:val="0"/>
    <w:pPr>
      <w:widowControl/>
      <w:spacing w:before="280" w:after="280"/>
    </w:pPr>
    <w:rPr>
      <w:rFonts w:ascii="宋体"/>
      <w:sz w:val="18"/>
    </w:rPr>
  </w:style>
  <w:style w:type="paragraph" w:customStyle="1" w:styleId="43">
    <w:name w:val="2"/>
    <w:next w:val="1"/>
    <w:qFormat/>
    <w:uiPriority w:val="0"/>
    <w:pPr>
      <w:widowControl w:val="0"/>
      <w:jc w:val="both"/>
    </w:pPr>
    <w:rPr>
      <w:rFonts w:ascii="Times New Roman" w:hAnsi="Times New Roman" w:eastAsia="宋体" w:cs="Times New Roman"/>
      <w:sz w:val="21"/>
      <w:szCs w:val="22"/>
      <w:lang w:val="en-US" w:eastAsia="zh-CN" w:bidi="ar-SA"/>
    </w:rPr>
  </w:style>
  <w:style w:type="character" w:customStyle="1" w:styleId="44">
    <w:name w:val="layui-layer-tabnow"/>
    <w:basedOn w:val="22"/>
    <w:qFormat/>
    <w:uiPriority w:val="0"/>
    <w:rPr>
      <w:bdr w:val="single" w:color="CCCCCC" w:sz="6" w:space="0"/>
      <w:shd w:val="clear" w:fill="FFFFFF"/>
    </w:rPr>
  </w:style>
  <w:style w:type="character" w:customStyle="1" w:styleId="45">
    <w:name w:val="first-child"/>
    <w:basedOn w:val="22"/>
    <w:qFormat/>
    <w:uiPriority w:val="0"/>
  </w:style>
  <w:style w:type="character" w:customStyle="1" w:styleId="46">
    <w:name w:val="hover"/>
    <w:basedOn w:val="22"/>
    <w:qFormat/>
    <w:uiPriority w:val="0"/>
    <w:rPr>
      <w:color w:val="2590EB"/>
    </w:rPr>
  </w:style>
  <w:style w:type="character" w:customStyle="1" w:styleId="47">
    <w:name w:val="hover1"/>
    <w:basedOn w:val="22"/>
    <w:qFormat/>
    <w:uiPriority w:val="0"/>
  </w:style>
  <w:style w:type="character" w:customStyle="1" w:styleId="48">
    <w:name w:val="hover2"/>
    <w:basedOn w:val="22"/>
    <w:qFormat/>
    <w:uiPriority w:val="0"/>
    <w:rPr>
      <w:color w:val="2590EB"/>
    </w:rPr>
  </w:style>
  <w:style w:type="character" w:customStyle="1" w:styleId="49">
    <w:name w:val="mini-outputtext1"/>
    <w:basedOn w:val="22"/>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header" Target="header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59</Pages>
  <Words>14065</Words>
  <Characters>15154</Characters>
  <Lines>0</Lines>
  <Paragraphs>0</Paragraphs>
  <TotalTime>0</TotalTime>
  <ScaleCrop>false</ScaleCrop>
  <LinksUpToDate>false</LinksUpToDate>
  <CharactersWithSpaces>15272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2025-09-08T07:30:00Z</dcterms:created>
  <dc:creator>   </dc:creator>
  <cp:lastModifiedBy>   </cp:lastModifiedBy>
  <cp:lastPrinted>2025-09-09T03:49:00Z</cp:lastPrinted>
  <dcterms:modified xsi:type="dcterms:W3CDTF">2025-09-09T09:25:31Z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0DED221E35D8474B9BDE31830CB1F840_13</vt:lpwstr>
  </property>
  <property fmtid="{D5CDD505-2E9C-101B-9397-08002B2CF9AE}" pid="4" name="KSOTemplateDocerSaveRecord">
    <vt:lpwstr>eyJoZGlkIjoiNDk3ZTc3ZjM3N2JiYjQzOWYzZTAyNGVlMjZkNDRlNTEiLCJ1c2VySWQiOiIyNzg2OTg5ODIifQ==</vt:lpwstr>
  </property>
</Properties>
</file>