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A909C">
      <w:pPr>
        <w:jc w:val="center"/>
        <w:rPr>
          <w:rFonts w:hint="eastAsia" w:ascii="宋体" w:hAnsi="宋体" w:eastAsiaTheme="minorEastAsia"/>
          <w:b/>
          <w:bCs/>
          <w:color w:val="000000" w:themeColor="text1"/>
          <w:sz w:val="32"/>
          <w:szCs w:val="36"/>
          <w:lang w:eastAsia="zh-CN"/>
          <w14:textFill>
            <w14:solidFill>
              <w14:schemeClr w14:val="tx1"/>
            </w14:solidFill>
          </w14:textFill>
        </w:rPr>
      </w:pPr>
      <w:bookmarkStart w:id="424" w:name="_GoBack"/>
      <w:bookmarkEnd w:id="424"/>
      <w:r>
        <w:rPr>
          <w:rFonts w:hint="eastAsia" w:ascii="宋体" w:hAnsi="宋体"/>
          <w:b/>
          <w:bCs/>
          <w:sz w:val="52"/>
          <w:szCs w:val="48"/>
          <w:lang w:eastAsia="zh-CN"/>
        </w:rPr>
        <w:t>2023年农村公路水毁抢修工程</w:t>
      </w:r>
    </w:p>
    <w:p w14:paraId="30D1587B">
      <w:pPr>
        <w:jc w:val="center"/>
        <w:rPr>
          <w:rFonts w:hint="eastAsia" w:ascii="宋体" w:hAnsi="宋体"/>
          <w:b/>
          <w:bCs/>
          <w:color w:val="auto"/>
          <w:sz w:val="28"/>
          <w:szCs w:val="32"/>
        </w:rPr>
      </w:pPr>
    </w:p>
    <w:p w14:paraId="56658400">
      <w:pPr>
        <w:ind w:firstLine="2811" w:firstLineChars="1000"/>
        <w:jc w:val="both"/>
        <w:rPr>
          <w:rFonts w:hint="eastAsia" w:ascii="宋体" w:hAnsi="宋体"/>
          <w:b/>
          <w:bCs/>
          <w:color w:val="auto"/>
          <w:sz w:val="28"/>
          <w:szCs w:val="32"/>
          <w:highlight w:val="red"/>
        </w:rPr>
      </w:pPr>
    </w:p>
    <w:p w14:paraId="38A4A2DA"/>
    <w:p w14:paraId="03AE5DBE">
      <w:pPr>
        <w:jc w:val="center"/>
        <w:rPr>
          <w:b/>
          <w:bCs/>
          <w:sz w:val="84"/>
          <w:szCs w:val="84"/>
        </w:rPr>
      </w:pPr>
      <w:r>
        <w:rPr>
          <w:rFonts w:hint="eastAsia"/>
          <w:b/>
          <w:bCs/>
          <w:sz w:val="84"/>
          <w:szCs w:val="84"/>
        </w:rPr>
        <w:t>竞争性磋商文件</w:t>
      </w:r>
    </w:p>
    <w:p w14:paraId="0A7C7B0F">
      <w:pPr>
        <w:jc w:val="center"/>
      </w:pPr>
    </w:p>
    <w:p w14:paraId="1F1B58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843" w:firstLineChars="300"/>
        <w:jc w:val="left"/>
        <w:rPr>
          <w:rFonts w:hint="eastAsia" w:ascii="宋体" w:hAnsi="宋体"/>
          <w:b/>
          <w:bCs/>
          <w:color w:val="auto"/>
          <w:sz w:val="28"/>
          <w:szCs w:val="32"/>
          <w:lang w:val="en-US" w:eastAsia="zh-CN"/>
        </w:rPr>
      </w:pPr>
      <w:r>
        <w:rPr>
          <w:rFonts w:hint="eastAsia" w:ascii="宋体" w:hAnsi="宋体"/>
          <w:b/>
          <w:bCs/>
          <w:color w:val="auto"/>
          <w:sz w:val="28"/>
          <w:szCs w:val="32"/>
          <w:lang w:val="en-US" w:eastAsia="zh-CN"/>
        </w:rPr>
        <w:t>项目编号：陕州竞磋采购-2025-99    SZGZ[2025]170-ZC113</w:t>
      </w:r>
    </w:p>
    <w:p w14:paraId="4E39800A">
      <w:pPr>
        <w:jc w:val="center"/>
        <w:rPr>
          <w:rFonts w:hint="default" w:ascii="宋体" w:hAnsi="宋体"/>
          <w:b/>
          <w:bCs/>
          <w:color w:val="auto"/>
          <w:sz w:val="28"/>
          <w:szCs w:val="32"/>
          <w:lang w:val="en-US" w:eastAsia="zh-CN"/>
        </w:rPr>
      </w:pPr>
    </w:p>
    <w:p w14:paraId="7F3EDBB6">
      <w:pPr>
        <w:jc w:val="center"/>
      </w:pPr>
    </w:p>
    <w:p w14:paraId="21058BA1">
      <w:pPr>
        <w:jc w:val="center"/>
      </w:pPr>
    </w:p>
    <w:p w14:paraId="725413E3">
      <w:pPr>
        <w:adjustRightInd w:val="0"/>
        <w:snapToGrid w:val="0"/>
        <w:spacing w:line="360" w:lineRule="auto"/>
        <w:jc w:val="center"/>
        <w:rPr>
          <w:rFonts w:ascii="宋体" w:hAnsi="宋体" w:cs="宋体"/>
          <w:b/>
          <w:bCs/>
          <w:sz w:val="32"/>
          <w:szCs w:val="32"/>
        </w:rPr>
      </w:pPr>
    </w:p>
    <w:p w14:paraId="5B9DBC95">
      <w:pPr>
        <w:adjustRightInd w:val="0"/>
        <w:snapToGrid w:val="0"/>
        <w:spacing w:line="360" w:lineRule="auto"/>
        <w:jc w:val="center"/>
        <w:rPr>
          <w:rFonts w:ascii="宋体" w:hAnsi="宋体" w:cs="宋体"/>
          <w:b/>
          <w:bCs/>
          <w:sz w:val="32"/>
          <w:szCs w:val="32"/>
        </w:rPr>
      </w:pPr>
    </w:p>
    <w:p w14:paraId="00EE5AE7">
      <w:pPr>
        <w:adjustRightInd w:val="0"/>
        <w:snapToGrid w:val="0"/>
        <w:spacing w:line="360" w:lineRule="auto"/>
        <w:jc w:val="center"/>
        <w:rPr>
          <w:rFonts w:ascii="宋体" w:hAnsi="宋体" w:cs="宋体"/>
          <w:b/>
          <w:bCs/>
          <w:sz w:val="32"/>
          <w:szCs w:val="32"/>
        </w:rPr>
      </w:pPr>
    </w:p>
    <w:p w14:paraId="1B171A1D">
      <w:pPr>
        <w:adjustRightInd w:val="0"/>
        <w:snapToGrid w:val="0"/>
        <w:spacing w:line="360" w:lineRule="auto"/>
        <w:jc w:val="center"/>
        <w:rPr>
          <w:rFonts w:ascii="宋体" w:hAnsi="宋体" w:cs="宋体"/>
          <w:b/>
          <w:bCs/>
          <w:sz w:val="32"/>
          <w:szCs w:val="32"/>
        </w:rPr>
      </w:pPr>
    </w:p>
    <w:p w14:paraId="1788ECD1">
      <w:pPr>
        <w:pStyle w:val="5"/>
        <w:rPr>
          <w:rFonts w:ascii="宋体" w:hAnsi="宋体" w:cs="宋体"/>
          <w:b/>
          <w:bCs/>
          <w:sz w:val="32"/>
          <w:szCs w:val="32"/>
        </w:rPr>
      </w:pPr>
    </w:p>
    <w:p w14:paraId="00FC100C">
      <w:pPr>
        <w:rPr>
          <w:rFonts w:ascii="宋体" w:hAnsi="宋体" w:cs="宋体"/>
          <w:b/>
          <w:bCs/>
          <w:sz w:val="32"/>
          <w:szCs w:val="32"/>
        </w:rPr>
      </w:pPr>
    </w:p>
    <w:p w14:paraId="5FC555B1">
      <w:pPr>
        <w:pStyle w:val="5"/>
        <w:rPr>
          <w:rFonts w:ascii="宋体" w:hAnsi="宋体" w:cs="宋体"/>
          <w:b/>
          <w:bCs/>
          <w:sz w:val="32"/>
          <w:szCs w:val="32"/>
        </w:rPr>
      </w:pPr>
    </w:p>
    <w:p w14:paraId="24680E4D">
      <w:pPr>
        <w:rPr>
          <w:rFonts w:ascii="宋体" w:hAnsi="宋体" w:cs="宋体"/>
          <w:b/>
          <w:bCs/>
          <w:sz w:val="32"/>
          <w:szCs w:val="32"/>
        </w:rPr>
      </w:pPr>
    </w:p>
    <w:p w14:paraId="02897185">
      <w:pPr>
        <w:adjustRightInd w:val="0"/>
        <w:snapToGrid w:val="0"/>
        <w:spacing w:line="360" w:lineRule="auto"/>
        <w:jc w:val="center"/>
        <w:rPr>
          <w:rFonts w:hint="eastAsia" w:ascii="宋体" w:hAnsi="宋体" w:cs="宋体" w:eastAsiaTheme="minorEastAsia"/>
          <w:b/>
          <w:bCs/>
          <w:sz w:val="32"/>
          <w:szCs w:val="32"/>
          <w:lang w:eastAsia="zh-CN"/>
        </w:rPr>
      </w:pPr>
      <w:r>
        <w:rPr>
          <w:rFonts w:hint="eastAsia" w:ascii="宋体" w:hAnsi="宋体" w:cs="宋体"/>
          <w:b/>
          <w:bCs/>
          <w:sz w:val="32"/>
          <w:szCs w:val="32"/>
        </w:rPr>
        <w:t>采购人：</w:t>
      </w:r>
      <w:r>
        <w:rPr>
          <w:rFonts w:hint="eastAsia" w:ascii="宋体" w:hAnsi="宋体" w:cs="宋体"/>
          <w:b/>
          <w:bCs/>
          <w:sz w:val="32"/>
          <w:szCs w:val="32"/>
          <w:lang w:eastAsia="zh-CN"/>
        </w:rPr>
        <w:t>三门峡市陕州区交通运输局</w:t>
      </w:r>
    </w:p>
    <w:p w14:paraId="7A3ED705"/>
    <w:p w14:paraId="6F2EB823">
      <w:pPr>
        <w:jc w:val="center"/>
        <w:rPr>
          <w:rFonts w:hint="eastAsia" w:hAnsi="宋体" w:cs="宋体" w:eastAsiaTheme="minorEastAsia"/>
          <w:b/>
          <w:bCs/>
          <w:sz w:val="32"/>
          <w:szCs w:val="32"/>
          <w:lang w:eastAsia="zh-CN"/>
        </w:rPr>
      </w:pPr>
      <w:r>
        <w:rPr>
          <w:rFonts w:hint="eastAsia" w:hAnsi="宋体" w:cs="宋体"/>
          <w:b/>
          <w:bCs/>
          <w:sz w:val="32"/>
          <w:szCs w:val="32"/>
          <w:lang w:val="en-US" w:eastAsia="zh-CN"/>
        </w:rPr>
        <w:t>采购</w:t>
      </w:r>
      <w:r>
        <w:rPr>
          <w:rFonts w:hint="eastAsia" w:hAnsi="宋体" w:cs="宋体"/>
          <w:b/>
          <w:bCs/>
          <w:sz w:val="32"/>
          <w:szCs w:val="32"/>
        </w:rPr>
        <w:t>代理机构：</w:t>
      </w:r>
      <w:r>
        <w:rPr>
          <w:rFonts w:hint="eastAsia" w:hAnsi="宋体" w:cs="宋体"/>
          <w:b/>
          <w:bCs/>
          <w:sz w:val="32"/>
          <w:szCs w:val="32"/>
          <w:lang w:eastAsia="zh-CN"/>
        </w:rPr>
        <w:t>河南盾览工程管理咨询有限公司</w:t>
      </w:r>
    </w:p>
    <w:p w14:paraId="4EDDC56B">
      <w:pPr>
        <w:adjustRightInd w:val="0"/>
        <w:snapToGrid w:val="0"/>
        <w:spacing w:line="360" w:lineRule="auto"/>
        <w:jc w:val="center"/>
        <w:rPr>
          <w:rFonts w:ascii="宋体" w:hAnsi="宋体" w:cs="宋体"/>
          <w:b/>
          <w:bCs/>
          <w:sz w:val="32"/>
          <w:szCs w:val="32"/>
        </w:rPr>
      </w:pPr>
    </w:p>
    <w:p w14:paraId="2020E80C">
      <w:pPr>
        <w:jc w:val="center"/>
        <w:rPr>
          <w:rFonts w:hAnsi="宋体" w:cs="宋体"/>
          <w:b/>
          <w:bCs/>
          <w:sz w:val="32"/>
          <w:szCs w:val="32"/>
        </w:rPr>
      </w:pPr>
      <w:r>
        <w:rPr>
          <w:rFonts w:hint="eastAsia" w:hAnsi="宋体" w:cs="宋体"/>
          <w:b/>
          <w:bCs/>
          <w:sz w:val="32"/>
          <w:szCs w:val="32"/>
          <w:lang w:val="en-US" w:eastAsia="zh-CN"/>
        </w:rPr>
        <w:t>日期：</w:t>
      </w:r>
      <w:r>
        <w:rPr>
          <w:rFonts w:hint="eastAsia" w:hAnsi="宋体" w:cs="宋体"/>
          <w:b/>
          <w:bCs/>
          <w:sz w:val="32"/>
          <w:szCs w:val="32"/>
        </w:rPr>
        <w:t>二〇二</w:t>
      </w:r>
      <w:r>
        <w:rPr>
          <w:rFonts w:hint="eastAsia" w:hAnsi="宋体" w:cs="宋体"/>
          <w:b/>
          <w:bCs/>
          <w:sz w:val="32"/>
          <w:szCs w:val="32"/>
          <w:lang w:val="en-US" w:eastAsia="zh-CN"/>
        </w:rPr>
        <w:t>五</w:t>
      </w:r>
      <w:r>
        <w:rPr>
          <w:rFonts w:hint="eastAsia" w:hAnsi="宋体" w:cs="宋体"/>
          <w:b/>
          <w:bCs/>
          <w:sz w:val="32"/>
          <w:szCs w:val="32"/>
        </w:rPr>
        <w:t>年</w:t>
      </w:r>
      <w:r>
        <w:rPr>
          <w:rFonts w:hint="eastAsia" w:hAnsi="宋体" w:cs="宋体"/>
          <w:b/>
          <w:bCs/>
          <w:sz w:val="32"/>
          <w:szCs w:val="32"/>
          <w:lang w:val="en-US" w:eastAsia="zh-CN"/>
        </w:rPr>
        <w:t>九</w:t>
      </w:r>
      <w:r>
        <w:rPr>
          <w:rFonts w:hint="eastAsia" w:hAnsi="宋体" w:cs="宋体"/>
          <w:b/>
          <w:bCs/>
          <w:sz w:val="32"/>
          <w:szCs w:val="32"/>
        </w:rPr>
        <w:t>月</w:t>
      </w:r>
    </w:p>
    <w:p w14:paraId="2EC13128">
      <w:pPr>
        <w:jc w:val="center"/>
        <w:rPr>
          <w:rFonts w:ascii="宋体" w:hAnsi="宋体" w:cs="宋体"/>
          <w:b/>
          <w:bCs/>
          <w:sz w:val="28"/>
          <w:szCs w:val="28"/>
        </w:rPr>
        <w:sectPr>
          <w:headerReference r:id="rId3" w:type="default"/>
          <w:footerReference r:id="rId4" w:type="default"/>
          <w:pgSz w:w="11915" w:h="16840"/>
          <w:pgMar w:top="1134" w:right="1134" w:bottom="1134" w:left="1134" w:header="720" w:footer="720" w:gutter="0"/>
          <w:pgNumType w:start="1"/>
          <w:cols w:space="720" w:num="1"/>
          <w:docGrid w:type="lines" w:linePitch="312" w:charSpace="0"/>
        </w:sectPr>
      </w:pPr>
    </w:p>
    <w:p w14:paraId="54563D82">
      <w:pPr>
        <w:jc w:val="center"/>
        <w:rPr>
          <w:rFonts w:ascii="宋体" w:hAnsi="宋体" w:cs="宋体"/>
          <w:b/>
          <w:bCs/>
          <w:sz w:val="28"/>
          <w:szCs w:val="28"/>
        </w:rPr>
      </w:pPr>
      <w:r>
        <w:rPr>
          <w:rFonts w:hint="eastAsia" w:ascii="宋体" w:hAnsi="宋体" w:cs="宋体"/>
          <w:b/>
          <w:bCs/>
          <w:sz w:val="28"/>
          <w:szCs w:val="28"/>
        </w:rPr>
        <w:t>目  录</w:t>
      </w:r>
    </w:p>
    <w:p w14:paraId="4F12FCD5">
      <w:pPr>
        <w:tabs>
          <w:tab w:val="right" w:leader="dot" w:pos="9645"/>
        </w:tabs>
        <w:rPr>
          <w:rFonts w:ascii="宋体" w:hAnsi="宋体" w:cs="宋体"/>
          <w:b/>
          <w:bCs/>
          <w:color w:val="000000"/>
          <w:kern w:val="0"/>
          <w:sz w:val="24"/>
          <w:szCs w:val="24"/>
        </w:rPr>
      </w:pPr>
    </w:p>
    <w:p w14:paraId="05EC69BE">
      <w:pPr>
        <w:tabs>
          <w:tab w:val="right" w:leader="dot" w:pos="9647"/>
        </w:tabs>
        <w:spacing w:line="360" w:lineRule="auto"/>
        <w:rPr>
          <w:sz w:val="24"/>
          <w:szCs w:val="24"/>
        </w:rPr>
      </w:pP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TOC \o "1-3" \h \u </w:instrText>
      </w:r>
      <w:r>
        <w:rPr>
          <w:rFonts w:hint="eastAsia" w:ascii="宋体" w:hAnsi="宋体" w:cs="宋体"/>
          <w:color w:val="000000"/>
          <w:kern w:val="0"/>
          <w:sz w:val="24"/>
          <w:szCs w:val="24"/>
        </w:rPr>
        <w:fldChar w:fldCharType="separate"/>
      </w:r>
      <w:r>
        <w:fldChar w:fldCharType="begin"/>
      </w:r>
      <w:r>
        <w:instrText xml:space="preserve"> HYPERLINK \l "_Toc31887" </w:instrText>
      </w:r>
      <w:r>
        <w:fldChar w:fldCharType="separate"/>
      </w:r>
      <w:r>
        <w:rPr>
          <w:rFonts w:hint="eastAsia" w:ascii="宋体" w:hAnsi="宋体" w:cs="宋体"/>
          <w:sz w:val="24"/>
          <w:szCs w:val="24"/>
        </w:rPr>
        <w:t>第一章  竞争性磋商公告</w:t>
      </w:r>
      <w:r>
        <w:rPr>
          <w:sz w:val="24"/>
          <w:szCs w:val="24"/>
        </w:rPr>
        <w:tab/>
      </w:r>
      <w:r>
        <w:rPr>
          <w:sz w:val="24"/>
          <w:szCs w:val="24"/>
        </w:rPr>
        <w:fldChar w:fldCharType="begin"/>
      </w:r>
      <w:r>
        <w:rPr>
          <w:sz w:val="24"/>
          <w:szCs w:val="24"/>
        </w:rPr>
        <w:instrText xml:space="preserve"> PAGEREF _Toc31887 \h </w:instrText>
      </w:r>
      <w:r>
        <w:rPr>
          <w:sz w:val="24"/>
          <w:szCs w:val="24"/>
        </w:rPr>
        <w:fldChar w:fldCharType="separate"/>
      </w:r>
      <w:r>
        <w:rPr>
          <w:sz w:val="24"/>
          <w:szCs w:val="24"/>
        </w:rPr>
        <w:t>2</w:t>
      </w:r>
      <w:r>
        <w:rPr>
          <w:sz w:val="24"/>
          <w:szCs w:val="24"/>
        </w:rPr>
        <w:fldChar w:fldCharType="end"/>
      </w:r>
      <w:r>
        <w:rPr>
          <w:sz w:val="24"/>
          <w:szCs w:val="24"/>
        </w:rPr>
        <w:fldChar w:fldCharType="end"/>
      </w:r>
    </w:p>
    <w:p w14:paraId="179497BE">
      <w:pPr>
        <w:tabs>
          <w:tab w:val="right" w:leader="dot" w:pos="9647"/>
        </w:tabs>
        <w:spacing w:line="360" w:lineRule="auto"/>
        <w:rPr>
          <w:sz w:val="24"/>
          <w:szCs w:val="24"/>
        </w:rPr>
      </w:pPr>
      <w:r>
        <w:fldChar w:fldCharType="begin"/>
      </w:r>
      <w:r>
        <w:instrText xml:space="preserve"> HYPERLINK \l "_Toc14693" </w:instrText>
      </w:r>
      <w:r>
        <w:fldChar w:fldCharType="separate"/>
      </w:r>
      <w:r>
        <w:rPr>
          <w:rFonts w:hint="eastAsia" w:ascii="宋体" w:hAnsi="宋体" w:cs="宋体"/>
          <w:sz w:val="24"/>
          <w:szCs w:val="24"/>
        </w:rPr>
        <w:t>第二章  供应商须知</w:t>
      </w:r>
      <w:r>
        <w:rPr>
          <w:sz w:val="24"/>
          <w:szCs w:val="24"/>
        </w:rPr>
        <w:tab/>
      </w:r>
      <w:r>
        <w:rPr>
          <w:sz w:val="24"/>
          <w:szCs w:val="24"/>
        </w:rPr>
        <w:fldChar w:fldCharType="begin"/>
      </w:r>
      <w:r>
        <w:rPr>
          <w:sz w:val="24"/>
          <w:szCs w:val="24"/>
        </w:rPr>
        <w:instrText xml:space="preserve"> PAGEREF _Toc14693 \h </w:instrText>
      </w:r>
      <w:r>
        <w:rPr>
          <w:sz w:val="24"/>
          <w:szCs w:val="24"/>
        </w:rPr>
        <w:fldChar w:fldCharType="separate"/>
      </w:r>
      <w:r>
        <w:rPr>
          <w:sz w:val="24"/>
          <w:szCs w:val="24"/>
        </w:rPr>
        <w:t>6</w:t>
      </w:r>
      <w:r>
        <w:rPr>
          <w:sz w:val="24"/>
          <w:szCs w:val="24"/>
        </w:rPr>
        <w:fldChar w:fldCharType="end"/>
      </w:r>
      <w:r>
        <w:rPr>
          <w:sz w:val="24"/>
          <w:szCs w:val="24"/>
        </w:rPr>
        <w:fldChar w:fldCharType="end"/>
      </w:r>
    </w:p>
    <w:p w14:paraId="519A504B">
      <w:pPr>
        <w:tabs>
          <w:tab w:val="right" w:leader="dot" w:pos="9647"/>
        </w:tabs>
        <w:spacing w:line="360" w:lineRule="auto"/>
        <w:rPr>
          <w:sz w:val="24"/>
          <w:szCs w:val="24"/>
        </w:rPr>
      </w:pPr>
      <w:r>
        <w:fldChar w:fldCharType="begin"/>
      </w:r>
      <w:r>
        <w:instrText xml:space="preserve"> HYPERLINK \l "_Toc10506" </w:instrText>
      </w:r>
      <w:r>
        <w:fldChar w:fldCharType="separate"/>
      </w:r>
      <w:r>
        <w:rPr>
          <w:rFonts w:hint="eastAsia" w:ascii="宋体" w:hAnsi="宋体" w:cs="宋体"/>
          <w:sz w:val="24"/>
          <w:szCs w:val="24"/>
        </w:rPr>
        <w:t>第三章  工程量清单</w:t>
      </w:r>
      <w:r>
        <w:rPr>
          <w:sz w:val="24"/>
          <w:szCs w:val="24"/>
        </w:rPr>
        <w:tab/>
      </w:r>
      <w:r>
        <w:rPr>
          <w:sz w:val="24"/>
          <w:szCs w:val="24"/>
        </w:rPr>
        <w:fldChar w:fldCharType="begin"/>
      </w:r>
      <w:r>
        <w:rPr>
          <w:sz w:val="24"/>
          <w:szCs w:val="24"/>
        </w:rPr>
        <w:instrText xml:space="preserve"> PAGEREF _Toc10506 \h </w:instrText>
      </w:r>
      <w:r>
        <w:rPr>
          <w:sz w:val="24"/>
          <w:szCs w:val="24"/>
        </w:rPr>
        <w:fldChar w:fldCharType="separate"/>
      </w:r>
      <w:r>
        <w:rPr>
          <w:sz w:val="24"/>
          <w:szCs w:val="24"/>
        </w:rPr>
        <w:t>21</w:t>
      </w:r>
      <w:r>
        <w:rPr>
          <w:sz w:val="24"/>
          <w:szCs w:val="24"/>
        </w:rPr>
        <w:fldChar w:fldCharType="end"/>
      </w:r>
      <w:r>
        <w:rPr>
          <w:sz w:val="24"/>
          <w:szCs w:val="24"/>
        </w:rPr>
        <w:fldChar w:fldCharType="end"/>
      </w:r>
    </w:p>
    <w:p w14:paraId="0D88C70A">
      <w:pPr>
        <w:tabs>
          <w:tab w:val="right" w:leader="dot" w:pos="9647"/>
        </w:tabs>
        <w:spacing w:line="360" w:lineRule="auto"/>
        <w:rPr>
          <w:sz w:val="24"/>
          <w:szCs w:val="24"/>
        </w:rPr>
      </w:pPr>
      <w:r>
        <w:fldChar w:fldCharType="begin"/>
      </w:r>
      <w:r>
        <w:instrText xml:space="preserve"> HYPERLINK \l "_Toc25128" </w:instrText>
      </w:r>
      <w:r>
        <w:fldChar w:fldCharType="separate"/>
      </w:r>
      <w:r>
        <w:rPr>
          <w:rFonts w:hint="eastAsia" w:ascii="宋体" w:hAnsi="宋体" w:cs="宋体"/>
          <w:sz w:val="24"/>
          <w:szCs w:val="24"/>
        </w:rPr>
        <w:t>第四章  磋商办法</w:t>
      </w:r>
      <w:r>
        <w:rPr>
          <w:sz w:val="24"/>
          <w:szCs w:val="24"/>
        </w:rPr>
        <w:tab/>
      </w:r>
      <w:r>
        <w:rPr>
          <w:sz w:val="24"/>
          <w:szCs w:val="24"/>
        </w:rPr>
        <w:fldChar w:fldCharType="begin"/>
      </w:r>
      <w:r>
        <w:rPr>
          <w:sz w:val="24"/>
          <w:szCs w:val="24"/>
        </w:rPr>
        <w:instrText xml:space="preserve"> PAGEREF _Toc25128 \h </w:instrText>
      </w:r>
      <w:r>
        <w:rPr>
          <w:sz w:val="24"/>
          <w:szCs w:val="24"/>
        </w:rPr>
        <w:fldChar w:fldCharType="separate"/>
      </w:r>
      <w:r>
        <w:rPr>
          <w:sz w:val="24"/>
          <w:szCs w:val="24"/>
        </w:rPr>
        <w:t>22</w:t>
      </w:r>
      <w:r>
        <w:rPr>
          <w:sz w:val="24"/>
          <w:szCs w:val="24"/>
        </w:rPr>
        <w:fldChar w:fldCharType="end"/>
      </w:r>
      <w:r>
        <w:rPr>
          <w:sz w:val="24"/>
          <w:szCs w:val="24"/>
        </w:rPr>
        <w:fldChar w:fldCharType="end"/>
      </w:r>
    </w:p>
    <w:p w14:paraId="45D13AD7">
      <w:pPr>
        <w:tabs>
          <w:tab w:val="right" w:leader="dot" w:pos="9647"/>
        </w:tabs>
        <w:spacing w:line="360" w:lineRule="auto"/>
        <w:rPr>
          <w:sz w:val="24"/>
          <w:szCs w:val="24"/>
        </w:rPr>
      </w:pPr>
      <w:r>
        <w:fldChar w:fldCharType="begin"/>
      </w:r>
      <w:r>
        <w:instrText xml:space="preserve"> HYPERLINK \l "_Toc6248" </w:instrText>
      </w:r>
      <w:r>
        <w:fldChar w:fldCharType="separate"/>
      </w:r>
      <w:r>
        <w:rPr>
          <w:rFonts w:hint="eastAsia" w:ascii="宋体" w:hAnsi="宋体" w:cs="宋体"/>
          <w:sz w:val="24"/>
          <w:szCs w:val="24"/>
        </w:rPr>
        <w:t>第五章  合同条款及格式</w:t>
      </w:r>
      <w:r>
        <w:rPr>
          <w:sz w:val="24"/>
          <w:szCs w:val="24"/>
        </w:rPr>
        <w:tab/>
      </w:r>
      <w:r>
        <w:rPr>
          <w:sz w:val="24"/>
          <w:szCs w:val="24"/>
        </w:rPr>
        <w:fldChar w:fldCharType="begin"/>
      </w:r>
      <w:r>
        <w:rPr>
          <w:sz w:val="24"/>
          <w:szCs w:val="24"/>
        </w:rPr>
        <w:instrText xml:space="preserve"> PAGEREF _Toc6248 \h </w:instrText>
      </w:r>
      <w:r>
        <w:rPr>
          <w:sz w:val="24"/>
          <w:szCs w:val="24"/>
        </w:rPr>
        <w:fldChar w:fldCharType="separate"/>
      </w:r>
      <w:r>
        <w:rPr>
          <w:sz w:val="24"/>
          <w:szCs w:val="24"/>
        </w:rPr>
        <w:t>28</w:t>
      </w:r>
      <w:r>
        <w:rPr>
          <w:sz w:val="24"/>
          <w:szCs w:val="24"/>
        </w:rPr>
        <w:fldChar w:fldCharType="end"/>
      </w:r>
      <w:r>
        <w:rPr>
          <w:sz w:val="24"/>
          <w:szCs w:val="24"/>
        </w:rPr>
        <w:fldChar w:fldCharType="end"/>
      </w:r>
    </w:p>
    <w:p w14:paraId="03B2A043">
      <w:pPr>
        <w:tabs>
          <w:tab w:val="right" w:leader="dot" w:pos="9647"/>
        </w:tabs>
        <w:spacing w:line="360" w:lineRule="auto"/>
        <w:rPr>
          <w:sz w:val="24"/>
          <w:szCs w:val="24"/>
        </w:rPr>
      </w:pPr>
      <w:r>
        <w:fldChar w:fldCharType="begin"/>
      </w:r>
      <w:r>
        <w:instrText xml:space="preserve"> HYPERLINK \l "_Toc8491" </w:instrText>
      </w:r>
      <w:r>
        <w:fldChar w:fldCharType="separate"/>
      </w:r>
      <w:r>
        <w:rPr>
          <w:rFonts w:hint="eastAsia" w:ascii="宋体" w:hAnsi="宋体" w:cs="宋体"/>
          <w:sz w:val="24"/>
          <w:szCs w:val="24"/>
        </w:rPr>
        <w:t>第六章  磋商响应文件格式</w:t>
      </w:r>
      <w:r>
        <w:rPr>
          <w:sz w:val="24"/>
          <w:szCs w:val="24"/>
        </w:rPr>
        <w:tab/>
      </w:r>
      <w:r>
        <w:rPr>
          <w:sz w:val="24"/>
          <w:szCs w:val="24"/>
        </w:rPr>
        <w:fldChar w:fldCharType="begin"/>
      </w:r>
      <w:r>
        <w:rPr>
          <w:sz w:val="24"/>
          <w:szCs w:val="24"/>
        </w:rPr>
        <w:instrText xml:space="preserve"> PAGEREF _Toc8491 \h </w:instrText>
      </w:r>
      <w:r>
        <w:rPr>
          <w:sz w:val="24"/>
          <w:szCs w:val="24"/>
        </w:rPr>
        <w:fldChar w:fldCharType="separate"/>
      </w:r>
      <w:r>
        <w:rPr>
          <w:sz w:val="24"/>
          <w:szCs w:val="24"/>
        </w:rPr>
        <w:t>34</w:t>
      </w:r>
      <w:r>
        <w:rPr>
          <w:sz w:val="24"/>
          <w:szCs w:val="24"/>
        </w:rPr>
        <w:fldChar w:fldCharType="end"/>
      </w:r>
      <w:r>
        <w:rPr>
          <w:sz w:val="24"/>
          <w:szCs w:val="24"/>
        </w:rPr>
        <w:fldChar w:fldCharType="end"/>
      </w:r>
    </w:p>
    <w:p w14:paraId="16ED11D7">
      <w:pPr>
        <w:tabs>
          <w:tab w:val="right" w:leader="dot" w:pos="9647"/>
        </w:tabs>
        <w:spacing w:line="360" w:lineRule="auto"/>
        <w:rPr>
          <w:sz w:val="24"/>
          <w:szCs w:val="24"/>
        </w:rPr>
      </w:pPr>
    </w:p>
    <w:p w14:paraId="1D307283">
      <w:pPr>
        <w:tabs>
          <w:tab w:val="right" w:leader="dot" w:pos="9647"/>
        </w:tabs>
        <w:spacing w:line="360" w:lineRule="auto"/>
        <w:rPr>
          <w:sz w:val="24"/>
          <w:szCs w:val="24"/>
        </w:rPr>
      </w:pPr>
    </w:p>
    <w:p w14:paraId="76E5A8CB">
      <w:pPr>
        <w:tabs>
          <w:tab w:val="right" w:leader="dot" w:pos="9647"/>
        </w:tabs>
        <w:spacing w:line="360" w:lineRule="auto"/>
        <w:rPr>
          <w:sz w:val="24"/>
          <w:szCs w:val="24"/>
        </w:rPr>
      </w:pPr>
    </w:p>
    <w:p w14:paraId="070A7800">
      <w:pPr>
        <w:tabs>
          <w:tab w:val="right" w:leader="dot" w:pos="9647"/>
        </w:tabs>
        <w:spacing w:line="360" w:lineRule="auto"/>
        <w:rPr>
          <w:sz w:val="24"/>
          <w:szCs w:val="24"/>
        </w:rPr>
      </w:pPr>
    </w:p>
    <w:p w14:paraId="2805B4CB">
      <w:pPr>
        <w:tabs>
          <w:tab w:val="right" w:leader="dot" w:pos="9647"/>
        </w:tabs>
        <w:spacing w:line="360" w:lineRule="auto"/>
        <w:rPr>
          <w:sz w:val="24"/>
          <w:szCs w:val="24"/>
        </w:rPr>
      </w:pPr>
    </w:p>
    <w:p w14:paraId="61F245F0">
      <w:pPr>
        <w:tabs>
          <w:tab w:val="right" w:leader="dot" w:pos="9647"/>
        </w:tabs>
        <w:spacing w:line="360" w:lineRule="auto"/>
        <w:rPr>
          <w:sz w:val="24"/>
          <w:szCs w:val="24"/>
        </w:rPr>
      </w:pPr>
    </w:p>
    <w:p w14:paraId="333E1DA7">
      <w:pPr>
        <w:tabs>
          <w:tab w:val="right" w:leader="dot" w:pos="9647"/>
        </w:tabs>
        <w:spacing w:line="360" w:lineRule="auto"/>
        <w:rPr>
          <w:sz w:val="24"/>
          <w:szCs w:val="24"/>
        </w:rPr>
      </w:pPr>
    </w:p>
    <w:p w14:paraId="6900FDD1">
      <w:pPr>
        <w:tabs>
          <w:tab w:val="right" w:leader="dot" w:pos="9647"/>
        </w:tabs>
        <w:spacing w:line="360" w:lineRule="auto"/>
      </w:pPr>
    </w:p>
    <w:p w14:paraId="7291103B">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color w:val="000000"/>
          <w:kern w:val="0"/>
          <w:sz w:val="24"/>
          <w:szCs w:val="24"/>
        </w:rPr>
      </w:pPr>
      <w:r>
        <w:rPr>
          <w:rFonts w:hint="eastAsia" w:ascii="宋体" w:hAnsi="宋体" w:cs="宋体"/>
          <w:color w:val="000000"/>
          <w:kern w:val="0"/>
          <w:szCs w:val="24"/>
        </w:rPr>
        <w:fldChar w:fldCharType="end"/>
      </w:r>
    </w:p>
    <w:p w14:paraId="29C22B36">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bCs/>
          <w:color w:val="000000"/>
          <w:kern w:val="0"/>
          <w:szCs w:val="32"/>
        </w:rPr>
      </w:pPr>
    </w:p>
    <w:p w14:paraId="24867C4D">
      <w:pPr>
        <w:jc w:val="center"/>
        <w:outlineLvl w:val="0"/>
        <w:rPr>
          <w:rFonts w:ascii="宋体" w:hAnsi="宋体" w:cs="宋体"/>
          <w:b/>
          <w:sz w:val="24"/>
          <w:szCs w:val="24"/>
        </w:rPr>
      </w:pPr>
      <w:bookmarkStart w:id="0" w:name="_Toc31887"/>
    </w:p>
    <w:p w14:paraId="0219FB68">
      <w:pPr>
        <w:jc w:val="center"/>
        <w:outlineLvl w:val="0"/>
        <w:rPr>
          <w:rFonts w:ascii="宋体" w:hAnsi="宋体" w:cs="宋体"/>
          <w:b/>
          <w:sz w:val="24"/>
          <w:szCs w:val="24"/>
        </w:rPr>
      </w:pPr>
    </w:p>
    <w:p w14:paraId="5478063B">
      <w:pPr>
        <w:jc w:val="center"/>
        <w:outlineLvl w:val="0"/>
        <w:rPr>
          <w:rFonts w:ascii="宋体" w:hAnsi="宋体" w:cs="宋体"/>
          <w:b/>
          <w:sz w:val="24"/>
          <w:szCs w:val="24"/>
        </w:rPr>
      </w:pPr>
    </w:p>
    <w:p w14:paraId="0EB82921">
      <w:pPr>
        <w:jc w:val="center"/>
        <w:outlineLvl w:val="0"/>
        <w:rPr>
          <w:rFonts w:ascii="宋体" w:hAnsi="宋体" w:cs="宋体"/>
          <w:b/>
          <w:sz w:val="24"/>
          <w:szCs w:val="24"/>
        </w:rPr>
      </w:pPr>
    </w:p>
    <w:p w14:paraId="3687D887">
      <w:pPr>
        <w:jc w:val="center"/>
        <w:outlineLvl w:val="0"/>
        <w:rPr>
          <w:rFonts w:ascii="宋体" w:hAnsi="宋体" w:cs="宋体"/>
          <w:b/>
          <w:sz w:val="24"/>
          <w:szCs w:val="24"/>
        </w:rPr>
      </w:pPr>
    </w:p>
    <w:p w14:paraId="5E996BB1">
      <w:pPr>
        <w:jc w:val="center"/>
        <w:outlineLvl w:val="0"/>
        <w:rPr>
          <w:rFonts w:ascii="宋体" w:hAnsi="宋体" w:cs="宋体"/>
          <w:b/>
          <w:sz w:val="24"/>
          <w:szCs w:val="24"/>
        </w:rPr>
      </w:pPr>
    </w:p>
    <w:p w14:paraId="72038B3C">
      <w:pPr>
        <w:jc w:val="center"/>
        <w:outlineLvl w:val="0"/>
        <w:rPr>
          <w:rFonts w:ascii="宋体" w:hAnsi="宋体" w:cs="宋体"/>
          <w:b/>
          <w:sz w:val="24"/>
          <w:szCs w:val="24"/>
        </w:rPr>
      </w:pPr>
    </w:p>
    <w:p w14:paraId="40E229F9">
      <w:pPr>
        <w:jc w:val="center"/>
        <w:outlineLvl w:val="0"/>
        <w:rPr>
          <w:rFonts w:ascii="宋体" w:hAnsi="宋体" w:cs="宋体"/>
          <w:b/>
          <w:sz w:val="24"/>
          <w:szCs w:val="24"/>
        </w:rPr>
      </w:pPr>
    </w:p>
    <w:p w14:paraId="2144AD24">
      <w:pPr>
        <w:jc w:val="center"/>
        <w:outlineLvl w:val="0"/>
        <w:rPr>
          <w:rFonts w:ascii="宋体" w:hAnsi="宋体" w:cs="宋体"/>
          <w:b/>
          <w:sz w:val="24"/>
          <w:szCs w:val="24"/>
        </w:rPr>
      </w:pPr>
    </w:p>
    <w:p w14:paraId="62A617F8">
      <w:pPr>
        <w:jc w:val="center"/>
        <w:outlineLvl w:val="0"/>
        <w:rPr>
          <w:rFonts w:ascii="宋体" w:hAnsi="宋体" w:cs="宋体"/>
          <w:b/>
          <w:sz w:val="24"/>
          <w:szCs w:val="24"/>
        </w:rPr>
      </w:pPr>
    </w:p>
    <w:p w14:paraId="567FA7B7">
      <w:pPr>
        <w:jc w:val="center"/>
        <w:outlineLvl w:val="0"/>
        <w:rPr>
          <w:rFonts w:ascii="宋体" w:hAnsi="宋体" w:cs="宋体"/>
          <w:b/>
          <w:sz w:val="24"/>
          <w:szCs w:val="24"/>
        </w:rPr>
      </w:pPr>
    </w:p>
    <w:p w14:paraId="69D842BC">
      <w:pPr>
        <w:jc w:val="center"/>
        <w:outlineLvl w:val="0"/>
        <w:rPr>
          <w:rFonts w:ascii="宋体" w:hAnsi="宋体" w:cs="宋体"/>
          <w:b/>
          <w:sz w:val="24"/>
          <w:szCs w:val="24"/>
        </w:rPr>
      </w:pPr>
    </w:p>
    <w:p w14:paraId="5E64EC73">
      <w:pPr>
        <w:jc w:val="center"/>
        <w:outlineLvl w:val="0"/>
        <w:rPr>
          <w:rFonts w:ascii="宋体" w:hAnsi="宋体" w:cs="宋体"/>
          <w:b/>
          <w:sz w:val="24"/>
          <w:szCs w:val="24"/>
        </w:rPr>
      </w:pPr>
    </w:p>
    <w:p w14:paraId="1394A0E3">
      <w:pPr>
        <w:jc w:val="center"/>
        <w:outlineLvl w:val="0"/>
        <w:rPr>
          <w:rFonts w:ascii="宋体" w:hAnsi="宋体" w:cs="宋体"/>
          <w:b/>
          <w:sz w:val="24"/>
          <w:szCs w:val="24"/>
        </w:rPr>
      </w:pPr>
    </w:p>
    <w:p w14:paraId="29947D6B">
      <w:pPr>
        <w:jc w:val="center"/>
        <w:outlineLvl w:val="0"/>
        <w:rPr>
          <w:rFonts w:ascii="宋体" w:hAnsi="宋体" w:cs="宋体"/>
          <w:b/>
          <w:sz w:val="24"/>
          <w:szCs w:val="24"/>
        </w:rPr>
      </w:pPr>
    </w:p>
    <w:p w14:paraId="417BD5A6">
      <w:pPr>
        <w:jc w:val="center"/>
        <w:outlineLvl w:val="0"/>
        <w:rPr>
          <w:rFonts w:ascii="宋体" w:hAnsi="宋体" w:cs="宋体"/>
          <w:b/>
          <w:sz w:val="24"/>
          <w:szCs w:val="24"/>
        </w:rPr>
      </w:pPr>
    </w:p>
    <w:p w14:paraId="6953210F">
      <w:pPr>
        <w:jc w:val="center"/>
        <w:outlineLvl w:val="0"/>
        <w:rPr>
          <w:rFonts w:ascii="宋体" w:hAnsi="宋体" w:cs="宋体"/>
          <w:b/>
          <w:color w:val="000000"/>
          <w:kern w:val="0"/>
          <w:sz w:val="24"/>
          <w:szCs w:val="24"/>
        </w:rPr>
      </w:pPr>
      <w:r>
        <w:rPr>
          <w:rFonts w:hint="eastAsia" w:ascii="宋体" w:hAnsi="宋体" w:cs="宋体"/>
          <w:b/>
          <w:sz w:val="24"/>
          <w:szCs w:val="24"/>
        </w:rPr>
        <w:t>第一章  竞争性磋商公告</w:t>
      </w:r>
      <w:bookmarkEnd w:id="0"/>
    </w:p>
    <w:p w14:paraId="55505AA8">
      <w:pPr>
        <w:spacing w:line="360" w:lineRule="auto"/>
        <w:ind w:firstLine="420" w:firstLineChars="175"/>
        <w:rPr>
          <w:rFonts w:ascii="宋体" w:hAnsi="宋体" w:cs="宋体"/>
          <w:sz w:val="24"/>
          <w:szCs w:val="24"/>
        </w:rPr>
      </w:pPr>
      <w:r>
        <w:rPr>
          <w:rFonts w:hint="eastAsia" w:ascii="宋体" w:hAnsi="宋体" w:cs="宋体"/>
          <w:sz w:val="24"/>
          <w:szCs w:val="24"/>
        </w:rPr>
        <w:t>项目概况</w:t>
      </w:r>
    </w:p>
    <w:p w14:paraId="70D4A31D">
      <w:pPr>
        <w:spacing w:line="360" w:lineRule="auto"/>
        <w:ind w:firstLine="420" w:firstLineChars="175"/>
        <w:rPr>
          <w:rFonts w:ascii="宋体" w:hAnsi="宋体" w:cs="宋体"/>
          <w:color w:val="auto"/>
          <w:sz w:val="24"/>
          <w:szCs w:val="24"/>
        </w:rPr>
      </w:pPr>
      <w:r>
        <w:rPr>
          <w:rFonts w:hint="eastAsia" w:ascii="宋体" w:hAnsi="宋体" w:cs="宋体"/>
          <w:sz w:val="24"/>
          <w:szCs w:val="24"/>
          <w:lang w:eastAsia="zh-CN"/>
        </w:rPr>
        <w:t>2023年农村公路水毁抢修工程</w:t>
      </w:r>
      <w:r>
        <w:rPr>
          <w:rFonts w:hint="eastAsia" w:ascii="宋体" w:hAnsi="宋体" w:cs="宋体"/>
          <w:sz w:val="24"/>
          <w:szCs w:val="24"/>
        </w:rPr>
        <w:t>的潜在供应商凭CA登录三门峡市公共资源交易</w:t>
      </w:r>
      <w:r>
        <w:rPr>
          <w:rFonts w:hint="eastAsia" w:ascii="宋体" w:hAnsi="宋体" w:cs="宋体"/>
          <w:color w:val="auto"/>
          <w:sz w:val="24"/>
          <w:szCs w:val="24"/>
        </w:rPr>
        <w:t>中心网（网址：</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"http://gzjy.smx.gov.cn）获取采购文件，并于2024年" </w:instrText>
      </w:r>
      <w:r>
        <w:rPr>
          <w:rFonts w:hint="eastAsia" w:ascii="宋体" w:hAnsi="宋体" w:cs="宋体"/>
          <w:color w:val="auto"/>
          <w:sz w:val="24"/>
          <w:szCs w:val="24"/>
          <w:highlight w:val="none"/>
        </w:rPr>
        <w:fldChar w:fldCharType="separate"/>
      </w:r>
      <w:r>
        <w:rPr>
          <w:rStyle w:val="25"/>
          <w:rFonts w:hint="eastAsia" w:ascii="宋体" w:hAnsi="宋体" w:cs="宋体"/>
          <w:color w:val="auto"/>
          <w:sz w:val="24"/>
          <w:szCs w:val="24"/>
          <w:highlight w:val="none"/>
        </w:rPr>
        <w:t>http://gzjy.smx.gov.cn）获取采购文件，并于</w:t>
      </w:r>
      <w:r>
        <w:rPr>
          <w:rStyle w:val="25"/>
          <w:rFonts w:hint="eastAsia" w:ascii="宋体" w:hAnsi="宋体" w:cs="宋体"/>
          <w:color w:val="auto"/>
          <w:sz w:val="24"/>
          <w:szCs w:val="24"/>
          <w:highlight w:val="none"/>
          <w:u w:val="none"/>
          <w:lang w:val="en-US" w:eastAsia="zh-CN"/>
        </w:rPr>
        <w:t>2025</w:t>
      </w:r>
      <w:r>
        <w:rPr>
          <w:rStyle w:val="25"/>
          <w:rFonts w:hint="eastAsia" w:ascii="宋体" w:hAnsi="宋体" w:cs="宋体"/>
          <w:color w:val="auto"/>
          <w:sz w:val="24"/>
          <w:szCs w:val="24"/>
          <w:highlight w:val="none"/>
          <w:u w:val="none"/>
        </w:rPr>
        <w:t>年</w:t>
      </w:r>
      <w:r>
        <w:rPr>
          <w:rFonts w:hint="eastAsia" w:ascii="宋体" w:hAnsi="宋体" w:cs="宋体"/>
          <w:color w:val="auto"/>
          <w:sz w:val="24"/>
          <w:szCs w:val="24"/>
          <w:highlight w:val="none"/>
        </w:rPr>
        <w:fldChar w:fldCharType="end"/>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日8时30分（北京时间，下同）前递交响应文件。</w:t>
      </w:r>
    </w:p>
    <w:p w14:paraId="5E9440D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一、项目基本情况：</w:t>
      </w:r>
    </w:p>
    <w:p w14:paraId="49E99FF1">
      <w:pPr>
        <w:spacing w:line="360" w:lineRule="auto"/>
        <w:ind w:firstLine="420" w:firstLineChars="175"/>
        <w:rPr>
          <w:rFonts w:hint="eastAsia" w:ascii="宋体" w:hAnsi="宋体" w:cs="宋体"/>
          <w:color w:val="auto"/>
          <w:sz w:val="24"/>
          <w:szCs w:val="24"/>
          <w:highlight w:val="none"/>
          <w:lang w:val="en-US" w:eastAsia="zh-CN"/>
        </w:rPr>
      </w:pPr>
      <w:r>
        <w:rPr>
          <w:rFonts w:hint="eastAsia" w:ascii="宋体" w:hAnsi="宋体" w:cs="宋体"/>
          <w:color w:val="auto"/>
          <w:sz w:val="24"/>
          <w:szCs w:val="24"/>
        </w:rPr>
        <w:t>1、</w:t>
      </w:r>
      <w:r>
        <w:rPr>
          <w:rFonts w:hint="eastAsia" w:ascii="宋体" w:hAnsi="宋体" w:cs="宋体"/>
          <w:sz w:val="24"/>
          <w:szCs w:val="24"/>
        </w:rPr>
        <w:t>项目名称：</w:t>
      </w:r>
      <w:r>
        <w:rPr>
          <w:rFonts w:hint="eastAsia" w:ascii="宋体" w:hAnsi="宋体" w:cs="宋体"/>
          <w:sz w:val="24"/>
          <w:szCs w:val="24"/>
          <w:lang w:eastAsia="zh-CN"/>
        </w:rPr>
        <w:t>2023年农村公路水毁抢修工程</w:t>
      </w:r>
    </w:p>
    <w:p w14:paraId="785189AB">
      <w:pPr>
        <w:spacing w:line="360" w:lineRule="auto"/>
        <w:ind w:firstLine="420" w:firstLineChars="175"/>
        <w:rPr>
          <w:rFonts w:hint="default" w:ascii="宋体" w:hAnsi="宋体" w:cs="宋体"/>
          <w:sz w:val="24"/>
          <w:szCs w:val="24"/>
          <w:lang w:val="en-US" w:eastAsia="zh-CN"/>
        </w:rPr>
      </w:pPr>
      <w:r>
        <w:rPr>
          <w:rFonts w:hint="eastAsia" w:ascii="宋体" w:hAnsi="宋体" w:cs="宋体"/>
          <w:sz w:val="24"/>
          <w:szCs w:val="24"/>
          <w:lang w:eastAsia="zh-CN"/>
        </w:rPr>
        <w:t>2、项目编号：</w:t>
      </w:r>
      <w:r>
        <w:rPr>
          <w:rFonts w:hint="eastAsia" w:ascii="宋体" w:hAnsi="宋体" w:cs="宋体"/>
          <w:sz w:val="24"/>
          <w:szCs w:val="24"/>
          <w:lang w:val="en-US" w:eastAsia="zh-CN"/>
        </w:rPr>
        <w:t>陕州竞磋采购-2025-99   SZGZ[2025]170-ZC113</w:t>
      </w:r>
    </w:p>
    <w:p w14:paraId="130D9794">
      <w:pPr>
        <w:spacing w:line="360" w:lineRule="auto"/>
        <w:ind w:firstLine="420" w:firstLineChars="175"/>
        <w:rPr>
          <w:rFonts w:ascii="宋体" w:hAnsi="宋体" w:cs="宋体"/>
          <w:sz w:val="24"/>
          <w:szCs w:val="24"/>
        </w:rPr>
      </w:pPr>
      <w:r>
        <w:rPr>
          <w:rFonts w:hint="eastAsia" w:ascii="宋体" w:hAnsi="宋体" w:cs="宋体"/>
          <w:sz w:val="24"/>
          <w:szCs w:val="24"/>
        </w:rPr>
        <w:t>3、采购方式：竞争性磋商</w:t>
      </w:r>
    </w:p>
    <w:p w14:paraId="20B2EFF1">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4、预算金额：¥897082.92元；</w:t>
      </w:r>
    </w:p>
    <w:p w14:paraId="1071B770">
      <w:pPr>
        <w:spacing w:line="360" w:lineRule="auto"/>
        <w:ind w:firstLine="420" w:firstLineChars="175"/>
        <w:rPr>
          <w:rFonts w:hint="eastAsia" w:ascii="宋体" w:hAnsi="宋体" w:cs="宋体"/>
          <w:sz w:val="24"/>
          <w:szCs w:val="24"/>
          <w:vertAlign w:val="baseline"/>
        </w:rPr>
      </w:pPr>
      <w:r>
        <w:rPr>
          <w:rFonts w:hint="eastAsia" w:ascii="宋体" w:hAnsi="宋体" w:cs="宋体"/>
          <w:sz w:val="24"/>
          <w:szCs w:val="24"/>
          <w:lang w:val="en-US" w:eastAsia="zh-CN"/>
        </w:rPr>
        <w:t>最高限价：¥897082.92元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107"/>
        <w:gridCol w:w="1718"/>
        <w:gridCol w:w="1358"/>
        <w:gridCol w:w="1358"/>
        <w:gridCol w:w="982"/>
        <w:gridCol w:w="1359"/>
      </w:tblGrid>
      <w:tr w14:paraId="019B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dxa"/>
          </w:tcPr>
          <w:p w14:paraId="42179350">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序号</w:t>
            </w:r>
          </w:p>
        </w:tc>
        <w:tc>
          <w:tcPr>
            <w:tcW w:w="2107" w:type="dxa"/>
          </w:tcPr>
          <w:p w14:paraId="637260AC">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包号</w:t>
            </w:r>
          </w:p>
        </w:tc>
        <w:tc>
          <w:tcPr>
            <w:tcW w:w="1718" w:type="dxa"/>
          </w:tcPr>
          <w:p w14:paraId="756C8978">
            <w:pPr>
              <w:keepNext w:val="0"/>
              <w:keepLines w:val="0"/>
              <w:suppressLineNumbers w:val="0"/>
              <w:spacing w:before="0" w:beforeAutospacing="0" w:after="0" w:afterAutospacing="0" w:line="360" w:lineRule="auto"/>
              <w:ind w:left="0" w:right="0"/>
              <w:rPr>
                <w:rFonts w:hint="default"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包名称</w:t>
            </w:r>
          </w:p>
        </w:tc>
        <w:tc>
          <w:tcPr>
            <w:tcW w:w="1358" w:type="dxa"/>
          </w:tcPr>
          <w:p w14:paraId="7C203F2D">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包预算（元）</w:t>
            </w:r>
          </w:p>
        </w:tc>
        <w:tc>
          <w:tcPr>
            <w:tcW w:w="1358" w:type="dxa"/>
          </w:tcPr>
          <w:p w14:paraId="7826B5F6">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包最高限价（元）</w:t>
            </w:r>
          </w:p>
        </w:tc>
        <w:tc>
          <w:tcPr>
            <w:tcW w:w="982" w:type="dxa"/>
          </w:tcPr>
          <w:p w14:paraId="4C093394">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是否专门面向中小企业</w:t>
            </w:r>
          </w:p>
        </w:tc>
        <w:tc>
          <w:tcPr>
            <w:tcW w:w="1359" w:type="dxa"/>
          </w:tcPr>
          <w:p w14:paraId="4DC56CD2">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采购预留金额（元）</w:t>
            </w:r>
          </w:p>
        </w:tc>
      </w:tr>
      <w:tr w14:paraId="2DFA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649E994C">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1</w:t>
            </w:r>
          </w:p>
        </w:tc>
        <w:tc>
          <w:tcPr>
            <w:tcW w:w="2107" w:type="dxa"/>
          </w:tcPr>
          <w:p w14:paraId="61F9B6AE">
            <w:pPr>
              <w:keepNext w:val="0"/>
              <w:keepLines w:val="0"/>
              <w:suppressLineNumbers w:val="0"/>
              <w:spacing w:before="0" w:beforeAutospacing="0" w:after="0" w:afterAutospacing="0" w:line="360" w:lineRule="auto"/>
              <w:ind w:left="0" w:right="0"/>
              <w:rPr>
                <w:rFonts w:hint="default" w:ascii="宋体" w:hAnsi="宋体" w:cs="宋体"/>
                <w:sz w:val="24"/>
                <w:szCs w:val="24"/>
                <w:vertAlign w:val="baseline"/>
                <w:lang w:val="en-US"/>
              </w:rPr>
            </w:pPr>
            <w:r>
              <w:rPr>
                <w:rFonts w:hint="eastAsia" w:ascii="宋体" w:hAnsi="宋体" w:cs="宋体"/>
                <w:sz w:val="24"/>
                <w:szCs w:val="24"/>
                <w:lang w:val="en-US" w:eastAsia="zh-CN"/>
              </w:rPr>
              <w:t>SZGZ[2025]170-ZC113-1</w:t>
            </w:r>
          </w:p>
        </w:tc>
        <w:tc>
          <w:tcPr>
            <w:tcW w:w="1718" w:type="dxa"/>
          </w:tcPr>
          <w:p w14:paraId="675D9B78">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eastAsia="zh-CN"/>
              </w:rPr>
              <w:t>2023年农村公路水毁抢修工程</w:t>
            </w:r>
          </w:p>
        </w:tc>
        <w:tc>
          <w:tcPr>
            <w:tcW w:w="1358" w:type="dxa"/>
          </w:tcPr>
          <w:p w14:paraId="19FC9544">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val="en-US" w:eastAsia="zh-CN"/>
              </w:rPr>
              <w:t>897082.92</w:t>
            </w:r>
          </w:p>
        </w:tc>
        <w:tc>
          <w:tcPr>
            <w:tcW w:w="1358" w:type="dxa"/>
          </w:tcPr>
          <w:p w14:paraId="2C92D877">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val="en-US" w:eastAsia="zh-CN"/>
              </w:rPr>
              <w:t>897082.92</w:t>
            </w:r>
          </w:p>
        </w:tc>
        <w:tc>
          <w:tcPr>
            <w:tcW w:w="982" w:type="dxa"/>
          </w:tcPr>
          <w:p w14:paraId="348C8898">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是</w:t>
            </w:r>
          </w:p>
        </w:tc>
        <w:tc>
          <w:tcPr>
            <w:tcW w:w="1359" w:type="dxa"/>
          </w:tcPr>
          <w:p w14:paraId="5F90E6F9">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val="en-US" w:eastAsia="zh-CN"/>
              </w:rPr>
              <w:t>897082.92</w:t>
            </w:r>
          </w:p>
        </w:tc>
      </w:tr>
    </w:tbl>
    <w:p w14:paraId="76095280">
      <w:pPr>
        <w:spacing w:line="360" w:lineRule="auto"/>
        <w:rPr>
          <w:rFonts w:hint="eastAsia" w:ascii="宋体" w:hAnsi="宋体" w:cs="宋体"/>
          <w:sz w:val="24"/>
          <w:szCs w:val="24"/>
        </w:rPr>
      </w:pPr>
    </w:p>
    <w:p w14:paraId="560C0653">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采购需求（包括但不限于标的的名称、数量、简要技术需求或服务要求等）</w:t>
      </w:r>
    </w:p>
    <w:p w14:paraId="5C9ED78D">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（1）采购范围：</w:t>
      </w:r>
      <w:r>
        <w:rPr>
          <w:rFonts w:hint="eastAsia" w:ascii="宋体" w:hAnsi="宋体" w:cs="宋体"/>
          <w:sz w:val="24"/>
          <w:szCs w:val="24"/>
          <w:lang w:eastAsia="zh-CN"/>
        </w:rPr>
        <w:t>本项目磋商文件、补充文件、工程量清单、图纸及答疑纪要等列明的所有内容；</w:t>
      </w:r>
    </w:p>
    <w:p w14:paraId="024899C5">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rPr>
      </w:pPr>
      <w:r>
        <w:rPr>
          <w:rFonts w:hint="eastAsia" w:ascii="宋体" w:hAnsi="宋体" w:cs="宋体"/>
          <w:sz w:val="24"/>
          <w:szCs w:val="24"/>
        </w:rPr>
        <w:t>（2）工程概况：</w:t>
      </w:r>
      <w:r>
        <w:rPr>
          <w:rFonts w:hint="eastAsia" w:ascii="宋体" w:hAnsi="宋体" w:cs="宋体"/>
          <w:sz w:val="24"/>
          <w:szCs w:val="24"/>
          <w:lang w:val="en-US" w:eastAsia="zh-CN"/>
        </w:rPr>
        <w:t>本项目为2023年农村公路水毁抢修工程。</w:t>
      </w:r>
    </w:p>
    <w:p w14:paraId="58A35541">
      <w:pPr>
        <w:spacing w:line="360" w:lineRule="auto"/>
        <w:ind w:firstLine="420" w:firstLineChars="175"/>
        <w:rPr>
          <w:rFonts w:ascii="宋体" w:hAnsi="宋体" w:cs="宋体"/>
          <w:sz w:val="24"/>
          <w:szCs w:val="24"/>
        </w:rPr>
      </w:pPr>
      <w:r>
        <w:rPr>
          <w:rFonts w:hint="eastAsia" w:ascii="宋体" w:hAnsi="宋体" w:cs="宋体"/>
          <w:sz w:val="24"/>
          <w:szCs w:val="24"/>
        </w:rPr>
        <w:t>（3）资金来源：财政资金，已落实。</w:t>
      </w:r>
    </w:p>
    <w:p w14:paraId="2EB4F2B1">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（4）质量要求：</w:t>
      </w:r>
      <w:r>
        <w:rPr>
          <w:rFonts w:hint="eastAsia" w:ascii="宋体" w:hAnsi="宋体" w:cs="宋体"/>
          <w:sz w:val="24"/>
          <w:szCs w:val="24"/>
          <w:lang w:eastAsia="zh-CN"/>
        </w:rPr>
        <w:t>达到国家现行工程施工质量验收规范合格标准</w:t>
      </w:r>
    </w:p>
    <w:p w14:paraId="2A2BEA3B">
      <w:pPr>
        <w:spacing w:line="360" w:lineRule="auto"/>
        <w:ind w:firstLine="420" w:firstLineChars="175"/>
        <w:rPr>
          <w:rFonts w:hint="eastAsia" w:ascii="宋体" w:hAnsi="宋体" w:cs="宋体"/>
          <w:sz w:val="24"/>
          <w:szCs w:val="24"/>
        </w:rPr>
      </w:pPr>
      <w:r>
        <w:rPr>
          <w:rFonts w:hint="eastAsia" w:ascii="宋体" w:hAnsi="宋体" w:cs="宋体"/>
          <w:sz w:val="24"/>
          <w:szCs w:val="24"/>
        </w:rPr>
        <w:t>（5）质保期：按国家规定</w:t>
      </w:r>
    </w:p>
    <w:p w14:paraId="27C56FAD">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（6）计划工期：</w:t>
      </w:r>
      <w:r>
        <w:rPr>
          <w:rFonts w:hint="eastAsia" w:ascii="宋体" w:hAnsi="宋体" w:cs="宋体"/>
          <w:color w:val="auto"/>
          <w:kern w:val="0"/>
          <w:sz w:val="24"/>
          <w:szCs w:val="24"/>
          <w:highlight w:val="none"/>
          <w:lang w:val="en-US" w:eastAsia="zh-CN"/>
        </w:rPr>
        <w:t>30日历天</w:t>
      </w:r>
    </w:p>
    <w:p w14:paraId="01A06EB7">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6、合同履约期限：以签订合同为准</w:t>
      </w:r>
    </w:p>
    <w:p w14:paraId="1746BBFE">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7、本项目是否接受联合体投标：否</w:t>
      </w:r>
    </w:p>
    <w:p w14:paraId="00396C21">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8、是否接受进口产品：否</w:t>
      </w:r>
    </w:p>
    <w:p w14:paraId="12ABD238">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9、是否专门面向中小企业：是</w:t>
      </w:r>
    </w:p>
    <w:p w14:paraId="4FC4E36A">
      <w:pPr>
        <w:spacing w:line="360" w:lineRule="auto"/>
        <w:ind w:firstLine="420" w:firstLineChars="175"/>
        <w:rPr>
          <w:rFonts w:ascii="宋体" w:hAnsi="宋体" w:cs="宋体"/>
          <w:sz w:val="24"/>
          <w:szCs w:val="24"/>
        </w:rPr>
      </w:pPr>
      <w:r>
        <w:rPr>
          <w:rFonts w:hint="eastAsia" w:ascii="宋体" w:hAnsi="宋体" w:cs="宋体"/>
          <w:sz w:val="24"/>
          <w:szCs w:val="24"/>
        </w:rPr>
        <w:t>二、供应商资格要求：</w:t>
      </w:r>
    </w:p>
    <w:p w14:paraId="2E84E8DD">
      <w:pPr>
        <w:spacing w:line="360" w:lineRule="auto"/>
        <w:ind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1、满足《中华人民共和国政府采购法》第二十二条规定；</w:t>
      </w:r>
    </w:p>
    <w:p w14:paraId="3B14FD64">
      <w:pPr>
        <w:spacing w:line="360" w:lineRule="auto"/>
        <w:ind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2、落实政府采购政策满足的资格要求：本项目专门面向中小企业采购，供应商必须是中小企业，并出具《中小企业声明函》；</w:t>
      </w:r>
    </w:p>
    <w:p w14:paraId="27592E66">
      <w:pPr>
        <w:spacing w:line="360" w:lineRule="auto"/>
        <w:ind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3、本项目的特定资格要求：</w:t>
      </w:r>
    </w:p>
    <w:p w14:paraId="508A0FED">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3.1供应商须具有独立的法人资格或其他组织</w:t>
      </w:r>
      <w:r>
        <w:rPr>
          <w:rFonts w:hint="eastAsia" w:ascii="宋体" w:hAnsi="宋体" w:cs="宋体"/>
          <w:sz w:val="24"/>
          <w:szCs w:val="24"/>
          <w:lang w:val="en-US" w:eastAsia="en-US"/>
        </w:rPr>
        <w:t>；</w:t>
      </w:r>
    </w:p>
    <w:p w14:paraId="6C05B209">
      <w:pPr>
        <w:spacing w:line="360" w:lineRule="auto"/>
        <w:ind w:firstLine="420" w:firstLineChars="175"/>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3.2供应商须具有公路工程施工总承包叁级及以上资质，具有有效的安全生产许可证；并在人员、设备、资金等方面具有相应的施工能力。</w:t>
      </w:r>
    </w:p>
    <w:p w14:paraId="50D8DF33">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w:t>
      </w:r>
      <w:r>
        <w:rPr>
          <w:rFonts w:hint="eastAsia" w:ascii="宋体" w:hAnsi="宋体" w:cs="宋体"/>
          <w:sz w:val="24"/>
          <w:szCs w:val="24"/>
          <w:lang w:val="en-US" w:eastAsia="zh-CN"/>
        </w:rPr>
        <w:t>，</w:t>
      </w:r>
      <w:r>
        <w:rPr>
          <w:rFonts w:hint="eastAsia" w:ascii="宋体" w:hAnsi="宋体" w:cs="宋体"/>
          <w:sz w:val="24"/>
          <w:szCs w:val="24"/>
          <w:lang w:val="en-US" w:eastAsia="en-US"/>
        </w:rPr>
        <w:t>且未在其他在建工程项目中担任项目经理；</w:t>
      </w:r>
    </w:p>
    <w:p w14:paraId="726B3950">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3FEE1A54">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3CFBBFD5">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42C29416">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4554C382">
      <w:pPr>
        <w:spacing w:line="360" w:lineRule="auto"/>
        <w:ind w:firstLine="420" w:firstLineChars="175"/>
        <w:rPr>
          <w:rFonts w:ascii="宋体" w:hAnsi="宋体" w:cs="宋体"/>
          <w:sz w:val="24"/>
          <w:szCs w:val="24"/>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p w14:paraId="0C0C9E7E">
      <w:pPr>
        <w:spacing w:line="360" w:lineRule="auto"/>
        <w:ind w:firstLine="420" w:firstLineChars="175"/>
        <w:rPr>
          <w:rFonts w:ascii="宋体" w:hAnsi="宋体" w:cs="宋体"/>
          <w:sz w:val="24"/>
          <w:szCs w:val="24"/>
        </w:rPr>
      </w:pPr>
      <w:r>
        <w:rPr>
          <w:rFonts w:hint="eastAsia" w:ascii="宋体" w:hAnsi="宋体" w:cs="宋体"/>
          <w:sz w:val="24"/>
          <w:szCs w:val="24"/>
        </w:rPr>
        <w:t>三、获取采购文件：</w:t>
      </w:r>
    </w:p>
    <w:p w14:paraId="64B17D3E">
      <w:pPr>
        <w:spacing w:line="360" w:lineRule="auto"/>
        <w:ind w:firstLine="420" w:firstLineChars="175"/>
        <w:rPr>
          <w:rFonts w:ascii="宋体" w:hAnsi="宋体" w:cs="宋体"/>
          <w:sz w:val="24"/>
          <w:szCs w:val="24"/>
        </w:rPr>
      </w:pPr>
      <w:r>
        <w:rPr>
          <w:rFonts w:hint="eastAsia" w:ascii="宋体" w:hAnsi="宋体" w:cs="宋体"/>
          <w:sz w:val="24"/>
          <w:szCs w:val="24"/>
        </w:rPr>
        <w:t>1、时间</w:t>
      </w:r>
      <w:r>
        <w:rPr>
          <w:rFonts w:hint="eastAsia" w:ascii="宋体" w:hAnsi="宋体" w:cs="宋体"/>
          <w:color w:val="auto"/>
          <w:sz w:val="24"/>
          <w:szCs w:val="24"/>
        </w:rPr>
        <w:t>：</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cs="宋体"/>
          <w:color w:val="auto"/>
          <w:sz w:val="24"/>
          <w:szCs w:val="24"/>
        </w:rPr>
        <w:t>日至</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lang w:eastAsia="zh-CN"/>
        </w:rPr>
        <w:t>日</w:t>
      </w:r>
      <w:r>
        <w:rPr>
          <w:rFonts w:hint="eastAsia" w:ascii="宋体" w:hAnsi="宋体" w:cs="宋体"/>
          <w:sz w:val="24"/>
          <w:szCs w:val="24"/>
          <w:lang w:eastAsia="zh-CN"/>
        </w:rPr>
        <w:t>，</w:t>
      </w:r>
      <w:r>
        <w:rPr>
          <w:rFonts w:hint="eastAsia" w:ascii="宋体" w:hAnsi="宋体" w:cs="宋体"/>
          <w:sz w:val="24"/>
          <w:szCs w:val="24"/>
        </w:rPr>
        <w:t>每天上午00:00至12:00，下午12:00至23:59（北京时间，法定节假日除外。）；</w:t>
      </w:r>
    </w:p>
    <w:p w14:paraId="44B55C2D">
      <w:pPr>
        <w:spacing w:line="360" w:lineRule="auto"/>
        <w:ind w:firstLine="420" w:firstLineChars="175"/>
        <w:rPr>
          <w:rFonts w:ascii="宋体" w:hAnsi="宋体" w:cs="宋体"/>
          <w:sz w:val="24"/>
          <w:szCs w:val="24"/>
        </w:rPr>
      </w:pPr>
      <w:r>
        <w:rPr>
          <w:rFonts w:hint="eastAsia" w:ascii="宋体" w:hAnsi="宋体" w:cs="宋体"/>
          <w:sz w:val="24"/>
          <w:szCs w:val="24"/>
        </w:rPr>
        <w:t>2、地点：三门峡市公共资源交易中心网（网址：http://gzjy.smx.gov.cn）；</w:t>
      </w:r>
    </w:p>
    <w:p w14:paraId="08C2099C">
      <w:pPr>
        <w:spacing w:line="360" w:lineRule="auto"/>
        <w:ind w:firstLine="420" w:firstLineChars="175"/>
        <w:rPr>
          <w:rFonts w:ascii="宋体" w:hAnsi="宋体" w:cs="宋体"/>
          <w:sz w:val="24"/>
          <w:szCs w:val="24"/>
        </w:rPr>
      </w:pPr>
      <w:r>
        <w:rPr>
          <w:rFonts w:hint="eastAsia" w:ascii="宋体" w:hAnsi="宋体" w:cs="宋体"/>
          <w:sz w:val="24"/>
          <w:szCs w:val="24"/>
        </w:rPr>
        <w:t>3、方式：供应商凭CA数字证书通过三门峡市公共资源交易中心网（网址：http://gzjy.smx.gov.cn），点击交易平台选择“市场主体登录”，在所参与项目右侧点击参与投标，即可直接下载本项目磋商文件。</w:t>
      </w:r>
    </w:p>
    <w:p w14:paraId="721C014F">
      <w:pPr>
        <w:spacing w:line="360" w:lineRule="auto"/>
        <w:ind w:firstLine="420" w:firstLineChars="175"/>
        <w:rPr>
          <w:rFonts w:ascii="宋体" w:hAnsi="宋体" w:cs="宋体"/>
          <w:sz w:val="24"/>
          <w:szCs w:val="24"/>
        </w:rPr>
      </w:pPr>
      <w:r>
        <w:rPr>
          <w:rFonts w:hint="eastAsia" w:ascii="宋体" w:hAnsi="宋体" w:cs="宋体"/>
          <w:sz w:val="24"/>
          <w:szCs w:val="24"/>
        </w:rPr>
        <w:t>三门峡市公共资源交易平台使用CA证书操作手册：</w:t>
      </w:r>
    </w:p>
    <w:p w14:paraId="4ED3ECCD">
      <w:pPr>
        <w:spacing w:line="360" w:lineRule="auto"/>
        <w:ind w:firstLine="367" w:firstLineChars="175"/>
        <w:rPr>
          <w:rFonts w:ascii="宋体" w:hAnsi="宋体" w:cs="宋体"/>
          <w:sz w:val="24"/>
          <w:szCs w:val="24"/>
        </w:rPr>
      </w:pPr>
      <w:r>
        <w:fldChar w:fldCharType="begin"/>
      </w:r>
      <w:r>
        <w:instrText xml:space="preserve"> HYPERLINK "http://gzjy.smx.gov.cn/fwzn/004003/20210114/62052444-fa5b-47bb-8c75-c669600e56a8.html" </w:instrText>
      </w:r>
      <w:r>
        <w:fldChar w:fldCharType="separate"/>
      </w:r>
      <w:r>
        <w:rPr>
          <w:rFonts w:hint="eastAsia" w:ascii="宋体" w:hAnsi="宋体" w:cs="宋体"/>
          <w:sz w:val="24"/>
          <w:szCs w:val="24"/>
        </w:rPr>
        <w:t>http://gzjy.smx.gov.cn/fwzn/004003/20210114/62052444-fa5b-47bb-8c75-c669600e56a8.html</w:t>
      </w:r>
      <w:r>
        <w:rPr>
          <w:rFonts w:hint="eastAsia" w:ascii="宋体" w:hAnsi="宋体" w:cs="宋体"/>
          <w:sz w:val="24"/>
          <w:szCs w:val="24"/>
        </w:rPr>
        <w:fldChar w:fldCharType="end"/>
      </w:r>
    </w:p>
    <w:p w14:paraId="5BE33838">
      <w:pPr>
        <w:spacing w:line="360" w:lineRule="auto"/>
        <w:ind w:firstLine="420" w:firstLineChars="175"/>
        <w:rPr>
          <w:rFonts w:ascii="宋体" w:hAnsi="宋体" w:cs="宋体"/>
          <w:sz w:val="24"/>
          <w:szCs w:val="24"/>
        </w:rPr>
      </w:pPr>
      <w:r>
        <w:rPr>
          <w:rFonts w:hint="eastAsia" w:ascii="宋体" w:hAnsi="宋体" w:cs="宋体"/>
          <w:sz w:val="24"/>
          <w:szCs w:val="24"/>
        </w:rPr>
        <w:t>根据《关于进一步加强公共资源交易管理持续优化营商环境的通知》（三公管办【2020】2号）文件的要求，磋商文件费用不再收取。</w:t>
      </w:r>
    </w:p>
    <w:p w14:paraId="308EA68C">
      <w:pPr>
        <w:spacing w:line="360" w:lineRule="auto"/>
        <w:ind w:firstLine="420" w:firstLineChars="175"/>
        <w:rPr>
          <w:rFonts w:ascii="宋体" w:hAnsi="宋体" w:cs="宋体"/>
          <w:sz w:val="24"/>
          <w:szCs w:val="24"/>
        </w:rPr>
      </w:pPr>
      <w:r>
        <w:rPr>
          <w:rFonts w:hint="eastAsia" w:ascii="宋体" w:hAnsi="宋体" w:cs="宋体"/>
          <w:sz w:val="24"/>
          <w:szCs w:val="24"/>
        </w:rPr>
        <w:t>四、响应文件的提交：</w:t>
      </w:r>
    </w:p>
    <w:p w14:paraId="797CEC1E">
      <w:pPr>
        <w:spacing w:line="360" w:lineRule="auto"/>
        <w:ind w:firstLine="420" w:firstLineChars="175"/>
        <w:rPr>
          <w:rFonts w:ascii="宋体" w:hAnsi="宋体" w:cs="宋体"/>
          <w:color w:val="auto"/>
          <w:sz w:val="24"/>
          <w:szCs w:val="24"/>
        </w:rPr>
      </w:pPr>
      <w:r>
        <w:rPr>
          <w:rFonts w:hint="eastAsia" w:ascii="宋体" w:hAnsi="宋体" w:cs="宋体"/>
          <w:sz w:val="24"/>
          <w:szCs w:val="24"/>
        </w:rPr>
        <w:t>1、响应文件提交的截止时</w:t>
      </w:r>
      <w:r>
        <w:rPr>
          <w:rFonts w:hint="eastAsia" w:ascii="宋体" w:hAnsi="宋体" w:cs="宋体"/>
          <w:color w:val="auto"/>
          <w:sz w:val="24"/>
          <w:szCs w:val="24"/>
        </w:rPr>
        <w:t>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eastAsia="zh-CN"/>
        </w:rPr>
        <w:t>日8时30分</w:t>
      </w:r>
      <w:r>
        <w:rPr>
          <w:rFonts w:hint="eastAsia" w:ascii="宋体" w:hAnsi="宋体" w:cs="宋体"/>
          <w:color w:val="auto"/>
          <w:sz w:val="24"/>
          <w:szCs w:val="24"/>
          <w:highlight w:val="none"/>
        </w:rPr>
        <w:t>；</w:t>
      </w:r>
    </w:p>
    <w:p w14:paraId="089CDF1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2、地点：在三门峡市公共资源交易中心网站上传加密响应文件；</w:t>
      </w:r>
    </w:p>
    <w:p w14:paraId="31261B3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注：本项目为不见面开标项目。开标当日供应商不得到开标现场参加开标会议。供应商应当在响应文件提交截止时间前，登陆不见面开标大厅（网址为</w:t>
      </w:r>
      <w:r>
        <w:rPr>
          <w:rFonts w:hint="eastAsia" w:ascii="宋体" w:hAnsi="宋体" w:cs="宋体"/>
          <w:color w:val="auto"/>
          <w:sz w:val="24"/>
        </w:rPr>
        <w:t>http://120.194.249.36:10094/BidOpening/bidopeninghallaction/hall/login</w:t>
      </w:r>
      <w:r>
        <w:rPr>
          <w:rFonts w:hint="eastAsia" w:ascii="宋体" w:hAnsi="宋体" w:cs="宋体"/>
          <w:color w:val="auto"/>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7D88DE0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五、响应文件的开启：</w:t>
      </w:r>
    </w:p>
    <w:p w14:paraId="57DF86F2">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rPr>
        <w:t>1、供应商提交的磋商响应文件将于</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eastAsia="zh-CN"/>
        </w:rPr>
        <w:t>日8时30分</w:t>
      </w:r>
      <w:r>
        <w:rPr>
          <w:rFonts w:hint="eastAsia" w:ascii="宋体" w:hAnsi="宋体" w:cs="宋体"/>
          <w:color w:val="auto"/>
          <w:sz w:val="24"/>
          <w:szCs w:val="24"/>
          <w:highlight w:val="none"/>
        </w:rPr>
        <w:t>在线准时开启；</w:t>
      </w:r>
    </w:p>
    <w:p w14:paraId="4B5A162A">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2、开标地点：</w:t>
      </w:r>
      <w:r>
        <w:rPr>
          <w:rFonts w:hint="eastAsia" w:ascii="宋体" w:hAnsi="宋体" w:cs="宋体"/>
          <w:color w:val="auto"/>
          <w:sz w:val="24"/>
          <w:szCs w:val="24"/>
          <w:highlight w:val="none"/>
          <w:lang w:eastAsia="zh-CN"/>
        </w:rPr>
        <w:t>三门峡市陕州区公共资源交易中心开标</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室</w:t>
      </w:r>
      <w:r>
        <w:rPr>
          <w:rFonts w:hint="eastAsia" w:ascii="宋体" w:hAnsi="宋体" w:cs="宋体"/>
          <w:color w:val="auto"/>
          <w:sz w:val="24"/>
          <w:szCs w:val="24"/>
          <w:highlight w:val="none"/>
        </w:rPr>
        <w:t>。</w:t>
      </w:r>
    </w:p>
    <w:p w14:paraId="4FD3F2FF">
      <w:pPr>
        <w:spacing w:line="360" w:lineRule="auto"/>
        <w:ind w:firstLine="420" w:firstLineChars="175"/>
        <w:rPr>
          <w:rFonts w:ascii="宋体" w:hAnsi="宋体" w:cs="宋体"/>
          <w:sz w:val="24"/>
          <w:szCs w:val="24"/>
        </w:rPr>
      </w:pPr>
      <w:r>
        <w:rPr>
          <w:rFonts w:hint="eastAsia" w:ascii="宋体" w:hAnsi="宋体" w:cs="宋体"/>
          <w:sz w:val="24"/>
          <w:szCs w:val="24"/>
        </w:rPr>
        <w:t>六、发布公告的媒介及期限</w:t>
      </w:r>
    </w:p>
    <w:p w14:paraId="5A5CCF39">
      <w:pPr>
        <w:spacing w:line="360" w:lineRule="auto"/>
        <w:ind w:firstLine="420" w:firstLineChars="175"/>
        <w:rPr>
          <w:rFonts w:ascii="宋体" w:hAnsi="宋体" w:cs="宋体"/>
          <w:sz w:val="24"/>
          <w:szCs w:val="24"/>
        </w:rPr>
      </w:pPr>
      <w:r>
        <w:rPr>
          <w:rFonts w:hint="eastAsia" w:ascii="宋体" w:hAnsi="宋体" w:cs="宋体"/>
          <w:sz w:val="24"/>
          <w:szCs w:val="24"/>
        </w:rPr>
        <w:t>本次竞争性磋商公告在</w:t>
      </w:r>
      <w:r>
        <w:rPr>
          <w:rFonts w:hint="eastAsia" w:ascii="宋体" w:hAnsi="宋体" w:cs="宋体"/>
          <w:sz w:val="24"/>
          <w:szCs w:val="24"/>
          <w:highlight w:val="none"/>
          <w:lang w:eastAsia="zh-CN"/>
        </w:rPr>
        <w:t>《河南省政府采购网》、《中国采购与招标网》、《三门峡市公共资源交易中心网》、《</w:t>
      </w:r>
      <w:r>
        <w:rPr>
          <w:rFonts w:hint="eastAsia" w:ascii="宋体" w:hAnsi="宋体" w:cs="宋体"/>
          <w:sz w:val="24"/>
          <w:szCs w:val="24"/>
          <w:highlight w:val="none"/>
          <w:lang w:val="en-US" w:eastAsia="zh-CN"/>
        </w:rPr>
        <w:t>陕州区交通运输局网</w:t>
      </w:r>
      <w:r>
        <w:rPr>
          <w:rFonts w:hint="eastAsia" w:ascii="宋体" w:hAnsi="宋体" w:cs="宋体"/>
          <w:sz w:val="24"/>
          <w:szCs w:val="24"/>
          <w:highlight w:val="none"/>
          <w:lang w:eastAsia="zh-CN"/>
        </w:rPr>
        <w:t>》</w:t>
      </w:r>
      <w:r>
        <w:rPr>
          <w:rFonts w:hint="eastAsia" w:ascii="宋体" w:hAnsi="宋体" w:cs="宋体"/>
          <w:sz w:val="24"/>
          <w:szCs w:val="24"/>
        </w:rPr>
        <w:t>上发布，公告期限为公告发布后</w:t>
      </w:r>
      <w:r>
        <w:rPr>
          <w:rFonts w:hint="eastAsia" w:ascii="宋体" w:hAnsi="宋体" w:cs="宋体"/>
          <w:sz w:val="24"/>
          <w:szCs w:val="24"/>
          <w:lang w:val="en-US" w:eastAsia="zh-CN"/>
        </w:rPr>
        <w:t>五</w:t>
      </w:r>
      <w:r>
        <w:rPr>
          <w:rFonts w:hint="eastAsia" w:ascii="宋体" w:hAnsi="宋体" w:cs="宋体"/>
          <w:sz w:val="24"/>
          <w:szCs w:val="24"/>
        </w:rPr>
        <w:t>个工作日。</w:t>
      </w:r>
    </w:p>
    <w:p w14:paraId="4B053A30">
      <w:pPr>
        <w:spacing w:line="360" w:lineRule="auto"/>
        <w:ind w:firstLine="420" w:firstLineChars="175"/>
        <w:rPr>
          <w:rFonts w:ascii="宋体" w:hAnsi="宋体" w:cs="宋体"/>
          <w:sz w:val="24"/>
          <w:szCs w:val="24"/>
        </w:rPr>
      </w:pPr>
      <w:r>
        <w:rPr>
          <w:rFonts w:hint="eastAsia" w:ascii="宋体" w:hAnsi="宋体" w:cs="宋体"/>
          <w:sz w:val="24"/>
          <w:szCs w:val="24"/>
        </w:rPr>
        <w:t>七、其他补充事宜</w:t>
      </w:r>
    </w:p>
    <w:p w14:paraId="17FC4D01">
      <w:pPr>
        <w:pStyle w:val="12"/>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本项目实行资格后审，根据优化营商环境的要求，评标时审查内容以响应文件为准：</w:t>
      </w:r>
    </w:p>
    <w:p w14:paraId="6ACD60AA">
      <w:pPr>
        <w:pStyle w:val="12"/>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1、资格评（预）审部分：资格评（预）审以响应文件为准，其上传资料真实性由供应商自行承担，同时，供应商要完善主体库。</w:t>
      </w:r>
    </w:p>
    <w:p w14:paraId="1CBB2851">
      <w:pPr>
        <w:pStyle w:val="12"/>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2、评标打分部分：评标打分部分仍按照100分制原则进行，涉及到资格审查、企业荣誉、人员业绩、企业业绩等计分部分时，以供应商自行上传到响应文件中的相应内容为准。</w:t>
      </w:r>
    </w:p>
    <w:p w14:paraId="298230E3">
      <w:pPr>
        <w:pStyle w:val="12"/>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32A688AC">
      <w:pPr>
        <w:pStyle w:val="12"/>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4、我单位（采购人）严格按三财购【2021】9号文要求的时限发布中标结果公告，发出中标通知书，签订采购合同，上传采购合同。</w:t>
      </w:r>
    </w:p>
    <w:p w14:paraId="77E80D91">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、磋商保证金：</w:t>
      </w:r>
    </w:p>
    <w:p w14:paraId="6A25F899">
      <w:pPr>
        <w:spacing w:line="360" w:lineRule="auto"/>
        <w:ind w:firstLine="420" w:firstLineChars="175"/>
        <w:rPr>
          <w:rFonts w:ascii="宋体" w:hAnsi="宋体" w:cs="宋体"/>
          <w:sz w:val="24"/>
          <w:szCs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p w14:paraId="5731656C">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、其他事项：</w:t>
      </w:r>
    </w:p>
    <w:p w14:paraId="030432E4">
      <w:pPr>
        <w:spacing w:line="360" w:lineRule="auto"/>
        <w:ind w:firstLine="420" w:firstLineChars="175"/>
        <w:rPr>
          <w:rFonts w:ascii="宋体" w:hAnsi="宋体" w:cs="宋体"/>
          <w:sz w:val="24"/>
          <w:szCs w:val="24"/>
        </w:rPr>
      </w:pPr>
      <w:r>
        <w:rPr>
          <w:rFonts w:hint="eastAsia" w:ascii="宋体" w:hAnsi="宋体" w:cs="宋体"/>
          <w:sz w:val="24"/>
          <w:szCs w:val="24"/>
        </w:rPr>
        <w:t>（1）磋商所发生一切费用由各供应商自行承担，并承担相应的风险和责任。</w:t>
      </w:r>
    </w:p>
    <w:p w14:paraId="3B10D85E">
      <w:pPr>
        <w:spacing w:line="360" w:lineRule="auto"/>
        <w:ind w:firstLine="420" w:firstLineChars="175"/>
        <w:rPr>
          <w:rFonts w:ascii="宋体" w:hAnsi="宋体" w:cs="宋体"/>
          <w:sz w:val="24"/>
          <w:szCs w:val="24"/>
        </w:rPr>
      </w:pPr>
      <w:r>
        <w:rPr>
          <w:rFonts w:hint="eastAsia" w:ascii="宋体" w:hAnsi="宋体" w:cs="宋体"/>
          <w:sz w:val="24"/>
          <w:szCs w:val="24"/>
        </w:rPr>
        <w:t>（2）供应商递交的磋商文件不论中标与否均不予退还。</w:t>
      </w:r>
    </w:p>
    <w:p w14:paraId="6510F114">
      <w:pPr>
        <w:spacing w:line="360" w:lineRule="auto"/>
        <w:ind w:firstLine="420" w:firstLineChars="175"/>
        <w:rPr>
          <w:rFonts w:ascii="宋体" w:hAnsi="宋体" w:cs="宋体"/>
          <w:sz w:val="24"/>
          <w:szCs w:val="24"/>
        </w:rPr>
      </w:pPr>
      <w:r>
        <w:rPr>
          <w:rFonts w:hint="eastAsia" w:ascii="宋体" w:hAnsi="宋体" w:cs="宋体"/>
          <w:sz w:val="24"/>
          <w:szCs w:val="24"/>
        </w:rPr>
        <w:t>（3）逾期上传或未按规定上传的电子磋商响应文件，采购人不予受理。</w:t>
      </w:r>
    </w:p>
    <w:p w14:paraId="395D3AF1">
      <w:pPr>
        <w:spacing w:line="360" w:lineRule="auto"/>
        <w:ind w:firstLine="420" w:firstLineChars="175"/>
        <w:rPr>
          <w:rFonts w:ascii="宋体" w:hAnsi="宋体" w:cs="宋体"/>
          <w:sz w:val="24"/>
          <w:szCs w:val="24"/>
        </w:rPr>
      </w:pPr>
      <w:r>
        <w:rPr>
          <w:rFonts w:hint="eastAsia" w:ascii="宋体" w:hAnsi="宋体" w:cs="宋体"/>
          <w:sz w:val="24"/>
          <w:szCs w:val="24"/>
        </w:rPr>
        <w:t>八、凡对本次招标提出询问，请按照以下方式联系</w:t>
      </w:r>
    </w:p>
    <w:p w14:paraId="12274A1F">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418E7DCB">
      <w:pPr>
        <w:spacing w:line="360" w:lineRule="auto"/>
        <w:ind w:firstLine="420" w:firstLineChars="175"/>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三门峡市陕州区交通运输局</w:t>
      </w:r>
      <w:r>
        <w:rPr>
          <w:rFonts w:hint="eastAsia" w:ascii="宋体" w:hAnsi="宋体" w:cs="宋体"/>
          <w:sz w:val="24"/>
          <w:szCs w:val="24"/>
        </w:rPr>
        <w:t xml:space="preserve"> </w:t>
      </w:r>
    </w:p>
    <w:p w14:paraId="4CD681DE">
      <w:pPr>
        <w:spacing w:line="360" w:lineRule="auto"/>
        <w:ind w:firstLine="420" w:firstLineChars="175"/>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三门峡市陕州区陕州大道东段</w:t>
      </w:r>
    </w:p>
    <w:p w14:paraId="03C2DC07">
      <w:pPr>
        <w:spacing w:line="360" w:lineRule="auto"/>
        <w:ind w:firstLine="420" w:firstLineChars="175"/>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崔先生</w:t>
      </w:r>
    </w:p>
    <w:p w14:paraId="0698F303">
      <w:pPr>
        <w:spacing w:line="360" w:lineRule="auto"/>
        <w:ind w:firstLine="420" w:firstLineChars="175"/>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13949789938</w:t>
      </w:r>
    </w:p>
    <w:p w14:paraId="41841123">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76B09667">
      <w:pPr>
        <w:spacing w:line="360" w:lineRule="auto"/>
        <w:ind w:firstLine="420" w:firstLineChars="175"/>
        <w:rPr>
          <w:rFonts w:hint="eastAsia" w:ascii="宋体" w:hAnsi="宋体" w:cs="宋体" w:eastAsiaTheme="minorEastAsia"/>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河南盾览工程管理咨询有限公司</w:t>
      </w:r>
    </w:p>
    <w:p w14:paraId="0CFABFB2">
      <w:pPr>
        <w:spacing w:line="360" w:lineRule="auto"/>
        <w:ind w:firstLine="420" w:firstLineChars="175"/>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lang w:eastAsia="zh-CN"/>
        </w:rPr>
        <w:t>河南自贸试验区郑州片区(郑东)东风南路绿地之窗景峰座四楼011室</w:t>
      </w:r>
    </w:p>
    <w:p w14:paraId="3C011DF6">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辛女士</w:t>
      </w:r>
    </w:p>
    <w:p w14:paraId="4DFFF4A7">
      <w:pPr>
        <w:spacing w:line="360" w:lineRule="auto"/>
        <w:ind w:firstLine="420" w:firstLineChars="175"/>
        <w:rPr>
          <w:rFonts w:hint="default" w:ascii="宋体" w:hAnsi="宋体" w:cs="宋体" w:eastAsiaTheme="minorEastAsia"/>
          <w:color w:val="0000FF"/>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13419801314</w:t>
      </w:r>
    </w:p>
    <w:p w14:paraId="43349D63">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44FD7A5D">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名称：</w:t>
      </w:r>
      <w:r>
        <w:rPr>
          <w:rFonts w:hint="eastAsia" w:ascii="宋体" w:hAnsi="宋体" w:eastAsia="宋体" w:cs="宋体"/>
          <w:i w:val="0"/>
          <w:iCs w:val="0"/>
          <w:caps w:val="0"/>
          <w:color w:val="333333"/>
          <w:spacing w:val="0"/>
          <w:sz w:val="24"/>
          <w:szCs w:val="24"/>
          <w:shd w:val="clear" w:fill="FFFFFF"/>
        </w:rPr>
        <w:t>三门峡市陕州区财政局政府采购监督管理科</w:t>
      </w:r>
    </w:p>
    <w:p w14:paraId="23939DC2">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联系方式：0398-3839210</w:t>
      </w:r>
    </w:p>
    <w:p w14:paraId="7802A0CF">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31BDA27A">
      <w:pPr>
        <w:spacing w:line="360" w:lineRule="auto"/>
        <w:ind w:firstLine="420" w:firstLineChars="175"/>
        <w:rPr>
          <w:rFonts w:ascii="宋体" w:hAnsi="宋体" w:cs="宋体"/>
          <w:color w:val="auto"/>
          <w:sz w:val="24"/>
          <w:szCs w:val="24"/>
          <w:highlight w:val="none"/>
        </w:rPr>
      </w:pPr>
      <w:r>
        <w:rPr>
          <w:rFonts w:hint="eastAsia" w:ascii="宋体" w:hAnsi="宋体" w:cs="宋体"/>
          <w:sz w:val="24"/>
          <w:szCs w:val="24"/>
          <w:highlight w:val="none"/>
        </w:rPr>
        <w:t>项目联系人：</w:t>
      </w:r>
      <w:r>
        <w:rPr>
          <w:rFonts w:hint="eastAsia" w:ascii="宋体" w:hAnsi="宋体" w:cs="宋体"/>
          <w:color w:val="auto"/>
          <w:sz w:val="24"/>
          <w:szCs w:val="24"/>
          <w:highlight w:val="none"/>
          <w:lang w:val="en-US" w:eastAsia="zh-CN"/>
        </w:rPr>
        <w:t>辛女士</w:t>
      </w:r>
    </w:p>
    <w:p w14:paraId="17697F37">
      <w:pPr>
        <w:spacing w:line="360" w:lineRule="auto"/>
        <w:ind w:firstLine="420" w:firstLineChars="175"/>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联系方式：</w:t>
      </w:r>
      <w:r>
        <w:rPr>
          <w:rFonts w:hint="eastAsia" w:ascii="宋体" w:hAnsi="宋体" w:cs="宋体"/>
          <w:color w:val="auto"/>
          <w:sz w:val="24"/>
          <w:szCs w:val="24"/>
          <w:highlight w:val="none"/>
          <w:lang w:val="en-US" w:eastAsia="zh-CN"/>
        </w:rPr>
        <w:t>13419801314</w:t>
      </w:r>
    </w:p>
    <w:p w14:paraId="5838FDA1">
      <w:pPr>
        <w:pStyle w:val="7"/>
        <w:ind w:left="63" w:right="63" w:firstLine="211"/>
      </w:pPr>
    </w:p>
    <w:p w14:paraId="692C95EA">
      <w:pPr>
        <w:widowControl/>
        <w:spacing w:after="312" w:afterLines="100" w:line="220" w:lineRule="atLeast"/>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0E8B73E9">
      <w:pPr>
        <w:widowControl/>
        <w:spacing w:after="312" w:afterLines="100" w:line="220" w:lineRule="atLeast"/>
        <w:jc w:val="center"/>
        <w:rPr>
          <w:rFonts w:hint="eastAsia" w:ascii="宋体" w:hAnsi="宋体" w:cs="宋体"/>
          <w:b/>
          <w:sz w:val="24"/>
          <w:szCs w:val="24"/>
        </w:rPr>
      </w:pPr>
      <w:bookmarkStart w:id="1" w:name="_Toc14693"/>
    </w:p>
    <w:p w14:paraId="1F8CC813">
      <w:pPr>
        <w:widowControl/>
        <w:spacing w:after="312" w:afterLines="100" w:line="220" w:lineRule="atLeast"/>
        <w:jc w:val="center"/>
        <w:rPr>
          <w:rFonts w:hint="eastAsia" w:ascii="宋体" w:hAnsi="宋体" w:cs="宋体"/>
          <w:b/>
          <w:sz w:val="24"/>
          <w:szCs w:val="24"/>
        </w:rPr>
      </w:pPr>
    </w:p>
    <w:p w14:paraId="318B98D3">
      <w:pPr>
        <w:widowControl/>
        <w:spacing w:after="312" w:afterLines="100" w:line="220" w:lineRule="atLeast"/>
        <w:jc w:val="center"/>
        <w:rPr>
          <w:rFonts w:ascii="宋体" w:hAnsi="宋体" w:cs="宋体"/>
          <w:b/>
          <w:sz w:val="24"/>
          <w:szCs w:val="24"/>
        </w:rPr>
      </w:pPr>
      <w:r>
        <w:rPr>
          <w:rFonts w:hint="eastAsia" w:ascii="宋体" w:hAnsi="宋体" w:cs="宋体"/>
          <w:b/>
          <w:sz w:val="24"/>
          <w:szCs w:val="24"/>
        </w:rPr>
        <w:t>第二章  供应商须知</w:t>
      </w:r>
    </w:p>
    <w:bookmarkEnd w:id="1"/>
    <w:p w14:paraId="6A4576A7">
      <w:pPr>
        <w:pStyle w:val="7"/>
        <w:ind w:left="63" w:right="63" w:firstLine="241"/>
      </w:pPr>
      <w:r>
        <w:rPr>
          <w:rFonts w:hint="eastAsia" w:hAnsi="宋体" w:cs="宋体"/>
          <w:color w:val="000000"/>
          <w:kern w:val="0"/>
          <w:sz w:val="24"/>
          <w:szCs w:val="24"/>
        </w:rPr>
        <w:t>供应商须知前附表</w:t>
      </w:r>
    </w:p>
    <w:tbl>
      <w:tblPr>
        <w:tblStyle w:val="15"/>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64"/>
        <w:gridCol w:w="6125"/>
      </w:tblGrid>
      <w:tr w14:paraId="7E7A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A42DB8">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序号</w:t>
            </w:r>
          </w:p>
        </w:tc>
        <w:tc>
          <w:tcPr>
            <w:tcW w:w="3164" w:type="dxa"/>
            <w:vAlign w:val="center"/>
          </w:tcPr>
          <w:p w14:paraId="4DF27D8B">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条 款 名 称</w:t>
            </w:r>
          </w:p>
        </w:tc>
        <w:tc>
          <w:tcPr>
            <w:tcW w:w="6125" w:type="dxa"/>
            <w:vAlign w:val="center"/>
          </w:tcPr>
          <w:p w14:paraId="29D41FB4">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编 列 内 容</w:t>
            </w:r>
          </w:p>
        </w:tc>
      </w:tr>
      <w:tr w14:paraId="7AE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AA26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1.1.1</w:t>
            </w:r>
          </w:p>
        </w:tc>
        <w:tc>
          <w:tcPr>
            <w:tcW w:w="3164" w:type="dxa"/>
            <w:vAlign w:val="center"/>
          </w:tcPr>
          <w:p w14:paraId="1389E2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采购人</w:t>
            </w:r>
          </w:p>
        </w:tc>
        <w:tc>
          <w:tcPr>
            <w:tcW w:w="6125" w:type="dxa"/>
          </w:tcPr>
          <w:p w14:paraId="3B2DA092">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三门峡市陕州区交通运输局</w:t>
            </w:r>
            <w:r>
              <w:rPr>
                <w:rFonts w:hint="eastAsia" w:ascii="宋体" w:hAnsi="宋体" w:cs="宋体"/>
                <w:sz w:val="24"/>
                <w:szCs w:val="24"/>
              </w:rPr>
              <w:t xml:space="preserve"> </w:t>
            </w:r>
          </w:p>
          <w:p w14:paraId="1E656082">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三门峡市陕州区陕州大道东段</w:t>
            </w:r>
          </w:p>
          <w:p w14:paraId="0F703FF8">
            <w:pPr>
              <w:keepNext w:val="0"/>
              <w:keepLines w:val="0"/>
              <w:suppressLineNumbers w:val="0"/>
              <w:spacing w:before="0" w:beforeAutospacing="0" w:after="0" w:afterAutospacing="0" w:line="360" w:lineRule="auto"/>
              <w:ind w:left="0" w:right="0"/>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崔先生</w:t>
            </w:r>
          </w:p>
          <w:p w14:paraId="18B04178">
            <w:pPr>
              <w:keepNext w:val="0"/>
              <w:keepLines w:val="0"/>
              <w:suppressLineNumbers w:val="0"/>
              <w:spacing w:before="0" w:beforeAutospacing="0" w:after="0" w:afterAutospacing="0" w:line="360" w:lineRule="auto"/>
              <w:ind w:left="0" w:right="0"/>
              <w:rPr>
                <w:rFonts w:hint="default" w:ascii="宋体" w:hAnsi="宋体" w:cs="宋体" w:eastAsiaTheme="minorEastAsia"/>
                <w:sz w:val="24"/>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13949789938</w:t>
            </w:r>
          </w:p>
        </w:tc>
      </w:tr>
      <w:tr w14:paraId="6862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6A052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1.1.2</w:t>
            </w:r>
          </w:p>
        </w:tc>
        <w:tc>
          <w:tcPr>
            <w:tcW w:w="3164" w:type="dxa"/>
            <w:vAlign w:val="center"/>
          </w:tcPr>
          <w:p w14:paraId="73E830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代理机构</w:t>
            </w:r>
          </w:p>
        </w:tc>
        <w:tc>
          <w:tcPr>
            <w:tcW w:w="6125" w:type="dxa"/>
          </w:tcPr>
          <w:p w14:paraId="58CC6201">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河南盾览工程管理咨询有限公司</w:t>
            </w:r>
          </w:p>
          <w:p w14:paraId="7A8EFFD2">
            <w:pPr>
              <w:keepNext w:val="0"/>
              <w:keepLines w:val="0"/>
              <w:suppressLineNumbers w:val="0"/>
              <w:spacing w:before="0" w:beforeAutospacing="0" w:after="0" w:afterAutospacing="0" w:line="360" w:lineRule="auto"/>
              <w:ind w:left="0" w:right="0"/>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lang w:eastAsia="zh-CN"/>
              </w:rPr>
              <w:t>河南自贸试验区郑州片区(郑东)东风南路绿地之窗景峰座四楼011室</w:t>
            </w:r>
          </w:p>
          <w:p w14:paraId="289A6AC9">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辛女士</w:t>
            </w:r>
          </w:p>
          <w:p w14:paraId="571A2EEB">
            <w:pPr>
              <w:keepNext w:val="0"/>
              <w:keepLines w:val="0"/>
              <w:suppressLineNumbers w:val="0"/>
              <w:autoSpaceDE w:val="0"/>
              <w:autoSpaceDN w:val="0"/>
              <w:adjustRightInd w:val="0"/>
              <w:spacing w:before="0" w:beforeAutospacing="0" w:after="0" w:afterAutospacing="0" w:line="360" w:lineRule="auto"/>
              <w:ind w:left="0" w:right="0"/>
              <w:jc w:val="left"/>
              <w:rPr>
                <w:rFonts w:hint="default" w:eastAsiaTheme="minorEastAsia"/>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13419801314</w:t>
            </w:r>
          </w:p>
        </w:tc>
      </w:tr>
      <w:tr w14:paraId="76A0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B6775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1.1.3</w:t>
            </w:r>
          </w:p>
        </w:tc>
        <w:tc>
          <w:tcPr>
            <w:tcW w:w="3164" w:type="dxa"/>
            <w:vAlign w:val="center"/>
          </w:tcPr>
          <w:p w14:paraId="3531989D">
            <w:pPr>
              <w:keepNext w:val="0"/>
              <w:keepLines w:val="0"/>
              <w:suppressLineNumbers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项目名称</w:t>
            </w:r>
          </w:p>
        </w:tc>
        <w:tc>
          <w:tcPr>
            <w:tcW w:w="6125" w:type="dxa"/>
            <w:vAlign w:val="center"/>
          </w:tcPr>
          <w:p w14:paraId="3F7858D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sz w:val="24"/>
                <w:lang w:eastAsia="zh-CN"/>
              </w:rPr>
            </w:pPr>
            <w:r>
              <w:rPr>
                <w:rFonts w:hint="eastAsia" w:ascii="宋体" w:hAnsi="宋体" w:cs="宋体"/>
                <w:sz w:val="24"/>
                <w:szCs w:val="24"/>
                <w:lang w:eastAsia="zh-CN"/>
              </w:rPr>
              <w:t>2023年农村公路水毁抢修工程</w:t>
            </w:r>
          </w:p>
        </w:tc>
      </w:tr>
      <w:tr w14:paraId="592B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CE09E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1.1.4</w:t>
            </w:r>
          </w:p>
        </w:tc>
        <w:tc>
          <w:tcPr>
            <w:tcW w:w="3164" w:type="dxa"/>
            <w:vAlign w:val="center"/>
          </w:tcPr>
          <w:p w14:paraId="47B21C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项目地点</w:t>
            </w:r>
          </w:p>
        </w:tc>
        <w:tc>
          <w:tcPr>
            <w:tcW w:w="6125" w:type="dxa"/>
            <w:vAlign w:val="center"/>
          </w:tcPr>
          <w:p w14:paraId="49EC2B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eastAsiaTheme="minorEastAsia"/>
                <w:kern w:val="0"/>
                <w:sz w:val="24"/>
                <w:lang w:val="en-US" w:eastAsia="zh-CN"/>
              </w:rPr>
            </w:pPr>
            <w:r>
              <w:rPr>
                <w:rFonts w:hint="eastAsia" w:ascii="宋体" w:hAnsi="宋体" w:cs="宋体"/>
                <w:kern w:val="0"/>
                <w:sz w:val="24"/>
                <w:lang w:val="en-US" w:eastAsia="zh-CN"/>
              </w:rPr>
              <w:t>陕州区</w:t>
            </w:r>
          </w:p>
        </w:tc>
      </w:tr>
      <w:tr w14:paraId="1903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BBCC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1.1.5</w:t>
            </w:r>
          </w:p>
        </w:tc>
        <w:tc>
          <w:tcPr>
            <w:tcW w:w="3164" w:type="dxa"/>
            <w:vAlign w:val="center"/>
          </w:tcPr>
          <w:p w14:paraId="012162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项目概况</w:t>
            </w:r>
          </w:p>
        </w:tc>
        <w:tc>
          <w:tcPr>
            <w:tcW w:w="6125" w:type="dxa"/>
            <w:vAlign w:val="center"/>
          </w:tcPr>
          <w:p w14:paraId="13285FE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20" w:lineRule="exact"/>
              <w:ind w:left="0" w:leftChars="0" w:right="0" w:rightChars="0" w:firstLine="494" w:firstLineChars="206"/>
              <w:jc w:val="both"/>
              <w:textAlignment w:val="auto"/>
              <w:rPr>
                <w:rFonts w:hint="default" w:ascii="宋体" w:hAnsi="宋体" w:cs="宋体"/>
                <w:sz w:val="24"/>
              </w:rPr>
            </w:pPr>
            <w:r>
              <w:rPr>
                <w:rFonts w:hint="eastAsia" w:ascii="宋体" w:hAnsi="宋体" w:cs="宋体"/>
                <w:sz w:val="24"/>
                <w:szCs w:val="24"/>
                <w:lang w:val="en-US" w:eastAsia="zh-CN"/>
              </w:rPr>
              <w:t>本项目为2023年农村公路水毁抢修工程。</w:t>
            </w:r>
          </w:p>
        </w:tc>
      </w:tr>
      <w:tr w14:paraId="7820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E73EE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1.2.1</w:t>
            </w:r>
          </w:p>
        </w:tc>
        <w:tc>
          <w:tcPr>
            <w:tcW w:w="3164" w:type="dxa"/>
            <w:vAlign w:val="center"/>
          </w:tcPr>
          <w:p w14:paraId="53FFA0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资金来源</w:t>
            </w:r>
          </w:p>
        </w:tc>
        <w:tc>
          <w:tcPr>
            <w:tcW w:w="6125" w:type="dxa"/>
            <w:vAlign w:val="center"/>
          </w:tcPr>
          <w:p w14:paraId="2B45C1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default" w:ascii="宋体" w:hAnsi="宋体" w:cs="宋体"/>
                <w:kern w:val="0"/>
                <w:sz w:val="24"/>
              </w:rPr>
              <w:t>财政资金</w:t>
            </w:r>
          </w:p>
        </w:tc>
      </w:tr>
      <w:tr w14:paraId="622D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50992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1.2.2</w:t>
            </w:r>
          </w:p>
        </w:tc>
        <w:tc>
          <w:tcPr>
            <w:tcW w:w="3164" w:type="dxa"/>
            <w:vAlign w:val="center"/>
          </w:tcPr>
          <w:p w14:paraId="2CF6AC7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资金落实情况</w:t>
            </w:r>
          </w:p>
        </w:tc>
        <w:tc>
          <w:tcPr>
            <w:tcW w:w="6125" w:type="dxa"/>
            <w:vAlign w:val="center"/>
          </w:tcPr>
          <w:p w14:paraId="7C3FEF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已落实</w:t>
            </w:r>
          </w:p>
        </w:tc>
      </w:tr>
      <w:tr w14:paraId="3F15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3B1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1.3.1</w:t>
            </w:r>
          </w:p>
        </w:tc>
        <w:tc>
          <w:tcPr>
            <w:tcW w:w="3164" w:type="dxa"/>
            <w:vAlign w:val="center"/>
          </w:tcPr>
          <w:p w14:paraId="6E2652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采购范围</w:t>
            </w:r>
          </w:p>
        </w:tc>
        <w:tc>
          <w:tcPr>
            <w:tcW w:w="6125" w:type="dxa"/>
            <w:vAlign w:val="center"/>
          </w:tcPr>
          <w:p w14:paraId="74A39C8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kern w:val="0"/>
                <w:sz w:val="24"/>
                <w:lang w:eastAsia="zh-CN"/>
              </w:rPr>
            </w:pPr>
            <w:r>
              <w:rPr>
                <w:rFonts w:hint="eastAsia" w:ascii="宋体" w:hAnsi="宋体" w:cs="宋体"/>
                <w:kern w:val="0"/>
                <w:sz w:val="24"/>
                <w:szCs w:val="24"/>
                <w:lang w:eastAsia="zh-CN"/>
              </w:rPr>
              <w:t>本项目磋商文件、补充文件、工程量清单、图纸及答疑纪要等列明的所有内容；</w:t>
            </w:r>
          </w:p>
        </w:tc>
      </w:tr>
      <w:tr w14:paraId="20DE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6E28F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1.3.2</w:t>
            </w:r>
          </w:p>
        </w:tc>
        <w:tc>
          <w:tcPr>
            <w:tcW w:w="3164" w:type="dxa"/>
            <w:vAlign w:val="center"/>
          </w:tcPr>
          <w:p w14:paraId="405666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计划工期</w:t>
            </w:r>
          </w:p>
        </w:tc>
        <w:tc>
          <w:tcPr>
            <w:tcW w:w="6125" w:type="dxa"/>
            <w:vAlign w:val="center"/>
          </w:tcPr>
          <w:p w14:paraId="199967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szCs w:val="24"/>
                <w:highlight w:val="none"/>
                <w:lang w:val="en-US" w:eastAsia="zh-CN"/>
              </w:rPr>
              <w:t>30日历天</w:t>
            </w:r>
          </w:p>
        </w:tc>
      </w:tr>
      <w:tr w14:paraId="579A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C1F83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1.3.3</w:t>
            </w:r>
          </w:p>
        </w:tc>
        <w:tc>
          <w:tcPr>
            <w:tcW w:w="3164" w:type="dxa"/>
            <w:vAlign w:val="center"/>
          </w:tcPr>
          <w:p w14:paraId="2CA82A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质量要求</w:t>
            </w:r>
          </w:p>
        </w:tc>
        <w:tc>
          <w:tcPr>
            <w:tcW w:w="6125" w:type="dxa"/>
            <w:vAlign w:val="center"/>
          </w:tcPr>
          <w:p w14:paraId="133663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kern w:val="0"/>
                <w:sz w:val="24"/>
                <w:lang w:eastAsia="zh-CN"/>
              </w:rPr>
            </w:pPr>
            <w:r>
              <w:rPr>
                <w:rFonts w:hint="eastAsia" w:ascii="宋体" w:hAnsi="宋体" w:cs="宋体"/>
                <w:sz w:val="24"/>
                <w:szCs w:val="24"/>
                <w:lang w:eastAsia="zh-CN"/>
              </w:rPr>
              <w:t>达到国家现行工程施工质量验收规范合格标准</w:t>
            </w:r>
          </w:p>
        </w:tc>
      </w:tr>
      <w:tr w14:paraId="1FE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0A34B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1.3.4</w:t>
            </w:r>
          </w:p>
        </w:tc>
        <w:tc>
          <w:tcPr>
            <w:tcW w:w="3164" w:type="dxa"/>
            <w:vAlign w:val="center"/>
          </w:tcPr>
          <w:p w14:paraId="56D7B2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质保期</w:t>
            </w:r>
          </w:p>
        </w:tc>
        <w:tc>
          <w:tcPr>
            <w:tcW w:w="6125" w:type="dxa"/>
            <w:vAlign w:val="center"/>
          </w:tcPr>
          <w:p w14:paraId="39AD90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按国家规定</w:t>
            </w:r>
          </w:p>
        </w:tc>
      </w:tr>
      <w:tr w14:paraId="656B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9D132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1.4</w:t>
            </w:r>
          </w:p>
        </w:tc>
        <w:tc>
          <w:tcPr>
            <w:tcW w:w="3164" w:type="dxa"/>
            <w:vAlign w:val="center"/>
          </w:tcPr>
          <w:p w14:paraId="1B1BD200">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供应商资格要求</w:t>
            </w:r>
          </w:p>
        </w:tc>
        <w:tc>
          <w:tcPr>
            <w:tcW w:w="6125" w:type="dxa"/>
          </w:tcPr>
          <w:p w14:paraId="115C225B">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1、满足《中华人民共和国政府采购法》第二十二条规定；</w:t>
            </w:r>
          </w:p>
          <w:p w14:paraId="01B6021E">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2、落实政府采购政策满足的资格要求：本项目专门面向中小企业采购，供应商必须是中小企业，并出具《中小企业声明函》；</w:t>
            </w:r>
          </w:p>
          <w:p w14:paraId="0DD10F21">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3、本项目的特定资格要求：</w:t>
            </w:r>
          </w:p>
          <w:p w14:paraId="61BD3F51">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3.1供应商须具有独立的法人资格或其他组织；</w:t>
            </w:r>
          </w:p>
          <w:p w14:paraId="3E80891A">
            <w:pPr>
              <w:keepNext w:val="0"/>
              <w:keepLines w:val="0"/>
              <w:suppressLineNumbers w:val="0"/>
              <w:spacing w:before="0" w:beforeAutospacing="0" w:after="0" w:afterAutospacing="0" w:line="360" w:lineRule="auto"/>
              <w:ind w:left="0" w:right="0" w:firstLine="420" w:firstLineChars="175"/>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3.2供应商须具有公路工程施工总承包叁级及以上资质，具有有效的安全生产许可证；并在人员、设备、资金等方面具有相应的施工能力。</w:t>
            </w:r>
          </w:p>
          <w:p w14:paraId="7A9410BD">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w:t>
            </w:r>
            <w:r>
              <w:rPr>
                <w:rFonts w:hint="eastAsia" w:ascii="宋体" w:hAnsi="宋体" w:cs="宋体"/>
                <w:sz w:val="24"/>
                <w:szCs w:val="24"/>
                <w:lang w:val="en-US" w:eastAsia="zh-CN"/>
              </w:rPr>
              <w:t>，</w:t>
            </w:r>
            <w:r>
              <w:rPr>
                <w:rFonts w:hint="eastAsia" w:ascii="宋体" w:hAnsi="宋体" w:cs="宋体"/>
                <w:sz w:val="24"/>
                <w:szCs w:val="24"/>
                <w:lang w:val="en-US" w:eastAsia="en-US"/>
              </w:rPr>
              <w:t>且未在其他在建工程项目中担任项目经理；</w:t>
            </w:r>
          </w:p>
          <w:p w14:paraId="565F60D6">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04EF3A41">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304ED5D1">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0D379F74">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068E5F32">
            <w:pPr>
              <w:keepNext w:val="0"/>
              <w:keepLines w:val="0"/>
              <w:suppressLineNumbers w:val="0"/>
              <w:spacing w:before="0" w:beforeAutospacing="0" w:after="0" w:afterAutospacing="0" w:line="360" w:lineRule="auto"/>
              <w:ind w:left="0" w:right="0" w:firstLine="420" w:firstLineChars="175"/>
              <w:rPr>
                <w:rFonts w:hint="default" w:ascii="宋体" w:hAnsi="宋体" w:cs="宋体"/>
                <w:kern w:val="0"/>
                <w:sz w:val="24"/>
                <w:szCs w:val="28"/>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tc>
      </w:tr>
      <w:tr w14:paraId="3567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FEA39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1.6.5</w:t>
            </w:r>
          </w:p>
        </w:tc>
        <w:tc>
          <w:tcPr>
            <w:tcW w:w="3164" w:type="dxa"/>
            <w:vAlign w:val="center"/>
          </w:tcPr>
          <w:p w14:paraId="6CD0D3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是否退还磋商响应文件</w:t>
            </w:r>
          </w:p>
        </w:tc>
        <w:tc>
          <w:tcPr>
            <w:tcW w:w="6125" w:type="dxa"/>
            <w:vAlign w:val="center"/>
          </w:tcPr>
          <w:p w14:paraId="6F2736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否 </w:t>
            </w:r>
          </w:p>
        </w:tc>
      </w:tr>
      <w:tr w14:paraId="6E51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42C26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1.7</w:t>
            </w:r>
          </w:p>
        </w:tc>
        <w:tc>
          <w:tcPr>
            <w:tcW w:w="3164" w:type="dxa"/>
            <w:vAlign w:val="center"/>
          </w:tcPr>
          <w:p w14:paraId="680E2CB2">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16E69047">
            <w:pPr>
              <w:keepNext w:val="0"/>
              <w:keepLines w:val="0"/>
              <w:widowControl/>
              <w:suppressLineNumbers w:val="0"/>
              <w:adjustRightInd w:val="0"/>
              <w:snapToGrid w:val="0"/>
              <w:spacing w:before="0" w:beforeAutospacing="0" w:after="0" w:afterAutospacing="0"/>
              <w:ind w:left="0" w:leftChars="0" w:right="0" w:rightChars="0"/>
              <w:jc w:val="left"/>
              <w:rPr>
                <w:rFonts w:hint="eastAsia" w:ascii="宋体" w:hAnsi="宋体" w:cs="宋体"/>
                <w:sz w:val="24"/>
              </w:rPr>
            </w:pPr>
            <w:r>
              <w:rPr>
                <w:rFonts w:hint="eastAsia" w:ascii="宋体" w:hAnsi="宋体"/>
                <w:b/>
                <w:bCs/>
                <w:color w:val="000000"/>
                <w:kern w:val="0"/>
                <w:sz w:val="24"/>
                <w:szCs w:val="24"/>
                <w:lang w:val="en-US" w:eastAsia="zh-CN"/>
              </w:rPr>
              <w:t>建筑业</w:t>
            </w:r>
          </w:p>
        </w:tc>
      </w:tr>
      <w:tr w14:paraId="7206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DFF48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2.1</w:t>
            </w:r>
          </w:p>
        </w:tc>
        <w:tc>
          <w:tcPr>
            <w:tcW w:w="3164" w:type="dxa"/>
            <w:vAlign w:val="center"/>
          </w:tcPr>
          <w:p w14:paraId="1D3A71B0">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cs="宋体"/>
                <w:color w:val="auto"/>
                <w:sz w:val="24"/>
                <w:szCs w:val="24"/>
                <w:highlight w:val="none"/>
              </w:rPr>
              <w:t>踏勘现场</w:t>
            </w:r>
          </w:p>
        </w:tc>
        <w:tc>
          <w:tcPr>
            <w:tcW w:w="6125" w:type="dxa"/>
            <w:vAlign w:val="center"/>
          </w:tcPr>
          <w:p w14:paraId="6A5B4751">
            <w:pPr>
              <w:keepNext w:val="0"/>
              <w:keepLines w:val="0"/>
              <w:widowControl/>
              <w:suppressLineNumbers w:val="0"/>
              <w:spacing w:before="0" w:beforeAutospacing="0" w:after="0" w:afterAutospacing="0" w:line="460" w:lineRule="exact"/>
              <w:ind w:left="0" w:right="0"/>
              <w:jc w:val="left"/>
              <w:rPr>
                <w:rFonts w:hint="eastAsia" w:ascii="宋体" w:hAnsi="宋体" w:cs="宋体"/>
                <w:sz w:val="24"/>
              </w:rPr>
            </w:pPr>
            <w:r>
              <w:rPr>
                <w:rFonts w:hint="eastAsia" w:ascii="宋体" w:hAnsi="宋体" w:cs="宋体"/>
                <w:color w:val="auto"/>
                <w:sz w:val="24"/>
                <w:szCs w:val="24"/>
                <w:highlight w:val="none"/>
              </w:rPr>
              <w:t xml:space="preserve">  不组织，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自行踏勘。</w:t>
            </w:r>
          </w:p>
        </w:tc>
      </w:tr>
      <w:tr w14:paraId="6DDF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D17E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2.2</w:t>
            </w:r>
          </w:p>
        </w:tc>
        <w:tc>
          <w:tcPr>
            <w:tcW w:w="3164" w:type="dxa"/>
            <w:vAlign w:val="center"/>
          </w:tcPr>
          <w:p w14:paraId="27C041FD">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磋商预备会</w:t>
            </w:r>
          </w:p>
        </w:tc>
        <w:tc>
          <w:tcPr>
            <w:tcW w:w="6125" w:type="dxa"/>
            <w:vAlign w:val="center"/>
          </w:tcPr>
          <w:p w14:paraId="0A9540A7">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不召开</w:t>
            </w:r>
          </w:p>
        </w:tc>
      </w:tr>
      <w:tr w14:paraId="50DA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B1297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2.3</w:t>
            </w:r>
          </w:p>
        </w:tc>
        <w:tc>
          <w:tcPr>
            <w:tcW w:w="3164" w:type="dxa"/>
            <w:vAlign w:val="center"/>
          </w:tcPr>
          <w:p w14:paraId="06CDD7B0">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sz w:val="24"/>
                <w:szCs w:val="24"/>
                <w:lang w:eastAsia="zh-CN"/>
              </w:rPr>
              <w:t>供应商</w:t>
            </w:r>
            <w:r>
              <w:rPr>
                <w:rFonts w:hint="eastAsia" w:ascii="宋体" w:hAnsi="宋体"/>
                <w:sz w:val="24"/>
                <w:szCs w:val="24"/>
              </w:rPr>
              <w:t>提出问题的截止时间</w:t>
            </w:r>
          </w:p>
        </w:tc>
        <w:tc>
          <w:tcPr>
            <w:tcW w:w="6125" w:type="dxa"/>
            <w:vAlign w:val="center"/>
          </w:tcPr>
          <w:p w14:paraId="547431B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2DA0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70FFE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2.4</w:t>
            </w:r>
          </w:p>
        </w:tc>
        <w:tc>
          <w:tcPr>
            <w:tcW w:w="3164" w:type="dxa"/>
            <w:vAlign w:val="center"/>
          </w:tcPr>
          <w:p w14:paraId="19D24006">
            <w:pPr>
              <w:keepNext w:val="0"/>
              <w:keepLines w:val="0"/>
              <w:widowControl/>
              <w:suppressLineNumbers w:val="0"/>
              <w:spacing w:before="0" w:beforeAutospacing="0" w:after="0" w:afterAutospacing="0" w:line="460" w:lineRule="exact"/>
              <w:ind w:left="0" w:right="0"/>
              <w:jc w:val="center"/>
              <w:rPr>
                <w:rFonts w:hint="eastAsia" w:ascii="宋体" w:hAnsi="宋体"/>
                <w:sz w:val="24"/>
                <w:szCs w:val="24"/>
                <w:lang w:eastAsia="zh-CN"/>
              </w:rPr>
            </w:pPr>
            <w:r>
              <w:rPr>
                <w:rFonts w:hint="eastAsia" w:ascii="宋体" w:hAnsi="宋体"/>
                <w:sz w:val="24"/>
                <w:szCs w:val="24"/>
              </w:rPr>
              <w:t>招标人书面澄清的时间</w:t>
            </w:r>
          </w:p>
        </w:tc>
        <w:tc>
          <w:tcPr>
            <w:tcW w:w="6125" w:type="dxa"/>
            <w:vAlign w:val="center"/>
          </w:tcPr>
          <w:p w14:paraId="46D2BC5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477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2D3A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2.5</w:t>
            </w:r>
          </w:p>
        </w:tc>
        <w:tc>
          <w:tcPr>
            <w:tcW w:w="3164" w:type="dxa"/>
            <w:vAlign w:val="center"/>
          </w:tcPr>
          <w:p w14:paraId="5D4613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磋商有效期</w:t>
            </w:r>
          </w:p>
        </w:tc>
        <w:tc>
          <w:tcPr>
            <w:tcW w:w="6125" w:type="dxa"/>
            <w:vAlign w:val="center"/>
          </w:tcPr>
          <w:p w14:paraId="416ABA7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磋商响应文件递交截止日后60日历天</w:t>
            </w:r>
          </w:p>
        </w:tc>
      </w:tr>
      <w:tr w14:paraId="296C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4DFF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2.6</w:t>
            </w:r>
          </w:p>
        </w:tc>
        <w:tc>
          <w:tcPr>
            <w:tcW w:w="3164" w:type="dxa"/>
            <w:vAlign w:val="center"/>
          </w:tcPr>
          <w:p w14:paraId="006834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电子化磋商响应文件的编制和签署</w:t>
            </w:r>
          </w:p>
        </w:tc>
        <w:tc>
          <w:tcPr>
            <w:tcW w:w="6125" w:type="dxa"/>
          </w:tcPr>
          <w:p w14:paraId="0DE37B5F">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1、磋商响应文件应按第六章“磋商响应文件格式”进行编写，如有必要，可以增加附页，作为磋商响应文件的组成部分。</w:t>
            </w:r>
          </w:p>
          <w:p w14:paraId="5CC32042">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08B6BC97">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3、供应商在生成电子化磋商响应文件后，必须对电子化磋商响应文件进行电子签章，未进行签章的视为无效文件。</w:t>
            </w:r>
          </w:p>
          <w:p w14:paraId="414EF87A">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14:paraId="127845F5">
            <w:pPr>
              <w:keepNext w:val="0"/>
              <w:keepLines w:val="0"/>
              <w:suppressLineNumbers w:val="0"/>
              <w:spacing w:before="0" w:beforeAutospacing="0" w:after="0" w:afterAutospacing="0" w:line="360" w:lineRule="auto"/>
              <w:ind w:left="0" w:right="0"/>
              <w:jc w:val="left"/>
              <w:rPr>
                <w:rFonts w:hint="default" w:ascii="宋体" w:hAnsi="宋体" w:cs="宋体"/>
                <w:color w:val="000000"/>
                <w:kern w:val="0"/>
                <w:sz w:val="24"/>
                <w:szCs w:val="24"/>
              </w:rPr>
            </w:pPr>
            <w:r>
              <w:rPr>
                <w:rFonts w:hint="eastAsia" w:ascii="宋体" w:hAnsi="宋体" w:cs="宋体"/>
                <w:color w:val="000000"/>
                <w:kern w:val="0"/>
                <w:sz w:val="24"/>
                <w:szCs w:val="24"/>
              </w:rPr>
              <w:t>电子化响应文件制作软件请点击https://download.bqpoint.com/download/downloaddetail.html?SourceFrom=Ztb&amp;ZtbSoftXiaQuCode=1506&amp;ZtbSoftType=tballinclusive进行下载。</w:t>
            </w:r>
          </w:p>
        </w:tc>
      </w:tr>
      <w:tr w14:paraId="1C86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A7F89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2.7</w:t>
            </w:r>
          </w:p>
        </w:tc>
        <w:tc>
          <w:tcPr>
            <w:tcW w:w="3164" w:type="dxa"/>
            <w:vAlign w:val="center"/>
          </w:tcPr>
          <w:p w14:paraId="1631CC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电子化磋商响应文件的格式</w:t>
            </w:r>
          </w:p>
        </w:tc>
        <w:tc>
          <w:tcPr>
            <w:tcW w:w="6125" w:type="dxa"/>
          </w:tcPr>
          <w:p w14:paraId="76883631">
            <w:pPr>
              <w:keepNext w:val="0"/>
              <w:keepLines w:val="0"/>
              <w:suppressLineNumbers w:val="0"/>
              <w:tabs>
                <w:tab w:val="left" w:pos="0"/>
              </w:tabs>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7721B48F">
            <w:pPr>
              <w:keepNext w:val="0"/>
              <w:keepLines w:val="0"/>
              <w:suppressLineNumbers w:val="0"/>
              <w:tabs>
                <w:tab w:val="left" w:pos="0"/>
              </w:tabs>
              <w:spacing w:before="0" w:beforeAutospacing="0" w:after="0" w:afterAutospacing="0" w:line="360" w:lineRule="auto"/>
              <w:ind w:left="0" w:right="0"/>
              <w:rPr>
                <w:rFonts w:hint="default" w:hAnsi="宋体" w:cs="宋体"/>
              </w:rPr>
            </w:pPr>
            <w:r>
              <w:rPr>
                <w:rFonts w:hint="eastAsia" w:ascii="宋体" w:hAnsi="宋体" w:cs="宋体"/>
                <w:color w:val="000000"/>
                <w:kern w:val="0"/>
                <w:sz w:val="24"/>
                <w:szCs w:val="24"/>
              </w:rPr>
              <w:t>注：供应商投报多个标段的，每个标段需要单独制作电子响应文件。</w:t>
            </w:r>
          </w:p>
        </w:tc>
      </w:tr>
      <w:tr w14:paraId="1953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F47FA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2.8</w:t>
            </w:r>
          </w:p>
        </w:tc>
        <w:tc>
          <w:tcPr>
            <w:tcW w:w="3164" w:type="dxa"/>
            <w:vAlign w:val="center"/>
          </w:tcPr>
          <w:p w14:paraId="3943EB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电子化磋商响应文件的上传</w:t>
            </w:r>
          </w:p>
        </w:tc>
        <w:tc>
          <w:tcPr>
            <w:tcW w:w="6125" w:type="dxa"/>
          </w:tcPr>
          <w:p w14:paraId="6A31180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6F9298E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注：按照电子化投标操作教材制作完成的电子化磋商响应文件无法上传的，供应商应在磋商响应文件递交截止时间前尽早的联系中心技术人员，以便有充分的时间进行处理。</w:t>
            </w:r>
          </w:p>
          <w:p w14:paraId="6E68F4F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技术联系电话：0398-3117871；</w:t>
            </w:r>
          </w:p>
          <w:p w14:paraId="729E281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主体库咨询电话:0398-3117815；</w:t>
            </w:r>
          </w:p>
          <w:p w14:paraId="4E25E5A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CA证书制发:0398-2181635；</w:t>
            </w:r>
          </w:p>
          <w:p w14:paraId="13FF7E4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科技信息科:0398-3117095。</w:t>
            </w:r>
          </w:p>
          <w:p w14:paraId="252F14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供应商应充分考虑到处理技术问题和上传数据等工作所需的时间问题。未在磋商响应文件递交截止时间前成功上传的磋商响应文件，不予接收。</w:t>
            </w:r>
          </w:p>
        </w:tc>
      </w:tr>
      <w:tr w14:paraId="1A1F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703A8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2.9</w:t>
            </w:r>
          </w:p>
        </w:tc>
        <w:tc>
          <w:tcPr>
            <w:tcW w:w="3164" w:type="dxa"/>
            <w:vAlign w:val="center"/>
          </w:tcPr>
          <w:p w14:paraId="50E4EC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kern w:val="0"/>
                <w:sz w:val="24"/>
              </w:rPr>
              <w:t>磋商响应文件递交截止时间</w:t>
            </w:r>
          </w:p>
        </w:tc>
        <w:tc>
          <w:tcPr>
            <w:tcW w:w="6125" w:type="dxa"/>
            <w:vAlign w:val="center"/>
          </w:tcPr>
          <w:p w14:paraId="56C5E9F0">
            <w:pPr>
              <w:keepNext w:val="0"/>
              <w:keepLines w:val="0"/>
              <w:suppressLineNumbers w:val="0"/>
              <w:spacing w:before="0" w:beforeAutospacing="0" w:after="0" w:afterAutospacing="0" w:line="360" w:lineRule="auto"/>
              <w:ind w:left="0" w:right="0"/>
              <w:jc w:val="left"/>
              <w:rPr>
                <w:rFonts w:hint="eastAsia" w:ascii="宋体" w:hAnsi="宋体" w:cs="宋体" w:eastAsiaTheme="minorEastAsia"/>
                <w:color w:val="auto"/>
                <w:sz w:val="24"/>
                <w:lang w:eastAsia="zh-CN"/>
              </w:rPr>
            </w:pPr>
            <w:r>
              <w:rPr>
                <w:rFonts w:hint="eastAsia" w:ascii="宋体" w:hAnsi="宋体" w:cs="宋体"/>
                <w:color w:val="0000FF"/>
                <w:sz w:val="24"/>
                <w:highlight w:val="none"/>
                <w:lang w:val="en-US" w:eastAsia="zh-CN"/>
              </w:rPr>
              <w:t xml:space="preserve"> </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eastAsia="zh-CN"/>
              </w:rPr>
              <w:t>日8时30分</w:t>
            </w:r>
          </w:p>
        </w:tc>
      </w:tr>
      <w:tr w14:paraId="2B2F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43B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2.10</w:t>
            </w:r>
          </w:p>
        </w:tc>
        <w:tc>
          <w:tcPr>
            <w:tcW w:w="3164" w:type="dxa"/>
            <w:vAlign w:val="center"/>
          </w:tcPr>
          <w:p w14:paraId="70D05C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电子化项目开标、解密、唱标</w:t>
            </w:r>
          </w:p>
        </w:tc>
        <w:tc>
          <w:tcPr>
            <w:tcW w:w="6125" w:type="dxa"/>
          </w:tcPr>
          <w:p w14:paraId="00A4E0C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1、本项目为不见面开标项目。开标当日供应商不得到开标现场参加开标。供应商应当在投标截止时间前登陆不见面开标大厅，</w:t>
            </w:r>
            <w:r>
              <w:rPr>
                <w:rFonts w:hint="eastAsia" w:ascii="宋体" w:hAnsi="宋体"/>
                <w:sz w:val="24"/>
              </w:rPr>
              <w:t>（网址为http://120.194.249.36:10094/BidOpening/bidopeninghallaction/hall/login）选择登陆三门峡市公共资源电子交易系统,在线准时参加开标活动并进行响应文件解密等</w:t>
            </w:r>
            <w:r>
              <w:rPr>
                <w:rFonts w:hint="eastAsia" w:ascii="宋体" w:hAnsi="宋体" w:cs="宋体"/>
                <w:sz w:val="24"/>
              </w:rPr>
              <w:t>。各供应商的解密时间均为开标时间起30分钟内完成。因供应商原因未能解密、解密失败或解密超时的响应文件将被拒绝。</w:t>
            </w:r>
          </w:p>
          <w:p w14:paraId="2CEAAAF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2、电子化磋商响应文件解密异常的处理</w:t>
            </w:r>
          </w:p>
          <w:p w14:paraId="686158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如出现供应商的电子磋商响应文件无法解密等异常情况，供应商应及时致电代理机构说明。磋商响应文件异常，按以下步骤进行处理：</w:t>
            </w:r>
          </w:p>
          <w:p w14:paraId="2F466EA8">
            <w:pPr>
              <w:keepNext w:val="0"/>
              <w:keepLines w:val="0"/>
              <w:numPr>
                <w:ilvl w:val="0"/>
                <w:numId w:val="1"/>
              </w:numPr>
              <w:suppressLineNumbers w:val="0"/>
              <w:spacing w:before="0" w:beforeAutospacing="0" w:after="0" w:afterAutospacing="0" w:line="360" w:lineRule="auto"/>
              <w:ind w:right="0"/>
              <w:rPr>
                <w:rFonts w:hint="default" w:ascii="宋体" w:hAnsi="宋体" w:cs="宋体"/>
                <w:sz w:val="24"/>
              </w:rPr>
            </w:pPr>
            <w:r>
              <w:rPr>
                <w:rFonts w:hint="eastAsia" w:ascii="宋体" w:hAnsi="宋体" w:cs="宋体"/>
                <w:sz w:val="24"/>
              </w:rPr>
              <w:t>首先由技术人员进行问题排查。</w:t>
            </w:r>
          </w:p>
          <w:p w14:paraId="2AA56F0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20A576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3、待所有供应商磋商响应文件解密完成后，由代理机构操作，对所有已解密磋商响应文件进行电子唱标。</w:t>
            </w:r>
          </w:p>
          <w:p w14:paraId="7302743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30169BE1">
            <w:pPr>
              <w:keepNext w:val="0"/>
              <w:keepLines w:val="0"/>
              <w:numPr>
                <w:ilvl w:val="0"/>
                <w:numId w:val="2"/>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p w14:paraId="2AD0396C">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FE47F52">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、如评标委员会对需要回复的响应人连续三次致电未接通的，视为响应人放弃回复，评标委员会将自行对需要回复的内容进行认定。</w:t>
            </w:r>
          </w:p>
        </w:tc>
      </w:tr>
      <w:tr w14:paraId="52E1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F76D89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3</w:t>
            </w:r>
          </w:p>
        </w:tc>
        <w:tc>
          <w:tcPr>
            <w:tcW w:w="3164" w:type="dxa"/>
            <w:vAlign w:val="center"/>
          </w:tcPr>
          <w:p w14:paraId="46EB99B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7100CAE5">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eastAsiaTheme="minorEastAsia"/>
                <w:b/>
                <w:bCs/>
                <w:sz w:val="24"/>
                <w:lang w:val="en-US" w:eastAsia="zh-CN"/>
              </w:rPr>
            </w:pPr>
            <w:r>
              <w:rPr>
                <w:rFonts w:hint="eastAsia" w:ascii="宋体" w:hAnsi="宋体"/>
                <w:b/>
                <w:bCs/>
                <w:color w:val="000000"/>
                <w:kern w:val="0"/>
                <w:sz w:val="24"/>
                <w:szCs w:val="24"/>
                <w:lang w:val="en-US" w:eastAsia="zh-CN"/>
              </w:rPr>
              <w:t>建筑业</w:t>
            </w:r>
          </w:p>
        </w:tc>
      </w:tr>
      <w:tr w14:paraId="7E7F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restart"/>
            <w:vAlign w:val="center"/>
          </w:tcPr>
          <w:p w14:paraId="7E7724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3.1</w:t>
            </w:r>
          </w:p>
        </w:tc>
        <w:tc>
          <w:tcPr>
            <w:tcW w:w="3164" w:type="dxa"/>
            <w:vMerge w:val="restart"/>
            <w:vAlign w:val="center"/>
          </w:tcPr>
          <w:p w14:paraId="1788E7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开标时间及地点</w:t>
            </w:r>
          </w:p>
        </w:tc>
        <w:tc>
          <w:tcPr>
            <w:tcW w:w="6125" w:type="dxa"/>
          </w:tcPr>
          <w:p w14:paraId="045FB5CD">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lang w:eastAsia="zh-CN"/>
              </w:rPr>
              <w:t>日8时30分</w:t>
            </w:r>
          </w:p>
        </w:tc>
      </w:tr>
      <w:tr w14:paraId="4B2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continue"/>
            <w:vAlign w:val="center"/>
          </w:tcPr>
          <w:p w14:paraId="779886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p>
        </w:tc>
        <w:tc>
          <w:tcPr>
            <w:tcW w:w="3164" w:type="dxa"/>
            <w:vMerge w:val="continue"/>
            <w:vAlign w:val="center"/>
          </w:tcPr>
          <w:p w14:paraId="55FF2D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p>
        </w:tc>
        <w:tc>
          <w:tcPr>
            <w:tcW w:w="6125" w:type="dxa"/>
          </w:tcPr>
          <w:p w14:paraId="286ECD76">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开标地点：</w:t>
            </w:r>
            <w:r>
              <w:rPr>
                <w:rFonts w:hint="eastAsia" w:ascii="宋体" w:hAnsi="宋体" w:cs="宋体"/>
                <w:color w:val="auto"/>
                <w:sz w:val="24"/>
                <w:highlight w:val="none"/>
                <w:lang w:eastAsia="zh-CN"/>
              </w:rPr>
              <w:t>三门峡市陕州区公共资源交易中心开标</w:t>
            </w:r>
            <w:r>
              <w:rPr>
                <w:rFonts w:hint="eastAsia" w:ascii="宋体" w:hAnsi="宋体" w:cs="宋体"/>
                <w:color w:val="auto"/>
                <w:sz w:val="24"/>
                <w:highlight w:val="none"/>
                <w:lang w:val="en-US" w:eastAsia="zh-CN"/>
              </w:rPr>
              <w:t xml:space="preserve">一 </w:t>
            </w:r>
            <w:r>
              <w:rPr>
                <w:rFonts w:hint="eastAsia" w:ascii="宋体" w:hAnsi="宋体" w:cs="宋体"/>
                <w:color w:val="auto"/>
                <w:sz w:val="24"/>
                <w:highlight w:val="none"/>
                <w:lang w:eastAsia="zh-CN"/>
              </w:rPr>
              <w:t>室</w:t>
            </w:r>
          </w:p>
        </w:tc>
      </w:tr>
      <w:tr w14:paraId="7320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00D8D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3.2</w:t>
            </w:r>
          </w:p>
        </w:tc>
        <w:tc>
          <w:tcPr>
            <w:tcW w:w="3164" w:type="dxa"/>
            <w:vAlign w:val="center"/>
          </w:tcPr>
          <w:p w14:paraId="23B9D738">
            <w:pPr>
              <w:keepNext w:val="0"/>
              <w:keepLines w:val="0"/>
              <w:widowControl/>
              <w:suppressLineNumbers w:val="0"/>
              <w:spacing w:before="0" w:beforeAutospacing="0" w:after="0" w:afterAutospacing="0" w:line="460" w:lineRule="exact"/>
              <w:ind w:left="0" w:right="0"/>
              <w:jc w:val="center"/>
              <w:rPr>
                <w:rFonts w:hint="default" w:ascii="宋体" w:hAnsi="宋体" w:cs="宋体"/>
                <w:sz w:val="24"/>
              </w:rPr>
            </w:pPr>
            <w:r>
              <w:rPr>
                <w:rFonts w:hint="eastAsia" w:ascii="宋体" w:hAnsi="宋体" w:cs="宋体"/>
                <w:color w:val="auto"/>
                <w:kern w:val="44"/>
                <w:sz w:val="24"/>
                <w:szCs w:val="24"/>
                <w:highlight w:val="none"/>
              </w:rPr>
              <w:t>近年完成的类似项目的年份要求</w:t>
            </w:r>
          </w:p>
        </w:tc>
        <w:tc>
          <w:tcPr>
            <w:tcW w:w="6125" w:type="dxa"/>
            <w:vAlign w:val="center"/>
          </w:tcPr>
          <w:p w14:paraId="0C5E812E">
            <w:pPr>
              <w:keepNext w:val="0"/>
              <w:keepLines w:val="0"/>
              <w:widowControl/>
              <w:suppressLineNumbers w:val="0"/>
              <w:spacing w:before="0" w:beforeAutospacing="0" w:after="0" w:afterAutospacing="0" w:line="460" w:lineRule="exact"/>
              <w:ind w:left="0" w:right="0"/>
              <w:jc w:val="left"/>
              <w:rPr>
                <w:rFonts w:hint="eastAsia" w:ascii="宋体" w:hAnsi="宋体" w:cs="宋体"/>
                <w:sz w:val="24"/>
                <w:highlight w:val="none"/>
              </w:rPr>
            </w:pPr>
            <w:r>
              <w:rPr>
                <w:rFonts w:hint="eastAsia" w:ascii="宋体" w:hAnsi="宋体" w:cs="宋体"/>
                <w:color w:val="auto"/>
                <w:kern w:val="44"/>
                <w:sz w:val="24"/>
                <w:szCs w:val="24"/>
                <w:highlight w:val="none"/>
              </w:rPr>
              <w:t xml:space="preserve">  20</w:t>
            </w:r>
            <w:r>
              <w:rPr>
                <w:rFonts w:hint="eastAsia" w:ascii="宋体" w:hAnsi="宋体" w:cs="宋体"/>
                <w:color w:val="auto"/>
                <w:kern w:val="44"/>
                <w:sz w:val="24"/>
                <w:szCs w:val="24"/>
                <w:highlight w:val="none"/>
                <w:lang w:val="en-US" w:eastAsia="zh-CN"/>
              </w:rPr>
              <w:t>22</w:t>
            </w:r>
            <w:r>
              <w:rPr>
                <w:rFonts w:hint="eastAsia" w:ascii="宋体" w:hAnsi="宋体" w:cs="宋体"/>
                <w:color w:val="auto"/>
                <w:kern w:val="44"/>
                <w:sz w:val="24"/>
                <w:szCs w:val="24"/>
                <w:highlight w:val="none"/>
              </w:rPr>
              <w:t>年</w:t>
            </w:r>
            <w:r>
              <w:rPr>
                <w:rFonts w:hint="eastAsia" w:ascii="宋体" w:hAnsi="宋体" w:cs="宋体"/>
                <w:color w:val="auto"/>
                <w:kern w:val="44"/>
                <w:sz w:val="24"/>
                <w:szCs w:val="24"/>
                <w:highlight w:val="none"/>
                <w:lang w:val="en-US" w:eastAsia="zh-CN"/>
              </w:rPr>
              <w:t>1</w:t>
            </w:r>
            <w:r>
              <w:rPr>
                <w:rFonts w:hint="eastAsia" w:ascii="宋体" w:hAnsi="宋体" w:cs="宋体"/>
                <w:color w:val="auto"/>
                <w:kern w:val="44"/>
                <w:sz w:val="24"/>
                <w:szCs w:val="24"/>
                <w:highlight w:val="none"/>
              </w:rPr>
              <w:t>月1日以来</w:t>
            </w:r>
          </w:p>
        </w:tc>
      </w:tr>
      <w:tr w14:paraId="3EDD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EBE6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4</w:t>
            </w:r>
          </w:p>
        </w:tc>
        <w:tc>
          <w:tcPr>
            <w:tcW w:w="3164" w:type="dxa"/>
            <w:vAlign w:val="center"/>
          </w:tcPr>
          <w:p w14:paraId="11ED5D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磋商小组的组建</w:t>
            </w:r>
          </w:p>
        </w:tc>
        <w:tc>
          <w:tcPr>
            <w:tcW w:w="6125" w:type="dxa"/>
          </w:tcPr>
          <w:p w14:paraId="07E352E1">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磋商小组共3人组成，其中采购人代表1人；在相关评标专家库中随机抽取有关技术、经济等方面专家2人。</w:t>
            </w:r>
          </w:p>
          <w:p w14:paraId="1B944190">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_5b8b_4f53"/>
                <w:color w:val="000000"/>
                <w:kern w:val="0"/>
                <w:sz w:val="24"/>
                <w:szCs w:val="24"/>
              </w:rPr>
              <w:t>根据省政府关于评标专家的有关管理规定，招标人代表（业主代表）无评标劳务费。</w:t>
            </w:r>
          </w:p>
        </w:tc>
      </w:tr>
      <w:tr w14:paraId="7D5C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11362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4.1</w:t>
            </w:r>
          </w:p>
        </w:tc>
        <w:tc>
          <w:tcPr>
            <w:tcW w:w="3164" w:type="dxa"/>
            <w:vAlign w:val="center"/>
          </w:tcPr>
          <w:p w14:paraId="606CFE87">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spacing w:val="6"/>
                <w:sz w:val="24"/>
                <w:szCs w:val="24"/>
              </w:rPr>
              <w:t>磋商标准及方法</w:t>
            </w:r>
          </w:p>
        </w:tc>
        <w:tc>
          <w:tcPr>
            <w:tcW w:w="6125" w:type="dxa"/>
            <w:vAlign w:val="center"/>
          </w:tcPr>
          <w:p w14:paraId="3E41A4B0">
            <w:pPr>
              <w:keepNext w:val="0"/>
              <w:keepLines w:val="0"/>
              <w:widowControl/>
              <w:suppressLineNumbers w:val="0"/>
              <w:spacing w:before="0" w:beforeAutospacing="0" w:after="0" w:afterAutospacing="0" w:line="460" w:lineRule="exact"/>
              <w:ind w:left="0" w:right="0"/>
              <w:jc w:val="left"/>
              <w:rPr>
                <w:rFonts w:hint="eastAsia" w:ascii="宋体" w:hAnsi="宋体" w:cs="_5b8b_4f53"/>
                <w:color w:val="000000"/>
                <w:kern w:val="0"/>
                <w:sz w:val="24"/>
                <w:szCs w:val="24"/>
              </w:rPr>
            </w:pPr>
            <w:r>
              <w:rPr>
                <w:rFonts w:hint="eastAsia" w:ascii="宋体" w:hAnsi="宋体"/>
                <w:spacing w:val="6"/>
                <w:sz w:val="24"/>
                <w:szCs w:val="24"/>
              </w:rPr>
              <w:t>由磋商小组采用综合评估法对提交最后报价的</w:t>
            </w:r>
            <w:r>
              <w:rPr>
                <w:rFonts w:hint="eastAsia" w:ascii="宋体" w:hAnsi="宋体"/>
                <w:spacing w:val="6"/>
                <w:sz w:val="24"/>
                <w:szCs w:val="24"/>
                <w:lang w:eastAsia="zh-CN"/>
              </w:rPr>
              <w:t>供应商</w:t>
            </w:r>
            <w:r>
              <w:rPr>
                <w:rFonts w:hint="eastAsia" w:ascii="宋体" w:hAnsi="宋体"/>
                <w:spacing w:val="6"/>
                <w:sz w:val="24"/>
                <w:szCs w:val="24"/>
              </w:rPr>
              <w:t>的响应文件和最后报价进行综合评分。综合评估法，是指响应文件满足竞争性磋商文件全部实质性要求且按评审因素的量化指标评审得分最高的</w:t>
            </w:r>
            <w:r>
              <w:rPr>
                <w:rFonts w:hint="eastAsia" w:ascii="宋体" w:hAnsi="宋体"/>
                <w:spacing w:val="6"/>
                <w:sz w:val="24"/>
                <w:szCs w:val="24"/>
                <w:lang w:eastAsia="zh-CN"/>
              </w:rPr>
              <w:t>供应商</w:t>
            </w:r>
            <w:r>
              <w:rPr>
                <w:rFonts w:hint="eastAsia" w:ascii="宋体" w:hAnsi="宋体"/>
                <w:spacing w:val="6"/>
                <w:sz w:val="24"/>
                <w:szCs w:val="24"/>
              </w:rPr>
              <w:t>为中标单位的磋商方法。</w:t>
            </w:r>
          </w:p>
        </w:tc>
      </w:tr>
      <w:tr w14:paraId="13D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733CE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w:t>
            </w:r>
          </w:p>
        </w:tc>
        <w:tc>
          <w:tcPr>
            <w:tcW w:w="3164" w:type="dxa"/>
            <w:vAlign w:val="center"/>
          </w:tcPr>
          <w:p w14:paraId="7F9DC8D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竞争性磋商</w:t>
            </w:r>
          </w:p>
        </w:tc>
        <w:tc>
          <w:tcPr>
            <w:tcW w:w="6125" w:type="dxa"/>
          </w:tcPr>
          <w:p w14:paraId="4B24295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1、磋商时，供应商通过交易系统的磋商大厅与磋商小组进行磋商。</w:t>
            </w:r>
          </w:p>
          <w:p w14:paraId="7DF086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2CE6078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3、磋商小组对需要答复的供应商连续三次致电未接通的，视为供应商放弃答复，磋商小组将自行对该质疑内容进行认定。</w:t>
            </w:r>
          </w:p>
        </w:tc>
      </w:tr>
      <w:tr w14:paraId="6AD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9608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5.2.1</w:t>
            </w:r>
          </w:p>
        </w:tc>
        <w:tc>
          <w:tcPr>
            <w:tcW w:w="3164" w:type="dxa"/>
            <w:vAlign w:val="center"/>
          </w:tcPr>
          <w:p w14:paraId="120EE7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资格审查</w:t>
            </w:r>
          </w:p>
        </w:tc>
        <w:tc>
          <w:tcPr>
            <w:tcW w:w="6125" w:type="dxa"/>
          </w:tcPr>
          <w:p w14:paraId="55F0D57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本项目为资格后审，资格审查由采购人依法组建的磋商小组负责。</w:t>
            </w:r>
          </w:p>
          <w:p w14:paraId="4BB0AFF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供应商资格审查内容以</w:t>
            </w:r>
            <w:r>
              <w:rPr>
                <w:rFonts w:hint="eastAsia" w:ascii="宋体" w:hAnsi="宋体" w:cs="宋体"/>
                <w:bCs/>
                <w:sz w:val="24"/>
                <w:szCs w:val="24"/>
              </w:rPr>
              <w:t>供应商在其响应文件“资格审查资料”中上传的信息为准</w:t>
            </w:r>
            <w:r>
              <w:rPr>
                <w:rFonts w:hint="eastAsia" w:ascii="宋体" w:hAnsi="宋体" w:cs="宋体"/>
                <w:sz w:val="24"/>
                <w:szCs w:val="24"/>
              </w:rPr>
              <w:t>。供应商上传的信息资料扫描件必须清晰可辨、真实有效（供应商对其真实性负责）。否则，由此造成的资格审查不合格或应得分而未得分等情况的，由供应商承担责任。</w:t>
            </w:r>
          </w:p>
          <w:p w14:paraId="39AEF98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注：1、</w:t>
            </w:r>
            <w:r>
              <w:rPr>
                <w:rFonts w:hint="eastAsia" w:ascii="宋体" w:hAnsi="宋体" w:cs="宋体"/>
                <w:sz w:val="24"/>
                <w:szCs w:val="24"/>
              </w:rPr>
              <w:t>供应商应及时维护、完善主体信息库信息</w:t>
            </w:r>
            <w:r>
              <w:rPr>
                <w:rFonts w:hint="eastAsia" w:ascii="宋体" w:hAnsi="宋体" w:cs="宋体"/>
                <w:sz w:val="24"/>
              </w:rPr>
              <w:t>。项目开标时间起，至评审结束，信息库将处于锁定状态。如连续投报多个项目，信息库锁定时间也将延长。请供应商合理安排资料上传时间，尽可能早地将所有项目资料上传至三门峡市公共资源交易市场主体（供应商）信息库。</w:t>
            </w:r>
          </w:p>
          <w:p w14:paraId="346D0956">
            <w:pPr>
              <w:keepNext w:val="0"/>
              <w:keepLines w:val="0"/>
              <w:suppressLineNumbers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具体操作详见《三门峡市公共资源交易市场主体（供应商）信息库操作手册》。链接地址：http://gzjy.smx.gov.cn/fwzn/004003/20200325/b13aa3fa-a543-403f-b537-82cb417132bd.html</w:t>
            </w:r>
          </w:p>
        </w:tc>
      </w:tr>
      <w:tr w14:paraId="70B8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F8F6B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5.6</w:t>
            </w:r>
          </w:p>
        </w:tc>
        <w:tc>
          <w:tcPr>
            <w:tcW w:w="3164" w:type="dxa"/>
            <w:vAlign w:val="center"/>
          </w:tcPr>
          <w:p w14:paraId="34DBA9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是否授权磋商小组确定成交供应商</w:t>
            </w:r>
          </w:p>
        </w:tc>
        <w:tc>
          <w:tcPr>
            <w:tcW w:w="6125" w:type="dxa"/>
            <w:vAlign w:val="center"/>
          </w:tcPr>
          <w:p w14:paraId="29EDFF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否，推荐的成交候选人数：三名</w:t>
            </w:r>
          </w:p>
        </w:tc>
      </w:tr>
      <w:tr w14:paraId="6E72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620E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w:t>
            </w:r>
          </w:p>
        </w:tc>
        <w:tc>
          <w:tcPr>
            <w:tcW w:w="9289" w:type="dxa"/>
            <w:gridSpan w:val="2"/>
            <w:vAlign w:val="center"/>
          </w:tcPr>
          <w:p w14:paraId="7FACDA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kern w:val="0"/>
                <w:sz w:val="24"/>
              </w:rPr>
              <w:t>需要补充的其他内容</w:t>
            </w:r>
          </w:p>
        </w:tc>
      </w:tr>
      <w:tr w14:paraId="555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D47B8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9.1</w:t>
            </w:r>
          </w:p>
        </w:tc>
        <w:tc>
          <w:tcPr>
            <w:tcW w:w="3164" w:type="dxa"/>
            <w:vAlign w:val="center"/>
          </w:tcPr>
          <w:p w14:paraId="1B7D6734">
            <w:pPr>
              <w:keepNext w:val="0"/>
              <w:keepLines w:val="0"/>
              <w:suppressLineNumbers w:val="0"/>
              <w:spacing w:before="0" w:beforeAutospacing="0" w:after="0" w:afterAutospacing="0" w:line="400" w:lineRule="exact"/>
              <w:ind w:left="0" w:right="0"/>
              <w:jc w:val="center"/>
              <w:rPr>
                <w:rFonts w:hint="default" w:hAnsi="宋体" w:cs="宋体"/>
                <w:sz w:val="24"/>
                <w:szCs w:val="24"/>
              </w:rPr>
            </w:pPr>
            <w:r>
              <w:rPr>
                <w:rFonts w:hint="eastAsia" w:hAnsi="宋体" w:cs="宋体"/>
                <w:sz w:val="24"/>
                <w:szCs w:val="24"/>
              </w:rPr>
              <w:t>磋商保证金</w:t>
            </w:r>
          </w:p>
        </w:tc>
        <w:tc>
          <w:tcPr>
            <w:tcW w:w="6125" w:type="dxa"/>
            <w:vAlign w:val="center"/>
          </w:tcPr>
          <w:p w14:paraId="3F27A2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tc>
      </w:tr>
      <w:tr w14:paraId="30FC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921E2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9.2</w:t>
            </w:r>
          </w:p>
        </w:tc>
        <w:tc>
          <w:tcPr>
            <w:tcW w:w="3164" w:type="dxa"/>
            <w:vAlign w:val="center"/>
          </w:tcPr>
          <w:p w14:paraId="60CF99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sz w:val="24"/>
              </w:rPr>
              <w:t>履约保证金</w:t>
            </w:r>
          </w:p>
        </w:tc>
        <w:tc>
          <w:tcPr>
            <w:tcW w:w="6125" w:type="dxa"/>
            <w:vAlign w:val="center"/>
          </w:tcPr>
          <w:p w14:paraId="71DF88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_5b8b_4f53"/>
                <w:color w:val="000000"/>
                <w:kern w:val="0"/>
                <w:sz w:val="24"/>
                <w:szCs w:val="24"/>
              </w:rPr>
              <w:t>采购人与中标单位自行协商</w:t>
            </w:r>
          </w:p>
        </w:tc>
      </w:tr>
      <w:tr w14:paraId="0D2A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1650D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9.3</w:t>
            </w:r>
          </w:p>
        </w:tc>
        <w:tc>
          <w:tcPr>
            <w:tcW w:w="3164" w:type="dxa"/>
            <w:vAlign w:val="center"/>
          </w:tcPr>
          <w:p w14:paraId="682800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付款方式</w:t>
            </w:r>
          </w:p>
        </w:tc>
        <w:tc>
          <w:tcPr>
            <w:tcW w:w="6125" w:type="dxa"/>
            <w:vAlign w:val="center"/>
          </w:tcPr>
          <w:p w14:paraId="20FDF3F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双方在合同中协商约定,但不得违反国家、省、市相关规定。</w:t>
            </w:r>
          </w:p>
        </w:tc>
      </w:tr>
      <w:tr w14:paraId="5BBC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417C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9.4</w:t>
            </w:r>
          </w:p>
        </w:tc>
        <w:tc>
          <w:tcPr>
            <w:tcW w:w="3164" w:type="dxa"/>
            <w:vAlign w:val="center"/>
          </w:tcPr>
          <w:p w14:paraId="17DA8F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kern w:val="0"/>
                <w:sz w:val="24"/>
              </w:rPr>
            </w:pPr>
            <w:r>
              <w:rPr>
                <w:rFonts w:hint="eastAsia" w:ascii="宋体" w:hAnsi="宋体" w:cs="宋体"/>
                <w:bCs/>
                <w:kern w:val="0"/>
                <w:sz w:val="24"/>
              </w:rPr>
              <w:t>采购控制价</w:t>
            </w:r>
          </w:p>
        </w:tc>
        <w:tc>
          <w:tcPr>
            <w:tcW w:w="6125" w:type="dxa"/>
            <w:vAlign w:val="center"/>
          </w:tcPr>
          <w:p w14:paraId="64D8A33D">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招标控制</w:t>
            </w:r>
            <w:r>
              <w:rPr>
                <w:rFonts w:hint="eastAsia" w:ascii="宋体" w:hAnsi="宋体" w:cs="宋体"/>
                <w:color w:val="auto"/>
                <w:sz w:val="24"/>
                <w:szCs w:val="24"/>
              </w:rPr>
              <w:t>价：</w:t>
            </w:r>
            <w:r>
              <w:rPr>
                <w:rFonts w:hint="eastAsia" w:ascii="宋体" w:hAnsi="宋体" w:cs="宋体"/>
                <w:color w:val="auto"/>
                <w:sz w:val="24"/>
                <w:szCs w:val="24"/>
                <w:lang w:eastAsia="zh-CN"/>
              </w:rPr>
              <w:t>897082.92元</w:t>
            </w:r>
            <w:r>
              <w:rPr>
                <w:rFonts w:hint="eastAsia" w:ascii="宋体" w:hAnsi="宋体" w:cs="宋体"/>
                <w:color w:val="auto"/>
                <w:sz w:val="24"/>
                <w:szCs w:val="24"/>
              </w:rPr>
              <w:t>；</w:t>
            </w:r>
          </w:p>
          <w:p w14:paraId="065024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 xml:space="preserve">招标控制价是招标人控制招标工程造价的最高限价，大于招标控制价的报价视为无效报价其商务标不再进行评审。有效报价是指不超过招标控制价的报价。 </w:t>
            </w:r>
          </w:p>
          <w:p w14:paraId="132256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详见招标控制价汇总表（后附）</w:t>
            </w:r>
          </w:p>
        </w:tc>
      </w:tr>
      <w:tr w14:paraId="1269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52236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9.5</w:t>
            </w:r>
          </w:p>
        </w:tc>
        <w:tc>
          <w:tcPr>
            <w:tcW w:w="3164" w:type="dxa"/>
            <w:vAlign w:val="center"/>
          </w:tcPr>
          <w:p w14:paraId="0892DD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sz w:val="24"/>
              </w:rPr>
              <w:t>招标代理服务费</w:t>
            </w:r>
          </w:p>
        </w:tc>
        <w:tc>
          <w:tcPr>
            <w:tcW w:w="6125" w:type="dxa"/>
            <w:vAlign w:val="center"/>
          </w:tcPr>
          <w:p w14:paraId="2D5EA3A6">
            <w:pPr>
              <w:keepNext w:val="0"/>
              <w:keepLines w:val="0"/>
              <w:suppressLineNumbers w:val="0"/>
              <w:spacing w:before="0" w:beforeAutospacing="0" w:after="0" w:afterAutospacing="0" w:line="360" w:lineRule="auto"/>
              <w:ind w:left="0" w:right="0"/>
              <w:rPr>
                <w:rFonts w:hint="eastAsia" w:ascii="宋体" w:hAnsi="Calibri" w:eastAsia="宋体" w:cs="宋体"/>
                <w:sz w:val="24"/>
                <w:szCs w:val="24"/>
                <w:lang w:eastAsia="zh-CN"/>
              </w:rPr>
            </w:pPr>
            <w:r>
              <w:rPr>
                <w:rFonts w:hint="eastAsia" w:ascii="宋体" w:hAnsi="Calibri" w:eastAsia="宋体" w:cs="宋体"/>
                <w:sz w:val="24"/>
                <w:szCs w:val="24"/>
              </w:rPr>
              <w:t>代理费用收取方式：转账</w:t>
            </w:r>
            <w:r>
              <w:rPr>
                <w:rFonts w:hint="eastAsia" w:ascii="宋体" w:hAnsi="Calibri" w:eastAsia="宋体" w:cs="宋体"/>
                <w:sz w:val="24"/>
                <w:szCs w:val="24"/>
                <w:lang w:eastAsia="zh-CN"/>
              </w:rPr>
              <w:t>或现金</w:t>
            </w:r>
          </w:p>
          <w:p w14:paraId="3A235B24">
            <w:pPr>
              <w:keepNext w:val="0"/>
              <w:keepLines w:val="0"/>
              <w:suppressLineNumbers w:val="0"/>
              <w:spacing w:before="0" w:beforeAutospacing="0" w:after="0" w:afterAutospacing="0" w:line="360" w:lineRule="auto"/>
              <w:ind w:left="0" w:right="0"/>
              <w:rPr>
                <w:rFonts w:hint="eastAsia" w:ascii="宋体" w:hAnsi="Calibri" w:eastAsia="宋体" w:cs="宋体"/>
                <w:sz w:val="24"/>
                <w:szCs w:val="24"/>
                <w:lang w:val="en-US" w:eastAsia="zh-CN"/>
              </w:rPr>
            </w:pPr>
            <w:r>
              <w:rPr>
                <w:rFonts w:hint="eastAsia" w:ascii="宋体" w:hAnsi="Calibri" w:eastAsia="宋体" w:cs="宋体"/>
                <w:sz w:val="24"/>
                <w:szCs w:val="24"/>
              </w:rPr>
              <w:t>代理费用收取标准：本项目招标代理费用</w:t>
            </w:r>
            <w:r>
              <w:rPr>
                <w:rFonts w:hint="eastAsia" w:ascii="宋体" w:hAnsi="Calibri" w:eastAsia="宋体" w:cs="宋体"/>
                <w:sz w:val="24"/>
                <w:szCs w:val="24"/>
                <w:lang w:eastAsia="zh-CN"/>
              </w:rPr>
              <w:t>，</w:t>
            </w:r>
            <w:r>
              <w:rPr>
                <w:rFonts w:hint="eastAsia" w:ascii="宋体" w:hAnsi="Calibri" w:eastAsia="宋体" w:cs="宋体"/>
                <w:sz w:val="24"/>
                <w:szCs w:val="24"/>
                <w:lang w:val="en-US" w:eastAsia="zh-CN"/>
              </w:rPr>
              <w:t>按固定金额8000元收取，由中标单位支付。</w:t>
            </w:r>
          </w:p>
          <w:p w14:paraId="54A294CD">
            <w:pPr>
              <w:keepNext w:val="0"/>
              <w:keepLines w:val="0"/>
              <w:suppressLineNumbers w:val="0"/>
              <w:spacing w:before="0" w:beforeAutospacing="0" w:after="0" w:afterAutospacing="0" w:line="360" w:lineRule="auto"/>
              <w:ind w:left="0" w:right="0"/>
              <w:jc w:val="left"/>
              <w:rPr>
                <w:rFonts w:hint="eastAsia" w:ascii="宋体" w:hAnsi="宋体" w:eastAsia="宋体" w:cs="宋体"/>
                <w:sz w:val="24"/>
                <w:lang w:eastAsia="zh-CN"/>
              </w:rPr>
            </w:pPr>
            <w:r>
              <w:rPr>
                <w:rFonts w:hint="eastAsia" w:ascii="宋体" w:hAnsi="宋体" w:eastAsia="宋体" w:cs="宋体"/>
                <w:sz w:val="24"/>
                <w:lang w:eastAsia="zh-CN"/>
              </w:rPr>
              <w:t>账户名称：河南盾览工程管理咨询有限公司</w:t>
            </w:r>
          </w:p>
          <w:p w14:paraId="60530C22">
            <w:pPr>
              <w:keepNext w:val="0"/>
              <w:keepLines w:val="0"/>
              <w:suppressLineNumbers w:val="0"/>
              <w:spacing w:before="0" w:beforeAutospacing="0" w:after="0" w:afterAutospacing="0" w:line="360" w:lineRule="auto"/>
              <w:ind w:left="0" w:right="0"/>
              <w:jc w:val="left"/>
              <w:rPr>
                <w:rFonts w:hint="eastAsia" w:ascii="宋体" w:hAnsi="宋体" w:eastAsia="宋体" w:cs="宋体"/>
                <w:sz w:val="24"/>
                <w:lang w:eastAsia="zh-CN"/>
              </w:rPr>
            </w:pPr>
            <w:r>
              <w:rPr>
                <w:rFonts w:hint="eastAsia" w:ascii="宋体" w:hAnsi="宋体" w:eastAsia="宋体" w:cs="宋体"/>
                <w:sz w:val="24"/>
                <w:lang w:eastAsia="zh-CN"/>
              </w:rPr>
              <w:t>开户行：郑州银行财经支行</w:t>
            </w:r>
          </w:p>
          <w:p w14:paraId="0749E529">
            <w:pPr>
              <w:keepNext w:val="0"/>
              <w:keepLines w:val="0"/>
              <w:suppressLineNumbers w:val="0"/>
              <w:spacing w:before="0" w:beforeAutospacing="0" w:after="0" w:afterAutospacing="0" w:line="360" w:lineRule="auto"/>
              <w:ind w:left="0" w:right="0"/>
              <w:rPr>
                <w:rFonts w:hint="default" w:ascii="宋体" w:hAnsi="宋体" w:eastAsia="宋体" w:cs="宋体"/>
                <w:sz w:val="24"/>
                <w:lang w:val="en-US" w:eastAsia="zh-CN"/>
              </w:rPr>
            </w:pPr>
            <w:r>
              <w:rPr>
                <w:rFonts w:hint="eastAsia" w:ascii="宋体" w:hAnsi="宋体" w:eastAsia="宋体" w:cs="宋体"/>
                <w:sz w:val="24"/>
                <w:lang w:eastAsia="zh-CN"/>
              </w:rPr>
              <w:t>账号：999156009950015804</w:t>
            </w:r>
          </w:p>
        </w:tc>
      </w:tr>
      <w:tr w14:paraId="50BB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CBCAD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bookmarkStart w:id="2" w:name="_Toc14871"/>
            <w:bookmarkStart w:id="3" w:name="_Toc466284452"/>
            <w:r>
              <w:rPr>
                <w:rFonts w:hint="eastAsia" w:ascii="宋体" w:hAnsi="宋体" w:cs="宋体"/>
                <w:kern w:val="0"/>
                <w:sz w:val="24"/>
              </w:rPr>
              <w:t>9.6</w:t>
            </w:r>
          </w:p>
        </w:tc>
        <w:tc>
          <w:tcPr>
            <w:tcW w:w="3164" w:type="dxa"/>
            <w:vAlign w:val="center"/>
          </w:tcPr>
          <w:p w14:paraId="200046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其他声明</w:t>
            </w:r>
          </w:p>
        </w:tc>
        <w:tc>
          <w:tcPr>
            <w:tcW w:w="6125" w:type="dxa"/>
            <w:vAlign w:val="center"/>
          </w:tcPr>
          <w:p w14:paraId="654CB2C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电子化、无纸化交易项目，磋商时不再接受任何纸质资料，供应商按要求在三门峡市公共资源电子化交易系统中提交电子化磋商响应文件即可。为保证您能成功参加竞标，请需仔细阅读磋商文件和三门峡市公共资源交易中心官网业务办理指南；</w:t>
            </w:r>
          </w:p>
          <w:p w14:paraId="3721FC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2、在符合相关法律法规的前提下，磋商文件的解释权归采购人所有。本磋商文件中其他部分内容与供应商须知前附表不一致的，以供应商须知前附表为准。</w:t>
            </w:r>
          </w:p>
          <w:p w14:paraId="1D8508F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3、本竞争性磋商文件未尽事宜，执行国家、省、市相关规定。</w:t>
            </w:r>
          </w:p>
        </w:tc>
      </w:tr>
    </w:tbl>
    <w:p w14:paraId="31A04B14">
      <w:pPr>
        <w:tabs>
          <w:tab w:val="left" w:pos="360"/>
        </w:tabs>
        <w:spacing w:line="440" w:lineRule="exact"/>
        <w:outlineLvl w:val="1"/>
        <w:rPr>
          <w:rFonts w:hAnsi="宋体" w:cs="宋体"/>
          <w:b/>
        </w:rPr>
      </w:pPr>
    </w:p>
    <w:p w14:paraId="17689356">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4" w:name="_Toc20260"/>
      <w:r>
        <w:rPr>
          <w:rFonts w:hint="eastAsia" w:cs="宋体" w:asciiTheme="minorEastAsia" w:hAnsiTheme="minorEastAsia"/>
          <w:b/>
          <w:sz w:val="24"/>
          <w:szCs w:val="24"/>
        </w:rPr>
        <w:t>总则</w:t>
      </w:r>
      <w:bookmarkEnd w:id="2"/>
      <w:bookmarkEnd w:id="3"/>
      <w:bookmarkEnd w:id="4"/>
    </w:p>
    <w:p w14:paraId="2FE267F7">
      <w:pPr>
        <w:tabs>
          <w:tab w:val="left" w:pos="540"/>
        </w:tabs>
        <w:spacing w:line="360" w:lineRule="auto"/>
        <w:outlineLvl w:val="1"/>
        <w:rPr>
          <w:rFonts w:cs="宋体" w:asciiTheme="minorEastAsia" w:hAnsiTheme="minorEastAsia"/>
          <w:sz w:val="24"/>
          <w:szCs w:val="24"/>
        </w:rPr>
      </w:pPr>
      <w:bookmarkStart w:id="5" w:name="_Toc380394466"/>
      <w:bookmarkStart w:id="6" w:name="_Toc6286"/>
      <w:bookmarkStart w:id="7" w:name="_Toc62"/>
      <w:bookmarkStart w:id="8" w:name="_Toc27981"/>
      <w:bookmarkStart w:id="9" w:name="_Toc277149365"/>
      <w:bookmarkStart w:id="10" w:name="_Toc278155328"/>
      <w:bookmarkStart w:id="11" w:name="_Toc20729"/>
      <w:bookmarkStart w:id="12" w:name="_Toc466284453"/>
      <w:r>
        <w:rPr>
          <w:rFonts w:hint="eastAsia" w:cs="宋体" w:asciiTheme="minorEastAsia" w:hAnsiTheme="minorEastAsia"/>
          <w:sz w:val="24"/>
          <w:szCs w:val="24"/>
        </w:rPr>
        <w:t>1.1项目概况</w:t>
      </w:r>
      <w:bookmarkEnd w:id="5"/>
      <w:bookmarkEnd w:id="6"/>
      <w:bookmarkEnd w:id="7"/>
      <w:bookmarkEnd w:id="8"/>
      <w:bookmarkEnd w:id="9"/>
      <w:bookmarkEnd w:id="10"/>
      <w:bookmarkEnd w:id="11"/>
      <w:bookmarkEnd w:id="12"/>
    </w:p>
    <w:p w14:paraId="2AA3F7F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1.1.1根据《中华人民共和国政府采购法》等有关法律、法规和规章的规定，本磋商项目已具备竞争性磋商条件，现对本项目进行采购。</w:t>
      </w:r>
    </w:p>
    <w:p w14:paraId="5E56B080">
      <w:pPr>
        <w:tabs>
          <w:tab w:val="left" w:pos="0"/>
        </w:tabs>
        <w:spacing w:line="360" w:lineRule="auto"/>
        <w:ind w:left="420"/>
        <w:rPr>
          <w:rFonts w:cs="宋体" w:asciiTheme="minorEastAsia" w:hAnsiTheme="minorEastAsia"/>
          <w:sz w:val="24"/>
          <w:szCs w:val="24"/>
        </w:rPr>
      </w:pPr>
      <w:bookmarkStart w:id="13" w:name="_Toc270604580"/>
      <w:bookmarkStart w:id="14" w:name="_Toc269470299"/>
      <w:bookmarkStart w:id="15" w:name="_Toc278155332"/>
      <w:bookmarkStart w:id="16" w:name="_Toc277149369"/>
      <w:bookmarkStart w:id="17" w:name="_Toc270604807"/>
      <w:bookmarkStart w:id="18" w:name="_Toc466284457"/>
      <w:bookmarkStart w:id="19" w:name="_Toc380394470"/>
      <w:r>
        <w:rPr>
          <w:rFonts w:hint="eastAsia" w:cs="宋体" w:asciiTheme="minorEastAsia" w:hAnsiTheme="minorEastAsia"/>
          <w:sz w:val="24"/>
          <w:szCs w:val="24"/>
        </w:rPr>
        <w:t>1.1.2本次磋商项目采购人：见供应商须知前附表。</w:t>
      </w:r>
    </w:p>
    <w:p w14:paraId="4E8FFF4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1.1.3本次磋商项目代理机构：见供应商须知前附表。</w:t>
      </w:r>
    </w:p>
    <w:p w14:paraId="21A35C5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1.1.4本次磋商项目名称：见供应商须知前附表。</w:t>
      </w:r>
    </w:p>
    <w:p w14:paraId="7F8B289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1.1.5本项目实施地点：见供应商须知前附表。</w:t>
      </w:r>
    </w:p>
    <w:p w14:paraId="137E0AEE">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1.1.6本项目工程概况：见供应商须知前附表。</w:t>
      </w:r>
    </w:p>
    <w:p w14:paraId="7EE100ED">
      <w:pPr>
        <w:tabs>
          <w:tab w:val="left" w:pos="540"/>
        </w:tabs>
        <w:spacing w:line="360" w:lineRule="auto"/>
        <w:outlineLvl w:val="1"/>
        <w:rPr>
          <w:rFonts w:cs="宋体" w:asciiTheme="minorEastAsia" w:hAnsiTheme="minorEastAsia"/>
          <w:sz w:val="24"/>
          <w:szCs w:val="24"/>
        </w:rPr>
      </w:pPr>
      <w:bookmarkStart w:id="20" w:name="_Toc270604577"/>
      <w:bookmarkStart w:id="21" w:name="_Toc270604804"/>
      <w:bookmarkStart w:id="22" w:name="_Toc15779"/>
      <w:bookmarkStart w:id="23" w:name="_Toc277149366"/>
      <w:bookmarkStart w:id="24" w:name="_Toc278155329"/>
      <w:bookmarkStart w:id="25" w:name="_Toc269470296"/>
      <w:bookmarkStart w:id="26" w:name="_Toc26640"/>
      <w:bookmarkStart w:id="27" w:name="_Toc19001"/>
      <w:bookmarkStart w:id="28" w:name="_Toc425761630"/>
      <w:bookmarkStart w:id="29" w:name="_Toc380394467"/>
      <w:bookmarkStart w:id="30" w:name="_Toc21477"/>
      <w:r>
        <w:rPr>
          <w:rFonts w:hint="eastAsia" w:cs="宋体" w:asciiTheme="minorEastAsia" w:hAnsiTheme="minorEastAsia"/>
          <w:sz w:val="24"/>
          <w:szCs w:val="24"/>
        </w:rPr>
        <w:t>1.2资金来源和落实情况</w:t>
      </w:r>
      <w:bookmarkEnd w:id="20"/>
      <w:bookmarkEnd w:id="21"/>
      <w:bookmarkEnd w:id="22"/>
      <w:bookmarkEnd w:id="23"/>
      <w:bookmarkEnd w:id="24"/>
      <w:bookmarkEnd w:id="25"/>
      <w:bookmarkEnd w:id="26"/>
      <w:bookmarkEnd w:id="27"/>
      <w:bookmarkEnd w:id="28"/>
      <w:bookmarkEnd w:id="29"/>
      <w:bookmarkEnd w:id="30"/>
    </w:p>
    <w:p w14:paraId="4F3B407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1.2.1本采购项目的资金来源：见供应商须知前附表。</w:t>
      </w:r>
    </w:p>
    <w:p w14:paraId="4A33E0E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1.2.2本采购项目的资金落实情况：见供应商须知前附表。</w:t>
      </w:r>
    </w:p>
    <w:p w14:paraId="1FB8AF14">
      <w:pPr>
        <w:tabs>
          <w:tab w:val="left" w:pos="540"/>
        </w:tabs>
        <w:spacing w:line="360" w:lineRule="auto"/>
        <w:outlineLvl w:val="1"/>
        <w:rPr>
          <w:rFonts w:cs="宋体" w:asciiTheme="minorEastAsia" w:hAnsiTheme="minorEastAsia"/>
          <w:sz w:val="24"/>
          <w:szCs w:val="24"/>
        </w:rPr>
      </w:pPr>
      <w:bookmarkStart w:id="31" w:name="_Toc22027"/>
      <w:bookmarkStart w:id="32" w:name="_Toc269470297"/>
      <w:bookmarkStart w:id="33" w:name="_Toc270604805"/>
      <w:bookmarkStart w:id="34" w:name="_Toc380394468"/>
      <w:bookmarkStart w:id="35" w:name="_Toc23999"/>
      <w:bookmarkStart w:id="36" w:name="_Toc277149367"/>
      <w:bookmarkStart w:id="37" w:name="_Toc270604578"/>
      <w:bookmarkStart w:id="38" w:name="_Toc19528"/>
      <w:bookmarkStart w:id="39" w:name="_Toc278155330"/>
      <w:bookmarkStart w:id="40" w:name="_Toc425761631"/>
      <w:bookmarkStart w:id="41" w:name="_Toc285"/>
      <w:r>
        <w:rPr>
          <w:rFonts w:hint="eastAsia" w:cs="宋体" w:asciiTheme="minorEastAsia" w:hAnsiTheme="minorEastAsia"/>
          <w:sz w:val="24"/>
          <w:szCs w:val="24"/>
        </w:rPr>
        <w:t>1.3采购范围、工期和质量要求</w:t>
      </w:r>
      <w:bookmarkEnd w:id="31"/>
      <w:bookmarkEnd w:id="32"/>
      <w:bookmarkEnd w:id="33"/>
      <w:bookmarkEnd w:id="34"/>
      <w:bookmarkEnd w:id="35"/>
      <w:bookmarkEnd w:id="36"/>
      <w:bookmarkEnd w:id="37"/>
      <w:bookmarkEnd w:id="38"/>
      <w:bookmarkEnd w:id="39"/>
      <w:bookmarkEnd w:id="40"/>
      <w:bookmarkEnd w:id="41"/>
    </w:p>
    <w:p w14:paraId="6BA6769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1.3.1本次采购范围：见供应商须知前附表。</w:t>
      </w:r>
    </w:p>
    <w:p w14:paraId="7F87792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1.3.2本项目的工期要求：见供应商须知前附表。</w:t>
      </w:r>
    </w:p>
    <w:p w14:paraId="4DAC93A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1.3.3本项目的质量要求：见供应商须知前附表。</w:t>
      </w:r>
    </w:p>
    <w:p w14:paraId="721F0A4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1.3.4本项目的质保期要求：见供应商须知前附表。</w:t>
      </w:r>
    </w:p>
    <w:p w14:paraId="55081CE5">
      <w:pPr>
        <w:tabs>
          <w:tab w:val="left" w:pos="540"/>
        </w:tabs>
        <w:spacing w:line="360" w:lineRule="auto"/>
        <w:outlineLvl w:val="1"/>
        <w:rPr>
          <w:rFonts w:cs="宋体" w:asciiTheme="minorEastAsia" w:hAnsiTheme="minorEastAsia"/>
          <w:sz w:val="24"/>
          <w:szCs w:val="24"/>
        </w:rPr>
      </w:pPr>
      <w:bookmarkStart w:id="42" w:name="_Toc269470298"/>
      <w:bookmarkStart w:id="43" w:name="_Toc2252"/>
      <w:bookmarkStart w:id="44" w:name="_Toc6153"/>
      <w:bookmarkStart w:id="45" w:name="_Toc425761632"/>
      <w:bookmarkStart w:id="46" w:name="_Toc380394469"/>
      <w:bookmarkStart w:id="47" w:name="_Toc270604579"/>
      <w:bookmarkStart w:id="48" w:name="_Toc277149368"/>
      <w:bookmarkStart w:id="49" w:name="_Toc22973"/>
      <w:bookmarkStart w:id="50" w:name="_Toc270604806"/>
      <w:bookmarkStart w:id="51" w:name="_Toc278155331"/>
      <w:bookmarkStart w:id="52" w:name="_Toc15861"/>
      <w:r>
        <w:rPr>
          <w:rFonts w:hint="eastAsia" w:cs="宋体" w:asciiTheme="minorEastAsia" w:hAnsiTheme="minorEastAsia"/>
          <w:sz w:val="24"/>
          <w:szCs w:val="24"/>
        </w:rPr>
        <w:t>1.4供应商资格要求</w:t>
      </w:r>
      <w:bookmarkEnd w:id="42"/>
      <w:r>
        <w:rPr>
          <w:rFonts w:hint="eastAsia" w:cs="宋体" w:asciiTheme="minorEastAsia" w:hAnsiTheme="minorEastAsia"/>
          <w:sz w:val="24"/>
          <w:szCs w:val="24"/>
        </w:rPr>
        <w:t>：见供应商须知前附表。</w:t>
      </w:r>
      <w:bookmarkEnd w:id="43"/>
      <w:bookmarkEnd w:id="44"/>
      <w:bookmarkEnd w:id="45"/>
      <w:bookmarkEnd w:id="46"/>
      <w:bookmarkEnd w:id="47"/>
      <w:bookmarkEnd w:id="48"/>
      <w:bookmarkEnd w:id="49"/>
      <w:bookmarkEnd w:id="50"/>
      <w:bookmarkEnd w:id="51"/>
      <w:bookmarkEnd w:id="52"/>
    </w:p>
    <w:p w14:paraId="0D5AC87B">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1.4.1 </w:t>
      </w:r>
      <w:r>
        <w:rPr>
          <w:rFonts w:hint="eastAsia" w:cs="宋体" w:asciiTheme="minorEastAsia" w:hAnsiTheme="minorEastAsia"/>
          <w:sz w:val="24"/>
          <w:szCs w:val="24"/>
          <w:lang w:eastAsia="zh-CN"/>
        </w:rPr>
        <w:t>供应商</w:t>
      </w:r>
      <w:r>
        <w:rPr>
          <w:rFonts w:cs="宋体" w:asciiTheme="minorEastAsia" w:hAnsiTheme="minorEastAsia"/>
          <w:sz w:val="24"/>
          <w:szCs w:val="24"/>
        </w:rPr>
        <w:t>应具备承担本</w:t>
      </w:r>
      <w:r>
        <w:rPr>
          <w:rFonts w:hint="eastAsia" w:cs="宋体" w:asciiTheme="minorEastAsia" w:hAnsiTheme="minorEastAsia"/>
          <w:sz w:val="24"/>
          <w:szCs w:val="24"/>
        </w:rPr>
        <w:t>项目</w:t>
      </w:r>
      <w:r>
        <w:rPr>
          <w:rFonts w:cs="宋体" w:asciiTheme="minorEastAsia" w:hAnsiTheme="minorEastAsia"/>
          <w:sz w:val="24"/>
          <w:szCs w:val="24"/>
        </w:rPr>
        <w:t>的资质条件、能力和信誉。</w:t>
      </w:r>
    </w:p>
    <w:p w14:paraId="2E7416A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（1）资质条件：见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p>
    <w:p w14:paraId="72328E4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w:t>
      </w:r>
      <w:r>
        <w:rPr>
          <w:rFonts w:hint="eastAsia" w:cs="宋体" w:asciiTheme="minorEastAsia" w:hAnsiTheme="minorEastAsia"/>
          <w:sz w:val="24"/>
          <w:szCs w:val="24"/>
        </w:rPr>
        <w:t>2</w:t>
      </w:r>
      <w:r>
        <w:rPr>
          <w:rFonts w:cs="宋体" w:asciiTheme="minorEastAsia" w:hAnsiTheme="minorEastAsia"/>
          <w:sz w:val="24"/>
          <w:szCs w:val="24"/>
        </w:rPr>
        <w:t>）项目</w:t>
      </w:r>
      <w:r>
        <w:rPr>
          <w:rFonts w:hint="eastAsia" w:cs="宋体" w:asciiTheme="minorEastAsia" w:hAnsiTheme="minorEastAsia"/>
          <w:sz w:val="24"/>
          <w:szCs w:val="24"/>
        </w:rPr>
        <w:t>经理</w:t>
      </w:r>
      <w:r>
        <w:rPr>
          <w:rFonts w:cs="宋体" w:asciiTheme="minorEastAsia" w:hAnsiTheme="minorEastAsia"/>
          <w:sz w:val="24"/>
          <w:szCs w:val="24"/>
        </w:rPr>
        <w:t>资格：见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p>
    <w:p w14:paraId="0188B09E">
      <w:pPr>
        <w:tabs>
          <w:tab w:val="left" w:pos="540"/>
        </w:tabs>
        <w:spacing w:line="360" w:lineRule="auto"/>
        <w:ind w:firstLine="480" w:firstLineChars="200"/>
        <w:outlineLvl w:val="1"/>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w:t>
      </w:r>
      <w:r>
        <w:rPr>
          <w:rFonts w:cs="宋体" w:asciiTheme="minorEastAsia" w:hAnsiTheme="minorEastAsia"/>
          <w:sz w:val="24"/>
          <w:szCs w:val="24"/>
        </w:rPr>
        <w:t>信誉要求：见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r>
        <w:rPr>
          <w:rFonts w:hint="eastAsia" w:cs="宋体" w:asciiTheme="minorEastAsia" w:hAnsiTheme="minorEastAsia"/>
          <w:sz w:val="24"/>
          <w:szCs w:val="24"/>
        </w:rPr>
        <w:t>；</w:t>
      </w:r>
    </w:p>
    <w:p w14:paraId="73AF1B9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（4）其他要求：见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p>
    <w:p w14:paraId="721A3335">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1.4.2 </w:t>
      </w:r>
      <w:r>
        <w:rPr>
          <w:rFonts w:hint="eastAsia" w:cs="宋体" w:asciiTheme="minorEastAsia" w:hAnsiTheme="minorEastAsia"/>
          <w:sz w:val="24"/>
          <w:szCs w:val="24"/>
        </w:rPr>
        <w:t>本项目不接受联合体投标。</w:t>
      </w:r>
    </w:p>
    <w:p w14:paraId="1DF36CD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1.4.3 </w:t>
      </w:r>
      <w:r>
        <w:rPr>
          <w:rFonts w:hint="eastAsia" w:cs="宋体" w:asciiTheme="minorEastAsia" w:hAnsiTheme="minorEastAsia"/>
          <w:sz w:val="24"/>
          <w:szCs w:val="24"/>
          <w:lang w:eastAsia="zh-CN"/>
        </w:rPr>
        <w:t>供应商</w:t>
      </w:r>
      <w:r>
        <w:rPr>
          <w:rFonts w:cs="宋体" w:asciiTheme="minorEastAsia" w:hAnsiTheme="minorEastAsia"/>
          <w:sz w:val="24"/>
          <w:szCs w:val="24"/>
        </w:rPr>
        <w:t>不得存在下列情形之一：</w:t>
      </w:r>
    </w:p>
    <w:p w14:paraId="38217596">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（1）为招标人不具有独立法人资格的附属机构（单位）； </w:t>
      </w:r>
    </w:p>
    <w:p w14:paraId="1D78E6D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（2）为本标段前期准备提供设计或咨询服务的，但设计施工总承包的除外；</w:t>
      </w:r>
    </w:p>
    <w:p w14:paraId="76875711">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（3）为本标段的监理人；</w:t>
      </w:r>
    </w:p>
    <w:p w14:paraId="33BE74DA">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（4）为本标段的代建人；</w:t>
      </w:r>
    </w:p>
    <w:p w14:paraId="0B690B7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（5）为本标段提供招标代理服务的；</w:t>
      </w:r>
    </w:p>
    <w:p w14:paraId="5B4DBC9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（6）与本标段的监理人或代建人或招标代理机构同为一个法定代表人的；</w:t>
      </w:r>
    </w:p>
    <w:p w14:paraId="3DA0DB3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（7）与本标段的监理人或代建人或招标代理机构相互控股或参股的；</w:t>
      </w:r>
    </w:p>
    <w:p w14:paraId="72421D6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（8）与本标段的监理人或代建人或招标代理机构相互任职或工作的；</w:t>
      </w:r>
    </w:p>
    <w:p w14:paraId="2192AACD">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（9）被责令停业的；</w:t>
      </w:r>
    </w:p>
    <w:p w14:paraId="5D83ABD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（10）被暂停或取消投标资格的；</w:t>
      </w:r>
    </w:p>
    <w:p w14:paraId="3576580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（11）财产被接管或冻结的；</w:t>
      </w:r>
    </w:p>
    <w:p w14:paraId="743C748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（12）在最近三年内有骗取中标或严重违约或重大工程质量问题的。</w:t>
      </w:r>
    </w:p>
    <w:p w14:paraId="3A783C87">
      <w:pPr>
        <w:tabs>
          <w:tab w:val="left" w:pos="540"/>
        </w:tabs>
        <w:spacing w:line="360" w:lineRule="auto"/>
        <w:outlineLvl w:val="1"/>
        <w:rPr>
          <w:rFonts w:cs="宋体" w:asciiTheme="minorEastAsia" w:hAnsiTheme="minorEastAsia"/>
          <w:sz w:val="24"/>
          <w:szCs w:val="24"/>
        </w:rPr>
      </w:pPr>
      <w:bookmarkStart w:id="53" w:name="_Toc18062"/>
      <w:bookmarkStart w:id="54" w:name="_Toc10549"/>
      <w:bookmarkStart w:id="55" w:name="_Toc25040"/>
      <w:bookmarkStart w:id="56" w:name="_Toc976"/>
      <w:r>
        <w:rPr>
          <w:rFonts w:hint="eastAsia" w:cs="宋体" w:asciiTheme="minorEastAsia" w:hAnsiTheme="minorEastAsia"/>
          <w:sz w:val="24"/>
          <w:szCs w:val="24"/>
        </w:rPr>
        <w:t>1.5费用承担</w:t>
      </w:r>
      <w:bookmarkEnd w:id="13"/>
      <w:bookmarkEnd w:id="14"/>
      <w:bookmarkEnd w:id="15"/>
      <w:bookmarkEnd w:id="16"/>
      <w:bookmarkEnd w:id="17"/>
      <w:bookmarkEnd w:id="18"/>
      <w:bookmarkEnd w:id="19"/>
      <w:bookmarkEnd w:id="53"/>
      <w:bookmarkEnd w:id="54"/>
      <w:bookmarkEnd w:id="55"/>
      <w:bookmarkEnd w:id="56"/>
    </w:p>
    <w:p w14:paraId="1487845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1.5.1供应商准备和参加磋商活动发生的一切费用自理。</w:t>
      </w:r>
    </w:p>
    <w:p w14:paraId="2FDEE216">
      <w:pPr>
        <w:tabs>
          <w:tab w:val="left" w:pos="540"/>
        </w:tabs>
        <w:spacing w:line="360" w:lineRule="auto"/>
        <w:outlineLvl w:val="1"/>
        <w:rPr>
          <w:rFonts w:cs="宋体" w:asciiTheme="minorEastAsia" w:hAnsiTheme="minorEastAsia"/>
          <w:sz w:val="24"/>
          <w:szCs w:val="24"/>
        </w:rPr>
      </w:pPr>
      <w:bookmarkStart w:id="57" w:name="_Toc278155333"/>
      <w:bookmarkStart w:id="58" w:name="_Toc466284458"/>
      <w:bookmarkStart w:id="59" w:name="_Toc380394471"/>
      <w:bookmarkStart w:id="60" w:name="_Toc7894"/>
      <w:bookmarkStart w:id="61" w:name="_Toc269470300"/>
      <w:bookmarkStart w:id="62" w:name="_Toc270604808"/>
      <w:bookmarkStart w:id="63" w:name="_Toc277149370"/>
      <w:bookmarkStart w:id="64" w:name="_Toc1107"/>
      <w:bookmarkStart w:id="65" w:name="_Toc270604581"/>
      <w:bookmarkStart w:id="66" w:name="_Toc859"/>
      <w:bookmarkStart w:id="67" w:name="_Toc23515"/>
      <w:r>
        <w:rPr>
          <w:rFonts w:hint="eastAsia" w:cs="宋体" w:asciiTheme="minorEastAsia" w:hAnsiTheme="minorEastAsia"/>
          <w:sz w:val="24"/>
          <w:szCs w:val="24"/>
        </w:rPr>
        <w:t>1.6保密</w:t>
      </w:r>
      <w:bookmarkEnd w:id="57"/>
      <w:bookmarkEnd w:id="58"/>
      <w:bookmarkEnd w:id="59"/>
      <w:bookmarkEnd w:id="60"/>
      <w:bookmarkEnd w:id="61"/>
      <w:bookmarkEnd w:id="62"/>
      <w:bookmarkEnd w:id="63"/>
      <w:bookmarkEnd w:id="64"/>
      <w:bookmarkEnd w:id="65"/>
      <w:bookmarkEnd w:id="66"/>
      <w:bookmarkEnd w:id="67"/>
    </w:p>
    <w:p w14:paraId="772A7BA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1.6.1磋商期间，直到授予成交的供应商合同止，凡是与磋商响应文件审查、澄清、评价、比较以及推荐成交候选人等方面的情况，均不得向供应商或其他无关的人员透露。</w:t>
      </w:r>
    </w:p>
    <w:p w14:paraId="1529041D">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1.6.2在磋商过程中，供应商如向磋商小组成员施加任何影响，都将会导致其磋商被拒绝。</w:t>
      </w:r>
    </w:p>
    <w:p w14:paraId="79F431F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1.6.3为保证成交结果的公正性，磋商期间直至授予成交供应商合同时，磋商小组成员不得与供应商私1.6.4下交换意见。在磋商结束后，凡与磋商情况有接触的任何人不得也不应将磋商情况扩散出磋商小组成员之外。</w:t>
      </w:r>
    </w:p>
    <w:p w14:paraId="7F5A18AA">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1.6.5参加本项目采购的供应商如对本次评审推荐的拟成交供应商有异议或发现违规违纪行为，请以书面形式向采购人、采购代理机构递交质疑函原件（不接受邮寄、电报、电传、传真、电子数据交换和电子邮件），超过法律规定时间将不再受理。</w:t>
      </w:r>
    </w:p>
    <w:p w14:paraId="4F6221D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1.6.6供应商递交的磋商文件不论中标与否均不予退还。</w:t>
      </w:r>
    </w:p>
    <w:p w14:paraId="2C949818">
      <w:pPr>
        <w:tabs>
          <w:tab w:val="left" w:pos="540"/>
        </w:tabs>
        <w:spacing w:line="360" w:lineRule="auto"/>
        <w:outlineLvl w:val="1"/>
        <w:rPr>
          <w:rFonts w:cs="宋体" w:asciiTheme="minorEastAsia" w:hAnsiTheme="minorEastAsia"/>
          <w:sz w:val="24"/>
          <w:szCs w:val="24"/>
        </w:rPr>
      </w:pPr>
      <w:bookmarkStart w:id="68" w:name="_Toc278155334"/>
      <w:bookmarkStart w:id="69" w:name="_Toc380394472"/>
      <w:bookmarkStart w:id="70" w:name="_Toc269470301"/>
      <w:bookmarkStart w:id="71" w:name="_Toc270604809"/>
      <w:bookmarkStart w:id="72" w:name="_Toc17801"/>
      <w:bookmarkStart w:id="73" w:name="_Toc28471"/>
      <w:bookmarkStart w:id="74" w:name="_Toc270604582"/>
      <w:bookmarkStart w:id="75" w:name="_Toc29602"/>
      <w:bookmarkStart w:id="76" w:name="_Toc466284459"/>
      <w:bookmarkStart w:id="77" w:name="_Toc277149371"/>
      <w:bookmarkStart w:id="78" w:name="_Toc25505"/>
      <w:r>
        <w:rPr>
          <w:rFonts w:hint="eastAsia" w:cs="宋体" w:asciiTheme="minorEastAsia" w:hAnsiTheme="minorEastAsia"/>
          <w:sz w:val="24"/>
          <w:szCs w:val="24"/>
        </w:rPr>
        <w:t>1.7语言文字</w:t>
      </w:r>
      <w:bookmarkEnd w:id="68"/>
      <w:bookmarkEnd w:id="69"/>
      <w:bookmarkEnd w:id="70"/>
      <w:bookmarkEnd w:id="71"/>
      <w:bookmarkEnd w:id="72"/>
      <w:bookmarkEnd w:id="73"/>
      <w:bookmarkEnd w:id="74"/>
      <w:bookmarkEnd w:id="75"/>
      <w:bookmarkEnd w:id="76"/>
      <w:bookmarkEnd w:id="77"/>
      <w:bookmarkEnd w:id="78"/>
    </w:p>
    <w:p w14:paraId="714D2338">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1.7.1除专用术语外，与采购有关的语言均使用中文。必要时专用术语应附有中文注释。</w:t>
      </w:r>
    </w:p>
    <w:p w14:paraId="4DE78D5F">
      <w:pPr>
        <w:tabs>
          <w:tab w:val="left" w:pos="540"/>
        </w:tabs>
        <w:spacing w:line="360" w:lineRule="auto"/>
        <w:outlineLvl w:val="1"/>
        <w:rPr>
          <w:rFonts w:cs="宋体" w:asciiTheme="minorEastAsia" w:hAnsiTheme="minorEastAsia"/>
          <w:sz w:val="24"/>
          <w:szCs w:val="24"/>
        </w:rPr>
      </w:pPr>
      <w:bookmarkStart w:id="79" w:name="_Toc466284460"/>
      <w:bookmarkStart w:id="80" w:name="_Toc9268"/>
      <w:bookmarkStart w:id="81" w:name="_Toc270604583"/>
      <w:bookmarkStart w:id="82" w:name="_Toc9357"/>
      <w:bookmarkStart w:id="83" w:name="_Toc380394473"/>
      <w:bookmarkStart w:id="84" w:name="_Toc277149372"/>
      <w:bookmarkStart w:id="85" w:name="_Toc21514"/>
      <w:bookmarkStart w:id="86" w:name="_Toc278155335"/>
      <w:bookmarkStart w:id="87" w:name="_Toc270604810"/>
      <w:bookmarkStart w:id="88" w:name="_Toc269470302"/>
      <w:bookmarkStart w:id="89" w:name="_Toc20169"/>
      <w:r>
        <w:rPr>
          <w:rFonts w:hint="eastAsia" w:cs="宋体" w:asciiTheme="minorEastAsia" w:hAnsiTheme="minorEastAsia"/>
          <w:sz w:val="24"/>
          <w:szCs w:val="24"/>
        </w:rPr>
        <w:t>1.8计量单位</w:t>
      </w:r>
      <w:bookmarkEnd w:id="79"/>
      <w:bookmarkEnd w:id="80"/>
      <w:bookmarkEnd w:id="81"/>
      <w:bookmarkEnd w:id="82"/>
      <w:bookmarkEnd w:id="83"/>
      <w:bookmarkEnd w:id="84"/>
      <w:bookmarkEnd w:id="85"/>
      <w:bookmarkEnd w:id="86"/>
      <w:bookmarkEnd w:id="87"/>
      <w:bookmarkEnd w:id="88"/>
      <w:bookmarkEnd w:id="89"/>
    </w:p>
    <w:p w14:paraId="6CF48E4F">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1.8.1所有计量均采用中华人民共和国法定计量单位。</w:t>
      </w:r>
    </w:p>
    <w:p w14:paraId="6D5F4D22">
      <w:pPr>
        <w:tabs>
          <w:tab w:val="left" w:pos="540"/>
        </w:tabs>
        <w:spacing w:line="360" w:lineRule="auto"/>
        <w:outlineLvl w:val="1"/>
        <w:rPr>
          <w:rFonts w:cs="宋体" w:asciiTheme="minorEastAsia" w:hAnsiTheme="minorEastAsia"/>
          <w:sz w:val="24"/>
          <w:szCs w:val="24"/>
        </w:rPr>
      </w:pPr>
      <w:bookmarkStart w:id="90" w:name="_Toc466284461"/>
      <w:bookmarkStart w:id="91" w:name="_Toc22287"/>
      <w:bookmarkStart w:id="92" w:name="_Toc270604584"/>
      <w:bookmarkStart w:id="93" w:name="_Toc27455"/>
      <w:bookmarkStart w:id="94" w:name="_Toc270604811"/>
      <w:bookmarkStart w:id="95" w:name="_Toc278155336"/>
      <w:bookmarkStart w:id="96" w:name="_Toc25935"/>
      <w:bookmarkStart w:id="97" w:name="_Toc269470303"/>
      <w:bookmarkStart w:id="98" w:name="_Toc380394474"/>
      <w:bookmarkStart w:id="99" w:name="_Toc9488"/>
      <w:bookmarkStart w:id="100" w:name="_Toc277149373"/>
      <w:r>
        <w:rPr>
          <w:rFonts w:hint="eastAsia" w:cs="宋体" w:asciiTheme="minorEastAsia" w:hAnsiTheme="minorEastAsia"/>
          <w:sz w:val="24"/>
          <w:szCs w:val="24"/>
        </w:rPr>
        <w:t>1.9踏勘现场</w:t>
      </w:r>
      <w:bookmarkEnd w:id="90"/>
      <w:bookmarkEnd w:id="91"/>
      <w:bookmarkEnd w:id="92"/>
      <w:bookmarkEnd w:id="93"/>
      <w:bookmarkEnd w:id="94"/>
      <w:bookmarkEnd w:id="95"/>
      <w:bookmarkEnd w:id="96"/>
      <w:bookmarkEnd w:id="97"/>
      <w:bookmarkEnd w:id="98"/>
      <w:bookmarkEnd w:id="99"/>
      <w:bookmarkEnd w:id="100"/>
    </w:p>
    <w:p w14:paraId="2A377B7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1.9.1供应商踏勘现场，所发生的费用自理。</w:t>
      </w:r>
    </w:p>
    <w:p w14:paraId="3B75630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1.9.2除采购人的原因外，供应商自行承担在踏勘现场中所发生的人员伤亡和财产损失。</w:t>
      </w:r>
    </w:p>
    <w:p w14:paraId="34F54A6F">
      <w:pPr>
        <w:tabs>
          <w:tab w:val="left" w:pos="0"/>
        </w:tabs>
        <w:spacing w:line="360" w:lineRule="auto"/>
        <w:ind w:left="420"/>
        <w:rPr>
          <w:rFonts w:hint="eastAsia" w:cs="宋体" w:asciiTheme="minorEastAsia" w:hAnsiTheme="minorEastAsia"/>
          <w:sz w:val="24"/>
          <w:szCs w:val="24"/>
          <w:lang w:eastAsia="zh-CN"/>
        </w:rPr>
      </w:pPr>
      <w:r>
        <w:rPr>
          <w:rFonts w:hint="eastAsia" w:cs="宋体" w:asciiTheme="minorEastAsia" w:hAnsiTheme="minorEastAsia"/>
          <w:sz w:val="24"/>
          <w:szCs w:val="24"/>
        </w:rPr>
        <w:t>1.9.3采购人在踏勘现场中介绍的项目场地和相关的周边环境情况，供应商在编制磋商响应文件时参考</w:t>
      </w:r>
      <w:r>
        <w:rPr>
          <w:rFonts w:hint="eastAsia" w:cs="宋体" w:asciiTheme="minorEastAsia" w:hAnsiTheme="minorEastAsia"/>
          <w:sz w:val="24"/>
          <w:szCs w:val="24"/>
          <w:lang w:eastAsia="zh-CN"/>
        </w:rPr>
        <w:t>。</w:t>
      </w:r>
    </w:p>
    <w:p w14:paraId="6933C8F6">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1.9.4采购人不对供应商据此作出的判断和决策负责。</w:t>
      </w:r>
    </w:p>
    <w:p w14:paraId="525E497B">
      <w:pPr>
        <w:tabs>
          <w:tab w:val="left" w:pos="540"/>
        </w:tabs>
        <w:spacing w:line="360" w:lineRule="auto"/>
        <w:outlineLvl w:val="1"/>
        <w:rPr>
          <w:rFonts w:cs="宋体" w:asciiTheme="minorEastAsia" w:hAnsiTheme="minorEastAsia"/>
          <w:sz w:val="24"/>
          <w:szCs w:val="24"/>
        </w:rPr>
      </w:pPr>
      <w:bookmarkStart w:id="101" w:name="_Toc380394475"/>
      <w:bookmarkStart w:id="102" w:name="_Toc1086"/>
      <w:bookmarkStart w:id="103" w:name="_Toc270604585"/>
      <w:bookmarkStart w:id="104" w:name="_Toc270604812"/>
      <w:bookmarkStart w:id="105" w:name="_Toc29208"/>
      <w:bookmarkStart w:id="106" w:name="_Toc269470304"/>
      <w:bookmarkStart w:id="107" w:name="_Toc277149374"/>
      <w:bookmarkStart w:id="108" w:name="_Toc278155337"/>
      <w:bookmarkStart w:id="109" w:name="_Toc19570"/>
      <w:bookmarkStart w:id="110" w:name="_Toc466284462"/>
      <w:bookmarkStart w:id="111" w:name="_Toc1914"/>
      <w:r>
        <w:rPr>
          <w:rFonts w:hint="eastAsia" w:cs="宋体" w:asciiTheme="minorEastAsia" w:hAnsiTheme="minorEastAsia"/>
          <w:sz w:val="24"/>
          <w:szCs w:val="24"/>
        </w:rPr>
        <w:t>1.10磋商预备会</w:t>
      </w:r>
      <w:bookmarkEnd w:id="101"/>
      <w:bookmarkEnd w:id="102"/>
      <w:bookmarkEnd w:id="103"/>
      <w:bookmarkEnd w:id="104"/>
      <w:bookmarkEnd w:id="105"/>
      <w:bookmarkEnd w:id="106"/>
      <w:bookmarkEnd w:id="107"/>
      <w:bookmarkEnd w:id="108"/>
      <w:bookmarkEnd w:id="109"/>
      <w:bookmarkEnd w:id="110"/>
      <w:bookmarkEnd w:id="111"/>
    </w:p>
    <w:p w14:paraId="6E45E424">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1.10.1本次竞争性磋商不召开磋商预备会，供应商如有疑问，应通过交易系统提出问题，采购人通过发布公告的形式通知所有参加磋商的供应商。该部分内容为竞争性磋商文件的组成部分。</w:t>
      </w:r>
    </w:p>
    <w:p w14:paraId="757FC306">
      <w:pPr>
        <w:tabs>
          <w:tab w:val="left" w:pos="540"/>
        </w:tabs>
        <w:spacing w:line="360" w:lineRule="auto"/>
        <w:outlineLvl w:val="1"/>
        <w:rPr>
          <w:rFonts w:cs="宋体" w:asciiTheme="minorEastAsia" w:hAnsiTheme="minorEastAsia"/>
          <w:sz w:val="24"/>
          <w:szCs w:val="24"/>
        </w:rPr>
      </w:pPr>
      <w:bookmarkStart w:id="112" w:name="_Toc31773"/>
      <w:bookmarkStart w:id="113" w:name="_Toc466284463"/>
      <w:bookmarkStart w:id="114" w:name="_Toc278155338"/>
      <w:bookmarkStart w:id="115" w:name="_Toc26014"/>
      <w:bookmarkStart w:id="116" w:name="_Toc277149375"/>
      <w:bookmarkStart w:id="117" w:name="_Toc270604813"/>
      <w:bookmarkStart w:id="118" w:name="_Toc270604586"/>
      <w:bookmarkStart w:id="119" w:name="_Toc269470305"/>
      <w:bookmarkStart w:id="120" w:name="_Toc380394476"/>
      <w:bookmarkStart w:id="121" w:name="_Toc5818"/>
      <w:bookmarkStart w:id="122" w:name="_Toc5553"/>
      <w:r>
        <w:rPr>
          <w:rFonts w:hint="eastAsia" w:cs="宋体" w:asciiTheme="minorEastAsia" w:hAnsiTheme="minorEastAsia"/>
          <w:sz w:val="24"/>
          <w:szCs w:val="24"/>
        </w:rPr>
        <w:t>1.11分包</w:t>
      </w:r>
      <w:bookmarkEnd w:id="112"/>
      <w:bookmarkEnd w:id="113"/>
      <w:bookmarkEnd w:id="114"/>
      <w:bookmarkEnd w:id="115"/>
      <w:bookmarkEnd w:id="116"/>
      <w:bookmarkEnd w:id="117"/>
      <w:bookmarkEnd w:id="118"/>
      <w:bookmarkEnd w:id="119"/>
      <w:bookmarkEnd w:id="120"/>
      <w:bookmarkEnd w:id="121"/>
      <w:bookmarkEnd w:id="122"/>
    </w:p>
    <w:p w14:paraId="2C5B4CA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1.11.1本项目不允许分包。</w:t>
      </w:r>
    </w:p>
    <w:p w14:paraId="0E24594A">
      <w:pPr>
        <w:tabs>
          <w:tab w:val="left" w:pos="540"/>
          <w:tab w:val="left" w:pos="1287"/>
        </w:tabs>
        <w:spacing w:line="360" w:lineRule="auto"/>
        <w:outlineLvl w:val="1"/>
        <w:rPr>
          <w:rFonts w:cs="宋体" w:asciiTheme="minorEastAsia" w:hAnsiTheme="minorEastAsia"/>
          <w:sz w:val="24"/>
          <w:szCs w:val="24"/>
        </w:rPr>
      </w:pPr>
      <w:bookmarkStart w:id="123" w:name="_Toc269470306"/>
      <w:bookmarkStart w:id="124" w:name="_Toc8438"/>
      <w:bookmarkStart w:id="125" w:name="_Toc270604587"/>
      <w:bookmarkStart w:id="126" w:name="_Toc24741"/>
      <w:bookmarkStart w:id="127" w:name="_Toc270604814"/>
      <w:bookmarkStart w:id="128" w:name="_Toc380394477"/>
      <w:bookmarkStart w:id="129" w:name="_Toc277149376"/>
      <w:bookmarkStart w:id="130" w:name="_Toc466284464"/>
      <w:bookmarkStart w:id="131" w:name="_Toc308441225"/>
      <w:bookmarkStart w:id="132" w:name="_Toc278155339"/>
      <w:bookmarkStart w:id="133" w:name="_Toc20635"/>
      <w:bookmarkStart w:id="134" w:name="_Toc23705"/>
      <w:bookmarkStart w:id="135" w:name="_Toc270604588"/>
      <w:r>
        <w:rPr>
          <w:rFonts w:hint="eastAsia" w:cs="宋体" w:asciiTheme="minorEastAsia" w:hAnsiTheme="minorEastAsia"/>
          <w:sz w:val="24"/>
          <w:szCs w:val="24"/>
        </w:rPr>
        <w:t>1.12偏离</w:t>
      </w:r>
      <w:bookmarkEnd w:id="123"/>
      <w:bookmarkEnd w:id="124"/>
      <w:bookmarkEnd w:id="125"/>
      <w:bookmarkEnd w:id="126"/>
      <w:bookmarkEnd w:id="127"/>
      <w:bookmarkEnd w:id="128"/>
      <w:bookmarkEnd w:id="129"/>
      <w:bookmarkEnd w:id="130"/>
      <w:bookmarkEnd w:id="131"/>
      <w:bookmarkEnd w:id="132"/>
      <w:bookmarkEnd w:id="133"/>
      <w:bookmarkEnd w:id="134"/>
    </w:p>
    <w:p w14:paraId="05B41C0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1.12.1本项目不允许偏离。</w:t>
      </w:r>
    </w:p>
    <w:bookmarkEnd w:id="135"/>
    <w:p w14:paraId="29BD5BAF">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36" w:name="_Toc381"/>
      <w:bookmarkStart w:id="137" w:name="_Toc438797185"/>
      <w:bookmarkStart w:id="138" w:name="_Toc27093"/>
      <w:bookmarkStart w:id="139" w:name="_Toc391284747"/>
      <w:bookmarkStart w:id="140" w:name="_Toc438797950"/>
      <w:bookmarkStart w:id="141" w:name="_Toc16608"/>
      <w:bookmarkStart w:id="142" w:name="_Toc269470313"/>
      <w:bookmarkStart w:id="143" w:name="_Toc380394484"/>
      <w:bookmarkStart w:id="144" w:name="_Toc270604594"/>
      <w:bookmarkStart w:id="145" w:name="_Toc466284471"/>
      <w:bookmarkStart w:id="146" w:name="_Toc277149383"/>
      <w:bookmarkStart w:id="147" w:name="_Toc270604821"/>
      <w:bookmarkStart w:id="148" w:name="_Toc278155346"/>
      <w:r>
        <w:rPr>
          <w:rFonts w:hint="eastAsia" w:cs="宋体" w:asciiTheme="minorEastAsia" w:hAnsiTheme="minorEastAsia"/>
          <w:b/>
          <w:sz w:val="24"/>
          <w:szCs w:val="24"/>
        </w:rPr>
        <w:t>竞争性磋商文件</w:t>
      </w:r>
      <w:bookmarkEnd w:id="136"/>
      <w:bookmarkEnd w:id="137"/>
      <w:bookmarkEnd w:id="138"/>
      <w:bookmarkEnd w:id="139"/>
      <w:bookmarkEnd w:id="140"/>
      <w:bookmarkEnd w:id="141"/>
    </w:p>
    <w:p w14:paraId="5354A434">
      <w:pPr>
        <w:spacing w:line="360" w:lineRule="auto"/>
        <w:ind w:left="-5" w:firstLine="425"/>
        <w:rPr>
          <w:rFonts w:cs="宋体" w:asciiTheme="minorEastAsia" w:hAnsiTheme="minorEastAsia"/>
          <w:kern w:val="0"/>
          <w:sz w:val="24"/>
          <w:szCs w:val="24"/>
        </w:rPr>
      </w:pPr>
      <w:bookmarkStart w:id="149" w:name="_Toc391284748"/>
      <w:bookmarkStart w:id="150" w:name="_Toc438797951"/>
      <w:bookmarkStart w:id="151" w:name="_Toc438797186"/>
      <w:r>
        <w:rPr>
          <w:rFonts w:hint="eastAsia" w:cs="宋体" w:asciiTheme="minorEastAsia" w:hAnsiTheme="minorEastAsia"/>
          <w:kern w:val="0"/>
          <w:sz w:val="24"/>
          <w:szCs w:val="24"/>
        </w:rPr>
        <w:t>2.1 竞争性磋商文件的组成</w:t>
      </w:r>
      <w:bookmarkEnd w:id="149"/>
      <w:bookmarkEnd w:id="150"/>
      <w:bookmarkEnd w:id="151"/>
    </w:p>
    <w:p w14:paraId="12165E2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本竞争性磋商文件包括：</w:t>
      </w:r>
    </w:p>
    <w:p w14:paraId="58D92FF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第一章  竞争性磋商公告</w:t>
      </w:r>
      <w:r>
        <w:rPr>
          <w:rFonts w:hint="eastAsia" w:cs="宋体" w:asciiTheme="minorEastAsia" w:hAnsiTheme="minorEastAsia"/>
          <w:bCs/>
          <w:sz w:val="24"/>
          <w:szCs w:val="24"/>
        </w:rPr>
        <w:t>；</w:t>
      </w:r>
    </w:p>
    <w:p w14:paraId="0C6FEB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第二章  供应商须知；</w:t>
      </w:r>
    </w:p>
    <w:p w14:paraId="6FB89C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第三章  评分办法；</w:t>
      </w:r>
    </w:p>
    <w:p w14:paraId="248581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第四章  </w:t>
      </w:r>
      <w:r>
        <w:rPr>
          <w:rFonts w:hint="eastAsia" w:cs="宋体" w:asciiTheme="minorEastAsia" w:hAnsiTheme="minorEastAsia"/>
          <w:bCs/>
          <w:kern w:val="0"/>
          <w:sz w:val="24"/>
          <w:szCs w:val="24"/>
        </w:rPr>
        <w:t>技术标准和要求</w:t>
      </w:r>
      <w:r>
        <w:rPr>
          <w:rFonts w:hint="eastAsia" w:cs="宋体" w:asciiTheme="minorEastAsia" w:hAnsiTheme="minorEastAsia"/>
          <w:kern w:val="0"/>
          <w:sz w:val="24"/>
          <w:szCs w:val="24"/>
        </w:rPr>
        <w:t>；</w:t>
      </w:r>
    </w:p>
    <w:p w14:paraId="6E55B51B">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第五章  合同条款及格式；</w:t>
      </w:r>
    </w:p>
    <w:p w14:paraId="15ACCE2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第六章  磋商响应文件格式；</w:t>
      </w:r>
    </w:p>
    <w:p w14:paraId="568FEF4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根据本章第1.10 款、第2.2 款和第2.3 款对竞争性磋商文件所作的澄清、修改，构成竞争性磋商文件的组成部分。</w:t>
      </w:r>
    </w:p>
    <w:p w14:paraId="0893AC38">
      <w:pPr>
        <w:spacing w:line="360" w:lineRule="auto"/>
        <w:ind w:left="-5" w:firstLine="425"/>
        <w:rPr>
          <w:rFonts w:cs="宋体" w:asciiTheme="minorEastAsia" w:hAnsiTheme="minorEastAsia"/>
          <w:b/>
          <w:kern w:val="0"/>
          <w:sz w:val="24"/>
          <w:szCs w:val="24"/>
        </w:rPr>
      </w:pPr>
      <w:bookmarkStart w:id="152" w:name="_Toc438797187"/>
      <w:bookmarkStart w:id="153" w:name="_Toc391284749"/>
      <w:bookmarkStart w:id="154" w:name="_Toc438797952"/>
      <w:r>
        <w:rPr>
          <w:rFonts w:hint="eastAsia" w:cs="宋体" w:asciiTheme="minorEastAsia" w:hAnsiTheme="minorEastAsia"/>
          <w:b/>
          <w:kern w:val="0"/>
          <w:sz w:val="24"/>
          <w:szCs w:val="24"/>
        </w:rPr>
        <w:t>2.2 竞争性磋商文件的澄清</w:t>
      </w:r>
      <w:bookmarkEnd w:id="152"/>
      <w:bookmarkEnd w:id="153"/>
      <w:bookmarkEnd w:id="154"/>
    </w:p>
    <w:p w14:paraId="2974E59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2.2.1 供应商应仔细阅读和检查竞争性磋商文件的全部内容。如发现缺页或附件不全，应及时向采购人提出，以便补齐。如有疑问，应在提交磋商响应文件截止时间五日前在电子交易系统中提出，要求采购人对竞争性磋商文件予以澄清，否则，将视为对本竞争性磋商文件要求无任何异议。</w:t>
      </w:r>
    </w:p>
    <w:p w14:paraId="2999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2.2.2 竞争性磋商文件的澄清将在供应商须知前附表规定的时间在电子交易系统中以澄清公告的形式告知所有潜在供应商，但不指明澄清问题的来源。</w:t>
      </w:r>
    </w:p>
    <w:p w14:paraId="6DA898A8">
      <w:pPr>
        <w:spacing w:line="360" w:lineRule="auto"/>
        <w:ind w:left="-5" w:firstLine="425"/>
        <w:rPr>
          <w:rFonts w:cs="宋体" w:asciiTheme="minorEastAsia" w:hAnsiTheme="minorEastAsia"/>
          <w:b/>
          <w:kern w:val="0"/>
          <w:sz w:val="24"/>
          <w:szCs w:val="24"/>
        </w:rPr>
      </w:pPr>
      <w:bookmarkStart w:id="155" w:name="_Toc438797188"/>
      <w:bookmarkStart w:id="156" w:name="_Toc391284750"/>
      <w:bookmarkStart w:id="157" w:name="_Toc438797953"/>
      <w:r>
        <w:rPr>
          <w:rFonts w:hint="eastAsia" w:cs="宋体" w:asciiTheme="minorEastAsia" w:hAnsiTheme="minorEastAsia"/>
          <w:b/>
          <w:kern w:val="0"/>
          <w:sz w:val="24"/>
          <w:szCs w:val="24"/>
        </w:rPr>
        <w:t>2.3 竞争性磋商文件的修改</w:t>
      </w:r>
      <w:bookmarkEnd w:id="155"/>
      <w:bookmarkEnd w:id="156"/>
      <w:bookmarkEnd w:id="157"/>
    </w:p>
    <w:p w14:paraId="34D87EC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2.3.1 在竞标截止时间5天前，采购人可以在电子交易系统中修改竞争性磋商文件，并以公告的形式告知所有潜在供应商。如果修改竞争性磋商文件的时间距竞标截止时间不足5天，相应延长竞标截止时间。</w:t>
      </w:r>
    </w:p>
    <w:p w14:paraId="3AFE2B6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2.3.2 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1A6DD19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2.3.4 修改（更正）或补充文件将作为竞争性磋商文件的组成部分，对所有供应商具有约束力。当竞争性磋商文件与修改（更正）或补充文件相矛盾时，以最后发出的修改（更正）或补充文件为准。</w:t>
      </w:r>
    </w:p>
    <w:p w14:paraId="7E5AFA5C">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2.4磋商报价</w:t>
      </w:r>
      <w:bookmarkEnd w:id="142"/>
      <w:bookmarkEnd w:id="143"/>
      <w:bookmarkEnd w:id="144"/>
      <w:bookmarkEnd w:id="145"/>
      <w:bookmarkEnd w:id="146"/>
      <w:bookmarkEnd w:id="147"/>
      <w:bookmarkEnd w:id="148"/>
    </w:p>
    <w:p w14:paraId="76BC2057">
      <w:pPr>
        <w:autoSpaceDE w:val="0"/>
        <w:autoSpaceDN w:val="0"/>
        <w:adjustRightInd w:val="0"/>
        <w:spacing w:line="360" w:lineRule="auto"/>
        <w:ind w:left="-5" w:firstLine="425"/>
        <w:jc w:val="left"/>
        <w:rPr>
          <w:rFonts w:cs="宋体" w:asciiTheme="minorEastAsia" w:hAnsiTheme="minorEastAsia"/>
          <w:kern w:val="0"/>
          <w:sz w:val="24"/>
          <w:szCs w:val="24"/>
        </w:rPr>
      </w:pPr>
      <w:bookmarkStart w:id="158" w:name="_Toc425761648"/>
      <w:bookmarkStart w:id="159" w:name="_Toc399229080"/>
      <w:bookmarkStart w:id="160" w:name="_Toc373158159"/>
      <w:bookmarkStart w:id="161" w:name="_Toc269470314"/>
      <w:bookmarkStart w:id="162" w:name="_Toc380394485"/>
      <w:bookmarkStart w:id="163" w:name="_Toc466284472"/>
      <w:bookmarkStart w:id="164" w:name="_Toc380394486"/>
      <w:r>
        <w:rPr>
          <w:rFonts w:hint="eastAsia" w:cs="宋体" w:asciiTheme="minorEastAsia" w:hAnsiTheme="minorEastAsia"/>
          <w:kern w:val="0"/>
          <w:sz w:val="24"/>
          <w:szCs w:val="24"/>
        </w:rPr>
        <w:t>本项目磋商报价根据市场环境和生产要素价格变化情况及企业自身情况自主报价，但总价不得低于本项目实际成本。</w:t>
      </w:r>
    </w:p>
    <w:p w14:paraId="79C4B02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报价编制依据参本工程招标控制价编制依据。</w:t>
      </w:r>
    </w:p>
    <w:bookmarkEnd w:id="158"/>
    <w:bookmarkEnd w:id="159"/>
    <w:bookmarkEnd w:id="160"/>
    <w:bookmarkEnd w:id="161"/>
    <w:bookmarkEnd w:id="162"/>
    <w:p w14:paraId="09F2B5E1">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2.5磋商有效期</w:t>
      </w:r>
      <w:bookmarkEnd w:id="163"/>
      <w:bookmarkEnd w:id="164"/>
    </w:p>
    <w:p w14:paraId="01E7E7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在供应商须知前附表规定的磋商有效期内，供应商不得要求撤销或修改其磋商响应文件。</w:t>
      </w:r>
    </w:p>
    <w:p w14:paraId="59E76D26">
      <w:pPr>
        <w:spacing w:line="360" w:lineRule="auto"/>
        <w:ind w:left="-5" w:firstLine="425"/>
        <w:rPr>
          <w:rFonts w:cs="宋体" w:asciiTheme="minorEastAsia" w:hAnsiTheme="minorEastAsia"/>
          <w:b/>
          <w:kern w:val="0"/>
          <w:sz w:val="24"/>
          <w:szCs w:val="24"/>
        </w:rPr>
      </w:pPr>
      <w:bookmarkStart w:id="165" w:name="_Toc270604823"/>
      <w:bookmarkStart w:id="166" w:name="_Toc277149385"/>
      <w:bookmarkStart w:id="167" w:name="_Toc466284473"/>
      <w:bookmarkStart w:id="168" w:name="_Toc269470318"/>
      <w:bookmarkStart w:id="169" w:name="_Toc278155348"/>
      <w:bookmarkStart w:id="170" w:name="_Toc380394487"/>
      <w:bookmarkStart w:id="171" w:name="_Toc270604596"/>
      <w:r>
        <w:rPr>
          <w:rFonts w:hint="eastAsia" w:cs="宋体" w:asciiTheme="minorEastAsia" w:hAnsiTheme="minorEastAsia"/>
          <w:b/>
          <w:kern w:val="0"/>
          <w:sz w:val="24"/>
          <w:szCs w:val="24"/>
        </w:rPr>
        <w:t>2.6磋商响应文件的编制</w:t>
      </w:r>
      <w:bookmarkEnd w:id="165"/>
      <w:bookmarkEnd w:id="166"/>
      <w:bookmarkEnd w:id="167"/>
      <w:bookmarkEnd w:id="168"/>
      <w:bookmarkEnd w:id="169"/>
      <w:bookmarkEnd w:id="170"/>
      <w:bookmarkEnd w:id="171"/>
      <w:r>
        <w:rPr>
          <w:rFonts w:hint="eastAsia" w:cs="宋体" w:asciiTheme="minorEastAsia" w:hAnsiTheme="minorEastAsia"/>
          <w:b/>
          <w:kern w:val="0"/>
          <w:sz w:val="24"/>
          <w:szCs w:val="24"/>
        </w:rPr>
        <w:t>和签署</w:t>
      </w:r>
    </w:p>
    <w:p w14:paraId="47FF1C8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2.6.1磋商响应文件应按第六章“磋商响应文件格式”进行编写，如有必要，可以增加附页，作为磋商响应文件的组成部分。</w:t>
      </w:r>
    </w:p>
    <w:p w14:paraId="226CE54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66FFA5C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2.6.3供应商在生成电子化磋商响应文件后，必须对电子化磋商响应文件进行电子签章，未进行签章的视为无效文件。</w:t>
      </w:r>
    </w:p>
    <w:p w14:paraId="46CFABF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14:paraId="0444A49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电子化响应文件制作软件请点击https://download.bqpoint.com/download/downloaddetail.html?SourceFrom=Ztb&amp;ZtbSoftXiaQuCode=1506&amp;ZtbSoftType=tballinclusive进行下载。</w:t>
      </w:r>
    </w:p>
    <w:p w14:paraId="277B7A3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2.7电子化磋商响应文件的格式</w:t>
      </w:r>
    </w:p>
    <w:p w14:paraId="1B8BC9A4">
      <w:pPr>
        <w:autoSpaceDE w:val="0"/>
        <w:autoSpaceDN w:val="0"/>
        <w:adjustRightInd w:val="0"/>
        <w:spacing w:line="360" w:lineRule="auto"/>
        <w:ind w:left="-5" w:firstLine="425"/>
        <w:jc w:val="left"/>
        <w:rPr>
          <w:rFonts w:cs="宋体" w:asciiTheme="minorEastAsia" w:hAnsiTheme="minorEastAsia"/>
          <w:kern w:val="0"/>
          <w:sz w:val="24"/>
          <w:szCs w:val="24"/>
        </w:rPr>
      </w:pPr>
      <w:bookmarkStart w:id="172" w:name="_Toc428276593"/>
      <w:bookmarkStart w:id="173" w:name="_Toc503886951"/>
      <w:bookmarkStart w:id="174" w:name="_Toc503885615"/>
      <w:bookmarkStart w:id="175" w:name="_Toc503112358"/>
      <w:r>
        <w:rPr>
          <w:rFonts w:hint="eastAsia" w:cs="宋体" w:asciiTheme="minorEastAsia" w:hAnsiTheme="minorEastAsia"/>
          <w:kern w:val="0"/>
          <w:sz w:val="24"/>
          <w:szCs w:val="24"/>
        </w:rPr>
        <w:t>2.7.1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06FD85B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注：供应商投报多个标段的，每个标段需要单独制作电子响应文件。</w:t>
      </w:r>
    </w:p>
    <w:p w14:paraId="08025DE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2.8电子化磋商响应文件的上传</w:t>
      </w:r>
    </w:p>
    <w:p w14:paraId="06D7328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539C1FC2">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2.8.2按照电子化投标操作教材制作完成的电子化磋商响应文件无法上传的，供应商应在磋商响应文件递交截止时间前尽早的联系中心技术人员，以便有充分的时间进行处理。</w:t>
      </w:r>
    </w:p>
    <w:p w14:paraId="5F133C0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技术联系电话：0398-3117871；主体库咨询电话:0398-3117815；CA证书制发:0398-2181635；科技信息科:0398-3117095。</w:t>
      </w:r>
    </w:p>
    <w:p w14:paraId="27FF467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供应商应充分考虑到处理技术问题和上传数据等工作所需的时间问题，未在磋商响应文件递交截止时间前成功上传的磋商响应文件，不予接收。</w:t>
      </w:r>
    </w:p>
    <w:p w14:paraId="1B16EB4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2.9磋商响应文件的修改或撤回</w:t>
      </w:r>
    </w:p>
    <w:bookmarkEnd w:id="172"/>
    <w:bookmarkEnd w:id="173"/>
    <w:bookmarkEnd w:id="174"/>
    <w:bookmarkEnd w:id="175"/>
    <w:p w14:paraId="71FA21A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2.9.1在本章前附表规定的磋商响应文件递交截止时间前，供应商可以修改或撤回已递交的磋商响应文件。</w:t>
      </w:r>
    </w:p>
    <w:p w14:paraId="223B7070">
      <w:pPr>
        <w:autoSpaceDE w:val="0"/>
        <w:autoSpaceDN w:val="0"/>
        <w:adjustRightInd w:val="0"/>
        <w:spacing w:line="360" w:lineRule="auto"/>
        <w:ind w:left="-5" w:firstLine="425"/>
        <w:jc w:val="left"/>
        <w:rPr>
          <w:rFonts w:cs="宋体" w:asciiTheme="minorEastAsia" w:hAnsiTheme="minorEastAsia"/>
          <w:kern w:val="0"/>
          <w:sz w:val="24"/>
          <w:szCs w:val="24"/>
        </w:rPr>
      </w:pPr>
      <w:bookmarkStart w:id="176" w:name="_Toc380394492"/>
      <w:bookmarkStart w:id="177" w:name="_Toc270604601"/>
      <w:bookmarkStart w:id="178" w:name="_Toc466284478"/>
      <w:r>
        <w:rPr>
          <w:rFonts w:hint="eastAsia" w:cs="宋体" w:asciiTheme="minorEastAsia" w:hAnsiTheme="minorEastAsia"/>
          <w:b/>
          <w:kern w:val="0"/>
          <w:sz w:val="24"/>
          <w:szCs w:val="24"/>
        </w:rPr>
        <w:t>2.10电子化项目开标、解密、唱标</w:t>
      </w:r>
    </w:p>
    <w:p w14:paraId="0A962EB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2.10.1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3DC9A68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2.10.2电子化磋商响应文件解密异常的处理</w:t>
      </w:r>
    </w:p>
    <w:p w14:paraId="0C36343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如出现供应商的电子磋商响应文件无法解密等异常情况，供应商应及时致电代理机构说明。磋商响应文件异常，按以下步骤进行处理：</w:t>
      </w:r>
    </w:p>
    <w:p w14:paraId="2FA176A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（1）首先由技术人员进行问题排查。</w:t>
      </w:r>
    </w:p>
    <w:p w14:paraId="7AC7286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66777D1">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2.10.3待所有供应商磋商响应文件解密完成后，由代理机构操作，对所有已解密磋商响应文件进行电子唱标。</w:t>
      </w:r>
    </w:p>
    <w:p w14:paraId="46A568C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供应商应保证在开标期间电话、电脑、网络能够正常工作，供应商因停电、电脑病毒、网络堵塞等原因，未在规定的解密时间内对磋商响应文件进行解密的，其磋商响应文件不予接收、唱标。</w:t>
      </w:r>
    </w:p>
    <w:p w14:paraId="427389B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2.10.4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bookmarkEnd w:id="176"/>
    <w:bookmarkEnd w:id="177"/>
    <w:bookmarkEnd w:id="178"/>
    <w:p w14:paraId="61ABB5FA">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79" w:name="_Toc21850"/>
      <w:r>
        <w:rPr>
          <w:rFonts w:hint="eastAsia" w:cs="宋体" w:asciiTheme="minorEastAsia" w:hAnsiTheme="minorEastAsia"/>
          <w:b/>
          <w:sz w:val="24"/>
          <w:szCs w:val="24"/>
        </w:rPr>
        <w:t>开标时间和地点</w:t>
      </w:r>
      <w:bookmarkEnd w:id="179"/>
    </w:p>
    <w:p w14:paraId="3D8FA7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采购人在本章前附表规定的开标时间和开标地点举行开标会议。</w:t>
      </w:r>
    </w:p>
    <w:p w14:paraId="5EDF3DB7">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0" w:name="_Toc17432"/>
      <w:r>
        <w:rPr>
          <w:rFonts w:hint="eastAsia" w:cs="宋体" w:asciiTheme="minorEastAsia" w:hAnsiTheme="minorEastAsia"/>
          <w:b/>
          <w:sz w:val="24"/>
          <w:szCs w:val="24"/>
        </w:rPr>
        <w:t>磋商小组的组建</w:t>
      </w:r>
      <w:bookmarkEnd w:id="180"/>
    </w:p>
    <w:p w14:paraId="13CE564B">
      <w:pPr>
        <w:spacing w:line="360" w:lineRule="auto"/>
        <w:ind w:firstLine="480" w:firstLineChars="200"/>
        <w:rPr>
          <w:rFonts w:hint="eastAsia" w:ascii="宋体" w:hAnsi="宋体" w:cs="宋体"/>
          <w:sz w:val="24"/>
        </w:rPr>
      </w:pPr>
      <w:r>
        <w:rPr>
          <w:rFonts w:hint="eastAsia" w:cs="宋体" w:asciiTheme="minorEastAsia" w:hAnsiTheme="minorEastAsia"/>
          <w:kern w:val="0"/>
          <w:sz w:val="24"/>
          <w:szCs w:val="24"/>
        </w:rPr>
        <w:t>本项目磋商由采购人依法组建的磋商小组负责。</w:t>
      </w:r>
      <w:r>
        <w:rPr>
          <w:rFonts w:hint="eastAsia" w:ascii="宋体" w:hAnsi="宋体" w:cs="宋体"/>
          <w:sz w:val="24"/>
        </w:rPr>
        <w:t>磋商小组共3人组成，其中采购人代表1人；在相关评标专家库中随机抽取有关技术、经济等方面专家2人。</w:t>
      </w:r>
    </w:p>
    <w:p w14:paraId="3616A2A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磋商专家由采购人代表于项目开标后，在相关监督部门的现场监督下，从相应评标专家库中随机抽取。</w:t>
      </w:r>
    </w:p>
    <w:p w14:paraId="3936B8FD">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磋商小组成员有下列情形之一的，应当回避：</w:t>
      </w:r>
    </w:p>
    <w:p w14:paraId="0CAF9BD3">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(1)采购人或供应商的主要负责人的近亲属；</w:t>
      </w:r>
    </w:p>
    <w:p w14:paraId="0A21A97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(2)项目主管部门或者行政监督部门的人员：</w:t>
      </w:r>
    </w:p>
    <w:p w14:paraId="3BE6030C">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(3)与供应商有经济利益关系，可能影响对竞标公正评审的；</w:t>
      </w:r>
    </w:p>
    <w:p w14:paraId="44276A0B">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(4)曾因在招标、评标以及其他与招投标有关活动中从事违法行为而受过行政处罚或刑事处罚的。</w:t>
      </w:r>
    </w:p>
    <w:p w14:paraId="61E4C161">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1" w:name="_Toc6345"/>
      <w:r>
        <w:rPr>
          <w:rFonts w:hint="eastAsia" w:cs="宋体" w:asciiTheme="minorEastAsia" w:hAnsiTheme="minorEastAsia"/>
          <w:b/>
          <w:sz w:val="24"/>
          <w:szCs w:val="24"/>
        </w:rPr>
        <w:t>竞争性磋商</w:t>
      </w:r>
      <w:bookmarkEnd w:id="181"/>
    </w:p>
    <w:p w14:paraId="1C0C5FB2">
      <w:pPr>
        <w:widowControl/>
        <w:snapToGrid w:val="0"/>
        <w:spacing w:line="480" w:lineRule="exact"/>
        <w:ind w:firstLine="465"/>
        <w:jc w:val="left"/>
        <w:outlineLvl w:val="3"/>
        <w:rPr>
          <w:rFonts w:cs="宋体" w:asciiTheme="minorEastAsia" w:hAnsiTheme="minorEastAsia"/>
          <w:kern w:val="0"/>
          <w:sz w:val="24"/>
          <w:szCs w:val="24"/>
        </w:rPr>
      </w:pPr>
      <w:bookmarkStart w:id="182" w:name="_Toc269470330"/>
      <w:r>
        <w:rPr>
          <w:rFonts w:hint="eastAsia" w:cs="宋体" w:asciiTheme="minorEastAsia" w:hAnsiTheme="minorEastAsia"/>
          <w:b/>
          <w:kern w:val="0"/>
          <w:sz w:val="24"/>
          <w:szCs w:val="24"/>
        </w:rPr>
        <w:t>5.1磋商程序及原则</w:t>
      </w:r>
    </w:p>
    <w:p w14:paraId="0C7756F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5.1.1磋商时，磋商小组按顺序依次与供应商通过交易系统的磋商大厅进行磋商。</w:t>
      </w:r>
    </w:p>
    <w:p w14:paraId="494852C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669C1564">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5.1.3磋商小组对需要答复的供应商连续三次致电未接通的，视为供应商放弃答复，磋商小组将自行对该质疑内容进行认定。</w:t>
      </w:r>
    </w:p>
    <w:p w14:paraId="313E7861">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5.1.4本次竞争性磋商，采用初步评审后的多轮磋商最后报价制。</w:t>
      </w:r>
    </w:p>
    <w:p w14:paraId="487D44D6">
      <w:pPr>
        <w:tabs>
          <w:tab w:val="left" w:pos="0"/>
        </w:tabs>
        <w:spacing w:line="360" w:lineRule="auto"/>
        <w:ind w:left="420"/>
        <w:rPr>
          <w:rFonts w:cs="宋体" w:asciiTheme="minorEastAsia" w:hAnsiTheme="minorEastAsia"/>
          <w:bCs/>
          <w:sz w:val="24"/>
          <w:szCs w:val="24"/>
        </w:rPr>
      </w:pPr>
      <w:r>
        <w:rPr>
          <w:rFonts w:hint="eastAsia" w:cs="宋体" w:asciiTheme="minorEastAsia" w:hAnsiTheme="minorEastAsia"/>
          <w:b/>
          <w:kern w:val="0"/>
          <w:sz w:val="24"/>
          <w:szCs w:val="24"/>
        </w:rPr>
        <w:t>5.2 初步评审</w:t>
      </w:r>
    </w:p>
    <w:p w14:paraId="2AB43D53">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5.2.1在初步评审阶段，磋商小组将审查以下各项是否响应磋商文件要求，不符合磋商文件要求的响应文件将不得进入磋商阶段，其响应文件按废标处理：</w:t>
      </w:r>
    </w:p>
    <w:p w14:paraId="78C516A2">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1）供应商资格审查不合格的（本项目实行资格后审，各供应商在磋商响应文件“供应商的资格证明文件”中提供的所有证件、证明作为供应商资格审查的依据，供应商对其真实性负责。提供不全或不符合磋商文件要求的，视为资格审查不合格，其磋商响应文件作废）。</w:t>
      </w:r>
    </w:p>
    <w:p w14:paraId="181E0DB0">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（2）磋商响应文件未按磋商文件要求签字、盖章的；</w:t>
      </w:r>
    </w:p>
    <w:p w14:paraId="31C31F6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（3）磋商响应文件没有实质性响应本项目磋商文件要求的；</w:t>
      </w:r>
    </w:p>
    <w:p w14:paraId="4EE81CB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（4）磋商响应文件中有采购人不能接受的其它条件的；</w:t>
      </w:r>
    </w:p>
    <w:p w14:paraId="16AB8AB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（5）法律、法规规定为废标的其他情形；</w:t>
      </w:r>
    </w:p>
    <w:p w14:paraId="45E7463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5.2.2在初步评审阶段,磋商小组还需对供应商的磋商报价进行审核。修正原则如下: 如果大写表示的金额和小写表示的金额不一致时，以大写表示的金额为准。</w:t>
      </w:r>
    </w:p>
    <w:p w14:paraId="38152AD3">
      <w:pPr>
        <w:widowControl/>
        <w:snapToGrid w:val="0"/>
        <w:spacing w:line="480" w:lineRule="exact"/>
        <w:ind w:firstLine="465"/>
        <w:jc w:val="left"/>
        <w:outlineLvl w:val="3"/>
        <w:rPr>
          <w:rFonts w:cs="宋体" w:asciiTheme="minorEastAsia" w:hAnsiTheme="minorEastAsia"/>
          <w:kern w:val="0"/>
          <w:sz w:val="24"/>
          <w:szCs w:val="24"/>
        </w:rPr>
      </w:pPr>
      <w:bookmarkStart w:id="183" w:name="_Toc109550798"/>
      <w:bookmarkStart w:id="184" w:name="_Toc90712538"/>
      <w:bookmarkStart w:id="185" w:name="_Toc90713357"/>
      <w:bookmarkStart w:id="186" w:name="_Toc109537522"/>
      <w:r>
        <w:rPr>
          <w:rFonts w:hint="eastAsia" w:cs="宋体" w:asciiTheme="minorEastAsia" w:hAnsiTheme="minorEastAsia"/>
          <w:b/>
          <w:kern w:val="0"/>
          <w:sz w:val="24"/>
          <w:szCs w:val="24"/>
        </w:rPr>
        <w:t>5.3详细磋商</w:t>
      </w:r>
    </w:p>
    <w:bookmarkEnd w:id="182"/>
    <w:bookmarkEnd w:id="183"/>
    <w:bookmarkEnd w:id="184"/>
    <w:bookmarkEnd w:id="185"/>
    <w:bookmarkEnd w:id="186"/>
    <w:p w14:paraId="2E8BAF26">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磋商小组通过电子交易系统按顺序与通过初步评审的供应商逐家进行磋商。磋商中，磋商双方可以就本项目所涉及的价格、技术、优惠服务承诺等进行实质性磋商，但磋商的任何一方不得透露与磋商有关的其他供应商的技术资料、价格和其他信息。</w:t>
      </w:r>
    </w:p>
    <w:p w14:paraId="76A3AAF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供应商应派熟悉本项目采购业务的代表参加磋商。参加磋商的代表应对磋商小组提出的涉及本项目采购相关的问题进行答复，如不能答复或答复不完善的，经磋商小组确认，取消该供应商的最后报价资格；</w:t>
      </w:r>
    </w:p>
    <w:p w14:paraId="7B60F128">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磋商小组将允许供应商修改其磋商响应文件中不构成重大偏离的微小的、非正规的、不一致的或不规则的地方，但这些修改不能影响任何供应商的名次相应排列。</w:t>
      </w:r>
    </w:p>
    <w:p w14:paraId="6114E936">
      <w:pPr>
        <w:spacing w:line="360" w:lineRule="auto"/>
        <w:ind w:left="-5" w:firstLine="425"/>
        <w:rPr>
          <w:rFonts w:cs="宋体" w:asciiTheme="minorEastAsia" w:hAnsiTheme="minorEastAsia"/>
          <w:sz w:val="24"/>
          <w:szCs w:val="24"/>
        </w:rPr>
      </w:pPr>
      <w:bookmarkStart w:id="187" w:name="_Toc270604605"/>
      <w:bookmarkStart w:id="188" w:name="_Toc270604832"/>
      <w:bookmarkStart w:id="189" w:name="_Toc194667286"/>
      <w:r>
        <w:rPr>
          <w:rFonts w:hint="eastAsia" w:cs="宋体" w:asciiTheme="minorEastAsia" w:hAnsiTheme="minorEastAsia"/>
          <w:b/>
          <w:sz w:val="24"/>
          <w:szCs w:val="24"/>
        </w:rPr>
        <w:t>5.4磋商响应文件的澄清</w:t>
      </w:r>
      <w:bookmarkEnd w:id="187"/>
      <w:bookmarkEnd w:id="188"/>
      <w:bookmarkEnd w:id="189"/>
    </w:p>
    <w:p w14:paraId="4CF67603">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为有助于对磋商响应文件的审查、评价和比较，磋商小组可分别要求供应商对磋商响应文件中含义不清的内容进行澄清。有关澄清、说明或者更正不得超出响应文件的范围或者改变响应文件的实质性内容。</w:t>
      </w:r>
    </w:p>
    <w:p w14:paraId="44932060">
      <w:pPr>
        <w:spacing w:line="360" w:lineRule="auto"/>
        <w:ind w:left="-5" w:firstLine="425"/>
        <w:rPr>
          <w:rFonts w:cs="宋体" w:asciiTheme="minorEastAsia" w:hAnsiTheme="minorEastAsia"/>
          <w:sz w:val="24"/>
          <w:szCs w:val="24"/>
        </w:rPr>
      </w:pPr>
      <w:r>
        <w:rPr>
          <w:rFonts w:hint="eastAsia" w:cs="宋体" w:asciiTheme="minorEastAsia" w:hAnsiTheme="minorEastAsia"/>
          <w:b/>
          <w:sz w:val="24"/>
          <w:szCs w:val="24"/>
        </w:rPr>
        <w:t xml:space="preserve">5.5磋商报价 </w:t>
      </w:r>
    </w:p>
    <w:p w14:paraId="0EC06F4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07695670">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最后报价是供应商响应文件的有效组成部分，未按要求进行最后报价的，其响应文件将被否决。</w:t>
      </w:r>
    </w:p>
    <w:p w14:paraId="063388C6">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经磋商确定最终采购需求和提交最后报价后，由磋商小组采用综合评分法对提交最后报价的供应商的响应文件和最后报价进行综合评分。</w:t>
      </w:r>
    </w:p>
    <w:p w14:paraId="4393156E">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评审活动遵循公平、公正、科学和择优的原则进行。磋商文件及其评分办法没有规定的方法、评审因素、标准和程序，不得作为评标依据。</w:t>
      </w:r>
    </w:p>
    <w:p w14:paraId="18B99791">
      <w:pPr>
        <w:spacing w:line="360" w:lineRule="auto"/>
        <w:ind w:left="-5" w:firstLine="425"/>
        <w:rPr>
          <w:rFonts w:cs="宋体" w:asciiTheme="minorEastAsia" w:hAnsiTheme="minorEastAsia"/>
          <w:sz w:val="24"/>
          <w:szCs w:val="24"/>
        </w:rPr>
      </w:pPr>
      <w:bookmarkStart w:id="190" w:name="_Toc278155357"/>
      <w:bookmarkStart w:id="191" w:name="_Toc466284482"/>
      <w:bookmarkStart w:id="192" w:name="_Toc270604606"/>
      <w:bookmarkStart w:id="193" w:name="_Toc194667287"/>
      <w:bookmarkStart w:id="194" w:name="_Toc13642"/>
      <w:bookmarkStart w:id="195" w:name="_Toc277149394"/>
      <w:bookmarkStart w:id="196" w:name="_Toc380394496"/>
      <w:bookmarkStart w:id="197" w:name="_Toc270604833"/>
      <w:bookmarkStart w:id="198" w:name="_Toc6574"/>
      <w:bookmarkStart w:id="199" w:name="_Toc1215"/>
      <w:r>
        <w:rPr>
          <w:rFonts w:hint="eastAsia" w:cs="宋体" w:asciiTheme="minorEastAsia" w:hAnsiTheme="minorEastAsia"/>
          <w:b/>
          <w:sz w:val="24"/>
          <w:szCs w:val="24"/>
        </w:rPr>
        <w:t>5.6成交方法和原则</w:t>
      </w:r>
      <w:bookmarkEnd w:id="190"/>
      <w:bookmarkEnd w:id="191"/>
      <w:bookmarkEnd w:id="192"/>
      <w:bookmarkEnd w:id="193"/>
      <w:bookmarkEnd w:id="194"/>
      <w:bookmarkEnd w:id="195"/>
      <w:bookmarkEnd w:id="196"/>
      <w:bookmarkEnd w:id="197"/>
      <w:bookmarkEnd w:id="198"/>
      <w:bookmarkEnd w:id="199"/>
    </w:p>
    <w:p w14:paraId="347C6055">
      <w:pPr>
        <w:spacing w:line="360" w:lineRule="auto"/>
        <w:ind w:left="-5" w:firstLine="425"/>
        <w:rPr>
          <w:rFonts w:cs="宋体" w:asciiTheme="minorEastAsia" w:hAnsiTheme="minorEastAsia"/>
          <w:spacing w:val="10"/>
          <w:sz w:val="24"/>
          <w:szCs w:val="24"/>
        </w:rPr>
      </w:pPr>
      <w:r>
        <w:rPr>
          <w:rFonts w:hint="eastAsia" w:cs="宋体" w:asciiTheme="minorEastAsia" w:hAnsiTheme="minorEastAsia"/>
          <w:sz w:val="24"/>
          <w:szCs w:val="24"/>
        </w:rPr>
        <w:t>磋商小组应当根据综合评分由高到低的顺序推荐3名成交候选供应商，</w:t>
      </w:r>
      <w:r>
        <w:rPr>
          <w:rFonts w:hint="eastAsia" w:cs="宋体" w:asciiTheme="minorEastAsia" w:hAnsiTheme="minorEastAsia"/>
          <w:spacing w:val="10"/>
          <w:sz w:val="24"/>
          <w:szCs w:val="24"/>
        </w:rPr>
        <w:t>出具磋商评审报告，并在报告上全体签字。</w:t>
      </w:r>
    </w:p>
    <w:p w14:paraId="2B28FED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最终得分相同的，按照最后报价由低到高的顺序推荐。最终得分和最后报价均相同的，按照技术指标优劣顺序或磋商小组举手表决，少数服从多数的原则推荐</w:t>
      </w:r>
      <w:r>
        <w:rPr>
          <w:rFonts w:hint="eastAsia" w:cs="宋体" w:asciiTheme="minorEastAsia" w:hAnsiTheme="minorEastAsia"/>
          <w:bCs/>
          <w:sz w:val="24"/>
          <w:szCs w:val="24"/>
        </w:rPr>
        <w:t>。</w:t>
      </w:r>
    </w:p>
    <w:p w14:paraId="28DBEF31">
      <w:pPr>
        <w:numPr>
          <w:ilvl w:val="0"/>
          <w:numId w:val="3"/>
        </w:numPr>
        <w:tabs>
          <w:tab w:val="left" w:pos="0"/>
          <w:tab w:val="left" w:pos="720"/>
        </w:tabs>
        <w:spacing w:line="360" w:lineRule="auto"/>
        <w:ind w:left="-5" w:firstLine="425"/>
        <w:outlineLvl w:val="1"/>
        <w:rPr>
          <w:rFonts w:cs="宋体" w:asciiTheme="minorEastAsia" w:hAnsiTheme="minorEastAsia"/>
          <w:sz w:val="24"/>
          <w:szCs w:val="24"/>
        </w:rPr>
      </w:pPr>
      <w:bookmarkStart w:id="200" w:name="_Toc22567"/>
      <w:r>
        <w:rPr>
          <w:rFonts w:hint="eastAsia" w:cs="宋体" w:asciiTheme="minorEastAsia" w:hAnsiTheme="minorEastAsia"/>
          <w:b/>
          <w:sz w:val="24"/>
          <w:szCs w:val="24"/>
        </w:rPr>
        <w:t>定标</w:t>
      </w:r>
      <w:bookmarkEnd w:id="200"/>
    </w:p>
    <w:p w14:paraId="50CBCD7F">
      <w:pPr>
        <w:tabs>
          <w:tab w:val="left" w:pos="0"/>
        </w:tabs>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2AE6885E">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01" w:name="_Toc466284483"/>
      <w:bookmarkStart w:id="202" w:name="_Toc4929"/>
      <w:bookmarkStart w:id="203" w:name="_Toc270604607"/>
      <w:bookmarkStart w:id="204" w:name="_Toc16682"/>
      <w:bookmarkStart w:id="205" w:name="_Toc380394497"/>
      <w:r>
        <w:rPr>
          <w:rFonts w:hint="eastAsia" w:cs="宋体" w:asciiTheme="minorEastAsia" w:hAnsiTheme="minorEastAsia"/>
          <w:b/>
          <w:sz w:val="24"/>
          <w:szCs w:val="24"/>
        </w:rPr>
        <w:t>合同授予</w:t>
      </w:r>
      <w:bookmarkEnd w:id="201"/>
      <w:bookmarkEnd w:id="202"/>
      <w:bookmarkEnd w:id="203"/>
      <w:bookmarkEnd w:id="204"/>
      <w:bookmarkEnd w:id="205"/>
    </w:p>
    <w:p w14:paraId="249CBC35">
      <w:pPr>
        <w:tabs>
          <w:tab w:val="left" w:pos="540"/>
        </w:tabs>
        <w:spacing w:line="360" w:lineRule="auto"/>
        <w:ind w:left="420"/>
        <w:outlineLvl w:val="1"/>
        <w:rPr>
          <w:rFonts w:cs="宋体" w:asciiTheme="minorEastAsia" w:hAnsiTheme="minorEastAsia"/>
          <w:sz w:val="24"/>
          <w:szCs w:val="24"/>
        </w:rPr>
      </w:pPr>
      <w:bookmarkStart w:id="206" w:name="_Toc270604835"/>
      <w:bookmarkStart w:id="207" w:name="_Toc269470332"/>
      <w:bookmarkStart w:id="208" w:name="_Toc12923"/>
      <w:bookmarkStart w:id="209" w:name="_Toc30341"/>
      <w:bookmarkStart w:id="210" w:name="_Toc1125"/>
      <w:bookmarkStart w:id="211" w:name="_Toc1750"/>
      <w:bookmarkStart w:id="212" w:name="_Toc270604608"/>
      <w:bookmarkStart w:id="213" w:name="_Toc278155359"/>
      <w:bookmarkStart w:id="214" w:name="_Toc466284484"/>
      <w:bookmarkStart w:id="215" w:name="_Toc277149396"/>
      <w:bookmarkStart w:id="216" w:name="_Toc380394498"/>
      <w:r>
        <w:rPr>
          <w:rFonts w:hint="eastAsia" w:cs="宋体" w:asciiTheme="minorEastAsia" w:hAnsiTheme="minorEastAsia"/>
          <w:sz w:val="24"/>
          <w:szCs w:val="24"/>
        </w:rPr>
        <w:t>7.1成交通知</w:t>
      </w:r>
      <w:bookmarkEnd w:id="206"/>
      <w:bookmarkEnd w:id="207"/>
      <w:bookmarkEnd w:id="208"/>
      <w:bookmarkEnd w:id="209"/>
      <w:bookmarkEnd w:id="210"/>
      <w:bookmarkEnd w:id="211"/>
      <w:bookmarkEnd w:id="212"/>
      <w:bookmarkEnd w:id="213"/>
      <w:bookmarkEnd w:id="214"/>
      <w:bookmarkEnd w:id="215"/>
      <w:bookmarkEnd w:id="216"/>
    </w:p>
    <w:p w14:paraId="5E5AF016">
      <w:pPr>
        <w:spacing w:line="360" w:lineRule="auto"/>
        <w:ind w:left="-5" w:firstLine="425"/>
        <w:rPr>
          <w:rFonts w:hint="eastAsia" w:cs="宋体" w:asciiTheme="minorEastAsia" w:hAnsiTheme="minorEastAsia"/>
          <w:sz w:val="24"/>
          <w:szCs w:val="24"/>
        </w:rPr>
      </w:pPr>
      <w:bookmarkStart w:id="217" w:name="_Toc269470333"/>
      <w:r>
        <w:rPr>
          <w:rFonts w:hint="eastAsia" w:ascii="宋体" w:hAnsi="宋体" w:eastAsia="宋体" w:cs="宋体"/>
          <w:sz w:val="24"/>
          <w:szCs w:val="24"/>
        </w:rPr>
        <w:t>采购人应当在成交人确定后2个工作日内，在公告发布的同一媒介上发布成交结果，同时向成交供应商发出成交通知书，并将磋商文件随成交结果同时公告，公告期限1个工作日。</w:t>
      </w:r>
    </w:p>
    <w:bookmarkEnd w:id="217"/>
    <w:p w14:paraId="727E2A39">
      <w:pPr>
        <w:tabs>
          <w:tab w:val="left" w:pos="540"/>
        </w:tabs>
        <w:spacing w:line="360" w:lineRule="auto"/>
        <w:ind w:left="420"/>
        <w:outlineLvl w:val="1"/>
        <w:rPr>
          <w:rFonts w:cs="宋体" w:asciiTheme="minorEastAsia" w:hAnsiTheme="minorEastAsia"/>
          <w:sz w:val="24"/>
          <w:szCs w:val="24"/>
        </w:rPr>
      </w:pPr>
      <w:bookmarkStart w:id="218" w:name="_Toc278155360"/>
      <w:bookmarkStart w:id="219" w:name="_Toc32369"/>
      <w:bookmarkStart w:id="220" w:name="_Toc2284"/>
      <w:bookmarkStart w:id="221" w:name="_Toc270604836"/>
      <w:bookmarkStart w:id="222" w:name="_Toc277149397"/>
      <w:bookmarkStart w:id="223" w:name="_Toc25290"/>
      <w:bookmarkStart w:id="224" w:name="_Toc269470334"/>
      <w:bookmarkStart w:id="225" w:name="_Toc466284485"/>
      <w:bookmarkStart w:id="226" w:name="_Toc270604609"/>
      <w:bookmarkStart w:id="227" w:name="_Toc380394499"/>
      <w:bookmarkStart w:id="228" w:name="_Toc13418"/>
      <w:r>
        <w:rPr>
          <w:rFonts w:hint="eastAsia" w:cs="宋体" w:asciiTheme="minorEastAsia" w:hAnsiTheme="minorEastAsia"/>
          <w:sz w:val="24"/>
          <w:szCs w:val="24"/>
        </w:rPr>
        <w:t>7.2签订合同</w:t>
      </w:r>
      <w:bookmarkEnd w:id="218"/>
      <w:bookmarkEnd w:id="219"/>
      <w:bookmarkEnd w:id="220"/>
      <w:bookmarkEnd w:id="221"/>
      <w:bookmarkEnd w:id="222"/>
      <w:bookmarkEnd w:id="223"/>
      <w:bookmarkEnd w:id="224"/>
      <w:bookmarkEnd w:id="225"/>
      <w:bookmarkEnd w:id="226"/>
      <w:bookmarkEnd w:id="227"/>
      <w:bookmarkEnd w:id="228"/>
    </w:p>
    <w:p w14:paraId="139A2FBE">
      <w:pPr>
        <w:tabs>
          <w:tab w:val="left" w:pos="0"/>
        </w:tabs>
        <w:spacing w:line="360" w:lineRule="auto"/>
        <w:ind w:left="420"/>
        <w:rPr>
          <w:rFonts w:cs="宋体" w:asciiTheme="minorEastAsia" w:hAnsiTheme="minorEastAsia"/>
          <w:sz w:val="24"/>
          <w:szCs w:val="24"/>
        </w:rPr>
      </w:pPr>
      <w:bookmarkStart w:id="229" w:name="_Toc269470335"/>
      <w:r>
        <w:rPr>
          <w:rFonts w:hint="eastAsia" w:cs="宋体" w:asciiTheme="minorEastAsia" w:hAnsiTheme="minorEastAsia"/>
          <w:sz w:val="24"/>
          <w:szCs w:val="24"/>
        </w:rPr>
        <w:t>7.2.1成交供应商的最后报价为成交价，成交价即为合同价。</w:t>
      </w:r>
    </w:p>
    <w:p w14:paraId="6211DDA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7.2.2采购人和成交供应商应当自成交通知书发出之日起30天内，根据竞争性磋商文件、成交供应商的磋商响应文件及在磋商过程中对磋商响应文件作出的澄清、解释订立书面合同。成交供应商无正当理由拒签合同的，采购人取消其成交资格，并对由此给采购人造成的损失予以赔偿。</w:t>
      </w:r>
    </w:p>
    <w:p w14:paraId="5236E899">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7.2.3采购人与成交供应商必须按国家、省、市相关规定签订合同。</w:t>
      </w:r>
    </w:p>
    <w:bookmarkEnd w:id="229"/>
    <w:p w14:paraId="306F2DA3">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30" w:name="_Toc466284486"/>
      <w:bookmarkStart w:id="231" w:name="_Toc23592"/>
      <w:bookmarkStart w:id="232" w:name="_Toc269470338"/>
      <w:bookmarkStart w:id="233" w:name="_Toc11376"/>
      <w:bookmarkStart w:id="234" w:name="_Toc380394500"/>
      <w:bookmarkStart w:id="235" w:name="_Toc270604610"/>
      <w:r>
        <w:rPr>
          <w:rFonts w:hint="eastAsia" w:cs="宋体" w:asciiTheme="minorEastAsia" w:hAnsiTheme="minorEastAsia"/>
          <w:b/>
          <w:sz w:val="24"/>
          <w:szCs w:val="24"/>
        </w:rPr>
        <w:t>纪律和监督</w:t>
      </w:r>
      <w:bookmarkEnd w:id="230"/>
      <w:bookmarkEnd w:id="231"/>
      <w:bookmarkEnd w:id="232"/>
      <w:bookmarkEnd w:id="233"/>
      <w:bookmarkEnd w:id="234"/>
      <w:bookmarkEnd w:id="235"/>
    </w:p>
    <w:p w14:paraId="4B5A6B2E">
      <w:pPr>
        <w:tabs>
          <w:tab w:val="left" w:pos="540"/>
        </w:tabs>
        <w:spacing w:line="360" w:lineRule="auto"/>
        <w:ind w:left="420"/>
        <w:outlineLvl w:val="1"/>
        <w:rPr>
          <w:rFonts w:cs="宋体" w:asciiTheme="minorEastAsia" w:hAnsiTheme="minorEastAsia"/>
          <w:sz w:val="24"/>
          <w:szCs w:val="24"/>
        </w:rPr>
      </w:pPr>
      <w:bookmarkStart w:id="236" w:name="_Toc270604838"/>
      <w:bookmarkStart w:id="237" w:name="_Toc380394501"/>
      <w:bookmarkStart w:id="238" w:name="_Toc466284487"/>
      <w:bookmarkStart w:id="239" w:name="_Toc3777"/>
      <w:bookmarkStart w:id="240" w:name="_Toc92"/>
      <w:bookmarkStart w:id="241" w:name="_Toc20824"/>
      <w:bookmarkStart w:id="242" w:name="_Toc270604611"/>
      <w:bookmarkStart w:id="243" w:name="_Toc16390"/>
      <w:bookmarkStart w:id="244" w:name="_Toc278155362"/>
      <w:bookmarkStart w:id="245" w:name="_Toc269470339"/>
      <w:bookmarkStart w:id="246" w:name="_Toc277149399"/>
      <w:r>
        <w:rPr>
          <w:rFonts w:hint="eastAsia" w:cs="宋体" w:asciiTheme="minorEastAsia" w:hAnsiTheme="minorEastAsia"/>
          <w:sz w:val="24"/>
          <w:szCs w:val="24"/>
        </w:rPr>
        <w:t>8.1对采购人的纪律要求</w:t>
      </w:r>
      <w:bookmarkEnd w:id="236"/>
      <w:bookmarkEnd w:id="237"/>
      <w:bookmarkEnd w:id="238"/>
      <w:bookmarkEnd w:id="239"/>
      <w:bookmarkEnd w:id="240"/>
      <w:bookmarkEnd w:id="241"/>
      <w:bookmarkEnd w:id="242"/>
      <w:bookmarkEnd w:id="243"/>
      <w:bookmarkEnd w:id="244"/>
      <w:bookmarkEnd w:id="245"/>
      <w:bookmarkEnd w:id="246"/>
    </w:p>
    <w:p w14:paraId="5DBD2A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采购人不得泄漏竞争性磋商中应当保密的情况和资料，不得与供应商串通损害国家利益、社会公共利益或者他人合法权益。</w:t>
      </w:r>
    </w:p>
    <w:p w14:paraId="77ACCBC2">
      <w:pPr>
        <w:tabs>
          <w:tab w:val="left" w:pos="540"/>
        </w:tabs>
        <w:spacing w:line="360" w:lineRule="auto"/>
        <w:ind w:left="420"/>
        <w:outlineLvl w:val="1"/>
        <w:rPr>
          <w:rFonts w:cs="宋体" w:asciiTheme="minorEastAsia" w:hAnsiTheme="minorEastAsia"/>
          <w:sz w:val="24"/>
          <w:szCs w:val="24"/>
        </w:rPr>
      </w:pPr>
      <w:bookmarkStart w:id="247" w:name="_Toc8749"/>
      <w:bookmarkStart w:id="248" w:name="_Toc270604839"/>
      <w:bookmarkStart w:id="249" w:name="_Toc11732"/>
      <w:bookmarkStart w:id="250" w:name="_Toc277149400"/>
      <w:bookmarkStart w:id="251" w:name="_Toc466284488"/>
      <w:bookmarkStart w:id="252" w:name="_Toc380394502"/>
      <w:bookmarkStart w:id="253" w:name="_Toc270604612"/>
      <w:bookmarkStart w:id="254" w:name="_Toc269470340"/>
      <w:bookmarkStart w:id="255" w:name="_Toc5855"/>
      <w:bookmarkStart w:id="256" w:name="_Toc278155363"/>
      <w:bookmarkStart w:id="257" w:name="_Toc7499"/>
      <w:r>
        <w:rPr>
          <w:rFonts w:hint="eastAsia" w:cs="宋体" w:asciiTheme="minorEastAsia" w:hAnsiTheme="minorEastAsia"/>
          <w:sz w:val="24"/>
          <w:szCs w:val="24"/>
        </w:rPr>
        <w:t>8.2对供应商的纪律要求</w:t>
      </w:r>
      <w:bookmarkEnd w:id="247"/>
      <w:bookmarkEnd w:id="248"/>
      <w:bookmarkEnd w:id="249"/>
      <w:bookmarkEnd w:id="250"/>
      <w:bookmarkEnd w:id="251"/>
      <w:bookmarkEnd w:id="252"/>
      <w:bookmarkEnd w:id="253"/>
      <w:bookmarkEnd w:id="254"/>
      <w:bookmarkEnd w:id="255"/>
      <w:bookmarkEnd w:id="256"/>
      <w:bookmarkEnd w:id="257"/>
    </w:p>
    <w:p w14:paraId="71B62AA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33E9B9AC">
      <w:pPr>
        <w:tabs>
          <w:tab w:val="left" w:pos="540"/>
        </w:tabs>
        <w:spacing w:line="360" w:lineRule="auto"/>
        <w:ind w:firstLine="480" w:firstLineChars="200"/>
        <w:outlineLvl w:val="1"/>
        <w:rPr>
          <w:rFonts w:cs="宋体" w:asciiTheme="minorEastAsia" w:hAnsiTheme="minorEastAsia"/>
          <w:sz w:val="24"/>
          <w:szCs w:val="24"/>
        </w:rPr>
      </w:pPr>
      <w:bookmarkStart w:id="258" w:name="_Toc380394503"/>
      <w:bookmarkStart w:id="259" w:name="_Toc16836"/>
      <w:bookmarkStart w:id="260" w:name="_Toc277149401"/>
      <w:bookmarkStart w:id="261" w:name="_Toc9495"/>
      <w:bookmarkStart w:id="262" w:name="_Toc466284489"/>
      <w:bookmarkStart w:id="263" w:name="_Toc11311"/>
      <w:bookmarkStart w:id="264" w:name="_Toc270604613"/>
      <w:bookmarkStart w:id="265" w:name="_Toc15433"/>
      <w:bookmarkStart w:id="266" w:name="_Toc269470341"/>
      <w:bookmarkStart w:id="267" w:name="_Toc278155364"/>
      <w:bookmarkStart w:id="268" w:name="_Toc270604840"/>
      <w:r>
        <w:rPr>
          <w:rFonts w:hint="eastAsia" w:cs="宋体" w:asciiTheme="minorEastAsia" w:hAnsiTheme="minorEastAsia"/>
          <w:sz w:val="24"/>
          <w:szCs w:val="24"/>
        </w:rPr>
        <w:t>8.3对磋商小组成员的纪律要求</w:t>
      </w:r>
      <w:bookmarkEnd w:id="258"/>
      <w:bookmarkEnd w:id="259"/>
      <w:bookmarkEnd w:id="260"/>
      <w:bookmarkEnd w:id="261"/>
      <w:bookmarkEnd w:id="262"/>
      <w:bookmarkEnd w:id="263"/>
      <w:bookmarkEnd w:id="264"/>
      <w:bookmarkEnd w:id="265"/>
      <w:bookmarkEnd w:id="266"/>
      <w:bookmarkEnd w:id="267"/>
      <w:bookmarkEnd w:id="268"/>
    </w:p>
    <w:p w14:paraId="21E838D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3957EFD9">
      <w:pPr>
        <w:tabs>
          <w:tab w:val="left" w:pos="540"/>
        </w:tabs>
        <w:spacing w:line="360" w:lineRule="auto"/>
        <w:ind w:left="420"/>
        <w:outlineLvl w:val="1"/>
        <w:rPr>
          <w:rFonts w:cs="宋体" w:asciiTheme="minorEastAsia" w:hAnsiTheme="minorEastAsia"/>
          <w:sz w:val="24"/>
          <w:szCs w:val="24"/>
        </w:rPr>
      </w:pPr>
      <w:bookmarkStart w:id="269" w:name="_Toc277149402"/>
      <w:bookmarkStart w:id="270" w:name="_Toc12167"/>
      <w:bookmarkStart w:id="271" w:name="_Toc22679"/>
      <w:bookmarkStart w:id="272" w:name="_Toc380394504"/>
      <w:bookmarkStart w:id="273" w:name="_Toc278155365"/>
      <w:bookmarkStart w:id="274" w:name="_Toc466284490"/>
      <w:bookmarkStart w:id="275" w:name="_Toc29118"/>
      <w:bookmarkStart w:id="276" w:name="_Toc270604841"/>
      <w:bookmarkStart w:id="277" w:name="_Toc269470342"/>
      <w:bookmarkStart w:id="278" w:name="_Toc270604614"/>
      <w:bookmarkStart w:id="279" w:name="_Toc14297"/>
      <w:r>
        <w:rPr>
          <w:rFonts w:hint="eastAsia" w:cs="宋体" w:asciiTheme="minorEastAsia" w:hAnsiTheme="minorEastAsia"/>
          <w:sz w:val="24"/>
          <w:szCs w:val="24"/>
        </w:rPr>
        <w:t>8.4对与磋商活动有关的工作人员的纪律要求</w:t>
      </w:r>
      <w:bookmarkEnd w:id="269"/>
      <w:bookmarkEnd w:id="270"/>
      <w:bookmarkEnd w:id="271"/>
      <w:bookmarkEnd w:id="272"/>
      <w:bookmarkEnd w:id="273"/>
      <w:bookmarkEnd w:id="274"/>
      <w:bookmarkEnd w:id="275"/>
      <w:bookmarkEnd w:id="276"/>
      <w:bookmarkEnd w:id="277"/>
      <w:bookmarkEnd w:id="278"/>
      <w:bookmarkEnd w:id="279"/>
    </w:p>
    <w:p w14:paraId="6314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70529DE8">
      <w:pPr>
        <w:tabs>
          <w:tab w:val="left" w:pos="540"/>
        </w:tabs>
        <w:spacing w:line="360" w:lineRule="auto"/>
        <w:ind w:left="420"/>
        <w:outlineLvl w:val="1"/>
        <w:rPr>
          <w:rFonts w:cs="宋体" w:asciiTheme="minorEastAsia" w:hAnsiTheme="minorEastAsia"/>
          <w:sz w:val="24"/>
          <w:szCs w:val="24"/>
        </w:rPr>
      </w:pPr>
      <w:bookmarkStart w:id="280" w:name="_Toc13721"/>
      <w:bookmarkStart w:id="281" w:name="_Toc269470343"/>
      <w:bookmarkStart w:id="282" w:name="_Toc28616"/>
      <w:bookmarkStart w:id="283" w:name="_Toc14035"/>
      <w:bookmarkStart w:id="284" w:name="_Toc278155366"/>
      <w:bookmarkStart w:id="285" w:name="_Toc270604615"/>
      <w:bookmarkStart w:id="286" w:name="_Toc277149403"/>
      <w:bookmarkStart w:id="287" w:name="_Toc466284491"/>
      <w:bookmarkStart w:id="288" w:name="_Toc380394505"/>
      <w:bookmarkStart w:id="289" w:name="_Toc28497"/>
      <w:bookmarkStart w:id="290" w:name="_Toc270604842"/>
      <w:r>
        <w:rPr>
          <w:rFonts w:hint="eastAsia" w:cs="宋体" w:asciiTheme="minorEastAsia" w:hAnsiTheme="minorEastAsia"/>
          <w:sz w:val="24"/>
          <w:szCs w:val="24"/>
        </w:rPr>
        <w:t>8.5投诉</w:t>
      </w:r>
      <w:bookmarkEnd w:id="280"/>
      <w:bookmarkEnd w:id="281"/>
      <w:bookmarkEnd w:id="282"/>
      <w:bookmarkEnd w:id="283"/>
      <w:bookmarkEnd w:id="284"/>
      <w:bookmarkEnd w:id="285"/>
      <w:bookmarkEnd w:id="286"/>
      <w:bookmarkEnd w:id="287"/>
      <w:bookmarkEnd w:id="288"/>
      <w:bookmarkEnd w:id="289"/>
      <w:bookmarkEnd w:id="290"/>
    </w:p>
    <w:p w14:paraId="5874114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供应商和其他利害关系人认为本次竞争性磋商违反法律、法规和规章规定的，有权向有关行政监督部门投诉。</w:t>
      </w:r>
    </w:p>
    <w:p w14:paraId="5F2F83A8">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91" w:name="_Toc270604616"/>
      <w:bookmarkStart w:id="292" w:name="_Toc380394506"/>
      <w:bookmarkStart w:id="293" w:name="_Toc269470344"/>
      <w:bookmarkStart w:id="294" w:name="_Toc28446"/>
      <w:bookmarkStart w:id="295" w:name="_Toc466284492"/>
      <w:bookmarkStart w:id="296" w:name="_Toc19619"/>
      <w:r>
        <w:rPr>
          <w:rFonts w:hint="eastAsia" w:cs="宋体" w:asciiTheme="minorEastAsia" w:hAnsiTheme="minorEastAsia"/>
          <w:b/>
          <w:sz w:val="24"/>
          <w:szCs w:val="24"/>
        </w:rPr>
        <w:t>需要补充的其他内容</w:t>
      </w:r>
      <w:bookmarkEnd w:id="291"/>
      <w:bookmarkEnd w:id="292"/>
      <w:bookmarkEnd w:id="293"/>
      <w:bookmarkEnd w:id="294"/>
      <w:bookmarkEnd w:id="295"/>
      <w:bookmarkEnd w:id="296"/>
    </w:p>
    <w:p w14:paraId="3DFD8A7B">
      <w:pPr>
        <w:spacing w:line="360" w:lineRule="auto"/>
        <w:ind w:left="-5" w:firstLine="425"/>
        <w:rPr>
          <w:rFonts w:ascii="宋体" w:hAnsi="宋体" w:eastAsia="宋体" w:cs="宋体"/>
          <w:sz w:val="24"/>
        </w:rPr>
      </w:pPr>
      <w:r>
        <w:rPr>
          <w:rFonts w:hint="eastAsia" w:cs="宋体" w:asciiTheme="minorEastAsia" w:hAnsiTheme="minorEastAsia"/>
          <w:sz w:val="24"/>
          <w:szCs w:val="24"/>
        </w:rPr>
        <w:t>需要补充的其他内容：见供应商须知前附表。</w:t>
      </w:r>
    </w:p>
    <w:p w14:paraId="0145E2A9">
      <w:pPr>
        <w:spacing w:line="460" w:lineRule="exact"/>
        <w:rPr>
          <w:rFonts w:ascii="宋体" w:hAnsi="宋体" w:cs="宋体"/>
          <w:b/>
          <w:bCs/>
          <w:color w:val="000000"/>
          <w:kern w:val="0"/>
          <w:sz w:val="36"/>
          <w:szCs w:val="36"/>
        </w:rPr>
      </w:pPr>
    </w:p>
    <w:p w14:paraId="50907C1D">
      <w:pPr>
        <w:jc w:val="center"/>
        <w:rPr>
          <w:rFonts w:hAnsi="宋体" w:cs="宋体"/>
          <w:b/>
          <w:bCs/>
          <w:color w:val="000000"/>
          <w:sz w:val="24"/>
          <w:szCs w:val="24"/>
        </w:rPr>
      </w:pPr>
      <w:r>
        <w:br w:type="page"/>
      </w:r>
      <w:bookmarkStart w:id="297" w:name="_Toc10506"/>
      <w:r>
        <w:rPr>
          <w:rFonts w:hint="eastAsia" w:hAnsi="宋体" w:cs="宋体"/>
          <w:b/>
          <w:sz w:val="24"/>
          <w:szCs w:val="24"/>
        </w:rPr>
        <w:t>第三章  工程量清单</w:t>
      </w:r>
      <w:bookmarkEnd w:id="297"/>
    </w:p>
    <w:p w14:paraId="0E13761C">
      <w:pPr>
        <w:spacing w:line="360" w:lineRule="auto"/>
        <w:ind w:left="479" w:leftChars="228" w:firstLine="3420" w:firstLineChars="1425"/>
        <w:jc w:val="left"/>
        <w:rPr>
          <w:rFonts w:ascii="宋体" w:hAnsi="宋体" w:cs="Arial"/>
          <w:sz w:val="24"/>
          <w:szCs w:val="24"/>
        </w:rPr>
      </w:pPr>
      <w:r>
        <w:rPr>
          <w:rFonts w:hint="eastAsia" w:ascii="宋体" w:hAnsi="宋体" w:cs="Arial"/>
          <w:sz w:val="24"/>
          <w:szCs w:val="24"/>
        </w:rPr>
        <w:t>(详细清单见附件)</w:t>
      </w:r>
    </w:p>
    <w:p w14:paraId="59D34063">
      <w:pPr>
        <w:rPr>
          <w:rFonts w:hint="eastAsia" w:ascii="宋体" w:hAnsi="宋体" w:cs="宋体"/>
          <w:b/>
          <w:bCs/>
          <w:kern w:val="0"/>
          <w:sz w:val="28"/>
          <w:szCs w:val="28"/>
          <w:lang w:val="en-US" w:eastAsia="zh-CN"/>
        </w:rPr>
      </w:pPr>
      <w:bookmarkStart w:id="298" w:name="_Toc25128"/>
      <w:r>
        <w:rPr>
          <w:rFonts w:hint="eastAsia" w:ascii="宋体" w:hAnsi="宋体" w:cs="宋体"/>
          <w:b/>
          <w:bCs/>
          <w:kern w:val="0"/>
          <w:sz w:val="28"/>
          <w:szCs w:val="28"/>
          <w:lang w:val="en-US" w:eastAsia="zh-CN"/>
        </w:rPr>
        <w:br w:type="page"/>
      </w:r>
    </w:p>
    <w:p w14:paraId="55BCD7BE">
      <w:pPr>
        <w:widowControl/>
        <w:adjustRightInd w:val="0"/>
        <w:snapToGrid w:val="0"/>
        <w:spacing w:after="156" w:afterLines="50"/>
        <w:jc w:val="left"/>
        <w:rPr>
          <w:rFonts w:ascii="宋体" w:hAnsi="宋体" w:cs="宋体"/>
          <w:bCs/>
          <w:color w:val="000000"/>
          <w:kern w:val="0"/>
          <w:sz w:val="24"/>
          <w:szCs w:val="24"/>
        </w:rPr>
      </w:pPr>
      <w:r>
        <w:rPr>
          <w:rFonts w:hint="eastAsia" w:ascii="宋体" w:hAnsi="宋体" w:cs="宋体"/>
          <w:b/>
          <w:bCs/>
          <w:kern w:val="0"/>
          <w:sz w:val="28"/>
          <w:szCs w:val="28"/>
          <w:lang w:val="en-US" w:eastAsia="zh-CN"/>
        </w:rPr>
        <w:t xml:space="preserve">                             </w:t>
      </w:r>
      <w:r>
        <w:rPr>
          <w:rFonts w:hint="eastAsia" w:hAnsi="宋体" w:cs="宋体"/>
          <w:b/>
          <w:sz w:val="24"/>
          <w:szCs w:val="24"/>
        </w:rPr>
        <w:t>第四章  磋商办法</w:t>
      </w:r>
      <w:bookmarkEnd w:id="298"/>
    </w:p>
    <w:p w14:paraId="318BB6C5">
      <w:pPr>
        <w:spacing w:line="520" w:lineRule="exact"/>
        <w:ind w:firstLine="422" w:firstLineChars="200"/>
        <w:rPr>
          <w:rFonts w:ascii="宋体" w:hAnsi="宋体" w:cs="宋体"/>
          <w:b/>
          <w:sz w:val="24"/>
          <w:szCs w:val="24"/>
        </w:rPr>
      </w:pPr>
      <w:bookmarkStart w:id="299" w:name="_Toc38013557"/>
      <w:bookmarkStart w:id="300" w:name="_Toc28251232"/>
      <w:r>
        <w:rPr>
          <w:rFonts w:hint="eastAsia" w:ascii="黑体" w:hAnsi="黑体"/>
          <w:b/>
          <w:bCs/>
          <w:szCs w:val="20"/>
        </w:rPr>
        <w:t>1.</w:t>
      </w:r>
      <w:bookmarkEnd w:id="299"/>
      <w:bookmarkEnd w:id="300"/>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301" w:name="_Toc179632619"/>
      <w:bookmarkEnd w:id="301"/>
      <w:bookmarkStart w:id="302" w:name="_Toc28030"/>
      <w:bookmarkEnd w:id="302"/>
      <w:bookmarkStart w:id="303" w:name="_Toc19618"/>
      <w:bookmarkEnd w:id="303"/>
      <w:bookmarkStart w:id="304"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304"/>
    </w:p>
    <w:p w14:paraId="41BF530B">
      <w:pPr>
        <w:pStyle w:val="42"/>
        <w:keepLines w:val="0"/>
        <w:widowControl/>
        <w:spacing w:line="520" w:lineRule="exact"/>
        <w:ind w:firstLine="480" w:firstLineChars="200"/>
        <w:rPr>
          <w:rFonts w:ascii="宋体" w:hAnsi="宋体" w:eastAsia="宋体"/>
        </w:rPr>
      </w:pPr>
      <w:bookmarkStart w:id="305" w:name="_Toc179632620"/>
      <w:bookmarkEnd w:id="305"/>
      <w:bookmarkStart w:id="306" w:name="_Toc31847"/>
      <w:bookmarkEnd w:id="306"/>
      <w:bookmarkStart w:id="307" w:name="_Toc23196"/>
      <w:bookmarkEnd w:id="307"/>
      <w:bookmarkStart w:id="308" w:name="_Toc12931"/>
      <w:bookmarkEnd w:id="308"/>
      <w:bookmarkStart w:id="309" w:name="_Toc12074"/>
      <w:r>
        <w:rPr>
          <w:rFonts w:hint="eastAsia" w:ascii="宋体" w:hAnsi="宋体" w:eastAsia="宋体"/>
        </w:rPr>
        <w:t>2.1 初步评审标准</w:t>
      </w:r>
      <w:bookmarkEnd w:id="309"/>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42"/>
        <w:keepLines w:val="0"/>
        <w:widowControl/>
        <w:spacing w:line="520" w:lineRule="exact"/>
        <w:ind w:firstLine="480" w:firstLineChars="200"/>
        <w:rPr>
          <w:rFonts w:ascii="宋体" w:hAnsi="宋体" w:eastAsia="宋体"/>
        </w:rPr>
      </w:pPr>
      <w:bookmarkStart w:id="310" w:name="_Toc16603"/>
      <w:bookmarkEnd w:id="310"/>
      <w:bookmarkStart w:id="311" w:name="_Toc607"/>
      <w:bookmarkEnd w:id="311"/>
      <w:bookmarkStart w:id="312" w:name="_Toc179632621"/>
      <w:bookmarkEnd w:id="312"/>
      <w:bookmarkStart w:id="313" w:name="_Toc11804"/>
      <w:bookmarkEnd w:id="313"/>
      <w:bookmarkStart w:id="314" w:name="_Toc12819"/>
      <w:r>
        <w:rPr>
          <w:rFonts w:hint="eastAsia" w:ascii="宋体" w:hAnsi="宋体" w:eastAsia="宋体"/>
        </w:rPr>
        <w:t>2.1.3 响应性评审标准：见磋商办法前附表。</w:t>
      </w:r>
      <w:bookmarkEnd w:id="314"/>
    </w:p>
    <w:p w14:paraId="61162416">
      <w:pPr>
        <w:pStyle w:val="42"/>
        <w:keepLines w:val="0"/>
        <w:widowControl/>
        <w:spacing w:line="520" w:lineRule="exact"/>
        <w:ind w:firstLine="480" w:firstLineChars="200"/>
        <w:rPr>
          <w:rFonts w:ascii="宋体" w:hAnsi="宋体" w:eastAsia="宋体"/>
        </w:rPr>
      </w:pPr>
      <w:bookmarkStart w:id="315" w:name="_Toc7169"/>
      <w:r>
        <w:rPr>
          <w:rFonts w:hint="eastAsia" w:ascii="宋体" w:hAnsi="宋体" w:eastAsia="宋体"/>
        </w:rPr>
        <w:t>2.2 详细评审</w:t>
      </w:r>
      <w:bookmarkEnd w:id="315"/>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316" w:name="_Toc11715"/>
      <w:bookmarkEnd w:id="316"/>
      <w:bookmarkStart w:id="317" w:name="_Toc144974571"/>
      <w:bookmarkEnd w:id="317"/>
      <w:bookmarkStart w:id="318" w:name="_Toc13158"/>
      <w:bookmarkEnd w:id="318"/>
      <w:bookmarkStart w:id="319" w:name="_Toc179632622"/>
      <w:bookmarkEnd w:id="319"/>
      <w:bookmarkStart w:id="320" w:name="_Toc25534"/>
      <w:bookmarkEnd w:id="320"/>
      <w:bookmarkStart w:id="321" w:name="_Toc152045604"/>
      <w:bookmarkEnd w:id="321"/>
      <w:bookmarkStart w:id="322"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322"/>
    </w:p>
    <w:p w14:paraId="16AE81CA">
      <w:pPr>
        <w:pStyle w:val="42"/>
        <w:keepLines w:val="0"/>
        <w:widowControl/>
        <w:spacing w:line="520" w:lineRule="exact"/>
        <w:ind w:firstLine="480" w:firstLineChars="200"/>
        <w:rPr>
          <w:rFonts w:ascii="宋体" w:hAnsi="宋体" w:eastAsia="宋体"/>
        </w:rPr>
      </w:pPr>
      <w:bookmarkStart w:id="323" w:name="_Toc30372"/>
      <w:bookmarkEnd w:id="323"/>
      <w:bookmarkStart w:id="324" w:name="_Toc152042382"/>
      <w:bookmarkEnd w:id="324"/>
      <w:bookmarkStart w:id="325" w:name="_Toc144974572"/>
      <w:bookmarkEnd w:id="325"/>
      <w:bookmarkStart w:id="326" w:name="_Toc8644"/>
      <w:bookmarkEnd w:id="326"/>
      <w:bookmarkStart w:id="327" w:name="_Toc31010"/>
      <w:bookmarkEnd w:id="327"/>
      <w:bookmarkStart w:id="328" w:name="_Toc152045605"/>
      <w:bookmarkEnd w:id="328"/>
      <w:bookmarkStart w:id="329" w:name="_Toc10475"/>
      <w:bookmarkStart w:id="330" w:name="_Toc179632623"/>
      <w:r>
        <w:rPr>
          <w:rFonts w:hint="eastAsia" w:ascii="宋体" w:hAnsi="宋体" w:eastAsia="宋体"/>
        </w:rPr>
        <w:t>3.1 初步评审</w:t>
      </w:r>
      <w:bookmarkEnd w:id="329"/>
      <w:bookmarkEnd w:id="330"/>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331" w:name="_Toc152042383"/>
      <w:bookmarkEnd w:id="331"/>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332" w:name="_Toc179632624"/>
      <w:bookmarkEnd w:id="332"/>
      <w:bookmarkStart w:id="333" w:name="_Toc144974573"/>
      <w:bookmarkEnd w:id="333"/>
      <w:bookmarkStart w:id="334" w:name="_Toc152042384"/>
      <w:bookmarkEnd w:id="334"/>
      <w:bookmarkStart w:id="335" w:name="_Toc152045606"/>
      <w:r>
        <w:rPr>
          <w:rFonts w:hint="eastAsia" w:ascii="宋体" w:hAnsi="宋体" w:cs="宋体"/>
          <w:sz w:val="24"/>
          <w:szCs w:val="24"/>
        </w:rPr>
        <w:t>3.2 详细评审</w:t>
      </w:r>
      <w:bookmarkEnd w:id="335"/>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336" w:name="_Toc389384087"/>
      <w:bookmarkEnd w:id="336"/>
      <w:bookmarkStart w:id="337" w:name="_Toc179632625"/>
      <w:bookmarkEnd w:id="337"/>
      <w:bookmarkStart w:id="338" w:name="_Toc418608950"/>
      <w:bookmarkEnd w:id="338"/>
      <w:bookmarkStart w:id="339" w:name="_Toc401512224"/>
      <w:bookmarkEnd w:id="339"/>
      <w:bookmarkStart w:id="340" w:name="_Toc421805017"/>
      <w:bookmarkEnd w:id="340"/>
      <w:bookmarkStart w:id="341" w:name="_Toc152042385"/>
      <w:bookmarkEnd w:id="341"/>
      <w:bookmarkStart w:id="342" w:name="_Toc421698384"/>
      <w:bookmarkEnd w:id="342"/>
      <w:bookmarkStart w:id="343" w:name="_Toc144974575"/>
      <w:bookmarkEnd w:id="343"/>
      <w:bookmarkStart w:id="344" w:name="_Toc387498748"/>
      <w:bookmarkEnd w:id="344"/>
      <w:bookmarkStart w:id="345" w:name="_Toc423358132"/>
      <w:bookmarkEnd w:id="345"/>
      <w:bookmarkStart w:id="346" w:name="_Toc466566711"/>
      <w:bookmarkEnd w:id="346"/>
      <w:bookmarkStart w:id="347" w:name="_Toc418605429"/>
      <w:bookmarkEnd w:id="347"/>
      <w:bookmarkStart w:id="348" w:name="_Toc466566800"/>
      <w:bookmarkEnd w:id="348"/>
      <w:bookmarkStart w:id="349" w:name="_Toc401926485"/>
      <w:bookmarkEnd w:id="349"/>
      <w:bookmarkStart w:id="350" w:name="_Toc152045607"/>
      <w:r>
        <w:rPr>
          <w:rFonts w:hint="eastAsia" w:ascii="宋体" w:hAnsi="宋体" w:cs="宋体"/>
          <w:sz w:val="24"/>
          <w:szCs w:val="24"/>
        </w:rPr>
        <w:t xml:space="preserve">3.3 </w:t>
      </w:r>
      <w:bookmarkEnd w:id="350"/>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351" w:name="_Toc144974576"/>
      <w:bookmarkEnd w:id="351"/>
      <w:bookmarkStart w:id="352" w:name="_Toc418605430"/>
      <w:bookmarkEnd w:id="352"/>
      <w:bookmarkStart w:id="353" w:name="_Toc401926486"/>
      <w:bookmarkEnd w:id="353"/>
      <w:bookmarkStart w:id="354" w:name="_Toc179632626"/>
      <w:bookmarkEnd w:id="354"/>
      <w:bookmarkStart w:id="355" w:name="_Toc466566801"/>
      <w:bookmarkEnd w:id="355"/>
      <w:bookmarkStart w:id="356" w:name="_Toc423358133"/>
      <w:bookmarkEnd w:id="356"/>
      <w:bookmarkStart w:id="357" w:name="_Toc421698385"/>
      <w:bookmarkEnd w:id="357"/>
      <w:bookmarkStart w:id="358" w:name="_Toc152042386"/>
      <w:bookmarkEnd w:id="358"/>
      <w:bookmarkStart w:id="359" w:name="_Toc401512225"/>
      <w:bookmarkEnd w:id="359"/>
      <w:bookmarkStart w:id="360" w:name="_Toc421805018"/>
      <w:bookmarkEnd w:id="360"/>
      <w:bookmarkStart w:id="361" w:name="_Toc418608951"/>
      <w:bookmarkEnd w:id="361"/>
      <w:bookmarkStart w:id="362" w:name="_Toc466566712"/>
      <w:bookmarkEnd w:id="362"/>
      <w:bookmarkStart w:id="363" w:name="_Toc152045608"/>
      <w:bookmarkEnd w:id="363"/>
      <w:bookmarkStart w:id="364" w:name="_Toc389384088"/>
      <w:bookmarkEnd w:id="364"/>
      <w:bookmarkStart w:id="365" w:name="_Toc387498749"/>
      <w:r>
        <w:rPr>
          <w:rFonts w:hint="eastAsia" w:ascii="宋体" w:hAnsi="宋体" w:cs="宋体"/>
          <w:sz w:val="24"/>
          <w:szCs w:val="24"/>
        </w:rPr>
        <w:t>3.4供应商的最终得分</w:t>
      </w:r>
      <w:bookmarkEnd w:id="365"/>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6A325C8C">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15"/>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7BDC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7954FB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条款号</w:t>
            </w:r>
          </w:p>
        </w:tc>
        <w:tc>
          <w:tcPr>
            <w:tcW w:w="2835" w:type="dxa"/>
            <w:gridSpan w:val="2"/>
            <w:vAlign w:val="center"/>
          </w:tcPr>
          <w:p w14:paraId="48681C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评审因素</w:t>
            </w:r>
          </w:p>
        </w:tc>
        <w:tc>
          <w:tcPr>
            <w:tcW w:w="5953" w:type="dxa"/>
            <w:vAlign w:val="center"/>
          </w:tcPr>
          <w:p w14:paraId="233CFC4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评审标准</w:t>
            </w:r>
          </w:p>
        </w:tc>
      </w:tr>
      <w:tr w14:paraId="7BF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336FE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0032E75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15EFE4B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lang w:val="en-US" w:eastAsia="zh-CN"/>
              </w:rPr>
              <w:t>2.1</w:t>
            </w:r>
          </w:p>
        </w:tc>
        <w:tc>
          <w:tcPr>
            <w:tcW w:w="709" w:type="dxa"/>
            <w:vMerge w:val="restart"/>
            <w:vAlign w:val="center"/>
          </w:tcPr>
          <w:p w14:paraId="2F1C02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kern w:val="0"/>
                <w:sz w:val="24"/>
                <w:szCs w:val="24"/>
                <w:lang w:val="en-US" w:eastAsia="zh-CN"/>
              </w:rPr>
              <w:t>2.1.2</w:t>
            </w:r>
            <w:r>
              <w:rPr>
                <w:rFonts w:hint="eastAsia" w:asciiTheme="minorEastAsia" w:hAnsiTheme="minorEastAsia"/>
                <w:color w:val="000000"/>
                <w:kern w:val="0"/>
                <w:sz w:val="24"/>
                <w:szCs w:val="24"/>
              </w:rPr>
              <w:t>资格性评审标准</w:t>
            </w:r>
          </w:p>
        </w:tc>
        <w:tc>
          <w:tcPr>
            <w:tcW w:w="2835" w:type="dxa"/>
            <w:gridSpan w:val="2"/>
            <w:vAlign w:val="center"/>
          </w:tcPr>
          <w:p w14:paraId="20B0E98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法定代表人身份证（或授权委托书及授权人身份证）</w:t>
            </w:r>
          </w:p>
        </w:tc>
        <w:tc>
          <w:tcPr>
            <w:tcW w:w="5953" w:type="dxa"/>
            <w:vAlign w:val="center"/>
          </w:tcPr>
          <w:p w14:paraId="4445B96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法定代表人提供本人身份证（或代理人提供法人代表授权委托书及被授权人身份证）</w:t>
            </w:r>
          </w:p>
        </w:tc>
      </w:tr>
      <w:tr w14:paraId="0375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6F8FF45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AFB2B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7210FCD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w:t>
            </w:r>
          </w:p>
        </w:tc>
        <w:tc>
          <w:tcPr>
            <w:tcW w:w="5953" w:type="dxa"/>
            <w:vAlign w:val="center"/>
          </w:tcPr>
          <w:p w14:paraId="34697FF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符合《中华人民共和国政府采购法》第二十二条规定（相关证明资料或承诺书）</w:t>
            </w:r>
          </w:p>
        </w:tc>
      </w:tr>
      <w:tr w14:paraId="399B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287C3F6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61D6481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28E1D54D">
            <w:pPr>
              <w:keepNext w:val="0"/>
              <w:keepLines w:val="0"/>
              <w:widowControl/>
              <w:suppressLineNumbers w:val="0"/>
              <w:adjustRightInd w:val="0"/>
              <w:snapToGrid w:val="0"/>
              <w:spacing w:before="0" w:beforeAutospacing="0" w:after="0" w:afterAutospacing="0" w:line="360" w:lineRule="auto"/>
              <w:ind w:left="0" w:right="0"/>
              <w:jc w:val="left"/>
              <w:rPr>
                <w:rFonts w:hint="eastAsia" w:asciiTheme="minorEastAsia" w:hAnsiTheme="minorEastAsia"/>
                <w:kern w:val="0"/>
                <w:sz w:val="24"/>
                <w:szCs w:val="24"/>
              </w:rPr>
            </w:pPr>
            <w:r>
              <w:rPr>
                <w:rFonts w:hint="eastAsia" w:ascii="宋体" w:hAnsi="宋体" w:cs="宋体"/>
                <w:sz w:val="24"/>
                <w:szCs w:val="24"/>
                <w:lang w:val="en-US" w:eastAsia="zh-CN"/>
              </w:rPr>
              <w:t>落实政府采购政策满足的资格要求</w:t>
            </w:r>
          </w:p>
        </w:tc>
        <w:tc>
          <w:tcPr>
            <w:tcW w:w="5953" w:type="dxa"/>
            <w:vAlign w:val="center"/>
          </w:tcPr>
          <w:p w14:paraId="77AFDBFF">
            <w:pPr>
              <w:keepNext w:val="0"/>
              <w:keepLines w:val="0"/>
              <w:widowControl/>
              <w:suppressLineNumbers w:val="0"/>
              <w:adjustRightInd w:val="0"/>
              <w:snapToGrid w:val="0"/>
              <w:spacing w:before="0" w:beforeAutospacing="0" w:after="0" w:afterAutospacing="0" w:line="360" w:lineRule="auto"/>
              <w:ind w:left="0" w:right="0"/>
              <w:jc w:val="left"/>
              <w:rPr>
                <w:rFonts w:hint="eastAsia" w:asciiTheme="minorEastAsia" w:hAnsiTheme="minorEastAsia"/>
                <w:kern w:val="0"/>
                <w:sz w:val="24"/>
                <w:szCs w:val="24"/>
              </w:rPr>
            </w:pPr>
            <w:r>
              <w:rPr>
                <w:rFonts w:hint="eastAsia" w:ascii="宋体" w:hAnsi="宋体" w:cs="宋体"/>
                <w:sz w:val="24"/>
                <w:szCs w:val="24"/>
                <w:lang w:val="en-US" w:eastAsia="zh-CN"/>
              </w:rPr>
              <w:t>本项目专门面向中小企业采购，供应商必须是中小企业，并出具《中小企业声明函》；</w:t>
            </w:r>
          </w:p>
        </w:tc>
      </w:tr>
      <w:tr w14:paraId="4D53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5500C9DD">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22C937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4A6DD4E7">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eastAsiaTheme="minorEastAsia"/>
                <w:kern w:val="0"/>
                <w:sz w:val="24"/>
                <w:szCs w:val="24"/>
                <w:lang w:val="en-US" w:eastAsia="zh-CN"/>
              </w:rPr>
            </w:pPr>
            <w:r>
              <w:rPr>
                <w:rFonts w:hint="default" w:asciiTheme="minorEastAsia" w:hAnsiTheme="minorEastAsia"/>
                <w:kern w:val="0"/>
                <w:sz w:val="24"/>
                <w:szCs w:val="24"/>
              </w:rPr>
              <w:t>营业</w:t>
            </w:r>
            <w:r>
              <w:rPr>
                <w:rFonts w:hint="eastAsia" w:asciiTheme="minorEastAsia" w:hAnsiTheme="minorEastAsia"/>
                <w:kern w:val="0"/>
                <w:sz w:val="24"/>
                <w:szCs w:val="24"/>
              </w:rPr>
              <w:t>执照</w:t>
            </w:r>
            <w:r>
              <w:rPr>
                <w:rFonts w:hint="eastAsia" w:asciiTheme="minorEastAsia" w:hAnsiTheme="minorEastAsia"/>
                <w:kern w:val="0"/>
                <w:sz w:val="24"/>
                <w:szCs w:val="24"/>
                <w:lang w:val="en-US" w:eastAsia="zh-CN"/>
              </w:rPr>
              <w:t>或证书</w:t>
            </w:r>
          </w:p>
        </w:tc>
        <w:tc>
          <w:tcPr>
            <w:tcW w:w="5953" w:type="dxa"/>
            <w:vAlign w:val="center"/>
          </w:tcPr>
          <w:p w14:paraId="769C3D07">
            <w:pPr>
              <w:keepNext w:val="0"/>
              <w:keepLines w:val="0"/>
              <w:suppressLineNumbers w:val="0"/>
              <w:spacing w:before="0" w:beforeAutospacing="0" w:after="0" w:afterAutospacing="0" w:line="360" w:lineRule="auto"/>
              <w:ind w:left="0" w:right="0"/>
              <w:rPr>
                <w:rFonts w:hint="default" w:asciiTheme="minorEastAsia" w:hAnsiTheme="minorEastAsia"/>
                <w:kern w:val="0"/>
                <w:sz w:val="24"/>
                <w:szCs w:val="24"/>
              </w:rPr>
            </w:pPr>
            <w:r>
              <w:rPr>
                <w:rFonts w:hint="eastAsia" w:ascii="宋体" w:hAnsi="宋体" w:cs="宋体"/>
                <w:sz w:val="24"/>
                <w:szCs w:val="24"/>
                <w:lang w:val="en-US" w:eastAsia="zh-CN"/>
              </w:rPr>
              <w:t>供应商须具有独立的法人资格或其他组织</w:t>
            </w:r>
          </w:p>
        </w:tc>
      </w:tr>
      <w:tr w14:paraId="7533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0BDFD40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64954B">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39E6477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资质证书、安全生产许可证</w:t>
            </w:r>
          </w:p>
        </w:tc>
        <w:tc>
          <w:tcPr>
            <w:tcW w:w="5953" w:type="dxa"/>
            <w:vAlign w:val="center"/>
          </w:tcPr>
          <w:p w14:paraId="420E301A">
            <w:pPr>
              <w:keepNext w:val="0"/>
              <w:keepLines w:val="0"/>
              <w:widowControl/>
              <w:suppressLineNumbers w:val="0"/>
              <w:adjustRightInd w:val="0"/>
              <w:snapToGrid w:val="0"/>
              <w:spacing w:before="0" w:beforeAutospacing="0" w:after="0" w:afterAutospacing="0" w:line="360" w:lineRule="auto"/>
              <w:ind w:left="0" w:right="0"/>
              <w:jc w:val="left"/>
              <w:rPr>
                <w:rFonts w:hint="eastAsia" w:asciiTheme="minorEastAsia" w:hAnsiTheme="minorEastAsia" w:eastAsiaTheme="minorEastAsia"/>
                <w:kern w:val="0"/>
                <w:sz w:val="24"/>
                <w:szCs w:val="24"/>
                <w:lang w:eastAsia="zh-CN"/>
              </w:rPr>
            </w:pPr>
            <w:r>
              <w:rPr>
                <w:rFonts w:hint="eastAsia" w:ascii="宋体" w:hAnsi="宋体" w:cs="宋体"/>
                <w:sz w:val="24"/>
                <w:szCs w:val="24"/>
                <w:lang w:val="en-US" w:eastAsia="zh-CN"/>
              </w:rPr>
              <w:t>供应商须具有公路工程施工总承包叁级及以上资质，具有有效的安全生产许可证；并在人员、设备、资金等方面具有相应的施工能力。</w:t>
            </w:r>
          </w:p>
        </w:tc>
      </w:tr>
      <w:tr w14:paraId="103E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A557E1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C214D6F">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1EDD295C">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项目经理</w:t>
            </w:r>
          </w:p>
        </w:tc>
        <w:tc>
          <w:tcPr>
            <w:tcW w:w="5953" w:type="dxa"/>
            <w:vAlign w:val="center"/>
          </w:tcPr>
          <w:p w14:paraId="7CA3D58A">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w:t>
            </w:r>
            <w:r>
              <w:rPr>
                <w:rFonts w:hint="eastAsia" w:ascii="宋体" w:hAnsi="宋体" w:cs="宋体"/>
                <w:sz w:val="24"/>
                <w:szCs w:val="24"/>
                <w:lang w:val="en-US" w:eastAsia="zh-CN"/>
              </w:rPr>
              <w:t>，</w:t>
            </w:r>
            <w:r>
              <w:rPr>
                <w:rFonts w:hint="eastAsia" w:ascii="宋体" w:hAnsi="宋体" w:cs="宋体"/>
                <w:sz w:val="24"/>
                <w:szCs w:val="24"/>
                <w:lang w:val="en-US" w:eastAsia="en-US"/>
              </w:rPr>
              <w:t>且未在其他在建工程项目中担任项目经理；</w:t>
            </w:r>
          </w:p>
        </w:tc>
      </w:tr>
      <w:tr w14:paraId="44BA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14D1A4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5F8D530A">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6B702A9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无商业贿赂及无不正当竞争行为的</w:t>
            </w:r>
            <w:r>
              <w:rPr>
                <w:rFonts w:hint="default" w:asciiTheme="minorEastAsia" w:hAnsiTheme="minorEastAsia"/>
                <w:kern w:val="0"/>
                <w:sz w:val="24"/>
                <w:szCs w:val="24"/>
              </w:rPr>
              <w:t>承诺书</w:t>
            </w:r>
          </w:p>
        </w:tc>
        <w:tc>
          <w:tcPr>
            <w:tcW w:w="5953" w:type="dxa"/>
            <w:vAlign w:val="center"/>
          </w:tcPr>
          <w:p w14:paraId="5FDF22D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宋体" w:hAnsi="宋体" w:cs="宋体"/>
                <w:sz w:val="24"/>
                <w:szCs w:val="24"/>
                <w:lang w:val="en-US" w:eastAsia="en-US"/>
              </w:rPr>
              <w:t>供应商出具无商业贿赂及无不正当竞争行为的承诺书；</w:t>
            </w:r>
          </w:p>
        </w:tc>
      </w:tr>
      <w:tr w14:paraId="3BAB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2B3891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5CDDB8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4575B3B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中国裁判文书网查询（提供网页查询截图）或供应商自行承诺</w:t>
            </w:r>
          </w:p>
        </w:tc>
        <w:tc>
          <w:tcPr>
            <w:tcW w:w="5953" w:type="dxa"/>
            <w:vAlign w:val="center"/>
          </w:tcPr>
          <w:p w14:paraId="1E5DA299">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tc>
      </w:tr>
      <w:tr w14:paraId="4885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392" w:type="dxa"/>
            <w:vMerge w:val="continue"/>
            <w:vAlign w:val="center"/>
          </w:tcPr>
          <w:p w14:paraId="7A54A972">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67A75CA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5A9968E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信用中国及中国政府采购网查询页</w:t>
            </w:r>
          </w:p>
        </w:tc>
        <w:tc>
          <w:tcPr>
            <w:tcW w:w="5953" w:type="dxa"/>
            <w:vAlign w:val="center"/>
          </w:tcPr>
          <w:p w14:paraId="3494282A">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0E81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2" w:type="dxa"/>
            <w:vMerge w:val="continue"/>
            <w:vAlign w:val="center"/>
          </w:tcPr>
          <w:p w14:paraId="2A4D098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F0984">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34A3A7C1">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本项目不接受</w:t>
            </w:r>
            <w:r>
              <w:rPr>
                <w:rFonts w:hint="eastAsia" w:asciiTheme="minorEastAsia" w:hAnsiTheme="minorEastAsia"/>
                <w:kern w:val="0"/>
                <w:sz w:val="24"/>
                <w:szCs w:val="24"/>
              </w:rPr>
              <w:t>联合体投标</w:t>
            </w:r>
          </w:p>
        </w:tc>
        <w:tc>
          <w:tcPr>
            <w:tcW w:w="5953" w:type="dxa"/>
            <w:vAlign w:val="center"/>
          </w:tcPr>
          <w:p w14:paraId="562CBB0F">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宋体" w:hAnsi="宋体" w:cs="宋体"/>
                <w:sz w:val="24"/>
                <w:szCs w:val="24"/>
                <w:lang w:val="en-US" w:eastAsia="en-US"/>
              </w:rPr>
              <w:t>本项目不接受联合体投标。</w:t>
            </w:r>
          </w:p>
        </w:tc>
      </w:tr>
      <w:tr w14:paraId="514B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continue"/>
            <w:vAlign w:val="center"/>
          </w:tcPr>
          <w:p w14:paraId="4176CC4D">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3C26BD3F">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r>
              <w:rPr>
                <w:rFonts w:hint="eastAsia" w:asciiTheme="minorEastAsia" w:hAnsiTheme="minorEastAsia"/>
                <w:sz w:val="24"/>
                <w:szCs w:val="24"/>
                <w:lang w:val="en-US" w:eastAsia="zh-CN"/>
              </w:rPr>
              <w:t>2.1.2</w:t>
            </w:r>
            <w:r>
              <w:rPr>
                <w:rFonts w:hint="eastAsia" w:asciiTheme="minorEastAsia" w:hAnsiTheme="minorEastAsia"/>
                <w:sz w:val="24"/>
                <w:szCs w:val="24"/>
              </w:rPr>
              <w:t>符合性评审标准</w:t>
            </w:r>
          </w:p>
        </w:tc>
        <w:tc>
          <w:tcPr>
            <w:tcW w:w="2126" w:type="dxa"/>
            <w:vAlign w:val="center"/>
          </w:tcPr>
          <w:p w14:paraId="78E21FC5">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供应商名称</w:t>
            </w:r>
          </w:p>
        </w:tc>
        <w:tc>
          <w:tcPr>
            <w:tcW w:w="6662" w:type="dxa"/>
            <w:gridSpan w:val="2"/>
            <w:vAlign w:val="center"/>
          </w:tcPr>
          <w:p w14:paraId="0657B5D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与营业执照</w:t>
            </w:r>
            <w:r>
              <w:rPr>
                <w:rFonts w:hint="eastAsia" w:cs="宋体" w:asciiTheme="minorEastAsia" w:hAnsiTheme="minorEastAsia"/>
                <w:sz w:val="24"/>
                <w:szCs w:val="24"/>
                <w:lang w:val="en-US" w:eastAsia="zh-CN"/>
              </w:rPr>
              <w:t>或证书</w:t>
            </w:r>
            <w:r>
              <w:rPr>
                <w:rFonts w:hint="eastAsia" w:cs="宋体" w:asciiTheme="minorEastAsia" w:hAnsiTheme="minorEastAsia"/>
                <w:sz w:val="24"/>
                <w:szCs w:val="24"/>
              </w:rPr>
              <w:t>一致</w:t>
            </w:r>
          </w:p>
        </w:tc>
      </w:tr>
      <w:tr w14:paraId="0291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26B9576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7D36347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p>
        </w:tc>
        <w:tc>
          <w:tcPr>
            <w:tcW w:w="2126" w:type="dxa"/>
            <w:vAlign w:val="center"/>
          </w:tcPr>
          <w:p w14:paraId="5DCAB217">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盖章、签字</w:t>
            </w:r>
          </w:p>
        </w:tc>
        <w:tc>
          <w:tcPr>
            <w:tcW w:w="6662" w:type="dxa"/>
            <w:gridSpan w:val="2"/>
            <w:vAlign w:val="center"/>
          </w:tcPr>
          <w:p w14:paraId="1515EB21">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符合竞争性磋商文件签字、盖章的要求</w:t>
            </w:r>
          </w:p>
        </w:tc>
      </w:tr>
      <w:tr w14:paraId="6168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1530D22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E5D646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D8A60A3">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响应文件格式</w:t>
            </w:r>
          </w:p>
        </w:tc>
        <w:tc>
          <w:tcPr>
            <w:tcW w:w="6662" w:type="dxa"/>
            <w:gridSpan w:val="2"/>
            <w:vAlign w:val="center"/>
          </w:tcPr>
          <w:p w14:paraId="1CCD2E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符合第六章“响应文件格式”要求</w:t>
            </w:r>
          </w:p>
        </w:tc>
      </w:tr>
      <w:tr w14:paraId="71DA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2D7B689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883A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F5982E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报价唯一</w:t>
            </w:r>
          </w:p>
        </w:tc>
        <w:tc>
          <w:tcPr>
            <w:tcW w:w="6662" w:type="dxa"/>
            <w:gridSpan w:val="2"/>
            <w:vAlign w:val="center"/>
          </w:tcPr>
          <w:p w14:paraId="1886B55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只能有一个有效报价且不超过最高限价</w:t>
            </w:r>
          </w:p>
        </w:tc>
      </w:tr>
      <w:tr w14:paraId="7201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continue"/>
            <w:vAlign w:val="center"/>
          </w:tcPr>
          <w:p w14:paraId="2A7E49D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6BB5804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lang w:val="en-US" w:eastAsia="zh-CN"/>
              </w:rPr>
              <w:t>2.1.3</w:t>
            </w:r>
            <w:r>
              <w:rPr>
                <w:rFonts w:hint="default" w:asciiTheme="minorEastAsia" w:hAnsiTheme="minorEastAsia"/>
                <w:color w:val="000000"/>
                <w:sz w:val="24"/>
                <w:szCs w:val="24"/>
              </w:rPr>
              <w:t>响应性评审标准</w:t>
            </w:r>
          </w:p>
        </w:tc>
        <w:tc>
          <w:tcPr>
            <w:tcW w:w="2126" w:type="dxa"/>
            <w:vAlign w:val="center"/>
          </w:tcPr>
          <w:p w14:paraId="02B3AC7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FF0000"/>
                <w:sz w:val="24"/>
                <w:szCs w:val="24"/>
              </w:rPr>
            </w:pPr>
            <w:r>
              <w:rPr>
                <w:rFonts w:hint="eastAsia" w:cs="宋体" w:asciiTheme="minorEastAsia" w:hAnsiTheme="minorEastAsia"/>
                <w:color w:val="000000" w:themeColor="text1"/>
                <w:sz w:val="24"/>
                <w:szCs w:val="24"/>
                <w14:textFill>
                  <w14:solidFill>
                    <w14:schemeClr w14:val="tx1"/>
                  </w14:solidFill>
                </w14:textFill>
              </w:rPr>
              <w:t>计划工期</w:t>
            </w:r>
          </w:p>
        </w:tc>
        <w:tc>
          <w:tcPr>
            <w:tcW w:w="6662" w:type="dxa"/>
            <w:gridSpan w:val="2"/>
            <w:vAlign w:val="center"/>
          </w:tcPr>
          <w:p w14:paraId="11436E08">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color w:val="FF0000"/>
                <w:sz w:val="24"/>
                <w:szCs w:val="24"/>
                <w:lang w:eastAsia="zh-CN"/>
              </w:rPr>
            </w:pPr>
            <w:r>
              <w:rPr>
                <w:rFonts w:hint="eastAsia" w:cs="宋体" w:asciiTheme="minorEastAsia" w:hAnsiTheme="minorEastAsia"/>
                <w:sz w:val="24"/>
                <w:szCs w:val="24"/>
                <w:lang w:val="en-US" w:eastAsia="zh-CN"/>
              </w:rPr>
              <w:t>30日历天</w:t>
            </w:r>
          </w:p>
        </w:tc>
      </w:tr>
      <w:tr w14:paraId="2563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6A15E5F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3B19DF3">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0752AEF">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质量要求</w:t>
            </w:r>
          </w:p>
        </w:tc>
        <w:tc>
          <w:tcPr>
            <w:tcW w:w="6662" w:type="dxa"/>
            <w:gridSpan w:val="2"/>
            <w:vAlign w:val="center"/>
          </w:tcPr>
          <w:p w14:paraId="35C24769">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达到国家现行工程施工质量验收规范合格标准</w:t>
            </w:r>
          </w:p>
        </w:tc>
      </w:tr>
      <w:tr w14:paraId="4608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640343E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C92F48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40E8A7E">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质保期</w:t>
            </w:r>
          </w:p>
        </w:tc>
        <w:tc>
          <w:tcPr>
            <w:tcW w:w="6662" w:type="dxa"/>
            <w:gridSpan w:val="2"/>
            <w:vAlign w:val="center"/>
          </w:tcPr>
          <w:p w14:paraId="3EF014AC">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按国家规定</w:t>
            </w:r>
          </w:p>
        </w:tc>
      </w:tr>
      <w:tr w14:paraId="756E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6885E5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C3EFCF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02B72DF0">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磋商有效期</w:t>
            </w:r>
          </w:p>
        </w:tc>
        <w:tc>
          <w:tcPr>
            <w:tcW w:w="6662" w:type="dxa"/>
            <w:gridSpan w:val="2"/>
            <w:vAlign w:val="center"/>
          </w:tcPr>
          <w:p w14:paraId="3C3485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磋商响应文件递交截止日后60日历天</w:t>
            </w:r>
          </w:p>
        </w:tc>
      </w:tr>
      <w:tr w14:paraId="1450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4535E98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96D65E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17E6A924">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已标价工程量清单</w:t>
            </w:r>
          </w:p>
        </w:tc>
        <w:tc>
          <w:tcPr>
            <w:tcW w:w="6662" w:type="dxa"/>
            <w:gridSpan w:val="2"/>
            <w:vAlign w:val="center"/>
          </w:tcPr>
          <w:p w14:paraId="302BE86E">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color w:val="000000"/>
                <w:sz w:val="24"/>
                <w:szCs w:val="24"/>
              </w:rPr>
            </w:pPr>
            <w:r>
              <w:rPr>
                <w:rFonts w:hint="eastAsia" w:cs="宋体" w:asciiTheme="minorEastAsia" w:hAnsiTheme="minorEastAsia"/>
                <w:color w:val="000000"/>
                <w:sz w:val="24"/>
                <w:szCs w:val="24"/>
              </w:rPr>
              <w:t>符合“工程量清单”给出的范围及数量，供应商不得擅自修改工程量清单上的工程项目和数量，否则其投标将予否决</w:t>
            </w:r>
          </w:p>
        </w:tc>
      </w:tr>
    </w:tbl>
    <w:p w14:paraId="704853FA">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15"/>
        <w:tblW w:w="4943" w:type="pct"/>
        <w:tblInd w:w="0" w:type="dxa"/>
        <w:tblLayout w:type="autofit"/>
        <w:tblCellMar>
          <w:top w:w="0" w:type="dxa"/>
          <w:left w:w="108" w:type="dxa"/>
          <w:bottom w:w="0" w:type="dxa"/>
          <w:right w:w="108" w:type="dxa"/>
        </w:tblCellMar>
      </w:tblPr>
      <w:tblGrid>
        <w:gridCol w:w="1001"/>
        <w:gridCol w:w="1642"/>
        <w:gridCol w:w="7108"/>
      </w:tblGrid>
      <w:tr w14:paraId="53C28653">
        <w:tblPrEx>
          <w:tblCellMar>
            <w:top w:w="0" w:type="dxa"/>
            <w:left w:w="108" w:type="dxa"/>
            <w:bottom w:w="0" w:type="dxa"/>
            <w:right w:w="108" w:type="dxa"/>
          </w:tblCellMar>
        </w:tblPrEx>
        <w:trPr>
          <w:trHeight w:val="570" w:hRule="atLeast"/>
        </w:trPr>
        <w:tc>
          <w:tcPr>
            <w:tcW w:w="513" w:type="pct"/>
            <w:tcBorders>
              <w:top w:val="single" w:color="auto" w:sz="4" w:space="0"/>
              <w:left w:val="single" w:color="auto" w:sz="4" w:space="0"/>
              <w:bottom w:val="single" w:color="auto" w:sz="4" w:space="0"/>
              <w:right w:val="single" w:color="auto" w:sz="4" w:space="0"/>
            </w:tcBorders>
            <w:noWrap/>
            <w:vAlign w:val="center"/>
          </w:tcPr>
          <w:p w14:paraId="4D7115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42" w:type="pct"/>
            <w:tcBorders>
              <w:top w:val="single" w:color="auto" w:sz="4" w:space="0"/>
              <w:left w:val="nil"/>
              <w:bottom w:val="single" w:color="auto" w:sz="4" w:space="0"/>
              <w:right w:val="single" w:color="auto" w:sz="4" w:space="0"/>
            </w:tcBorders>
            <w:noWrap/>
            <w:vAlign w:val="center"/>
          </w:tcPr>
          <w:p w14:paraId="380A65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44" w:type="pct"/>
            <w:tcBorders>
              <w:top w:val="single" w:color="auto" w:sz="4" w:space="0"/>
              <w:left w:val="nil"/>
              <w:bottom w:val="single" w:color="auto" w:sz="4" w:space="0"/>
              <w:right w:val="single" w:color="auto" w:sz="4" w:space="0"/>
            </w:tcBorders>
            <w:noWrap/>
            <w:vAlign w:val="center"/>
          </w:tcPr>
          <w:p w14:paraId="038FE4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2DCB9A94">
        <w:tblPrEx>
          <w:tblCellMar>
            <w:top w:w="0" w:type="dxa"/>
            <w:left w:w="108" w:type="dxa"/>
            <w:bottom w:w="0" w:type="dxa"/>
            <w:right w:w="108" w:type="dxa"/>
          </w:tblCellMar>
        </w:tblPrEx>
        <w:trPr>
          <w:trHeight w:val="967" w:hRule="atLeast"/>
        </w:trPr>
        <w:tc>
          <w:tcPr>
            <w:tcW w:w="513" w:type="pct"/>
            <w:tcBorders>
              <w:top w:val="nil"/>
              <w:left w:val="single" w:color="auto" w:sz="4" w:space="0"/>
              <w:bottom w:val="single" w:color="auto" w:sz="4" w:space="0"/>
              <w:right w:val="single" w:color="auto" w:sz="4" w:space="0"/>
            </w:tcBorders>
            <w:vAlign w:val="center"/>
          </w:tcPr>
          <w:p w14:paraId="7B9CE85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p>
        </w:tc>
        <w:tc>
          <w:tcPr>
            <w:tcW w:w="842" w:type="pct"/>
            <w:tcBorders>
              <w:top w:val="nil"/>
              <w:left w:val="nil"/>
              <w:bottom w:val="single" w:color="auto" w:sz="4" w:space="0"/>
              <w:right w:val="single" w:color="auto" w:sz="4" w:space="0"/>
            </w:tcBorders>
            <w:vAlign w:val="center"/>
          </w:tcPr>
          <w:p w14:paraId="46724F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44" w:type="pct"/>
            <w:tcBorders>
              <w:top w:val="nil"/>
              <w:left w:val="nil"/>
              <w:bottom w:val="single" w:color="auto" w:sz="4" w:space="0"/>
              <w:right w:val="single" w:color="auto" w:sz="4" w:space="0"/>
            </w:tcBorders>
            <w:vAlign w:val="center"/>
          </w:tcPr>
          <w:p w14:paraId="1C132267">
            <w:pPr>
              <w:keepNext w:val="0"/>
              <w:keepLines w:val="0"/>
              <w:suppressLineNumbers w:val="0"/>
              <w:spacing w:before="0" w:beforeAutospacing="0" w:after="0" w:afterAutospacing="0" w:line="400" w:lineRule="exact"/>
              <w:ind w:left="0" w:right="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磋商报价高于“最高限价”的，采购人将不予接受，且本次投标做无效处理；</w:t>
            </w:r>
          </w:p>
          <w:p w14:paraId="7A2C4B49">
            <w:pPr>
              <w:keepNext w:val="0"/>
              <w:keepLines w:val="0"/>
              <w:suppressLineNumbers w:val="0"/>
              <w:spacing w:before="0" w:beforeAutospacing="0" w:after="0" w:afterAutospacing="0" w:line="400" w:lineRule="exact"/>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w:t>
            </w:r>
            <w:r>
              <w:rPr>
                <w:rFonts w:hint="eastAsia" w:ascii="宋体" w:hAnsi="宋体"/>
                <w:color w:val="000000"/>
                <w:sz w:val="24"/>
                <w:szCs w:val="24"/>
                <w:lang w:eastAsia="zh-CN"/>
              </w:rPr>
              <w:t>供应商</w:t>
            </w:r>
            <w:r>
              <w:rPr>
                <w:rFonts w:hint="eastAsia" w:ascii="宋体" w:hAnsi="宋体"/>
                <w:color w:val="000000"/>
                <w:sz w:val="24"/>
                <w:szCs w:val="24"/>
              </w:rPr>
              <w:t>的价格分统一按照下列公式计算：</w:t>
            </w:r>
          </w:p>
          <w:p w14:paraId="5850AD51">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2C744E14">
            <w:pPr>
              <w:keepNext w:val="0"/>
              <w:keepLines w:val="0"/>
              <w:suppressLineNumbers w:val="0"/>
              <w:tabs>
                <w:tab w:val="left" w:pos="420"/>
              </w:tabs>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5AB3D14F">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cs="宋体" w:asciiTheme="minorEastAsia" w:hAnsiTheme="minorEastAsia" w:eastAsiaTheme="minorEastAsia"/>
                <w:b/>
                <w:bCs/>
                <w:sz w:val="22"/>
                <w:szCs w:val="22"/>
                <w:highlight w:val="none"/>
              </w:rPr>
              <w:t>注：本项目专门面向中小微企业（监狱企业、残疾人福利性企业视同小微企业）采购的项目，不再享受小微企业、监狱企业和残疾人福利性企业价格扣除优惠政策。</w:t>
            </w:r>
          </w:p>
        </w:tc>
      </w:tr>
      <w:tr w14:paraId="2C85D1C0">
        <w:tblPrEx>
          <w:tblCellMar>
            <w:top w:w="0" w:type="dxa"/>
            <w:left w:w="108" w:type="dxa"/>
            <w:bottom w:w="0" w:type="dxa"/>
            <w:right w:w="108" w:type="dxa"/>
          </w:tblCellMar>
        </w:tblPrEx>
        <w:trPr>
          <w:trHeight w:val="90" w:hRule="atLeast"/>
        </w:trPr>
        <w:tc>
          <w:tcPr>
            <w:tcW w:w="513" w:type="pct"/>
            <w:vMerge w:val="restart"/>
            <w:tcBorders>
              <w:top w:val="nil"/>
              <w:left w:val="single" w:color="auto" w:sz="4" w:space="0"/>
              <w:right w:val="single" w:color="auto" w:sz="4" w:space="0"/>
            </w:tcBorders>
            <w:vAlign w:val="center"/>
          </w:tcPr>
          <w:p w14:paraId="4A1B8F4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636BDD3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p w14:paraId="5AF4531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14270008">
            <w:pPr>
              <w:keepNext w:val="0"/>
              <w:keepLines w:val="0"/>
              <w:suppressLineNumbers w:val="0"/>
              <w:spacing w:before="0" w:beforeAutospacing="0" w:after="0" w:afterAutospacing="0" w:line="280" w:lineRule="exact"/>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6DB01BDD">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tc>
      </w:tr>
      <w:tr w14:paraId="5F4F4096">
        <w:tblPrEx>
          <w:tblCellMar>
            <w:top w:w="0" w:type="dxa"/>
            <w:left w:w="108" w:type="dxa"/>
            <w:bottom w:w="0" w:type="dxa"/>
            <w:right w:w="108" w:type="dxa"/>
          </w:tblCellMar>
        </w:tblPrEx>
        <w:trPr>
          <w:trHeight w:val="605" w:hRule="atLeast"/>
        </w:trPr>
        <w:tc>
          <w:tcPr>
            <w:tcW w:w="513" w:type="pct"/>
            <w:vMerge w:val="continue"/>
            <w:tcBorders>
              <w:left w:val="single" w:color="auto" w:sz="4" w:space="0"/>
              <w:right w:val="single" w:color="auto" w:sz="4" w:space="0"/>
            </w:tcBorders>
            <w:vAlign w:val="center"/>
          </w:tcPr>
          <w:p w14:paraId="6DCBBDD3">
            <w:pPr>
              <w:keepNext w:val="0"/>
              <w:keepLines w:val="0"/>
              <w:widowControl/>
              <w:suppressLineNumbers w:val="0"/>
              <w:spacing w:before="0" w:beforeAutospacing="0" w:after="0" w:afterAutospacing="0" w:line="400" w:lineRule="exact"/>
              <w:ind w:left="0" w:right="0"/>
              <w:jc w:val="left"/>
              <w:rPr>
                <w:rFonts w:hint="default"/>
              </w:rPr>
            </w:pPr>
          </w:p>
        </w:tc>
        <w:tc>
          <w:tcPr>
            <w:tcW w:w="842" w:type="pct"/>
            <w:vMerge w:val="continue"/>
            <w:tcBorders>
              <w:left w:val="nil"/>
              <w:bottom w:val="single" w:color="auto" w:sz="4" w:space="0"/>
              <w:right w:val="single" w:color="auto" w:sz="4" w:space="0"/>
            </w:tcBorders>
            <w:vAlign w:val="center"/>
          </w:tcPr>
          <w:p w14:paraId="2CC0782F">
            <w:pPr>
              <w:keepNext w:val="0"/>
              <w:keepLines w:val="0"/>
              <w:widowControl/>
              <w:suppressLineNumbers w:val="0"/>
              <w:spacing w:before="0" w:beforeAutospacing="0" w:after="0" w:afterAutospacing="0" w:line="400" w:lineRule="exact"/>
              <w:ind w:left="0" w:right="0"/>
              <w:jc w:val="left"/>
              <w:rPr>
                <w:rFonts w:hint="default"/>
              </w:rPr>
            </w:pPr>
          </w:p>
        </w:tc>
        <w:tc>
          <w:tcPr>
            <w:tcW w:w="3644" w:type="pct"/>
            <w:tcBorders>
              <w:top w:val="nil"/>
              <w:left w:val="nil"/>
              <w:bottom w:val="single" w:color="auto" w:sz="4" w:space="0"/>
              <w:right w:val="single" w:color="auto" w:sz="4" w:space="0"/>
            </w:tcBorders>
            <w:vAlign w:val="center"/>
          </w:tcPr>
          <w:p w14:paraId="7AC38D02">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3339E7AE">
        <w:tblPrEx>
          <w:tblCellMar>
            <w:top w:w="0" w:type="dxa"/>
            <w:left w:w="108" w:type="dxa"/>
            <w:bottom w:w="0" w:type="dxa"/>
            <w:right w:w="108" w:type="dxa"/>
          </w:tblCellMar>
        </w:tblPrEx>
        <w:trPr>
          <w:trHeight w:val="1085" w:hRule="atLeast"/>
        </w:trPr>
        <w:tc>
          <w:tcPr>
            <w:tcW w:w="513" w:type="pct"/>
            <w:vMerge w:val="continue"/>
            <w:tcBorders>
              <w:top w:val="nil"/>
              <w:left w:val="single" w:color="auto" w:sz="4" w:space="0"/>
              <w:right w:val="single" w:color="auto" w:sz="4" w:space="0"/>
            </w:tcBorders>
            <w:vAlign w:val="center"/>
          </w:tcPr>
          <w:p w14:paraId="5D1F125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11447966">
            <w:pPr>
              <w:keepNext w:val="0"/>
              <w:keepLines w:val="0"/>
              <w:suppressLineNumbers w:val="0"/>
              <w:spacing w:before="0" w:beforeAutospacing="0" w:after="0" w:afterAutospacing="0" w:line="280" w:lineRule="exact"/>
              <w:ind w:left="0" w:right="0"/>
              <w:rPr>
                <w:rFonts w:hint="default"/>
                <w:color w:val="000000"/>
                <w:sz w:val="24"/>
                <w:szCs w:val="24"/>
              </w:rPr>
            </w:pPr>
            <w:r>
              <w:rPr>
                <w:rFonts w:hint="eastAsia" w:ascii="宋体" w:hAnsi="宋体"/>
                <w:color w:val="000000"/>
                <w:sz w:val="24"/>
                <w:szCs w:val="24"/>
                <w:lang w:val="en-US" w:eastAsia="zh-CN"/>
              </w:rPr>
              <w:t>主要施工方案与技术措施</w:t>
            </w: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3B9146E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tc>
      </w:tr>
      <w:tr w14:paraId="6377F31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C62FDA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65DE93B7">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21BB1F5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tc>
      </w:tr>
      <w:tr w14:paraId="299BD6C9">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6B46AC8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6CCEAD8">
            <w:pPr>
              <w:keepNext w:val="0"/>
              <w:keepLines w:val="0"/>
              <w:suppressLineNumbers w:val="0"/>
              <w:spacing w:before="0" w:beforeAutospacing="0" w:after="0" w:afterAutospacing="0" w:line="280" w:lineRule="exact"/>
              <w:ind w:left="0" w:right="0"/>
              <w:rPr>
                <w:rFonts w:hint="default" w:ascii="宋体" w:hAnsi="宋体"/>
                <w:color w:val="000000"/>
                <w:sz w:val="24"/>
                <w:szCs w:val="24"/>
              </w:rPr>
            </w:pPr>
            <w:r>
              <w:rPr>
                <w:rFonts w:hint="eastAsia" w:ascii="宋体" w:hAnsi="宋体"/>
                <w:color w:val="000000"/>
                <w:sz w:val="24"/>
                <w:szCs w:val="24"/>
                <w:lang w:val="en-US" w:eastAsia="zh-CN"/>
              </w:rPr>
              <w:t>质量管理体系与措施</w:t>
            </w: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4B30F517">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tc>
      </w:tr>
      <w:tr w14:paraId="7D2922C8">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57445500">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4B4388C">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2D46A3">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w:t>
            </w:r>
          </w:p>
          <w:p w14:paraId="3A88436A">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3分</w:t>
            </w:r>
          </w:p>
        </w:tc>
      </w:tr>
      <w:tr w14:paraId="0953BAA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0DB6D5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748ABAE">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安全管理体系与措施</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44" w:type="pct"/>
            <w:tcBorders>
              <w:top w:val="nil"/>
              <w:left w:val="nil"/>
              <w:bottom w:val="single" w:color="auto" w:sz="4" w:space="0"/>
              <w:right w:val="single" w:color="auto" w:sz="4" w:space="0"/>
            </w:tcBorders>
            <w:vAlign w:val="center"/>
          </w:tcPr>
          <w:p w14:paraId="078EDC3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25A65FD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5分</w:t>
            </w:r>
          </w:p>
        </w:tc>
      </w:tr>
      <w:tr w14:paraId="2C872BA0">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557725DB">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B9F9691">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46312FE5">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tc>
      </w:tr>
      <w:tr w14:paraId="27D60323">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0BCED55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785E07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44" w:type="pct"/>
            <w:tcBorders>
              <w:top w:val="nil"/>
              <w:left w:val="nil"/>
              <w:bottom w:val="single" w:color="auto" w:sz="4" w:space="0"/>
              <w:right w:val="single" w:color="auto" w:sz="4" w:space="0"/>
            </w:tcBorders>
            <w:vAlign w:val="center"/>
          </w:tcPr>
          <w:p w14:paraId="1C907829">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14352587">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43C7135E">
            <w:pPr>
              <w:keepNext w:val="0"/>
              <w:keepLines w:val="0"/>
              <w:widowControl/>
              <w:suppressLineNumbers w:val="0"/>
              <w:spacing w:before="0" w:beforeAutospacing="0" w:after="0" w:afterAutospacing="0" w:line="40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1533479">
            <w:pPr>
              <w:keepNext w:val="0"/>
              <w:keepLines w:val="0"/>
              <w:widowControl/>
              <w:suppressLineNumbers w:val="0"/>
              <w:spacing w:before="0" w:beforeAutospacing="0" w:after="0" w:afterAutospacing="0" w:line="40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FB7797E">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tc>
      </w:tr>
      <w:tr w14:paraId="4C7BDAD5">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3C1DAD0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4909BEA">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44" w:type="pct"/>
            <w:tcBorders>
              <w:top w:val="nil"/>
              <w:left w:val="nil"/>
              <w:bottom w:val="single" w:color="auto" w:sz="4" w:space="0"/>
              <w:right w:val="single" w:color="auto" w:sz="4" w:space="0"/>
            </w:tcBorders>
            <w:vAlign w:val="center"/>
          </w:tcPr>
          <w:p w14:paraId="5D66D5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工期承诺满足竞争性磋商文件要求，工期保证措施合理且有针对性，有具体的违约责任承诺。5分</w:t>
            </w:r>
          </w:p>
        </w:tc>
      </w:tr>
      <w:tr w14:paraId="7D0C9632">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6F83B144">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2AE4A6ED">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B59C8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tc>
      </w:tr>
      <w:tr w14:paraId="5B5E4FFF">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6EF4CB6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1A0CD3B">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44" w:type="pct"/>
            <w:tcBorders>
              <w:top w:val="nil"/>
              <w:left w:val="nil"/>
              <w:bottom w:val="single" w:color="auto" w:sz="4" w:space="0"/>
              <w:right w:val="single" w:color="auto" w:sz="4" w:space="0"/>
            </w:tcBorders>
            <w:vAlign w:val="center"/>
          </w:tcPr>
          <w:p w14:paraId="6C93DDF8">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27AF665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4222D134">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tc>
      </w:tr>
      <w:tr w14:paraId="404D8DD1">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7DD98E89">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B4F1575">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333CE31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6A405942">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5B84E629">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tc>
      </w:tr>
      <w:tr w14:paraId="2991E410">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2E1C7AF3">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7CF579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44" w:type="pct"/>
            <w:tcBorders>
              <w:top w:val="nil"/>
              <w:left w:val="nil"/>
              <w:bottom w:val="single" w:color="auto" w:sz="4" w:space="0"/>
              <w:right w:val="single" w:color="auto" w:sz="4" w:space="0"/>
            </w:tcBorders>
            <w:vAlign w:val="center"/>
          </w:tcPr>
          <w:p w14:paraId="3C75D9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tc>
      </w:tr>
      <w:tr w14:paraId="3013C402">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5DE38911">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9A998A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55F1F7">
            <w:pPr>
              <w:keepNext w:val="0"/>
              <w:keepLines w:val="0"/>
              <w:numPr>
                <w:ilvl w:val="0"/>
                <w:numId w:val="0"/>
              </w:numPr>
              <w:suppressLineNumbers w:val="0"/>
              <w:spacing w:before="0" w:beforeAutospacing="0" w:after="0" w:afterAutospacing="0" w:line="360" w:lineRule="exact"/>
              <w:ind w:left="0" w:right="0"/>
              <w:rPr>
                <w:rFonts w:hint="eastAsia"/>
                <w:color w:val="auto"/>
                <w:sz w:val="24"/>
                <w:szCs w:val="24"/>
                <w:lang w:val="en-US" w:eastAsia="zh-CN"/>
              </w:rPr>
            </w:pPr>
            <w:r>
              <w:rPr>
                <w:rFonts w:hint="default"/>
                <w:color w:val="auto"/>
                <w:sz w:val="24"/>
                <w:szCs w:val="24"/>
                <w:lang w:val="en-US" w:eastAsia="zh-CN"/>
              </w:rPr>
              <w:t>关键线路基本准确，计划编制基本可行。3分</w:t>
            </w:r>
          </w:p>
        </w:tc>
      </w:tr>
      <w:tr w14:paraId="3AFE52C7">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262E8F9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14FFE2E">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44" w:type="pct"/>
            <w:tcBorders>
              <w:top w:val="nil"/>
              <w:left w:val="nil"/>
              <w:bottom w:val="single" w:color="auto" w:sz="4" w:space="0"/>
              <w:right w:val="single" w:color="auto" w:sz="4" w:space="0"/>
            </w:tcBorders>
            <w:vAlign w:val="center"/>
          </w:tcPr>
          <w:p w14:paraId="45377421">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tc>
      </w:tr>
      <w:tr w14:paraId="54633FAC">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60AD08C7">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48A9FD24">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928BBF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tc>
      </w:tr>
      <w:tr w14:paraId="7071E1CB">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5CAC6E77">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6ED0049A">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06E7666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p>
        </w:tc>
        <w:tc>
          <w:tcPr>
            <w:tcW w:w="3644" w:type="pct"/>
            <w:tcBorders>
              <w:top w:val="nil"/>
              <w:left w:val="nil"/>
              <w:bottom w:val="single" w:color="auto" w:sz="4" w:space="0"/>
              <w:right w:val="single" w:color="auto" w:sz="4" w:space="0"/>
            </w:tcBorders>
            <w:vAlign w:val="center"/>
          </w:tcPr>
          <w:p w14:paraId="2111F23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tc>
      </w:tr>
      <w:tr w14:paraId="1E27CD27">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4AA7016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301AB3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65EE30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tc>
      </w:tr>
      <w:tr w14:paraId="2039FD22">
        <w:tblPrEx>
          <w:tblCellMar>
            <w:top w:w="0" w:type="dxa"/>
            <w:left w:w="108" w:type="dxa"/>
            <w:bottom w:w="0" w:type="dxa"/>
            <w:right w:w="108" w:type="dxa"/>
          </w:tblCellMar>
        </w:tblPrEx>
        <w:trPr>
          <w:trHeight w:val="557" w:hRule="atLeast"/>
        </w:trPr>
        <w:tc>
          <w:tcPr>
            <w:tcW w:w="513" w:type="pct"/>
            <w:vMerge w:val="continue"/>
            <w:tcBorders>
              <w:left w:val="single" w:color="auto" w:sz="4" w:space="0"/>
              <w:bottom w:val="single" w:color="auto" w:sz="4" w:space="0"/>
              <w:right w:val="single" w:color="auto" w:sz="4" w:space="0"/>
            </w:tcBorders>
            <w:vAlign w:val="center"/>
          </w:tcPr>
          <w:p w14:paraId="12EFB610">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4486" w:type="pct"/>
            <w:gridSpan w:val="2"/>
            <w:tcBorders>
              <w:top w:val="nil"/>
              <w:left w:val="nil"/>
              <w:bottom w:val="single" w:color="auto" w:sz="4" w:space="0"/>
              <w:right w:val="single" w:color="auto" w:sz="4" w:space="0"/>
            </w:tcBorders>
            <w:vAlign w:val="center"/>
          </w:tcPr>
          <w:p w14:paraId="02E3A869">
            <w:pPr>
              <w:keepNext w:val="0"/>
              <w:keepLines w:val="0"/>
              <w:suppressLineNumbers w:val="0"/>
              <w:adjustRightInd w:val="0"/>
              <w:snapToGrid w:val="0"/>
              <w:spacing w:before="0" w:beforeAutospacing="0" w:after="0" w:afterAutospacing="0" w:line="360" w:lineRule="exact"/>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233F74F8">
        <w:tblPrEx>
          <w:tblCellMar>
            <w:top w:w="0" w:type="dxa"/>
            <w:left w:w="108" w:type="dxa"/>
            <w:bottom w:w="0" w:type="dxa"/>
            <w:right w:w="108" w:type="dxa"/>
          </w:tblCellMar>
        </w:tblPrEx>
        <w:trPr>
          <w:trHeight w:val="1280" w:hRule="atLeast"/>
        </w:trPr>
        <w:tc>
          <w:tcPr>
            <w:tcW w:w="513" w:type="pct"/>
            <w:vMerge w:val="restart"/>
            <w:tcBorders>
              <w:top w:val="single" w:color="auto" w:sz="4" w:space="0"/>
              <w:left w:val="single" w:color="auto" w:sz="4" w:space="0"/>
              <w:right w:val="single" w:color="auto" w:sz="4" w:space="0"/>
            </w:tcBorders>
            <w:vAlign w:val="center"/>
          </w:tcPr>
          <w:p w14:paraId="0F4E716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42" w:type="pct"/>
            <w:tcBorders>
              <w:top w:val="single" w:color="auto" w:sz="4" w:space="0"/>
              <w:left w:val="nil"/>
              <w:bottom w:val="single" w:color="auto" w:sz="4" w:space="0"/>
              <w:right w:val="single" w:color="auto" w:sz="4" w:space="0"/>
            </w:tcBorders>
            <w:vAlign w:val="center"/>
          </w:tcPr>
          <w:p w14:paraId="29692A39">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44" w:type="pct"/>
            <w:tcBorders>
              <w:top w:val="single" w:color="auto" w:sz="4" w:space="0"/>
              <w:left w:val="nil"/>
              <w:bottom w:val="single" w:color="auto" w:sz="4" w:space="0"/>
              <w:right w:val="single" w:color="auto" w:sz="4" w:space="0"/>
            </w:tcBorders>
          </w:tcPr>
          <w:p w14:paraId="29611E03">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lang w:val="en-US" w:eastAsia="zh-CN"/>
              </w:rPr>
              <w:t>供应商</w:t>
            </w:r>
            <w:r>
              <w:rPr>
                <w:rFonts w:hint="default" w:ascii="宋体" w:hAnsi="宋体" w:cs="宋体"/>
                <w:sz w:val="24"/>
                <w:lang w:val="en-US" w:eastAsia="zh-CN"/>
              </w:rPr>
              <w:t>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2477F078">
        <w:tblPrEx>
          <w:tblCellMar>
            <w:top w:w="0" w:type="dxa"/>
            <w:left w:w="108" w:type="dxa"/>
            <w:bottom w:w="0" w:type="dxa"/>
            <w:right w:w="108" w:type="dxa"/>
          </w:tblCellMar>
        </w:tblPrEx>
        <w:trPr>
          <w:trHeight w:val="1252" w:hRule="atLeast"/>
        </w:trPr>
        <w:tc>
          <w:tcPr>
            <w:tcW w:w="513" w:type="pct"/>
            <w:vMerge w:val="continue"/>
            <w:tcBorders>
              <w:left w:val="single" w:color="auto" w:sz="4" w:space="0"/>
              <w:right w:val="single" w:color="auto" w:sz="4" w:space="0"/>
            </w:tcBorders>
            <w:vAlign w:val="center"/>
          </w:tcPr>
          <w:p w14:paraId="756B2B7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bottom w:val="single" w:color="auto" w:sz="4" w:space="0"/>
              <w:right w:val="single" w:color="auto" w:sz="4" w:space="0"/>
            </w:tcBorders>
            <w:vAlign w:val="center"/>
          </w:tcPr>
          <w:p w14:paraId="16B7FC03">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44" w:type="pct"/>
            <w:tcBorders>
              <w:top w:val="single" w:color="auto" w:sz="4" w:space="0"/>
              <w:left w:val="nil"/>
              <w:bottom w:val="single" w:color="auto" w:sz="4" w:space="0"/>
              <w:right w:val="single" w:color="auto" w:sz="4" w:space="0"/>
            </w:tcBorders>
            <w:vAlign w:val="center"/>
          </w:tcPr>
          <w:p w14:paraId="7BCBD46A">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516AC0D">
        <w:tblPrEx>
          <w:tblCellMar>
            <w:top w:w="0" w:type="dxa"/>
            <w:left w:w="108" w:type="dxa"/>
            <w:bottom w:w="0" w:type="dxa"/>
            <w:right w:w="108" w:type="dxa"/>
          </w:tblCellMar>
        </w:tblPrEx>
        <w:trPr>
          <w:trHeight w:val="1061" w:hRule="atLeast"/>
        </w:trPr>
        <w:tc>
          <w:tcPr>
            <w:tcW w:w="513" w:type="pct"/>
            <w:vMerge w:val="continue"/>
            <w:tcBorders>
              <w:left w:val="single" w:color="auto" w:sz="4" w:space="0"/>
              <w:right w:val="single" w:color="auto" w:sz="4" w:space="0"/>
            </w:tcBorders>
            <w:vAlign w:val="center"/>
          </w:tcPr>
          <w:p w14:paraId="627ADCC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73E804FA">
            <w:pPr>
              <w:keepNext w:val="0"/>
              <w:keepLines w:val="0"/>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优惠承诺</w:t>
            </w: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44" w:type="pct"/>
            <w:tcBorders>
              <w:top w:val="single" w:color="auto" w:sz="4" w:space="0"/>
              <w:left w:val="nil"/>
              <w:bottom w:val="single" w:color="auto" w:sz="4" w:space="0"/>
              <w:right w:val="single" w:color="auto" w:sz="4" w:space="0"/>
            </w:tcBorders>
            <w:vAlign w:val="center"/>
          </w:tcPr>
          <w:p w14:paraId="0E967F4C">
            <w:pPr>
              <w:pStyle w:val="43"/>
              <w:keepNext w:val="0"/>
              <w:keepLines w:val="0"/>
              <w:suppressLineNumbers w:val="0"/>
              <w:spacing w:before="0" w:beforeAutospacing="0" w:after="0" w:afterAutospacing="0"/>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C8831AB">
        <w:tblPrEx>
          <w:tblCellMar>
            <w:top w:w="0" w:type="dxa"/>
            <w:left w:w="108" w:type="dxa"/>
            <w:bottom w:w="0" w:type="dxa"/>
            <w:right w:w="108" w:type="dxa"/>
          </w:tblCellMar>
        </w:tblPrEx>
        <w:trPr>
          <w:trHeight w:val="971" w:hRule="atLeast"/>
        </w:trPr>
        <w:tc>
          <w:tcPr>
            <w:tcW w:w="513" w:type="pct"/>
            <w:vMerge w:val="continue"/>
            <w:tcBorders>
              <w:left w:val="single" w:color="auto" w:sz="4" w:space="0"/>
              <w:right w:val="single" w:color="auto" w:sz="4" w:space="0"/>
            </w:tcBorders>
            <w:vAlign w:val="center"/>
          </w:tcPr>
          <w:p w14:paraId="5653FA9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BE91CD8">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44" w:type="pct"/>
            <w:tcBorders>
              <w:top w:val="single" w:color="auto" w:sz="4" w:space="0"/>
              <w:left w:val="nil"/>
              <w:bottom w:val="single" w:color="auto" w:sz="4" w:space="0"/>
              <w:right w:val="single" w:color="auto" w:sz="4" w:space="0"/>
            </w:tcBorders>
            <w:vAlign w:val="center"/>
          </w:tcPr>
          <w:p w14:paraId="4DB513B0">
            <w:pPr>
              <w:pStyle w:val="4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A4C5059">
        <w:tblPrEx>
          <w:tblCellMar>
            <w:top w:w="0" w:type="dxa"/>
            <w:left w:w="108" w:type="dxa"/>
            <w:bottom w:w="0" w:type="dxa"/>
            <w:right w:w="108" w:type="dxa"/>
          </w:tblCellMar>
        </w:tblPrEx>
        <w:trPr>
          <w:trHeight w:val="2006" w:hRule="atLeast"/>
        </w:trPr>
        <w:tc>
          <w:tcPr>
            <w:tcW w:w="513" w:type="pct"/>
            <w:vMerge w:val="continue"/>
            <w:tcBorders>
              <w:left w:val="single" w:color="auto" w:sz="4" w:space="0"/>
              <w:right w:val="single" w:color="auto" w:sz="4" w:space="0"/>
            </w:tcBorders>
            <w:vAlign w:val="center"/>
          </w:tcPr>
          <w:p w14:paraId="73E3C4EF">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1F0FB8A">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履职尽责承诺（0-5分）</w:t>
            </w:r>
          </w:p>
          <w:p w14:paraId="7A75944D">
            <w:pPr>
              <w:keepNext w:val="0"/>
              <w:keepLines w:val="0"/>
              <w:suppressLineNumbers w:val="0"/>
              <w:spacing w:before="0" w:beforeAutospacing="0" w:after="0" w:afterAutospacing="0"/>
              <w:ind w:left="0" w:right="0"/>
              <w:jc w:val="center"/>
              <w:rPr>
                <w:rFonts w:hint="eastAsia" w:ascii="宋体" w:hAnsi="宋体" w:cs="宋体"/>
                <w:sz w:val="24"/>
              </w:rPr>
            </w:pPr>
          </w:p>
        </w:tc>
        <w:tc>
          <w:tcPr>
            <w:tcW w:w="3644" w:type="pct"/>
            <w:tcBorders>
              <w:top w:val="single" w:color="auto" w:sz="4" w:space="0"/>
              <w:left w:val="nil"/>
              <w:bottom w:val="single" w:color="auto" w:sz="4" w:space="0"/>
              <w:right w:val="single" w:color="auto" w:sz="4" w:space="0"/>
            </w:tcBorders>
            <w:vAlign w:val="center"/>
          </w:tcPr>
          <w:p w14:paraId="61890560">
            <w:pPr>
              <w:pStyle w:val="4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6E3D4BF3">
            <w:pPr>
              <w:pStyle w:val="4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保证技术措施落实到位的承诺和落实不到位的处理承诺不够全面、详尽、可行的，得3分；</w:t>
            </w:r>
          </w:p>
          <w:p w14:paraId="5A9B60EB">
            <w:pPr>
              <w:pStyle w:val="4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B8655EA">
        <w:tblPrEx>
          <w:tblCellMar>
            <w:top w:w="0" w:type="dxa"/>
            <w:left w:w="108" w:type="dxa"/>
            <w:bottom w:w="0" w:type="dxa"/>
            <w:right w:w="108" w:type="dxa"/>
          </w:tblCellMar>
        </w:tblPrEx>
        <w:trPr>
          <w:trHeight w:val="485" w:hRule="atLeast"/>
        </w:trPr>
        <w:tc>
          <w:tcPr>
            <w:tcW w:w="513" w:type="pct"/>
            <w:vMerge w:val="continue"/>
            <w:tcBorders>
              <w:left w:val="single" w:color="auto" w:sz="4" w:space="0"/>
              <w:bottom w:val="single" w:color="auto" w:sz="4" w:space="0"/>
              <w:right w:val="single" w:color="auto" w:sz="4" w:space="0"/>
            </w:tcBorders>
            <w:vAlign w:val="center"/>
          </w:tcPr>
          <w:p w14:paraId="1D40B68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p>
        </w:tc>
        <w:tc>
          <w:tcPr>
            <w:tcW w:w="4486" w:type="pct"/>
            <w:gridSpan w:val="2"/>
            <w:tcBorders>
              <w:top w:val="single" w:color="auto" w:sz="4" w:space="0"/>
              <w:left w:val="nil"/>
              <w:bottom w:val="single" w:color="auto" w:sz="4" w:space="0"/>
              <w:right w:val="single" w:color="auto" w:sz="4" w:space="0"/>
            </w:tcBorders>
            <w:vAlign w:val="center"/>
          </w:tcPr>
          <w:p w14:paraId="7A68C5AC">
            <w:pPr>
              <w:keepNext w:val="0"/>
              <w:keepLines w:val="0"/>
              <w:suppressLineNumbers w:val="0"/>
              <w:spacing w:before="0" w:beforeAutospacing="0" w:after="0" w:afterAutospacing="0"/>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5FF44F0D">
      <w:pPr>
        <w:widowControl/>
        <w:spacing w:line="500" w:lineRule="exact"/>
        <w:ind w:firstLine="425"/>
        <w:jc w:val="left"/>
        <w:rPr>
          <w:rFonts w:ascii="宋体" w:hAnsi="宋体" w:eastAsia="宋体" w:cs="Times New Roman"/>
          <w:kern w:val="0"/>
          <w:sz w:val="24"/>
        </w:rPr>
      </w:pPr>
    </w:p>
    <w:p w14:paraId="4CAA5663">
      <w:pPr>
        <w:spacing w:line="360" w:lineRule="auto"/>
        <w:ind w:firstLine="420" w:firstLineChars="175"/>
        <w:rPr>
          <w:rFonts w:ascii="宋体" w:hAnsi="宋体" w:cs="宋体"/>
          <w:bCs/>
          <w:sz w:val="24"/>
        </w:rPr>
        <w:sectPr>
          <w:footerReference r:id="rId5" w:type="default"/>
          <w:pgSz w:w="11915" w:h="16840"/>
          <w:pgMar w:top="1134" w:right="1134" w:bottom="1134" w:left="1134" w:header="720" w:footer="720" w:gutter="0"/>
          <w:pgNumType w:start="1"/>
          <w:cols w:space="720" w:num="1"/>
          <w:docGrid w:type="lines" w:linePitch="312" w:charSpace="0"/>
        </w:sectPr>
      </w:pPr>
    </w:p>
    <w:p w14:paraId="4975E0BF">
      <w:pPr>
        <w:jc w:val="center"/>
        <w:outlineLvl w:val="0"/>
        <w:rPr>
          <w:rFonts w:hAnsi="宋体" w:cs="宋体"/>
          <w:b/>
          <w:sz w:val="24"/>
          <w:szCs w:val="24"/>
        </w:rPr>
      </w:pPr>
      <w:bookmarkStart w:id="366" w:name="_Toc6248"/>
      <w:r>
        <w:rPr>
          <w:rFonts w:hint="eastAsia" w:hAnsi="宋体" w:cs="宋体"/>
          <w:b/>
          <w:sz w:val="24"/>
          <w:szCs w:val="24"/>
        </w:rPr>
        <w:t>第五章  合同条款及格式</w:t>
      </w:r>
      <w:bookmarkEnd w:id="366"/>
    </w:p>
    <w:p w14:paraId="02A64313">
      <w:pPr>
        <w:spacing w:line="360" w:lineRule="auto"/>
        <w:jc w:val="center"/>
        <w:rPr>
          <w:rFonts w:ascii="宋体" w:hAnsi="宋体" w:eastAsia="宋体" w:cs="宋体"/>
          <w:bCs/>
          <w:sz w:val="28"/>
          <w:szCs w:val="28"/>
        </w:rPr>
      </w:pPr>
      <w:r>
        <w:rPr>
          <w:rFonts w:hint="eastAsia" w:ascii="宋体" w:hAnsi="宋体" w:eastAsia="宋体" w:cs="宋体"/>
          <w:bCs/>
          <w:sz w:val="28"/>
          <w:szCs w:val="28"/>
        </w:rPr>
        <w:t>（本合同格式仅供参考，具体条款以签订合同为准）</w:t>
      </w:r>
    </w:p>
    <w:p w14:paraId="4A33B38E">
      <w:pPr>
        <w:widowControl/>
        <w:spacing w:after="200" w:line="276" w:lineRule="auto"/>
        <w:jc w:val="center"/>
        <w:outlineLvl w:val="0"/>
        <w:rPr>
          <w:rFonts w:ascii="宋体" w:hAnsi="宋体" w:eastAsia="宋体" w:cs="Times New Roman"/>
          <w:b/>
          <w:kern w:val="0"/>
          <w:sz w:val="32"/>
          <w:szCs w:val="32"/>
          <w:highlight w:val="none"/>
        </w:rPr>
      </w:pPr>
      <w:bookmarkStart w:id="367" w:name="_Toc8643"/>
      <w:r>
        <w:rPr>
          <w:rFonts w:hint="eastAsia" w:ascii="宋体" w:hAnsi="宋体" w:eastAsia="宋体" w:cs="Times New Roman"/>
          <w:b/>
          <w:kern w:val="0"/>
          <w:sz w:val="32"/>
          <w:szCs w:val="32"/>
          <w:highlight w:val="none"/>
        </w:rPr>
        <w:t>合同协议书</w:t>
      </w:r>
      <w:bookmarkEnd w:id="367"/>
    </w:p>
    <w:p w14:paraId="1BC6E82F">
      <w:pPr>
        <w:widowControl/>
        <w:spacing w:after="200" w:line="400" w:lineRule="exact"/>
        <w:ind w:firstLine="480" w:firstLineChars="200"/>
        <w:jc w:val="left"/>
        <w:rPr>
          <w:rFonts w:ascii="宋体" w:hAnsi="宋体" w:eastAsia="宋体" w:cs="Times New Roman"/>
          <w:kern w:val="0"/>
          <w:sz w:val="24"/>
          <w:highlight w:val="none"/>
        </w:rPr>
      </w:pPr>
      <w:r>
        <w:rPr>
          <w:rFonts w:ascii="宋体" w:hAnsi="宋体" w:eastAsia="宋体" w:cs="Times New Roman"/>
          <w:kern w:val="0"/>
          <w:sz w:val="24"/>
          <w:highlight w:val="none"/>
        </w:rPr>
        <w:t>（发包人名称，以下简称“发包人”）为实施（项目名称），已接受（承包人名称，以下简称“承包人”）对该项目标段施工的投标。 发包人和承包人共同达成如下协议。</w:t>
      </w:r>
    </w:p>
    <w:p w14:paraId="7D362E4C">
      <w:pPr>
        <w:widowControl/>
        <w:spacing w:line="480" w:lineRule="exact"/>
        <w:ind w:firstLine="480" w:firstLineChars="200"/>
        <w:jc w:val="left"/>
        <w:rPr>
          <w:rFonts w:ascii="宋体" w:hAnsi="宋体" w:cs="Tahoma"/>
          <w:color w:val="auto"/>
          <w:kern w:val="0"/>
          <w:sz w:val="24"/>
          <w:szCs w:val="24"/>
          <w:highlight w:val="none"/>
        </w:rPr>
      </w:pPr>
      <w:r>
        <w:rPr>
          <w:rFonts w:hint="eastAsia" w:ascii="宋体" w:hAnsi="宋体" w:eastAsia="宋体" w:cs="Times New Roman"/>
          <w:kern w:val="0"/>
          <w:sz w:val="24"/>
          <w:highlight w:val="none"/>
        </w:rPr>
        <w:t>1．</w:t>
      </w:r>
      <w:r>
        <w:rPr>
          <w:rFonts w:hint="eastAsia" w:ascii="宋体" w:hAnsi="宋体" w:eastAsia="宋体" w:cs="Times New Roman"/>
          <w:kern w:val="0"/>
          <w:sz w:val="24"/>
          <w:highlight w:val="none"/>
          <w:lang w:val="en-US" w:eastAsia="zh-CN"/>
        </w:rPr>
        <w:t>本项目</w:t>
      </w:r>
      <w:r>
        <w:rPr>
          <w:rFonts w:hint="eastAsia" w:ascii="宋体" w:hAnsi="宋体" w:cs="Tahoma"/>
          <w:color w:val="auto"/>
          <w:kern w:val="0"/>
          <w:sz w:val="24"/>
          <w:szCs w:val="24"/>
          <w:highlight w:val="none"/>
        </w:rPr>
        <w:t>：</w:t>
      </w:r>
      <w:r>
        <w:rPr>
          <w:rFonts w:hint="eastAsia" w:ascii="宋体" w:hAnsi="宋体" w:cs="Tahoma"/>
          <w:color w:val="auto"/>
          <w:kern w:val="0"/>
          <w:sz w:val="24"/>
          <w:szCs w:val="24"/>
          <w:highlight w:val="none"/>
          <w:u w:val="single"/>
          <w:lang w:val="en-US" w:eastAsia="zh-CN"/>
        </w:rPr>
        <w:t xml:space="preserve">                           </w:t>
      </w:r>
      <w:r>
        <w:rPr>
          <w:rFonts w:hint="eastAsia" w:ascii="宋体" w:hAnsi="宋体" w:cs="Tahoma"/>
          <w:color w:val="auto"/>
          <w:kern w:val="0"/>
          <w:sz w:val="24"/>
          <w:szCs w:val="24"/>
          <w:highlight w:val="none"/>
        </w:rPr>
        <w:t>。</w:t>
      </w:r>
    </w:p>
    <w:p w14:paraId="1627FEB3">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w:t>
      </w:r>
      <w:r>
        <w:rPr>
          <w:rFonts w:ascii="宋体" w:hAnsi="宋体" w:eastAsia="宋体" w:cs="Times New Roman"/>
          <w:kern w:val="0"/>
          <w:sz w:val="24"/>
          <w:highlight w:val="none"/>
        </w:rPr>
        <w:t xml:space="preserve">. </w:t>
      </w:r>
      <w:r>
        <w:rPr>
          <w:rFonts w:hint="eastAsia" w:ascii="宋体" w:hAnsi="宋体" w:eastAsia="宋体" w:cs="Times New Roman"/>
          <w:kern w:val="0"/>
          <w:sz w:val="24"/>
          <w:highlight w:val="none"/>
        </w:rPr>
        <w:t>下列文件应视为构成合同文件的组成部分</w:t>
      </w:r>
      <w:r>
        <w:rPr>
          <w:rFonts w:ascii="宋体" w:hAnsi="宋体" w:eastAsia="宋体" w:cs="Times New Roman"/>
          <w:kern w:val="0"/>
          <w:sz w:val="24"/>
          <w:highlight w:val="none"/>
        </w:rPr>
        <w:t>：</w:t>
      </w:r>
    </w:p>
    <w:p w14:paraId="0B0F72F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（1）本协议书及各种合同附件（含评标期间和合同谈判过程中的澄清文件和补充资料）；</w:t>
      </w:r>
    </w:p>
    <w:p w14:paraId="5D1B4673">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（2）中标通知书；</w:t>
      </w:r>
    </w:p>
    <w:p w14:paraId="3912426B">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（3）补遗书；</w:t>
      </w:r>
    </w:p>
    <w:p w14:paraId="3286FFC5">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（4）投标函及投标函附录；</w:t>
      </w:r>
    </w:p>
    <w:p w14:paraId="79B88B3E">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（5）项目专用合同条款；</w:t>
      </w:r>
    </w:p>
    <w:p w14:paraId="3D5DE09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（6）公路工程专用合同条款；</w:t>
      </w:r>
    </w:p>
    <w:p w14:paraId="39E9C22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（7）通用合同条款；</w:t>
      </w:r>
    </w:p>
    <w:p w14:paraId="75D57F1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（8）技术规范；</w:t>
      </w:r>
    </w:p>
    <w:p w14:paraId="0A36E826">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（9）图纸；</w:t>
      </w:r>
    </w:p>
    <w:p w14:paraId="3F00689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（10）已标价工程量清单；</w:t>
      </w:r>
    </w:p>
    <w:p w14:paraId="3592C515">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（11）承包人有关人员、设备投入的承诺及投标文件中的施工组织设计；</w:t>
      </w:r>
    </w:p>
    <w:p w14:paraId="0C5A92F0">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（12）其他合同文件。</w:t>
      </w:r>
    </w:p>
    <w:p w14:paraId="705C1642">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w:t>
      </w:r>
      <w:r>
        <w:rPr>
          <w:rFonts w:ascii="宋体" w:hAnsi="宋体" w:eastAsia="宋体" w:cs="Times New Roman"/>
          <w:kern w:val="0"/>
          <w:sz w:val="24"/>
          <w:highlight w:val="none"/>
        </w:rPr>
        <w:t>. 上述文件互相补充和解释，如有不明确或不一致之处，以合同约定次序在先者为准。</w:t>
      </w:r>
    </w:p>
    <w:p w14:paraId="175FF9DD">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w:t>
      </w:r>
      <w:r>
        <w:rPr>
          <w:rFonts w:ascii="宋体" w:hAnsi="宋体" w:eastAsia="宋体" w:cs="Times New Roman"/>
          <w:kern w:val="0"/>
          <w:sz w:val="24"/>
          <w:highlight w:val="none"/>
        </w:rPr>
        <w:t xml:space="preserve">. </w:t>
      </w:r>
      <w:r>
        <w:rPr>
          <w:rFonts w:hint="eastAsia" w:ascii="宋体" w:hAnsi="宋体" w:eastAsia="宋体" w:cs="Times New Roman"/>
          <w:kern w:val="0"/>
          <w:sz w:val="24"/>
          <w:highlight w:val="none"/>
        </w:rPr>
        <w:t>根据工程量清单所列的预计数量和单价或总额价计算的签约</w:t>
      </w:r>
      <w:r>
        <w:rPr>
          <w:rFonts w:ascii="宋体" w:hAnsi="宋体" w:eastAsia="宋体" w:cs="Times New Roman"/>
          <w:kern w:val="0"/>
          <w:sz w:val="24"/>
          <w:highlight w:val="none"/>
        </w:rPr>
        <w:t>合同价：人民币（大写）元（¥）。</w:t>
      </w:r>
    </w:p>
    <w:p w14:paraId="4367354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5.合同价格形式：</w:t>
      </w:r>
      <w:r>
        <w:rPr>
          <w:rFonts w:hint="eastAsia" w:ascii="宋体" w:hAnsi="宋体" w:eastAsia="宋体" w:cs="Times New Roman"/>
          <w:kern w:val="0"/>
          <w:sz w:val="24"/>
          <w:highlight w:val="none"/>
          <w:u w:val="single"/>
        </w:rPr>
        <w:t>固定单价合同。</w:t>
      </w:r>
    </w:p>
    <w:p w14:paraId="5D5550F2">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6</w:t>
      </w:r>
      <w:r>
        <w:rPr>
          <w:rFonts w:ascii="宋体" w:hAnsi="宋体" w:eastAsia="宋体" w:cs="Times New Roman"/>
          <w:kern w:val="0"/>
          <w:sz w:val="24"/>
          <w:highlight w:val="none"/>
        </w:rPr>
        <w:t>. 承包人施工负责人：。</w:t>
      </w:r>
      <w:r>
        <w:rPr>
          <w:rFonts w:hint="eastAsia" w:ascii="宋体" w:hAnsi="宋体" w:eastAsia="宋体" w:cs="Times New Roman"/>
          <w:kern w:val="0"/>
          <w:sz w:val="24"/>
          <w:highlight w:val="none"/>
          <w:lang w:val="en-US" w:eastAsia="zh-CN"/>
        </w:rPr>
        <w:t xml:space="preserve">         </w:t>
      </w:r>
      <w:r>
        <w:rPr>
          <w:rFonts w:hint="eastAsia" w:ascii="宋体" w:hAnsi="宋体" w:eastAsia="宋体" w:cs="Times New Roman"/>
          <w:kern w:val="0"/>
          <w:sz w:val="24"/>
          <w:highlight w:val="none"/>
        </w:rPr>
        <w:t>承包人施工技术负责人：。</w:t>
      </w:r>
    </w:p>
    <w:p w14:paraId="4132D40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7. 工程质量符合标准。</w:t>
      </w:r>
    </w:p>
    <w:p w14:paraId="77730220">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8. 承包人承诺按合同约定承担工程的实施、完成及缺陷修复。</w:t>
      </w:r>
    </w:p>
    <w:p w14:paraId="46D247D9">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9. 发包人承诺按合同约定的条件、时间和方式向承包人支付合同价款。</w:t>
      </w:r>
    </w:p>
    <w:p w14:paraId="70472DCD">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10. 承包人应按照监理人指示开工，工期为日历天。</w:t>
      </w:r>
    </w:p>
    <w:p w14:paraId="5196E04C">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11. 本协议书在承包人提供履约担保后，由双方法定代表人或其委托代理人签署并加盖单位章后生效。全部工程完工后经竣交工验收合格、缺陷责任期满签发缺陷责任终止证书后生效。</w:t>
      </w:r>
    </w:p>
    <w:p w14:paraId="2BAED1C8">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12．本协议书正本二份、副本份，合同双方各执正本一份，副本份，当正本与副本的内容不一致时，以正本为准。</w:t>
      </w:r>
    </w:p>
    <w:p w14:paraId="002B594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13.合同未尽事宜，双方另行签订补充协议。补充协议是合同的组成部分。</w:t>
      </w:r>
    </w:p>
    <w:p w14:paraId="53C18D68">
      <w:pPr>
        <w:widowControl/>
        <w:spacing w:after="200" w:line="400" w:lineRule="exact"/>
        <w:ind w:firstLine="480" w:firstLineChars="200"/>
        <w:jc w:val="left"/>
        <w:rPr>
          <w:rFonts w:ascii="宋体" w:hAnsi="宋体" w:eastAsia="宋体" w:cs="Times New Roman"/>
          <w:kern w:val="0"/>
          <w:sz w:val="24"/>
          <w:highlight w:val="none"/>
        </w:rPr>
      </w:pPr>
    </w:p>
    <w:p w14:paraId="6774628C">
      <w:pPr>
        <w:widowControl/>
        <w:spacing w:after="200" w:line="400" w:lineRule="exact"/>
        <w:jc w:val="left"/>
        <w:rPr>
          <w:rFonts w:ascii="宋体" w:hAnsi="宋体" w:eastAsia="宋体" w:cs="Times New Roman"/>
          <w:kern w:val="0"/>
          <w:sz w:val="24"/>
          <w:highlight w:val="none"/>
        </w:rPr>
      </w:pPr>
    </w:p>
    <w:p w14:paraId="43393405">
      <w:pPr>
        <w:widowControl/>
        <w:spacing w:after="200" w:line="400" w:lineRule="exact"/>
        <w:jc w:val="left"/>
        <w:rPr>
          <w:rFonts w:ascii="宋体" w:hAnsi="宋体" w:eastAsia="宋体" w:cs="Times New Roman"/>
          <w:kern w:val="0"/>
          <w:sz w:val="24"/>
          <w:highlight w:val="none"/>
        </w:rPr>
      </w:pPr>
    </w:p>
    <w:p w14:paraId="53A41919">
      <w:pPr>
        <w:widowControl/>
        <w:spacing w:after="200" w:line="400" w:lineRule="exact"/>
        <w:jc w:val="left"/>
        <w:rPr>
          <w:rFonts w:ascii="宋体" w:hAnsi="宋体" w:eastAsia="宋体" w:cs="Times New Roman"/>
          <w:kern w:val="0"/>
          <w:sz w:val="24"/>
          <w:highlight w:val="none"/>
        </w:rPr>
      </w:pPr>
      <w:r>
        <w:rPr>
          <w:rFonts w:ascii="宋体" w:hAnsi="宋体" w:eastAsia="宋体" w:cs="Times New Roman"/>
          <w:kern w:val="0"/>
          <w:sz w:val="24"/>
          <w:highlight w:val="none"/>
        </w:rPr>
        <w:t xml:space="preserve">发包人：（盖单位章）承包人：（盖单位章） </w:t>
      </w:r>
    </w:p>
    <w:p w14:paraId="0334B9EB">
      <w:pPr>
        <w:widowControl/>
        <w:spacing w:after="200" w:line="400" w:lineRule="exact"/>
        <w:jc w:val="left"/>
        <w:rPr>
          <w:rFonts w:ascii="宋体" w:hAnsi="宋体" w:eastAsia="宋体" w:cs="Times New Roman"/>
          <w:kern w:val="0"/>
          <w:sz w:val="24"/>
          <w:highlight w:val="none"/>
        </w:rPr>
      </w:pPr>
      <w:r>
        <w:rPr>
          <w:rFonts w:ascii="宋体" w:hAnsi="宋体" w:eastAsia="宋体" w:cs="Times New Roman"/>
          <w:kern w:val="0"/>
          <w:sz w:val="24"/>
          <w:highlight w:val="none"/>
        </w:rPr>
        <w:t>法定代表人或其委托代理人：</w:t>
      </w:r>
      <w:r>
        <w:rPr>
          <w:rFonts w:hint="eastAsia" w:ascii="宋体" w:hAnsi="宋体" w:eastAsia="宋体" w:cs="Times New Roman"/>
          <w:kern w:val="0"/>
          <w:sz w:val="24"/>
          <w:highlight w:val="none"/>
        </w:rPr>
        <w:t>（</w:t>
      </w:r>
      <w:r>
        <w:rPr>
          <w:rFonts w:ascii="宋体" w:hAnsi="宋体" w:eastAsia="宋体" w:cs="Times New Roman"/>
          <w:kern w:val="0"/>
          <w:sz w:val="24"/>
          <w:highlight w:val="none"/>
        </w:rPr>
        <w:t>签字）法定代表人或其委托代理人：（签字）</w:t>
      </w:r>
    </w:p>
    <w:p w14:paraId="13E05C25">
      <w:pPr>
        <w:widowControl/>
        <w:spacing w:after="200" w:line="400" w:lineRule="exact"/>
        <w:ind w:firstLine="840"/>
        <w:jc w:val="left"/>
        <w:rPr>
          <w:rFonts w:ascii="宋体" w:hAnsi="宋体" w:eastAsia="宋体" w:cs="Times New Roman"/>
          <w:kern w:val="0"/>
          <w:sz w:val="24"/>
          <w:highlight w:val="none"/>
          <w:lang w:eastAsia="en-US"/>
        </w:rPr>
      </w:pPr>
      <w:r>
        <w:rPr>
          <w:rFonts w:ascii="宋体" w:hAnsi="宋体" w:eastAsia="宋体" w:cs="Times New Roman"/>
          <w:kern w:val="0"/>
          <w:sz w:val="24"/>
          <w:highlight w:val="none"/>
          <w:lang w:eastAsia="en-US"/>
        </w:rPr>
        <w:t>年月日年月日</w:t>
      </w:r>
    </w:p>
    <w:p w14:paraId="2A955784">
      <w:pPr>
        <w:keepNext/>
        <w:keepLines/>
        <w:spacing w:beforeLines="50" w:afterLines="50" w:line="400" w:lineRule="exact"/>
        <w:jc w:val="center"/>
        <w:rPr>
          <w:rFonts w:ascii="宋体" w:hAnsi="宋体" w:eastAsia="宋体" w:cs="Times New Roman"/>
          <w:b/>
          <w:bCs/>
          <w:kern w:val="44"/>
          <w:sz w:val="24"/>
          <w:szCs w:val="24"/>
          <w:highlight w:val="none"/>
          <w:lang w:eastAsia="en-US"/>
        </w:rPr>
      </w:pPr>
    </w:p>
    <w:p w14:paraId="6A1B686B">
      <w:pPr>
        <w:spacing w:line="480" w:lineRule="auto"/>
        <w:rPr>
          <w:rFonts w:ascii="宋体" w:hAnsi="宋体" w:cs="宋体"/>
          <w:color w:val="000000"/>
          <w:sz w:val="24"/>
          <w:szCs w:val="24"/>
        </w:rPr>
      </w:pPr>
    </w:p>
    <w:p w14:paraId="740DEF11">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color w:val="000000"/>
          <w:sz w:val="24"/>
          <w:szCs w:val="24"/>
        </w:rPr>
        <w:br w:type="page"/>
      </w:r>
    </w:p>
    <w:p w14:paraId="24540DCE">
      <w:pPr>
        <w:widowControl/>
        <w:adjustRightInd w:val="0"/>
        <w:snapToGrid w:val="0"/>
        <w:spacing w:after="200" w:line="360" w:lineRule="auto"/>
        <w:jc w:val="center"/>
        <w:rPr>
          <w:rFonts w:ascii="宋体" w:hAnsi="宋体" w:cs="宋体"/>
          <w:bCs/>
          <w:color w:val="000000"/>
          <w:kern w:val="0"/>
          <w:sz w:val="24"/>
          <w:szCs w:val="24"/>
        </w:rPr>
      </w:pPr>
      <w:bookmarkStart w:id="368" w:name="_Toc8491"/>
      <w:r>
        <w:rPr>
          <w:rFonts w:hint="eastAsia" w:hAnsi="宋体" w:cs="宋体"/>
          <w:b/>
          <w:sz w:val="24"/>
          <w:szCs w:val="24"/>
        </w:rPr>
        <w:t>第六章  磋商响应文件格式</w:t>
      </w:r>
      <w:bookmarkEnd w:id="368"/>
      <w:r>
        <w:rPr>
          <w:rFonts w:hint="eastAsia" w:hAnsi="宋体" w:cs="宋体"/>
          <w:b/>
          <w:sz w:val="24"/>
          <w:szCs w:val="24"/>
        </w:rPr>
        <w:t xml:space="preserve">  </w:t>
      </w:r>
      <w:r>
        <w:rPr>
          <w:rFonts w:hint="eastAsia" w:ascii="宋体" w:hAnsi="宋体" w:cs="宋体"/>
          <w:bCs/>
          <w:color w:val="000000"/>
          <w:kern w:val="0"/>
          <w:sz w:val="24"/>
          <w:szCs w:val="24"/>
        </w:rPr>
        <w:t xml:space="preserve"> </w:t>
      </w:r>
    </w:p>
    <w:p w14:paraId="5E8E02F6">
      <w:pPr>
        <w:pStyle w:val="7"/>
        <w:ind w:left="63" w:right="63" w:firstLine="211"/>
      </w:pPr>
    </w:p>
    <w:p w14:paraId="63E4E16F">
      <w:pPr>
        <w:widowControl/>
        <w:spacing w:after="200" w:line="220" w:lineRule="atLeast"/>
        <w:jc w:val="center"/>
        <w:rPr>
          <w:rFonts w:ascii="宋体" w:hAnsi="宋体" w:cs="宋体"/>
          <w:bCs/>
          <w:color w:val="000000"/>
          <w:kern w:val="0"/>
          <w:sz w:val="44"/>
          <w:szCs w:val="44"/>
        </w:rPr>
      </w:pPr>
      <w:r>
        <w:rPr>
          <w:rFonts w:hint="eastAsia" w:ascii="宋体" w:hAnsi="宋体" w:cs="宋体"/>
          <w:bCs/>
          <w:color w:val="000000"/>
          <w:kern w:val="0"/>
          <w:sz w:val="44"/>
          <w:szCs w:val="44"/>
          <w:u w:val="single"/>
        </w:rPr>
        <w:t xml:space="preserve">                       </w:t>
      </w:r>
      <w:r>
        <w:rPr>
          <w:rFonts w:hint="eastAsia" w:ascii="宋体" w:hAnsi="宋体" w:cs="宋体"/>
          <w:bCs/>
          <w:color w:val="000000"/>
          <w:kern w:val="0"/>
          <w:sz w:val="44"/>
          <w:szCs w:val="44"/>
        </w:rPr>
        <w:t>（项目名称）</w:t>
      </w:r>
    </w:p>
    <w:p w14:paraId="43B2AFFD">
      <w:pPr>
        <w:widowControl/>
        <w:adjustRightInd w:val="0"/>
        <w:snapToGrid w:val="0"/>
        <w:spacing w:after="200" w:line="360" w:lineRule="auto"/>
        <w:jc w:val="center"/>
        <w:rPr>
          <w:rFonts w:ascii="宋体" w:hAnsi="宋体" w:cs="宋体"/>
          <w:bCs/>
          <w:color w:val="000000"/>
          <w:kern w:val="0"/>
          <w:sz w:val="32"/>
          <w:szCs w:val="32"/>
        </w:rPr>
      </w:pPr>
    </w:p>
    <w:p w14:paraId="3A763B75">
      <w:pPr>
        <w:widowControl/>
        <w:adjustRightInd w:val="0"/>
        <w:snapToGrid w:val="0"/>
        <w:spacing w:after="200" w:line="360" w:lineRule="auto"/>
        <w:jc w:val="center"/>
        <w:rPr>
          <w:rFonts w:ascii="宋体" w:hAnsi="宋体" w:cs="宋体"/>
          <w:bCs/>
          <w:color w:val="000000"/>
          <w:kern w:val="0"/>
          <w:sz w:val="32"/>
          <w:szCs w:val="32"/>
        </w:rPr>
      </w:pPr>
    </w:p>
    <w:p w14:paraId="218746F0">
      <w:pPr>
        <w:rPr>
          <w:rFonts w:hAnsi="宋体" w:cs="宋体"/>
          <w:bCs/>
          <w:color w:val="000000"/>
          <w:sz w:val="32"/>
          <w:szCs w:val="32"/>
        </w:rPr>
      </w:pPr>
    </w:p>
    <w:p w14:paraId="42368356"/>
    <w:p w14:paraId="78B9570D">
      <w:pPr>
        <w:widowControl/>
        <w:adjustRightInd w:val="0"/>
        <w:snapToGrid w:val="0"/>
        <w:spacing w:after="200" w:line="360" w:lineRule="auto"/>
        <w:jc w:val="center"/>
        <w:rPr>
          <w:rFonts w:ascii="宋体" w:hAnsi="宋体" w:cs="宋体"/>
          <w:bCs/>
          <w:color w:val="000000"/>
          <w:kern w:val="0"/>
          <w:sz w:val="72"/>
          <w:szCs w:val="72"/>
        </w:rPr>
      </w:pPr>
      <w:r>
        <w:rPr>
          <w:rFonts w:hint="eastAsia" w:ascii="宋体" w:hAnsi="宋体" w:cs="宋体"/>
          <w:bCs/>
          <w:color w:val="000000"/>
          <w:kern w:val="0"/>
          <w:sz w:val="72"/>
          <w:szCs w:val="72"/>
        </w:rPr>
        <w:t>竞争性磋商响应文件</w:t>
      </w:r>
    </w:p>
    <w:p w14:paraId="2D1C2FF5">
      <w:pPr>
        <w:widowControl/>
        <w:adjustRightInd w:val="0"/>
        <w:snapToGrid w:val="0"/>
        <w:spacing w:after="200" w:line="360" w:lineRule="auto"/>
        <w:jc w:val="center"/>
        <w:rPr>
          <w:rFonts w:ascii="宋体" w:hAnsi="宋体" w:cs="宋体"/>
          <w:bCs/>
          <w:color w:val="000000"/>
          <w:kern w:val="0"/>
          <w:sz w:val="32"/>
          <w:szCs w:val="32"/>
        </w:rPr>
      </w:pPr>
      <w:r>
        <w:rPr>
          <w:rFonts w:hint="eastAsia" w:ascii="宋体" w:hAnsi="宋体" w:cs="宋体"/>
          <w:bCs/>
          <w:color w:val="000000"/>
          <w:kern w:val="0"/>
          <w:sz w:val="32"/>
          <w:szCs w:val="32"/>
        </w:rPr>
        <w:t>项目编号：</w:t>
      </w:r>
    </w:p>
    <w:p w14:paraId="22369069">
      <w:pPr>
        <w:widowControl/>
        <w:adjustRightInd w:val="0"/>
        <w:snapToGrid w:val="0"/>
        <w:spacing w:after="200" w:line="360" w:lineRule="auto"/>
        <w:jc w:val="left"/>
        <w:rPr>
          <w:rFonts w:ascii="宋体" w:hAnsi="宋体" w:cs="宋体"/>
          <w:bCs/>
          <w:color w:val="000000"/>
          <w:kern w:val="0"/>
          <w:sz w:val="32"/>
          <w:szCs w:val="32"/>
        </w:rPr>
      </w:pPr>
    </w:p>
    <w:p w14:paraId="1633D1CD">
      <w:pPr>
        <w:widowControl/>
        <w:adjustRightInd w:val="0"/>
        <w:snapToGrid w:val="0"/>
        <w:spacing w:after="200" w:line="360" w:lineRule="auto"/>
        <w:jc w:val="left"/>
        <w:rPr>
          <w:rFonts w:ascii="宋体" w:hAnsi="宋体" w:cs="宋体"/>
          <w:bCs/>
          <w:color w:val="000000"/>
          <w:kern w:val="0"/>
          <w:sz w:val="32"/>
          <w:szCs w:val="32"/>
        </w:rPr>
      </w:pPr>
    </w:p>
    <w:p w14:paraId="59350412">
      <w:pPr>
        <w:widowControl/>
        <w:adjustRightInd w:val="0"/>
        <w:snapToGrid w:val="0"/>
        <w:spacing w:after="200" w:line="360" w:lineRule="auto"/>
        <w:jc w:val="left"/>
        <w:rPr>
          <w:rFonts w:ascii="宋体" w:hAnsi="宋体" w:cs="宋体"/>
          <w:bCs/>
          <w:color w:val="000000"/>
          <w:kern w:val="0"/>
          <w:sz w:val="32"/>
          <w:szCs w:val="32"/>
        </w:rPr>
      </w:pPr>
    </w:p>
    <w:p w14:paraId="7883D631">
      <w:pPr>
        <w:ind w:firstLine="1680" w:firstLineChars="525"/>
        <w:rPr>
          <w:rFonts w:hint="eastAsia" w:ascii="宋体" w:hAnsi="宋体" w:cs="宋体"/>
          <w:sz w:val="32"/>
          <w:szCs w:val="32"/>
        </w:rPr>
      </w:pPr>
    </w:p>
    <w:p w14:paraId="21A8A693">
      <w:pPr>
        <w:ind w:firstLine="1680" w:firstLineChars="525"/>
        <w:rPr>
          <w:rFonts w:hint="eastAsia" w:ascii="宋体" w:hAnsi="宋体" w:cs="宋体"/>
          <w:sz w:val="32"/>
          <w:szCs w:val="32"/>
        </w:rPr>
      </w:pPr>
    </w:p>
    <w:p w14:paraId="1088DF21">
      <w:pPr>
        <w:ind w:firstLine="1680" w:firstLineChars="525"/>
        <w:rPr>
          <w:rFonts w:hint="eastAsia" w:ascii="宋体" w:hAnsi="宋体" w:cs="宋体"/>
          <w:sz w:val="32"/>
          <w:szCs w:val="32"/>
        </w:rPr>
      </w:pPr>
    </w:p>
    <w:p w14:paraId="31E643B7">
      <w:pPr>
        <w:ind w:firstLine="1680" w:firstLineChars="525"/>
        <w:rPr>
          <w:rFonts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r>
        <w:rPr>
          <w:rFonts w:hint="eastAsia" w:ascii="宋体" w:hAnsi="宋体" w:cs="宋体"/>
          <w:sz w:val="32"/>
          <w:szCs w:val="32"/>
        </w:rPr>
        <w:t>（盖单位章）</w:t>
      </w:r>
    </w:p>
    <w:p w14:paraId="071C30EB">
      <w:pPr>
        <w:ind w:firstLine="1680" w:firstLineChars="525"/>
        <w:jc w:val="center"/>
        <w:rPr>
          <w:rFonts w:ascii="宋体" w:hAnsi="宋体" w:cs="宋体"/>
          <w:sz w:val="32"/>
          <w:szCs w:val="32"/>
        </w:rPr>
      </w:pPr>
    </w:p>
    <w:p w14:paraId="3720998E">
      <w:pPr>
        <w:ind w:firstLine="1680" w:firstLineChars="525"/>
        <w:rPr>
          <w:rFonts w:ascii="宋体" w:hAnsi="宋体" w:cs="宋体"/>
          <w:sz w:val="32"/>
          <w:szCs w:val="32"/>
          <w:u w:val="single"/>
        </w:rPr>
      </w:pPr>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（电子签章）</w:t>
      </w:r>
    </w:p>
    <w:p w14:paraId="671167C0">
      <w:pPr>
        <w:jc w:val="center"/>
        <w:rPr>
          <w:rFonts w:ascii="宋体" w:hAnsi="宋体" w:cs="宋体"/>
          <w:sz w:val="32"/>
          <w:szCs w:val="32"/>
        </w:rPr>
      </w:pPr>
    </w:p>
    <w:p w14:paraId="01B8B91C">
      <w:pPr>
        <w:jc w:val="center"/>
        <w:rPr>
          <w:rFonts w:ascii="宋体" w:hAnsi="宋体" w:cs="宋体"/>
          <w:sz w:val="32"/>
          <w:szCs w:val="32"/>
        </w:rPr>
      </w:pPr>
      <w:r>
        <w:rPr>
          <w:rFonts w:hint="eastAsia" w:ascii="宋体" w:hAnsi="宋体" w:cs="宋体"/>
          <w:sz w:val="32"/>
          <w:szCs w:val="32"/>
        </w:rPr>
        <w:t>年     月     日</w:t>
      </w:r>
    </w:p>
    <w:p w14:paraId="3613BF2A">
      <w:pPr>
        <w:widowControl/>
        <w:adjustRightInd w:val="0"/>
        <w:snapToGrid w:val="0"/>
        <w:spacing w:after="200" w:line="360" w:lineRule="auto"/>
        <w:jc w:val="center"/>
        <w:rPr>
          <w:rFonts w:ascii="宋体" w:hAnsi="宋体" w:cs="宋体"/>
          <w:b/>
          <w:bCs/>
          <w:color w:val="000000"/>
          <w:kern w:val="0"/>
          <w:sz w:val="32"/>
          <w:szCs w:val="32"/>
        </w:rPr>
      </w:pPr>
    </w:p>
    <w:p w14:paraId="79F024D4">
      <w:pPr>
        <w:widowControl/>
        <w:adjustRightInd w:val="0"/>
        <w:snapToGrid w:val="0"/>
        <w:spacing w:after="200" w:line="360" w:lineRule="auto"/>
        <w:jc w:val="center"/>
        <w:rPr>
          <w:rFonts w:ascii="宋体" w:hAnsi="宋体" w:cs="宋体"/>
          <w:b/>
          <w:bCs/>
          <w:color w:val="000000"/>
          <w:kern w:val="0"/>
          <w:sz w:val="32"/>
          <w:szCs w:val="32"/>
        </w:rPr>
      </w:pPr>
    </w:p>
    <w:p w14:paraId="09F13FC0">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目  录</w:t>
      </w:r>
    </w:p>
    <w:p w14:paraId="3EB4EEAE">
      <w:pPr>
        <w:widowControl/>
        <w:adjustRightInd w:val="0"/>
        <w:snapToGrid w:val="0"/>
        <w:spacing w:after="200" w:line="360" w:lineRule="auto"/>
        <w:jc w:val="center"/>
        <w:rPr>
          <w:rFonts w:ascii="宋体" w:hAnsi="宋体" w:cs="宋体"/>
          <w:color w:val="000000"/>
          <w:kern w:val="0"/>
          <w:sz w:val="32"/>
          <w:szCs w:val="32"/>
        </w:rPr>
      </w:pPr>
    </w:p>
    <w:p w14:paraId="407B5DCA">
      <w:pPr>
        <w:widowControl/>
        <w:adjustRightInd w:val="0"/>
        <w:snapToGrid w:val="0"/>
        <w:spacing w:after="200" w:line="360" w:lineRule="auto"/>
        <w:jc w:val="center"/>
        <w:rPr>
          <w:rFonts w:ascii="宋体" w:hAnsi="宋体" w:cs="宋体"/>
          <w:color w:val="000000"/>
          <w:kern w:val="0"/>
          <w:sz w:val="24"/>
        </w:rPr>
      </w:pPr>
      <w:r>
        <w:rPr>
          <w:rFonts w:hint="eastAsia" w:ascii="宋体" w:hAnsi="宋体" w:cs="宋体"/>
          <w:color w:val="000000"/>
          <w:kern w:val="0"/>
          <w:sz w:val="32"/>
          <w:szCs w:val="32"/>
        </w:rPr>
        <w:t>（自拟）</w:t>
      </w:r>
    </w:p>
    <w:p w14:paraId="49C4538F">
      <w:pPr>
        <w:widowControl/>
        <w:adjustRightInd w:val="0"/>
        <w:snapToGrid w:val="0"/>
        <w:spacing w:after="200" w:line="360" w:lineRule="auto"/>
        <w:jc w:val="center"/>
        <w:rPr>
          <w:rFonts w:ascii="宋体" w:hAnsi="宋体" w:cs="宋体"/>
          <w:b/>
          <w:bCs/>
          <w:color w:val="000000"/>
          <w:kern w:val="0"/>
          <w:sz w:val="24"/>
          <w:szCs w:val="24"/>
        </w:rPr>
      </w:pPr>
      <w:r>
        <w:rPr>
          <w:rFonts w:hint="eastAsia" w:ascii="宋体" w:hAnsi="宋体" w:cs="宋体"/>
          <w:b/>
          <w:bCs/>
          <w:color w:val="000000"/>
          <w:kern w:val="0"/>
          <w:sz w:val="28"/>
          <w:szCs w:val="28"/>
        </w:rPr>
        <w:br w:type="page"/>
      </w:r>
      <w:bookmarkStart w:id="369" w:name="_Toc24785"/>
      <w:r>
        <w:rPr>
          <w:rFonts w:hint="eastAsia" w:ascii="宋体" w:hAnsi="宋体" w:eastAsia="宋体" w:cs="宋体"/>
          <w:b/>
          <w:sz w:val="24"/>
          <w:szCs w:val="24"/>
        </w:rPr>
        <w:t>一、磋商函及磋商函附表</w:t>
      </w:r>
      <w:bookmarkEnd w:id="369"/>
    </w:p>
    <w:p w14:paraId="4BE25D8C">
      <w:pPr>
        <w:widowControl/>
        <w:adjustRightInd w:val="0"/>
        <w:snapToGrid w:val="0"/>
        <w:spacing w:after="200" w:line="360" w:lineRule="auto"/>
        <w:jc w:val="center"/>
        <w:rPr>
          <w:rFonts w:ascii="宋体" w:hAnsi="宋体" w:eastAsia="宋体" w:cs="宋体"/>
          <w:sz w:val="24"/>
          <w:szCs w:val="24"/>
        </w:rPr>
      </w:pPr>
      <w:r>
        <w:rPr>
          <w:rFonts w:hint="eastAsia" w:ascii="宋体" w:hAnsi="宋体" w:eastAsia="宋体" w:cs="宋体"/>
          <w:sz w:val="24"/>
          <w:szCs w:val="24"/>
        </w:rPr>
        <w:t>（一）磋商函</w:t>
      </w:r>
    </w:p>
    <w:p w14:paraId="57414D30">
      <w:pPr>
        <w:spacing w:line="400" w:lineRule="exact"/>
        <w:ind w:firstLine="420" w:firstLineChars="175"/>
        <w:rPr>
          <w:rFonts w:ascii="宋体" w:hAnsi="宋体" w:cs="楷体_GB2312"/>
          <w:sz w:val="24"/>
        </w:rPr>
      </w:pPr>
      <w:r>
        <w:rPr>
          <w:rFonts w:hint="eastAsia" w:ascii="宋体" w:hAnsi="宋体" w:cs="楷体_GB2312"/>
          <w:sz w:val="24"/>
        </w:rPr>
        <w:t>致 ：</w:t>
      </w:r>
      <w:r>
        <w:rPr>
          <w:rFonts w:hint="eastAsia" w:ascii="宋体" w:hAnsi="宋体" w:cs="楷体_GB2312"/>
          <w:sz w:val="24"/>
          <w:u w:val="single"/>
        </w:rPr>
        <w:t xml:space="preserve">（采购人） </w:t>
      </w:r>
    </w:p>
    <w:p w14:paraId="57981A9E">
      <w:pPr>
        <w:spacing w:line="400" w:lineRule="exact"/>
        <w:ind w:firstLine="420" w:firstLineChars="175"/>
        <w:jc w:val="left"/>
        <w:rPr>
          <w:rFonts w:ascii="宋体" w:hAnsi="宋体" w:cs="楷体_GB2312"/>
          <w:sz w:val="24"/>
          <w:u w:val="single"/>
        </w:rPr>
      </w:pPr>
      <w:r>
        <w:rPr>
          <w:rFonts w:hint="eastAsia" w:ascii="宋体" w:hAnsi="宋体" w:cs="楷体_GB2312"/>
          <w:sz w:val="24"/>
        </w:rPr>
        <w:t>1．根据已收到的</w:t>
      </w:r>
      <w:r>
        <w:rPr>
          <w:rFonts w:hint="eastAsia" w:ascii="宋体" w:hAnsi="宋体" w:cs="楷体_GB2312"/>
          <w:sz w:val="24"/>
          <w:u w:val="single"/>
        </w:rPr>
        <w:t xml:space="preserve">           （项目名称）             </w:t>
      </w:r>
      <w:r>
        <w:rPr>
          <w:rFonts w:hint="eastAsia" w:ascii="宋体" w:hAnsi="宋体" w:cs="楷体_GB2312"/>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Pr>
          <w:rFonts w:hint="eastAsia" w:ascii="宋体" w:hAnsi="宋体" w:cs="楷体_GB2312"/>
          <w:sz w:val="24"/>
          <w:u w:val="single"/>
        </w:rPr>
        <w:t xml:space="preserve">      （大写金额）            </w:t>
      </w:r>
      <w:r>
        <w:rPr>
          <w:rFonts w:hint="eastAsia" w:ascii="宋体" w:hAnsi="宋体" w:cs="楷体_GB2312"/>
          <w:sz w:val="24"/>
        </w:rPr>
        <w:t>，￥：</w:t>
      </w:r>
      <w:r>
        <w:rPr>
          <w:rFonts w:hint="eastAsia" w:ascii="宋体" w:hAnsi="宋体" w:cs="楷体_GB2312"/>
          <w:sz w:val="24"/>
          <w:u w:val="single"/>
        </w:rPr>
        <w:t xml:space="preserve">   （小写金额）   </w:t>
      </w:r>
      <w:r>
        <w:rPr>
          <w:rFonts w:hint="eastAsia" w:ascii="宋体" w:hAnsi="宋体" w:cs="楷体_GB2312"/>
          <w:sz w:val="24"/>
        </w:rPr>
        <w:t>元；工期：</w:t>
      </w:r>
      <w:r>
        <w:rPr>
          <w:rFonts w:hint="eastAsia" w:ascii="宋体" w:hAnsi="宋体" w:cs="楷体_GB2312"/>
          <w:sz w:val="24"/>
          <w:u w:val="single"/>
        </w:rPr>
        <w:t xml:space="preserve">       </w:t>
      </w:r>
      <w:r>
        <w:rPr>
          <w:rFonts w:hint="eastAsia" w:ascii="宋体" w:hAnsi="宋体" w:cs="楷体_GB2312"/>
          <w:sz w:val="24"/>
        </w:rPr>
        <w:t>日历天，质量要求：</w:t>
      </w:r>
      <w:r>
        <w:rPr>
          <w:rFonts w:hint="eastAsia" w:ascii="宋体" w:hAnsi="宋体" w:cs="楷体_GB2312"/>
          <w:sz w:val="24"/>
          <w:u w:val="single"/>
        </w:rPr>
        <w:t xml:space="preserve">           </w:t>
      </w:r>
      <w:r>
        <w:rPr>
          <w:rFonts w:hint="eastAsia" w:ascii="宋体" w:hAnsi="宋体" w:cs="楷体_GB2312"/>
          <w:sz w:val="24"/>
        </w:rPr>
        <w:t>，并承担其任何质量缺陷等问题所造成的全部损失。</w:t>
      </w:r>
    </w:p>
    <w:p w14:paraId="0E0573AA">
      <w:pPr>
        <w:spacing w:line="400" w:lineRule="exact"/>
        <w:ind w:firstLine="420" w:firstLineChars="175"/>
        <w:rPr>
          <w:rFonts w:ascii="宋体" w:hAnsi="宋体" w:cs="楷体_GB2312"/>
          <w:sz w:val="24"/>
        </w:rPr>
      </w:pPr>
      <w:r>
        <w:rPr>
          <w:rFonts w:hint="eastAsia" w:ascii="宋体" w:hAnsi="宋体" w:cs="楷体_GB2312"/>
          <w:sz w:val="24"/>
        </w:rPr>
        <w:t>2．我方已详细检查全部竞争性磋商文件包括澄清文件、补充通知（如有的话）及有关附件，并完全理解我方必须放弃提出含糊不清或误解的权力。</w:t>
      </w:r>
    </w:p>
    <w:p w14:paraId="4CE4DAE2">
      <w:pPr>
        <w:spacing w:line="400" w:lineRule="exact"/>
        <w:ind w:firstLine="420" w:firstLineChars="175"/>
        <w:rPr>
          <w:rFonts w:ascii="宋体" w:hAnsi="宋体" w:cs="楷体_GB2312"/>
          <w:sz w:val="24"/>
        </w:rPr>
      </w:pPr>
      <w:r>
        <w:rPr>
          <w:rFonts w:hint="eastAsia" w:ascii="宋体" w:hAnsi="宋体" w:cs="楷体_GB2312"/>
          <w:sz w:val="24"/>
        </w:rPr>
        <w:t>3．我方在此承诺，我方若能成交，保证在我方投报工期内，全面履行竞争性磋商文件中规定的职责和义务。</w:t>
      </w:r>
    </w:p>
    <w:p w14:paraId="4DB5CCD4">
      <w:pPr>
        <w:spacing w:line="400" w:lineRule="exact"/>
        <w:ind w:firstLine="420" w:firstLineChars="175"/>
        <w:rPr>
          <w:rFonts w:ascii="宋体" w:hAnsi="宋体" w:cs="楷体_GB2312"/>
          <w:sz w:val="24"/>
        </w:rPr>
      </w:pPr>
      <w:r>
        <w:rPr>
          <w:rFonts w:hint="eastAsia" w:ascii="宋体" w:hAnsi="宋体" w:cs="楷体_GB2312"/>
          <w:sz w:val="24"/>
        </w:rPr>
        <w:t>4．如果我方中标，我方保证按合同条款中规定的内容执行；我方保证质量</w:t>
      </w:r>
      <w:r>
        <w:rPr>
          <w:rFonts w:hint="eastAsia" w:ascii="宋体" w:hAnsi="宋体" w:cs="楷体_GB2312"/>
          <w:sz w:val="24"/>
          <w:lang w:eastAsia="zh-CN"/>
        </w:rPr>
        <w:t>达到国家现行工程施工质量验收规范合格标准</w:t>
      </w:r>
      <w:r>
        <w:rPr>
          <w:rFonts w:hint="eastAsia" w:ascii="宋体" w:hAnsi="宋体" w:cs="楷体_GB2312"/>
          <w:sz w:val="24"/>
        </w:rPr>
        <w:t>，并按竞争性磋商文件和有关规定提交一切资料。</w:t>
      </w:r>
    </w:p>
    <w:p w14:paraId="4864D9C9">
      <w:pPr>
        <w:spacing w:line="400" w:lineRule="exact"/>
        <w:ind w:firstLine="420" w:firstLineChars="175"/>
        <w:rPr>
          <w:rFonts w:ascii="宋体" w:hAnsi="宋体" w:cs="楷体_GB2312"/>
          <w:sz w:val="24"/>
        </w:rPr>
      </w:pPr>
      <w:r>
        <w:rPr>
          <w:rFonts w:hint="eastAsia" w:ascii="宋体" w:hAnsi="宋体" w:cs="楷体_GB2312"/>
          <w:sz w:val="24"/>
        </w:rPr>
        <w:t>5．我方同意从</w:t>
      </w:r>
      <w:r>
        <w:rPr>
          <w:rFonts w:hint="eastAsia" w:ascii="宋体" w:hAnsi="宋体" w:cs="宋体"/>
          <w:sz w:val="24"/>
        </w:rPr>
        <w:t>磋商响应文件递交截止日后60日历天</w:t>
      </w:r>
      <w:r>
        <w:rPr>
          <w:rFonts w:hint="eastAsia" w:ascii="宋体" w:hAnsi="宋体" w:cs="楷体_GB2312"/>
          <w:sz w:val="24"/>
        </w:rPr>
        <w:t>的磋商有效期内，我方将严格遵守磋商响应文件的承诺，本磋商响应文件对我方具有约束力，并可随时被接受中标。</w:t>
      </w:r>
    </w:p>
    <w:p w14:paraId="3F0A8CB8">
      <w:pPr>
        <w:spacing w:line="400" w:lineRule="exact"/>
        <w:ind w:firstLine="420" w:firstLineChars="175"/>
        <w:rPr>
          <w:rFonts w:ascii="宋体" w:hAnsi="宋体" w:cs="楷体_GB2312"/>
          <w:sz w:val="24"/>
        </w:rPr>
      </w:pPr>
      <w:r>
        <w:rPr>
          <w:rFonts w:hint="eastAsia" w:ascii="宋体" w:hAnsi="宋体" w:cs="楷体_GB2312"/>
          <w:sz w:val="24"/>
        </w:rPr>
        <w:t>6．除磋商响应文件所提交的资料外，我方同意随时接受贵方的检查、询问，并根据评标需要补充贵方要求提交的资料。</w:t>
      </w:r>
    </w:p>
    <w:p w14:paraId="09C373D5">
      <w:pPr>
        <w:spacing w:line="400" w:lineRule="exact"/>
        <w:ind w:firstLine="420" w:firstLineChars="175"/>
        <w:rPr>
          <w:rFonts w:ascii="宋体" w:hAnsi="宋体" w:cs="楷体_GB2312"/>
          <w:sz w:val="24"/>
        </w:rPr>
      </w:pPr>
      <w:r>
        <w:rPr>
          <w:rFonts w:hint="eastAsia" w:ascii="宋体" w:hAnsi="宋体" w:cs="楷体_GB2312"/>
          <w:sz w:val="24"/>
        </w:rPr>
        <w:t>7．如果我方成交后，我方没有任何正当理由而拒签合同，同时我方愿意补偿该项工作因我方延误所造成的经济损失。</w:t>
      </w:r>
    </w:p>
    <w:p w14:paraId="71B1C8DA">
      <w:pPr>
        <w:spacing w:line="400" w:lineRule="exact"/>
        <w:ind w:firstLine="420" w:firstLineChars="175"/>
        <w:rPr>
          <w:rFonts w:ascii="宋体" w:hAnsi="宋体" w:cs="楷体_GB2312"/>
          <w:sz w:val="24"/>
        </w:rPr>
      </w:pPr>
      <w:r>
        <w:rPr>
          <w:rFonts w:hint="eastAsia" w:ascii="宋体" w:hAnsi="宋体" w:cs="楷体_GB2312"/>
          <w:sz w:val="24"/>
        </w:rPr>
        <w:t>8．我方愿接受合同条款中规定的合同价款计算和调整方式。</w:t>
      </w:r>
    </w:p>
    <w:p w14:paraId="2E1FA000">
      <w:pPr>
        <w:spacing w:line="400" w:lineRule="exact"/>
        <w:ind w:firstLine="420" w:firstLineChars="175"/>
        <w:rPr>
          <w:rFonts w:ascii="宋体" w:hAnsi="宋体" w:cs="楷体_GB2312"/>
          <w:sz w:val="24"/>
        </w:rPr>
      </w:pPr>
      <w:r>
        <w:rPr>
          <w:rFonts w:hint="eastAsia" w:ascii="宋体" w:hAnsi="宋体" w:cs="楷体_GB2312"/>
          <w:sz w:val="24"/>
        </w:rPr>
        <w:t>9．除非另外达成协议并生效，贵方的成交通知书和本磋商响应文件将成为约束我方的合同文件组成部分。</w:t>
      </w:r>
    </w:p>
    <w:p w14:paraId="0EB2A923">
      <w:pPr>
        <w:spacing w:line="400" w:lineRule="exact"/>
        <w:ind w:firstLine="420" w:firstLineChars="175"/>
        <w:jc w:val="right"/>
        <w:rPr>
          <w:rFonts w:ascii="宋体" w:hAnsi="宋体" w:cs="楷体_GB2312"/>
          <w:sz w:val="24"/>
        </w:rPr>
      </w:pPr>
    </w:p>
    <w:p w14:paraId="7578FC25">
      <w:pPr>
        <w:wordWrap w:val="0"/>
        <w:spacing w:line="400" w:lineRule="exact"/>
        <w:ind w:firstLine="420" w:firstLineChars="175"/>
        <w:jc w:val="righ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0AEB6E71">
      <w:pPr>
        <w:wordWrap w:val="0"/>
        <w:spacing w:line="400" w:lineRule="exact"/>
        <w:ind w:firstLine="420" w:firstLineChars="175"/>
        <w:jc w:val="righ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121CF034">
      <w:pPr>
        <w:widowControl/>
        <w:wordWrap w:val="0"/>
        <w:adjustRightInd w:val="0"/>
        <w:snapToGrid w:val="0"/>
        <w:spacing w:line="360" w:lineRule="auto"/>
        <w:ind w:firstLine="420" w:firstLineChars="175"/>
        <w:jc w:val="righ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4E89B1B3">
      <w:pPr>
        <w:ind w:firstLine="480"/>
        <w:rPr>
          <w:rFonts w:hAnsi="宋体" w:cs="楷体_GB2312"/>
        </w:rPr>
      </w:pPr>
    </w:p>
    <w:p w14:paraId="23CBB558"/>
    <w:p w14:paraId="0AC3660B">
      <w:pPr>
        <w:widowControl/>
        <w:adjustRightInd w:val="0"/>
        <w:snapToGrid w:val="0"/>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注：对本磋商函的任何修改将被视为非实质性响应磋商，从而导致该磋商被拒绝。</w:t>
      </w:r>
    </w:p>
    <w:p w14:paraId="74A583DD">
      <w:pPr>
        <w:widowControl/>
        <w:spacing w:after="200" w:line="220" w:lineRule="atLeast"/>
        <w:jc w:val="center"/>
        <w:rPr>
          <w:rFonts w:ascii="宋体" w:hAnsi="宋体" w:cs="宋体"/>
          <w:b/>
          <w:bCs/>
          <w:color w:val="000000"/>
          <w:kern w:val="0"/>
          <w:sz w:val="24"/>
          <w:szCs w:val="24"/>
          <w:lang w:bidi="en-US"/>
        </w:rPr>
      </w:pPr>
      <w:r>
        <w:rPr>
          <w:rFonts w:hint="eastAsia" w:ascii="宋体" w:hAnsi="宋体" w:cs="宋体"/>
          <w:b/>
          <w:bCs/>
          <w:color w:val="000000"/>
          <w:kern w:val="0"/>
          <w:sz w:val="28"/>
          <w:szCs w:val="28"/>
        </w:rPr>
        <w:br w:type="page"/>
      </w:r>
      <w:bookmarkStart w:id="370" w:name="_Toc152042579"/>
      <w:bookmarkStart w:id="371" w:name="_Toc179632810"/>
      <w:bookmarkStart w:id="372" w:name="_Toc27200"/>
      <w:bookmarkStart w:id="373" w:name="_Toc246997101"/>
      <w:bookmarkStart w:id="374" w:name="_Toc394651923"/>
      <w:bookmarkStart w:id="375" w:name="_Toc247085876"/>
      <w:bookmarkStart w:id="376" w:name="_Toc246996358"/>
      <w:bookmarkStart w:id="377" w:name="_Toc144974859"/>
      <w:bookmarkStart w:id="378" w:name="_Toc152045790"/>
      <w:r>
        <w:rPr>
          <w:rFonts w:hint="eastAsia" w:ascii="宋体" w:hAnsi="宋体" w:cs="宋体"/>
          <w:b/>
          <w:bCs/>
          <w:color w:val="000000"/>
          <w:kern w:val="0"/>
          <w:sz w:val="24"/>
          <w:szCs w:val="24"/>
          <w:lang w:bidi="en-US"/>
        </w:rPr>
        <w:t>（二）</w:t>
      </w:r>
      <w:bookmarkEnd w:id="370"/>
      <w:bookmarkEnd w:id="371"/>
      <w:bookmarkEnd w:id="372"/>
      <w:bookmarkEnd w:id="373"/>
      <w:bookmarkEnd w:id="374"/>
      <w:bookmarkEnd w:id="375"/>
      <w:bookmarkEnd w:id="376"/>
      <w:bookmarkEnd w:id="377"/>
      <w:bookmarkEnd w:id="378"/>
      <w:r>
        <w:rPr>
          <w:rFonts w:hint="eastAsia" w:ascii="宋体" w:hAnsi="宋体" w:cs="宋体"/>
          <w:b/>
          <w:bCs/>
          <w:color w:val="000000"/>
          <w:kern w:val="0"/>
          <w:sz w:val="24"/>
          <w:szCs w:val="24"/>
          <w:lang w:bidi="en-US"/>
        </w:rPr>
        <w:t>磋商函附表</w:t>
      </w:r>
    </w:p>
    <w:tbl>
      <w:tblPr>
        <w:tblStyle w:val="1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66"/>
        <w:gridCol w:w="1072"/>
        <w:gridCol w:w="346"/>
        <w:gridCol w:w="992"/>
        <w:gridCol w:w="167"/>
        <w:gridCol w:w="1249"/>
        <w:gridCol w:w="2360"/>
      </w:tblGrid>
      <w:tr w14:paraId="34BB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57" w:type="pct"/>
            <w:vAlign w:val="center"/>
          </w:tcPr>
          <w:p w14:paraId="370A6F0C">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项目名称</w:t>
            </w:r>
          </w:p>
        </w:tc>
        <w:tc>
          <w:tcPr>
            <w:tcW w:w="4143" w:type="pct"/>
            <w:gridSpan w:val="7"/>
            <w:vAlign w:val="center"/>
          </w:tcPr>
          <w:p w14:paraId="3B6914B8">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1F1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5A61EE04">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供应商名称</w:t>
            </w:r>
          </w:p>
        </w:tc>
        <w:tc>
          <w:tcPr>
            <w:tcW w:w="4143" w:type="pct"/>
            <w:gridSpan w:val="7"/>
            <w:vAlign w:val="center"/>
          </w:tcPr>
          <w:p w14:paraId="79D39364">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159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5A1CB1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项目经理</w:t>
            </w:r>
          </w:p>
        </w:tc>
        <w:tc>
          <w:tcPr>
            <w:tcW w:w="999" w:type="pct"/>
            <w:vAlign w:val="center"/>
          </w:tcPr>
          <w:p w14:paraId="34386FF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1" w:type="pct"/>
            <w:gridSpan w:val="2"/>
            <w:vAlign w:val="center"/>
          </w:tcPr>
          <w:p w14:paraId="795FCA4B">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级别</w:t>
            </w:r>
          </w:p>
        </w:tc>
        <w:tc>
          <w:tcPr>
            <w:tcW w:w="504" w:type="pct"/>
            <w:vAlign w:val="center"/>
          </w:tcPr>
          <w:p w14:paraId="3D4A52E3">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0" w:type="pct"/>
            <w:gridSpan w:val="2"/>
            <w:vAlign w:val="center"/>
          </w:tcPr>
          <w:p w14:paraId="5D09F02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证书编号</w:t>
            </w:r>
          </w:p>
        </w:tc>
        <w:tc>
          <w:tcPr>
            <w:tcW w:w="1199" w:type="pct"/>
            <w:vAlign w:val="center"/>
          </w:tcPr>
          <w:p w14:paraId="104F4FD1">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5CB0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B79608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项目联系人</w:t>
            </w:r>
          </w:p>
        </w:tc>
        <w:tc>
          <w:tcPr>
            <w:tcW w:w="1544" w:type="pct"/>
            <w:gridSpan w:val="2"/>
            <w:vAlign w:val="center"/>
          </w:tcPr>
          <w:p w14:paraId="59A8CF75">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c>
          <w:tcPr>
            <w:tcW w:w="765" w:type="pct"/>
            <w:gridSpan w:val="3"/>
            <w:vAlign w:val="center"/>
          </w:tcPr>
          <w:p w14:paraId="187DFD7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联系电话</w:t>
            </w:r>
          </w:p>
        </w:tc>
        <w:tc>
          <w:tcPr>
            <w:tcW w:w="1834" w:type="pct"/>
            <w:gridSpan w:val="2"/>
            <w:vAlign w:val="center"/>
          </w:tcPr>
          <w:p w14:paraId="5834F093">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DD4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4F7DD8F7">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磋商总报价</w:t>
            </w:r>
          </w:p>
        </w:tc>
        <w:tc>
          <w:tcPr>
            <w:tcW w:w="4143" w:type="pct"/>
            <w:gridSpan w:val="7"/>
            <w:vAlign w:val="center"/>
          </w:tcPr>
          <w:p w14:paraId="58B416C4">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u w:val="single"/>
              </w:rPr>
            </w:pPr>
            <w:r>
              <w:rPr>
                <w:rFonts w:hint="eastAsia" w:ascii="宋体" w:hAnsi="宋体" w:cs="宋体"/>
                <w:color w:val="000000"/>
                <w:kern w:val="1"/>
                <w:sz w:val="24"/>
                <w:szCs w:val="24"/>
              </w:rPr>
              <w:t>大写：</w:t>
            </w:r>
            <w:r>
              <w:rPr>
                <w:rFonts w:hint="eastAsia" w:ascii="宋体" w:hAnsi="宋体" w:cs="宋体"/>
                <w:color w:val="000000"/>
                <w:kern w:val="1"/>
                <w:sz w:val="24"/>
                <w:szCs w:val="24"/>
                <w:u w:val="single"/>
              </w:rPr>
              <w:t xml:space="preserve">                               </w:t>
            </w:r>
          </w:p>
          <w:p w14:paraId="79CF7FA8">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rPr>
            </w:pPr>
            <w:r>
              <w:rPr>
                <w:rFonts w:hint="eastAsia" w:ascii="宋体" w:hAnsi="宋体" w:cs="宋体"/>
                <w:color w:val="000000"/>
                <w:kern w:val="1"/>
                <w:sz w:val="24"/>
                <w:szCs w:val="24"/>
              </w:rPr>
              <w:t>小写¥：</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元</w:t>
            </w:r>
          </w:p>
        </w:tc>
      </w:tr>
      <w:tr w14:paraId="3787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7C6405D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计划工期</w:t>
            </w:r>
          </w:p>
        </w:tc>
        <w:tc>
          <w:tcPr>
            <w:tcW w:w="4143" w:type="pct"/>
            <w:gridSpan w:val="7"/>
            <w:vAlign w:val="center"/>
          </w:tcPr>
          <w:p w14:paraId="61EEB0FB">
            <w:pPr>
              <w:keepNext w:val="0"/>
              <w:keepLines w:val="0"/>
              <w:suppressLineNumbers w:val="0"/>
              <w:suppressAutoHyphens/>
              <w:spacing w:before="0" w:beforeAutospacing="0" w:after="0" w:afterAutospacing="0"/>
              <w:ind w:left="0" w:right="0"/>
              <w:rPr>
                <w:rFonts w:hint="default" w:ascii="宋体" w:hAnsi="宋体" w:cs="宋体"/>
                <w:color w:val="000000"/>
                <w:kern w:val="1"/>
                <w:sz w:val="24"/>
                <w:szCs w:val="24"/>
              </w:rPr>
            </w:pPr>
          </w:p>
        </w:tc>
      </w:tr>
      <w:tr w14:paraId="265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E476505">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质量要求</w:t>
            </w:r>
          </w:p>
        </w:tc>
        <w:tc>
          <w:tcPr>
            <w:tcW w:w="4143" w:type="pct"/>
            <w:gridSpan w:val="7"/>
            <w:vAlign w:val="center"/>
          </w:tcPr>
          <w:p w14:paraId="2C57B284">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1262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11D508F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质保期</w:t>
            </w:r>
          </w:p>
        </w:tc>
        <w:tc>
          <w:tcPr>
            <w:tcW w:w="4143" w:type="pct"/>
            <w:gridSpan w:val="7"/>
            <w:vAlign w:val="center"/>
          </w:tcPr>
          <w:p w14:paraId="09CF1991">
            <w:pPr>
              <w:keepNext w:val="0"/>
              <w:keepLines w:val="0"/>
              <w:widowControl/>
              <w:suppressLineNumbers w:val="0"/>
              <w:spacing w:before="0" w:beforeAutospacing="0" w:after="200" w:afterAutospacing="0"/>
              <w:ind w:left="0" w:right="0"/>
              <w:rPr>
                <w:rFonts w:hint="default" w:ascii="宋体" w:hAnsi="宋体" w:cs="宋体"/>
                <w:b/>
                <w:color w:val="000000"/>
                <w:kern w:val="1"/>
                <w:sz w:val="24"/>
                <w:szCs w:val="24"/>
              </w:rPr>
            </w:pPr>
          </w:p>
        </w:tc>
      </w:tr>
      <w:tr w14:paraId="13E0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3931E0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磋商有效期</w:t>
            </w:r>
          </w:p>
        </w:tc>
        <w:tc>
          <w:tcPr>
            <w:tcW w:w="4143" w:type="pct"/>
            <w:gridSpan w:val="7"/>
            <w:vAlign w:val="center"/>
          </w:tcPr>
          <w:p w14:paraId="406B5ABF">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45E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857" w:type="pct"/>
            <w:vAlign w:val="center"/>
          </w:tcPr>
          <w:p w14:paraId="4484F7EA">
            <w:pPr>
              <w:keepNext w:val="0"/>
              <w:keepLines w:val="0"/>
              <w:suppressLineNumbers w:val="0"/>
              <w:spacing w:before="0" w:beforeAutospacing="0" w:after="0" w:afterAutospacing="0" w:line="360" w:lineRule="auto"/>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需需要说明的问题</w:t>
            </w:r>
          </w:p>
        </w:tc>
        <w:tc>
          <w:tcPr>
            <w:tcW w:w="4143" w:type="pct"/>
            <w:gridSpan w:val="7"/>
            <w:vAlign w:val="center"/>
          </w:tcPr>
          <w:p w14:paraId="0A8556AF">
            <w:pPr>
              <w:keepNext w:val="0"/>
              <w:keepLines w:val="0"/>
              <w:suppressLineNumbers w:val="0"/>
              <w:spacing w:before="0" w:beforeAutospacing="0" w:after="0" w:afterAutospacing="0" w:line="360" w:lineRule="auto"/>
              <w:ind w:left="0" w:right="0"/>
              <w:rPr>
                <w:rFonts w:hint="default" w:ascii="宋体" w:hAnsi="宋体" w:cs="宋体"/>
                <w:b/>
                <w:color w:val="000000"/>
                <w:kern w:val="1"/>
                <w:sz w:val="24"/>
                <w:szCs w:val="24"/>
              </w:rPr>
            </w:pPr>
          </w:p>
        </w:tc>
      </w:tr>
    </w:tbl>
    <w:p w14:paraId="508F1862">
      <w:pPr>
        <w:widowControl/>
        <w:spacing w:after="200" w:line="276" w:lineRule="auto"/>
        <w:jc w:val="left"/>
        <w:rPr>
          <w:rFonts w:ascii="宋体" w:hAnsi="宋体" w:cs="宋体"/>
          <w:color w:val="000000"/>
          <w:kern w:val="0"/>
          <w:sz w:val="28"/>
          <w:szCs w:val="28"/>
          <w:lang w:bidi="en-US"/>
        </w:rPr>
      </w:pPr>
    </w:p>
    <w:p w14:paraId="6C0625E6">
      <w:pPr>
        <w:spacing w:line="400" w:lineRule="exact"/>
        <w:ind w:firstLine="420" w:firstLineChars="175"/>
        <w:jc w:val="lef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3CB66A02">
      <w:pPr>
        <w:wordWrap w:val="0"/>
        <w:spacing w:line="400" w:lineRule="exact"/>
        <w:ind w:firstLine="420" w:firstLineChars="175"/>
        <w:jc w:val="lef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33E6CD36">
      <w:pPr>
        <w:widowControl/>
        <w:wordWrap w:val="0"/>
        <w:adjustRightInd w:val="0"/>
        <w:snapToGrid w:val="0"/>
        <w:spacing w:line="360" w:lineRule="auto"/>
        <w:ind w:firstLine="420" w:firstLineChars="175"/>
        <w:jc w:val="lef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5C461559">
      <w:pPr>
        <w:widowControl/>
        <w:spacing w:after="200" w:line="220" w:lineRule="atLeast"/>
        <w:jc w:val="left"/>
        <w:rPr>
          <w:rFonts w:ascii="宋体" w:hAnsi="宋体" w:cs="宋体"/>
          <w:b/>
          <w:bCs/>
          <w:color w:val="000000"/>
          <w:kern w:val="0"/>
          <w:sz w:val="24"/>
          <w:szCs w:val="24"/>
        </w:rPr>
        <w:sectPr>
          <w:pgSz w:w="11906" w:h="16838"/>
          <w:pgMar w:top="1134" w:right="1134" w:bottom="1134" w:left="1134" w:header="720" w:footer="720" w:gutter="0"/>
          <w:cols w:space="720" w:num="1"/>
          <w:docGrid w:type="lines" w:linePitch="312" w:charSpace="0"/>
        </w:sectPr>
      </w:pPr>
    </w:p>
    <w:p w14:paraId="59F5A650">
      <w:pPr>
        <w:jc w:val="center"/>
        <w:outlineLvl w:val="1"/>
        <w:rPr>
          <w:rFonts w:ascii="宋体" w:hAnsi="宋体" w:eastAsia="宋体" w:cs="宋体"/>
          <w:b/>
          <w:sz w:val="24"/>
          <w:szCs w:val="24"/>
        </w:rPr>
      </w:pPr>
      <w:bookmarkStart w:id="379" w:name="_Toc476231086"/>
      <w:bookmarkStart w:id="380" w:name="_Toc470786259"/>
      <w:bookmarkStart w:id="381" w:name="_Toc30552"/>
      <w:r>
        <w:rPr>
          <w:rFonts w:hint="eastAsia" w:ascii="宋体" w:hAnsi="宋体" w:eastAsia="宋体" w:cs="宋体"/>
          <w:b/>
          <w:sz w:val="24"/>
          <w:szCs w:val="24"/>
        </w:rPr>
        <w:t>二、</w:t>
      </w:r>
      <w:bookmarkEnd w:id="379"/>
      <w:bookmarkEnd w:id="380"/>
      <w:r>
        <w:rPr>
          <w:rFonts w:hint="eastAsia" w:ascii="宋体" w:hAnsi="宋体" w:eastAsia="宋体" w:cs="宋体"/>
          <w:b/>
          <w:sz w:val="24"/>
          <w:szCs w:val="24"/>
        </w:rPr>
        <w:t>法定代表人身份证明及授权委托书</w:t>
      </w:r>
      <w:bookmarkEnd w:id="381"/>
    </w:p>
    <w:p w14:paraId="13895D99">
      <w:pPr>
        <w:widowControl/>
        <w:adjustRightInd w:val="0"/>
        <w:snapToGrid w:val="0"/>
        <w:spacing w:after="200"/>
        <w:jc w:val="center"/>
        <w:outlineLvl w:val="0"/>
        <w:rPr>
          <w:rFonts w:ascii="宋体" w:hAnsi="宋体" w:cs="宋体"/>
          <w:color w:val="000000"/>
          <w:kern w:val="0"/>
          <w:sz w:val="24"/>
          <w:szCs w:val="24"/>
        </w:rPr>
      </w:pPr>
      <w:bookmarkStart w:id="382" w:name="_Toc5843"/>
      <w:bookmarkStart w:id="383" w:name="_Toc28381"/>
      <w:bookmarkStart w:id="384" w:name="_Toc5955"/>
    </w:p>
    <w:p w14:paraId="60205CC5">
      <w:pPr>
        <w:widowControl/>
        <w:adjustRightInd w:val="0"/>
        <w:snapToGrid w:val="0"/>
        <w:spacing w:after="200"/>
        <w:jc w:val="center"/>
        <w:outlineLvl w:val="0"/>
        <w:rPr>
          <w:rFonts w:ascii="宋体" w:hAnsi="宋体" w:cs="宋体"/>
          <w:b/>
          <w:color w:val="000000"/>
          <w:kern w:val="0"/>
          <w:sz w:val="24"/>
          <w:szCs w:val="24"/>
        </w:rPr>
      </w:pPr>
      <w:bookmarkStart w:id="385" w:name="_Toc32393"/>
      <w:bookmarkStart w:id="386" w:name="_Toc28907"/>
      <w:r>
        <w:rPr>
          <w:rFonts w:hint="eastAsia" w:ascii="宋体" w:hAnsi="宋体" w:cs="宋体"/>
          <w:b/>
          <w:color w:val="000000"/>
          <w:kern w:val="0"/>
          <w:sz w:val="24"/>
          <w:szCs w:val="24"/>
        </w:rPr>
        <w:t>（一）法定代表人身份证明</w:t>
      </w:r>
      <w:bookmarkEnd w:id="382"/>
      <w:bookmarkEnd w:id="383"/>
      <w:bookmarkEnd w:id="384"/>
      <w:bookmarkEnd w:id="385"/>
      <w:bookmarkEnd w:id="386"/>
    </w:p>
    <w:p w14:paraId="5E71822F">
      <w:pPr>
        <w:widowControl/>
        <w:adjustRightInd w:val="0"/>
        <w:snapToGrid w:val="0"/>
        <w:spacing w:after="200" w:line="360" w:lineRule="auto"/>
        <w:jc w:val="left"/>
        <w:rPr>
          <w:rFonts w:ascii="宋体" w:hAnsi="宋体" w:cs="宋体"/>
          <w:color w:val="000000"/>
          <w:kern w:val="0"/>
          <w:sz w:val="24"/>
          <w:szCs w:val="24"/>
        </w:rPr>
      </w:pPr>
    </w:p>
    <w:p w14:paraId="1823CEC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75C0525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0244116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0614B3C1">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8A0995F">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749189D8">
      <w:pPr>
        <w:widowControl/>
        <w:adjustRightInd w:val="0"/>
        <w:snapToGrid w:val="0"/>
        <w:spacing w:after="200" w:line="360" w:lineRule="auto"/>
        <w:ind w:firstLine="420" w:firstLineChars="175"/>
        <w:jc w:val="left"/>
        <w:rPr>
          <w:rFonts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14:paraId="57CE742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（供应商名称）的法定代表人。</w:t>
      </w:r>
    </w:p>
    <w:p w14:paraId="331FF34F">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特此证明。</w:t>
      </w:r>
    </w:p>
    <w:p w14:paraId="298B05F9">
      <w:pPr>
        <w:ind w:firstLine="367" w:firstLineChars="175"/>
      </w:pPr>
    </w:p>
    <w:p w14:paraId="58E057A9">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 xml:space="preserve">附：法定代表人身份证复印件。 </w:t>
      </w:r>
    </w:p>
    <w:p w14:paraId="4A2C911B">
      <w:pPr>
        <w:rPr>
          <w:rFonts w:hAnsi="宋体" w:cs="宋体"/>
          <w:color w:val="000000"/>
          <w:szCs w:val="24"/>
        </w:rPr>
      </w:pPr>
    </w:p>
    <w:p w14:paraId="6DA07FD5"/>
    <w:p w14:paraId="320BBAF7">
      <w:pPr>
        <w:widowControl/>
        <w:adjustRightInd w:val="0"/>
        <w:snapToGrid w:val="0"/>
        <w:spacing w:after="200"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5AA88191">
      <w:pPr>
        <w:widowControl/>
        <w:adjustRightInd w:val="0"/>
        <w:snapToGrid w:val="0"/>
        <w:spacing w:after="200" w:line="480" w:lineRule="auto"/>
        <w:ind w:firstLine="480" w:firstLineChars="200"/>
        <w:jc w:val="left"/>
        <w:rPr>
          <w:rFonts w:ascii="宋体" w:hAnsi="宋体" w:cs="宋体"/>
          <w:color w:val="000000"/>
          <w:kern w:val="0"/>
          <w:sz w:val="28"/>
          <w:szCs w:val="28"/>
        </w:rPr>
      </w:pPr>
      <w:r>
        <w:rPr>
          <w:rFonts w:hint="eastAsia" w:ascii="宋体" w:hAnsi="宋体" w:cs="宋体"/>
          <w:color w:val="000000"/>
          <w:kern w:val="0"/>
          <w:sz w:val="24"/>
          <w:szCs w:val="24"/>
        </w:rPr>
        <w:t>日  期：______年_____月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r>
        <w:rPr>
          <w:rFonts w:hint="eastAsia" w:ascii="宋体" w:hAnsi="宋体" w:cs="宋体"/>
          <w:color w:val="000000"/>
          <w:kern w:val="0"/>
          <w:sz w:val="28"/>
          <w:szCs w:val="28"/>
        </w:rPr>
        <w:t xml:space="preserve">  </w:t>
      </w:r>
    </w:p>
    <w:p w14:paraId="05C34A61">
      <w:pPr>
        <w:widowControl/>
        <w:adjustRightInd w:val="0"/>
        <w:snapToGrid w:val="0"/>
        <w:spacing w:after="200" w:line="360" w:lineRule="auto"/>
        <w:ind w:left="4740" w:leftChars="2257"/>
        <w:jc w:val="left"/>
        <w:rPr>
          <w:rFonts w:ascii="宋体" w:hAnsi="宋体" w:cs="宋体"/>
          <w:color w:val="000000"/>
          <w:kern w:val="0"/>
          <w:sz w:val="28"/>
          <w:szCs w:val="28"/>
        </w:rPr>
      </w:pPr>
    </w:p>
    <w:p w14:paraId="503BF94B">
      <w:pPr>
        <w:widowControl/>
        <w:spacing w:after="200" w:line="220" w:lineRule="atLeast"/>
        <w:jc w:val="center"/>
        <w:rPr>
          <w:rFonts w:ascii="宋体" w:hAnsi="宋体" w:cs="宋体"/>
          <w:b/>
          <w:color w:val="000000"/>
          <w:kern w:val="0"/>
          <w:sz w:val="24"/>
          <w:szCs w:val="24"/>
        </w:rPr>
      </w:pPr>
      <w:bookmarkStart w:id="387" w:name="_Toc29611"/>
      <w:bookmarkStart w:id="388" w:name="_Toc12633"/>
      <w:bookmarkStart w:id="389" w:name="_Toc22161"/>
      <w:r>
        <w:rPr>
          <w:rFonts w:hint="eastAsia" w:ascii="宋体" w:hAnsi="宋体" w:cs="宋体"/>
          <w:b/>
          <w:color w:val="000000"/>
          <w:kern w:val="0"/>
          <w:sz w:val="28"/>
          <w:szCs w:val="28"/>
        </w:rPr>
        <w:br w:type="page"/>
      </w:r>
      <w:r>
        <w:rPr>
          <w:rFonts w:hint="eastAsia" w:ascii="宋体" w:hAnsi="宋体" w:cs="宋体"/>
          <w:b/>
          <w:color w:val="000000"/>
          <w:kern w:val="0"/>
          <w:sz w:val="24"/>
          <w:szCs w:val="24"/>
        </w:rPr>
        <w:t>（二）授权委托书</w:t>
      </w:r>
      <w:bookmarkEnd w:id="387"/>
      <w:bookmarkEnd w:id="388"/>
      <w:bookmarkEnd w:id="389"/>
    </w:p>
    <w:p w14:paraId="5E05F8C2">
      <w:pPr>
        <w:widowControl/>
        <w:topLinePunct/>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本人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（项目名称）磋商响应文件、签订合同和处理有关事宜，其法律后果由我方承担。</w:t>
      </w:r>
    </w:p>
    <w:p w14:paraId="23A4BEE3">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ADF59DB">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代理人无转委托权。</w:t>
      </w:r>
    </w:p>
    <w:p w14:paraId="1D8B22F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附：法定代表人及委托代理人身份证正反面扫描件。</w:t>
      </w:r>
    </w:p>
    <w:p w14:paraId="7735E3F2">
      <w:pPr>
        <w:widowControl/>
        <w:adjustRightInd w:val="0"/>
        <w:snapToGrid w:val="0"/>
        <w:spacing w:after="200" w:line="360" w:lineRule="auto"/>
        <w:ind w:firstLine="360" w:firstLineChars="150"/>
        <w:jc w:val="left"/>
        <w:rPr>
          <w:rFonts w:ascii="宋体" w:hAnsi="宋体" w:cs="宋体"/>
          <w:color w:val="000000"/>
          <w:kern w:val="0"/>
          <w:sz w:val="24"/>
          <w:szCs w:val="24"/>
        </w:rPr>
      </w:pPr>
    </w:p>
    <w:p w14:paraId="159308B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1D677DE4">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法定代表人：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（电子签章）</w:t>
      </w:r>
    </w:p>
    <w:p w14:paraId="3D7E8AD0">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1834167E">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委托代理人：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（法人电子签章）</w:t>
      </w:r>
    </w:p>
    <w:p w14:paraId="5D34E8DC">
      <w:pPr>
        <w:widowControl/>
        <w:adjustRightInd w:val="0"/>
        <w:snapToGrid w:val="0"/>
        <w:spacing w:after="200" w:line="360" w:lineRule="auto"/>
        <w:ind w:firstLine="360" w:firstLineChars="150"/>
        <w:jc w:val="left"/>
        <w:rPr>
          <w:rFonts w:ascii="宋体" w:hAnsi="宋体" w:cs="宋体"/>
          <w:color w:val="000000"/>
          <w:sz w:val="24"/>
          <w:szCs w:val="24"/>
          <w:u w:val="single"/>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312538C7">
      <w:pPr>
        <w:widowControl/>
        <w:adjustRightInd w:val="0"/>
        <w:snapToGrid w:val="0"/>
        <w:spacing w:after="200" w:line="360" w:lineRule="auto"/>
        <w:ind w:firstLine="360" w:firstLineChars="150"/>
        <w:jc w:val="left"/>
        <w:rPr>
          <w:rFonts w:hint="default" w:ascii="宋体" w:hAnsi="宋体" w:cs="宋体" w:eastAsiaTheme="minorEastAsia"/>
          <w:color w:val="000000"/>
          <w:sz w:val="24"/>
          <w:szCs w:val="24"/>
          <w:u w:val="single"/>
          <w:lang w:val="en-US" w:eastAsia="zh-CN"/>
        </w:rPr>
      </w:pPr>
      <w:r>
        <w:rPr>
          <w:rFonts w:hint="eastAsia" w:ascii="宋体" w:hAnsi="宋体" w:cs="宋体"/>
          <w:color w:val="000000"/>
          <w:sz w:val="24"/>
          <w:szCs w:val="24"/>
          <w:u w:val="none"/>
          <w:lang w:val="en-US" w:eastAsia="zh-CN"/>
        </w:rPr>
        <w:t>联系电话：</w:t>
      </w:r>
      <w:r>
        <w:rPr>
          <w:rFonts w:hint="eastAsia" w:ascii="宋体" w:hAnsi="宋体" w:cs="宋体"/>
          <w:color w:val="000000"/>
          <w:sz w:val="24"/>
          <w:szCs w:val="24"/>
          <w:u w:val="single"/>
          <w:lang w:val="en-US" w:eastAsia="zh-CN"/>
        </w:rPr>
        <w:t xml:space="preserve">                            </w:t>
      </w:r>
    </w:p>
    <w:p w14:paraId="2FC445DC">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78D366E">
      <w:pPr>
        <w:ind w:firstLine="420" w:firstLineChars="150"/>
        <w:rPr>
          <w:rFonts w:ascii="宋体" w:hAnsi="宋体" w:cs="宋体"/>
          <w:color w:val="000000"/>
          <w:kern w:val="0"/>
          <w:sz w:val="28"/>
          <w:szCs w:val="28"/>
        </w:rPr>
      </w:pPr>
    </w:p>
    <w:p w14:paraId="29FD6DB2">
      <w:pPr>
        <w:ind w:firstLine="315" w:firstLineChars="150"/>
      </w:pPr>
    </w:p>
    <w:p w14:paraId="6A95B546">
      <w:pPr>
        <w:widowControl/>
        <w:adjustRightInd w:val="0"/>
        <w:snapToGrid w:val="0"/>
        <w:spacing w:after="200" w:line="480" w:lineRule="exact"/>
        <w:ind w:firstLine="361" w:firstLineChars="150"/>
        <w:jc w:val="left"/>
        <w:rPr>
          <w:rFonts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w:t>
      </w:r>
    </w:p>
    <w:p w14:paraId="4E9F7FDC">
      <w:pPr>
        <w:widowControl/>
        <w:shd w:val="clear" w:color="auto" w:fill="FFFFFF"/>
        <w:jc w:val="center"/>
        <w:rPr>
          <w:rFonts w:ascii="宋体" w:hAnsi="宋体" w:cs="宋体"/>
          <w:b/>
          <w:color w:val="000000"/>
          <w:kern w:val="0"/>
          <w:sz w:val="24"/>
          <w:szCs w:val="24"/>
        </w:rPr>
      </w:pPr>
      <w:r>
        <w:rPr>
          <w:rFonts w:hint="eastAsia" w:ascii="宋体" w:hAnsi="宋体" w:cs="宋体"/>
          <w:color w:val="000000"/>
          <w:kern w:val="0"/>
          <w:sz w:val="28"/>
          <w:szCs w:val="28"/>
        </w:rPr>
        <w:br w:type="page"/>
      </w:r>
      <w:bookmarkStart w:id="390" w:name="_Toc26393"/>
      <w:r>
        <w:rPr>
          <w:rFonts w:hint="eastAsia" w:ascii="宋体" w:hAnsi="宋体" w:eastAsia="宋体" w:cs="宋体"/>
          <w:b/>
          <w:sz w:val="24"/>
          <w:szCs w:val="24"/>
        </w:rPr>
        <w:t>三、磋商承诺函</w:t>
      </w:r>
      <w:bookmarkEnd w:id="390"/>
    </w:p>
    <w:p w14:paraId="3FB5B073">
      <w:pPr>
        <w:widowControl/>
        <w:adjustRightInd w:val="0"/>
        <w:snapToGrid w:val="0"/>
        <w:spacing w:after="200"/>
        <w:jc w:val="center"/>
        <w:rPr>
          <w:rFonts w:ascii="宋体" w:hAnsi="宋体" w:cs="宋体"/>
          <w:bCs/>
          <w:color w:val="000000"/>
          <w:kern w:val="0"/>
          <w:sz w:val="30"/>
          <w:szCs w:val="30"/>
        </w:rPr>
      </w:pPr>
    </w:p>
    <w:p w14:paraId="27A035C7">
      <w:pPr>
        <w:widowControl/>
        <w:shd w:val="clear" w:color="auto" w:fill="FFFFFF"/>
        <w:spacing w:line="360" w:lineRule="auto"/>
        <w:rPr>
          <w:rFonts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1E7701E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5A601AD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38DEF0C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18E17BE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3646FE8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68F1AA2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644DB3C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7DBA766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49EA7665">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0681847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18C609B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w:t>
      </w:r>
    </w:p>
    <w:p w14:paraId="7405A218">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3B3861F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35C2D31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59FB1326">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七、参加本次磋商采购活动，不存在联合体投标。</w:t>
      </w:r>
    </w:p>
    <w:p w14:paraId="7B3AE842">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八、磋商响应文件中提供的能够给予我公司带来优惠、好处的任何材料资料和技术、服务、商务等响应承诺情况都是真实的、有效的、合法的。</w:t>
      </w:r>
    </w:p>
    <w:p w14:paraId="0F6A017B">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九、供应商认为需要承诺的其他事项：</w:t>
      </w:r>
    </w:p>
    <w:p w14:paraId="2F2D1BD8">
      <w:pPr>
        <w:widowControl/>
        <w:shd w:val="clear" w:color="auto" w:fill="FFFFFF"/>
        <w:spacing w:line="360" w:lineRule="auto"/>
        <w:ind w:firstLine="512" w:firstLineChars="200"/>
        <w:rPr>
          <w:rFonts w:ascii="宋体" w:hAnsi="宋体" w:cs="宋体"/>
          <w:color w:val="000000"/>
          <w:spacing w:val="8"/>
          <w:kern w:val="0"/>
          <w:sz w:val="24"/>
          <w:szCs w:val="24"/>
          <w:u w:val="single"/>
        </w:rPr>
      </w:pPr>
      <w:r>
        <w:rPr>
          <w:rFonts w:hint="eastAsia" w:ascii="宋体" w:hAnsi="宋体" w:cs="宋体"/>
          <w:color w:val="000000"/>
          <w:spacing w:val="8"/>
          <w:kern w:val="0"/>
          <w:sz w:val="24"/>
          <w:szCs w:val="24"/>
        </w:rPr>
        <w:t>1、</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；2、</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；3、</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573C2A9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十、存在以下行为之一的愿意接受相关部门的处理：</w:t>
      </w:r>
    </w:p>
    <w:p w14:paraId="6F954007">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05F02839">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5E5EFC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1148152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（四）在磋商响应文件中提供虚假材料谋取中标；</w:t>
      </w:r>
    </w:p>
    <w:p w14:paraId="40238876">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（五）与采购人、其他供应商或者采购代理机构恶意串通的；</w:t>
      </w:r>
    </w:p>
    <w:p w14:paraId="6C7B45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（六）磋商有效期内，供应商在政府采购活动中有违法、违规、违纪行为。</w:t>
      </w:r>
    </w:p>
    <w:p w14:paraId="1B495662">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5D981301">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4BA730C9">
      <w:pPr>
        <w:widowControl/>
        <w:shd w:val="clear" w:color="auto" w:fill="FFFFFF"/>
        <w:spacing w:line="360" w:lineRule="atLeast"/>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61B1CA86">
      <w:pPr>
        <w:spacing w:line="400" w:lineRule="exact"/>
        <w:ind w:firstLine="3828" w:firstLineChars="1595"/>
        <w:rPr>
          <w:rFonts w:ascii="宋体" w:hAnsi="宋体"/>
          <w:color w:val="000000"/>
          <w:sz w:val="24"/>
          <w:szCs w:val="24"/>
        </w:rPr>
      </w:pPr>
    </w:p>
    <w:p w14:paraId="288B1CCB">
      <w:pPr>
        <w:spacing w:line="400" w:lineRule="exact"/>
        <w:ind w:firstLine="3828" w:firstLineChars="1595"/>
        <w:rPr>
          <w:rFonts w:ascii="宋体" w:hAnsi="宋体"/>
          <w:color w:val="000000"/>
          <w:sz w:val="24"/>
          <w:szCs w:val="24"/>
        </w:rPr>
      </w:pPr>
    </w:p>
    <w:p w14:paraId="2FD271D3">
      <w:pPr>
        <w:spacing w:line="360" w:lineRule="auto"/>
        <w:ind w:firstLine="3828" w:firstLineChars="1595"/>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72D888F4">
      <w:pPr>
        <w:spacing w:line="360" w:lineRule="auto"/>
        <w:ind w:firstLine="3828" w:firstLineChars="1595"/>
        <w:rPr>
          <w:rFonts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24FCA9AF">
      <w:pPr>
        <w:widowControl/>
        <w:shd w:val="clear" w:color="auto" w:fill="FFFFFF"/>
        <w:spacing w:line="360" w:lineRule="auto"/>
        <w:ind w:firstLine="3828" w:firstLineChars="1595"/>
        <w:rPr>
          <w:rFonts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49053DB4">
      <w:pPr>
        <w:widowControl/>
        <w:shd w:val="clear" w:color="auto" w:fill="FFFFFF"/>
        <w:spacing w:line="405" w:lineRule="atLeast"/>
        <w:ind w:firstLine="4083" w:firstLineChars="1595"/>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06BFC7AF">
      <w:pPr>
        <w:rPr>
          <w:rFonts w:hAnsi="宋体" w:cs="宋体"/>
          <w:color w:val="000000"/>
          <w:spacing w:val="8"/>
          <w:szCs w:val="24"/>
        </w:rPr>
      </w:pPr>
    </w:p>
    <w:p w14:paraId="70485DE0">
      <w:pPr>
        <w:rPr>
          <w:rFonts w:ascii="宋体" w:hAnsi="宋体" w:cs="宋体"/>
          <w:color w:val="000000"/>
          <w:spacing w:val="8"/>
          <w:kern w:val="0"/>
          <w:sz w:val="24"/>
          <w:szCs w:val="24"/>
        </w:rPr>
      </w:pPr>
    </w:p>
    <w:p w14:paraId="62B7BE20">
      <w:pPr>
        <w:rPr>
          <w:rFonts w:hAnsi="宋体" w:cs="宋体"/>
          <w:color w:val="000000"/>
          <w:spacing w:val="8"/>
          <w:szCs w:val="24"/>
        </w:rPr>
      </w:pPr>
    </w:p>
    <w:p w14:paraId="1E3C33E1">
      <w:pPr>
        <w:rPr>
          <w:rFonts w:ascii="宋体" w:hAnsi="宋体" w:cs="宋体"/>
          <w:color w:val="000000"/>
          <w:spacing w:val="8"/>
          <w:kern w:val="0"/>
          <w:sz w:val="24"/>
          <w:szCs w:val="24"/>
        </w:rPr>
      </w:pPr>
    </w:p>
    <w:p w14:paraId="26C474E0">
      <w:pPr>
        <w:rPr>
          <w:rFonts w:hAnsi="宋体" w:cs="宋体"/>
          <w:color w:val="000000"/>
          <w:spacing w:val="8"/>
          <w:szCs w:val="24"/>
        </w:rPr>
      </w:pPr>
    </w:p>
    <w:p w14:paraId="637C61D4">
      <w:pPr>
        <w:rPr>
          <w:rFonts w:ascii="宋体" w:hAnsi="宋体" w:cs="宋体"/>
          <w:color w:val="000000"/>
          <w:spacing w:val="8"/>
          <w:kern w:val="0"/>
          <w:sz w:val="24"/>
          <w:szCs w:val="24"/>
        </w:rPr>
      </w:pPr>
    </w:p>
    <w:p w14:paraId="0D32FB8B">
      <w:pPr>
        <w:rPr>
          <w:rFonts w:hAnsi="宋体" w:cs="宋体"/>
          <w:color w:val="000000"/>
          <w:spacing w:val="8"/>
          <w:szCs w:val="24"/>
        </w:rPr>
      </w:pPr>
    </w:p>
    <w:p w14:paraId="079BA8C2"/>
    <w:p w14:paraId="27ED0E14">
      <w:pPr>
        <w:pStyle w:val="7"/>
        <w:ind w:left="63" w:right="63" w:firstLine="211"/>
      </w:pPr>
    </w:p>
    <w:p w14:paraId="7C542C06">
      <w:pPr>
        <w:ind w:left="420"/>
      </w:pPr>
    </w:p>
    <w:p w14:paraId="5831D70B"/>
    <w:p w14:paraId="529399FA">
      <w:pPr>
        <w:widowControl/>
        <w:jc w:val="left"/>
        <w:rPr>
          <w:rFonts w:ascii="宋体" w:hAnsi="宋体" w:cs="宋体"/>
          <w:b/>
          <w:color w:val="000000"/>
          <w:kern w:val="1"/>
          <w:sz w:val="32"/>
          <w:szCs w:val="32"/>
        </w:rPr>
      </w:pPr>
    </w:p>
    <w:p w14:paraId="686419AE">
      <w:pPr>
        <w:ind w:firstLine="480"/>
      </w:pPr>
    </w:p>
    <w:p w14:paraId="3CF5862D">
      <w:pPr>
        <w:jc w:val="center"/>
        <w:outlineLvl w:val="1"/>
        <w:rPr>
          <w:rFonts w:ascii="宋体" w:hAnsi="宋体" w:eastAsia="宋体" w:cs="宋体"/>
        </w:rPr>
      </w:pPr>
      <w:bookmarkStart w:id="391" w:name="_Toc22452"/>
    </w:p>
    <w:p w14:paraId="40EB8A50">
      <w:pPr>
        <w:jc w:val="center"/>
        <w:outlineLvl w:val="1"/>
        <w:rPr>
          <w:rFonts w:ascii="宋体" w:hAnsi="宋体" w:eastAsia="宋体" w:cs="宋体"/>
        </w:rPr>
      </w:pPr>
    </w:p>
    <w:p w14:paraId="091273BC">
      <w:pPr>
        <w:jc w:val="center"/>
        <w:outlineLvl w:val="1"/>
        <w:rPr>
          <w:rFonts w:ascii="宋体" w:hAnsi="宋体" w:eastAsia="宋体" w:cs="宋体"/>
        </w:rPr>
      </w:pPr>
    </w:p>
    <w:p w14:paraId="77CD5721">
      <w:pPr>
        <w:jc w:val="center"/>
        <w:outlineLvl w:val="1"/>
        <w:rPr>
          <w:rFonts w:ascii="宋体" w:hAnsi="宋体" w:eastAsia="宋体" w:cs="宋体"/>
        </w:rPr>
      </w:pPr>
    </w:p>
    <w:p w14:paraId="39426BFC">
      <w:pPr>
        <w:jc w:val="center"/>
        <w:outlineLvl w:val="1"/>
        <w:rPr>
          <w:rFonts w:ascii="宋体" w:hAnsi="宋体" w:eastAsia="宋体" w:cs="宋体"/>
        </w:rPr>
      </w:pPr>
    </w:p>
    <w:p w14:paraId="5F11EB14">
      <w:pPr>
        <w:jc w:val="center"/>
        <w:outlineLvl w:val="1"/>
        <w:rPr>
          <w:rFonts w:ascii="宋体" w:hAnsi="宋体" w:eastAsia="宋体" w:cs="宋体"/>
        </w:rPr>
      </w:pPr>
    </w:p>
    <w:p w14:paraId="36D0555E">
      <w:pPr>
        <w:jc w:val="center"/>
        <w:outlineLvl w:val="1"/>
        <w:rPr>
          <w:rFonts w:ascii="宋体" w:hAnsi="宋体" w:eastAsia="宋体" w:cs="宋体"/>
        </w:rPr>
      </w:pPr>
    </w:p>
    <w:p w14:paraId="564F5420">
      <w:pPr>
        <w:jc w:val="center"/>
        <w:outlineLvl w:val="1"/>
        <w:rPr>
          <w:rFonts w:ascii="宋体" w:hAnsi="宋体" w:eastAsia="宋体" w:cs="宋体"/>
        </w:rPr>
      </w:pPr>
    </w:p>
    <w:p w14:paraId="50658248">
      <w:pPr>
        <w:jc w:val="center"/>
        <w:outlineLvl w:val="1"/>
        <w:rPr>
          <w:rFonts w:ascii="宋体" w:hAnsi="宋体" w:eastAsia="宋体" w:cs="宋体"/>
          <w:b/>
          <w:sz w:val="24"/>
          <w:szCs w:val="24"/>
        </w:rPr>
      </w:pPr>
      <w:r>
        <w:rPr>
          <w:rFonts w:hint="eastAsia" w:ascii="宋体" w:hAnsi="宋体" w:eastAsia="宋体" w:cs="宋体"/>
          <w:b/>
          <w:sz w:val="24"/>
          <w:szCs w:val="24"/>
        </w:rPr>
        <w:t>四、已标价的工程量清单</w:t>
      </w:r>
      <w:bookmarkEnd w:id="391"/>
    </w:p>
    <w:p w14:paraId="11E5902F">
      <w:pPr>
        <w:suppressAutoHyphens/>
        <w:spacing w:line="360" w:lineRule="auto"/>
        <w:ind w:left="480"/>
        <w:jc w:val="center"/>
        <w:rPr>
          <w:rFonts w:ascii="宋体" w:hAnsi="宋体" w:cs="宋体"/>
          <w:color w:val="000000"/>
          <w:kern w:val="1"/>
          <w:sz w:val="24"/>
          <w:szCs w:val="24"/>
        </w:rPr>
      </w:pPr>
    </w:p>
    <w:p w14:paraId="5D0F0879">
      <w:pPr>
        <w:widowControl/>
        <w:spacing w:after="200" w:line="220" w:lineRule="atLeast"/>
        <w:jc w:val="center"/>
        <w:rPr>
          <w:rFonts w:ascii="宋体" w:hAnsi="宋体" w:cs="宋体"/>
          <w:b/>
          <w:bCs/>
          <w:color w:val="000000"/>
          <w:kern w:val="0"/>
          <w:sz w:val="30"/>
          <w:szCs w:val="30"/>
        </w:rPr>
      </w:pPr>
    </w:p>
    <w:p w14:paraId="3F93F7ED">
      <w:pPr>
        <w:widowControl/>
        <w:spacing w:after="200" w:line="220" w:lineRule="atLeast"/>
        <w:jc w:val="distribute"/>
        <w:rPr>
          <w:rFonts w:ascii="宋体" w:hAnsi="宋体" w:cs="宋体"/>
          <w:b/>
          <w:bCs/>
          <w:color w:val="000000"/>
          <w:kern w:val="0"/>
          <w:sz w:val="28"/>
          <w:szCs w:val="28"/>
        </w:rPr>
      </w:pPr>
    </w:p>
    <w:p w14:paraId="560568BC">
      <w:pPr>
        <w:widowControl/>
        <w:spacing w:after="200" w:line="220" w:lineRule="atLeast"/>
        <w:jc w:val="center"/>
        <w:rPr>
          <w:rFonts w:ascii="宋体" w:hAnsi="宋体" w:cs="宋体"/>
          <w:b/>
          <w:color w:val="000000"/>
          <w:sz w:val="24"/>
          <w:szCs w:val="24"/>
        </w:rPr>
      </w:pPr>
      <w:r>
        <w:rPr>
          <w:rFonts w:hint="eastAsia" w:ascii="宋体" w:hAnsi="宋体" w:cs="宋体"/>
          <w:bCs/>
          <w:color w:val="000000"/>
          <w:kern w:val="0"/>
          <w:sz w:val="30"/>
          <w:szCs w:val="30"/>
        </w:rPr>
        <w:br w:type="page"/>
      </w:r>
      <w:bookmarkStart w:id="392" w:name="_Toc22768"/>
      <w:r>
        <w:rPr>
          <w:rFonts w:hint="eastAsia" w:ascii="宋体" w:hAnsi="宋体" w:eastAsia="宋体" w:cs="宋体"/>
          <w:b/>
          <w:sz w:val="24"/>
          <w:szCs w:val="24"/>
        </w:rPr>
        <w:t>五、项目管理机构</w:t>
      </w:r>
      <w:bookmarkEnd w:id="392"/>
    </w:p>
    <w:p w14:paraId="6EBCA86F">
      <w:pPr>
        <w:keepNext/>
        <w:keepLines/>
        <w:spacing w:before="260" w:after="260" w:line="400" w:lineRule="exact"/>
        <w:jc w:val="center"/>
        <w:outlineLvl w:val="2"/>
        <w:rPr>
          <w:rFonts w:ascii="宋体" w:hAnsi="宋体" w:cs="宋体"/>
          <w:b/>
          <w:bCs/>
          <w:color w:val="000000"/>
          <w:sz w:val="24"/>
          <w:szCs w:val="24"/>
        </w:rPr>
      </w:pPr>
      <w:bookmarkStart w:id="393" w:name="_Toc30783"/>
      <w:bookmarkStart w:id="394" w:name="_Toc9797"/>
      <w:r>
        <w:rPr>
          <w:rFonts w:hint="eastAsia" w:ascii="宋体" w:hAnsi="宋体" w:cs="宋体"/>
          <w:b/>
          <w:bCs/>
          <w:color w:val="000000"/>
          <w:sz w:val="24"/>
          <w:szCs w:val="24"/>
        </w:rPr>
        <w:t>（一）项目管理机构组成表</w:t>
      </w:r>
      <w:bookmarkEnd w:id="393"/>
      <w:bookmarkEnd w:id="394"/>
    </w:p>
    <w:p w14:paraId="2E2587CA">
      <w:pPr>
        <w:spacing w:line="440" w:lineRule="exact"/>
        <w:jc w:val="center"/>
        <w:rPr>
          <w:rFonts w:ascii="宋体" w:hAnsi="宋体" w:cs="宋体"/>
          <w:color w:val="000000"/>
          <w:sz w:val="23"/>
          <w:szCs w:val="23"/>
        </w:rPr>
      </w:pP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372"/>
        <w:gridCol w:w="820"/>
        <w:gridCol w:w="1309"/>
        <w:gridCol w:w="980"/>
        <w:gridCol w:w="818"/>
        <w:gridCol w:w="818"/>
        <w:gridCol w:w="1758"/>
        <w:gridCol w:w="767"/>
      </w:tblGrid>
      <w:tr w14:paraId="4359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vMerge w:val="restart"/>
            <w:tcBorders>
              <w:top w:val="single" w:color="auto" w:sz="4" w:space="0"/>
              <w:left w:val="single" w:color="auto" w:sz="4" w:space="0"/>
              <w:bottom w:val="single" w:color="auto" w:sz="4" w:space="0"/>
              <w:right w:val="single" w:color="auto" w:sz="4" w:space="0"/>
            </w:tcBorders>
            <w:vAlign w:val="center"/>
          </w:tcPr>
          <w:p w14:paraId="0357859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职务</w:t>
            </w:r>
          </w:p>
        </w:tc>
        <w:tc>
          <w:tcPr>
            <w:tcW w:w="696" w:type="pct"/>
            <w:vMerge w:val="restart"/>
            <w:tcBorders>
              <w:top w:val="single" w:color="auto" w:sz="4" w:space="0"/>
              <w:left w:val="single" w:color="auto" w:sz="4" w:space="0"/>
              <w:bottom w:val="single" w:color="auto" w:sz="4" w:space="0"/>
              <w:right w:val="single" w:color="auto" w:sz="4" w:space="0"/>
            </w:tcBorders>
            <w:vAlign w:val="center"/>
          </w:tcPr>
          <w:p w14:paraId="1E55021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姓名</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3DA66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职称</w:t>
            </w:r>
          </w:p>
        </w:tc>
        <w:tc>
          <w:tcPr>
            <w:tcW w:w="2883" w:type="pct"/>
            <w:gridSpan w:val="5"/>
            <w:tcBorders>
              <w:top w:val="single" w:color="auto" w:sz="4" w:space="0"/>
              <w:left w:val="single" w:color="auto" w:sz="4" w:space="0"/>
              <w:bottom w:val="single" w:color="auto" w:sz="4" w:space="0"/>
              <w:right w:val="single" w:color="auto" w:sz="4" w:space="0"/>
            </w:tcBorders>
            <w:vAlign w:val="center"/>
          </w:tcPr>
          <w:p w14:paraId="1EADFF0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执业或职业资格证明</w:t>
            </w:r>
          </w:p>
        </w:tc>
        <w:tc>
          <w:tcPr>
            <w:tcW w:w="389" w:type="pct"/>
            <w:vMerge w:val="restart"/>
            <w:tcBorders>
              <w:top w:val="single" w:color="auto" w:sz="4" w:space="0"/>
              <w:left w:val="single" w:color="auto" w:sz="4" w:space="0"/>
              <w:right w:val="single" w:color="auto" w:sz="4" w:space="0"/>
            </w:tcBorders>
            <w:vAlign w:val="center"/>
          </w:tcPr>
          <w:p w14:paraId="1760DA1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备注</w:t>
            </w:r>
          </w:p>
        </w:tc>
      </w:tr>
      <w:tr w14:paraId="227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13" w:type="pct"/>
            <w:vMerge w:val="continue"/>
            <w:tcBorders>
              <w:top w:val="single" w:color="auto" w:sz="4" w:space="0"/>
              <w:left w:val="single" w:color="auto" w:sz="4" w:space="0"/>
              <w:bottom w:val="single" w:color="auto" w:sz="4" w:space="0"/>
              <w:right w:val="single" w:color="auto" w:sz="4" w:space="0"/>
            </w:tcBorders>
            <w:vAlign w:val="center"/>
          </w:tcPr>
          <w:p w14:paraId="26E596C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14:paraId="40E93FA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02890F8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14:paraId="1E44FA2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证书名称</w:t>
            </w:r>
          </w:p>
        </w:tc>
        <w:tc>
          <w:tcPr>
            <w:tcW w:w="497" w:type="pct"/>
            <w:tcBorders>
              <w:top w:val="single" w:color="auto" w:sz="4" w:space="0"/>
              <w:left w:val="single" w:color="auto" w:sz="4" w:space="0"/>
              <w:bottom w:val="single" w:color="auto" w:sz="4" w:space="0"/>
              <w:right w:val="single" w:color="auto" w:sz="4" w:space="0"/>
            </w:tcBorders>
            <w:vAlign w:val="center"/>
          </w:tcPr>
          <w:p w14:paraId="535326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级别</w:t>
            </w:r>
          </w:p>
        </w:tc>
        <w:tc>
          <w:tcPr>
            <w:tcW w:w="415" w:type="pct"/>
            <w:tcBorders>
              <w:top w:val="single" w:color="auto" w:sz="4" w:space="0"/>
              <w:left w:val="single" w:color="auto" w:sz="4" w:space="0"/>
              <w:bottom w:val="single" w:color="auto" w:sz="4" w:space="0"/>
              <w:right w:val="single" w:color="auto" w:sz="4" w:space="0"/>
            </w:tcBorders>
            <w:vAlign w:val="center"/>
          </w:tcPr>
          <w:p w14:paraId="59AB5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证号</w:t>
            </w:r>
          </w:p>
        </w:tc>
        <w:tc>
          <w:tcPr>
            <w:tcW w:w="415" w:type="pct"/>
            <w:tcBorders>
              <w:top w:val="single" w:color="auto" w:sz="4" w:space="0"/>
              <w:left w:val="single" w:color="auto" w:sz="4" w:space="0"/>
              <w:bottom w:val="single" w:color="auto" w:sz="4" w:space="0"/>
              <w:right w:val="single" w:color="auto" w:sz="4" w:space="0"/>
            </w:tcBorders>
            <w:vAlign w:val="center"/>
          </w:tcPr>
          <w:p w14:paraId="4283508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专业</w:t>
            </w:r>
          </w:p>
        </w:tc>
        <w:tc>
          <w:tcPr>
            <w:tcW w:w="890" w:type="pct"/>
            <w:tcBorders>
              <w:top w:val="single" w:color="auto" w:sz="4" w:space="0"/>
              <w:left w:val="single" w:color="auto" w:sz="4" w:space="0"/>
              <w:bottom w:val="single" w:color="auto" w:sz="4" w:space="0"/>
              <w:right w:val="single" w:color="auto" w:sz="4" w:space="0"/>
            </w:tcBorders>
            <w:vAlign w:val="center"/>
          </w:tcPr>
          <w:p w14:paraId="08215F7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养老保险</w:t>
            </w:r>
          </w:p>
        </w:tc>
        <w:tc>
          <w:tcPr>
            <w:tcW w:w="389" w:type="pct"/>
            <w:vMerge w:val="continue"/>
            <w:tcBorders>
              <w:left w:val="single" w:color="auto" w:sz="4" w:space="0"/>
              <w:bottom w:val="single" w:color="auto" w:sz="4" w:space="0"/>
              <w:right w:val="single" w:color="auto" w:sz="4" w:space="0"/>
            </w:tcBorders>
            <w:vAlign w:val="center"/>
          </w:tcPr>
          <w:p w14:paraId="6285E97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4F2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43299E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5660C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D3643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883207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8DC769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A6ACC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0D300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CC1FD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F63B29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B42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25BD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9F5FB1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19DB38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99E13F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2DCF7E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B4670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BD73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7ACD99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82D853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391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72F178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3AEC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20970F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B67C9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5593A7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48ED1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3D7FEB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B6290C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A0B93D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0B8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DBDF91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CCD65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C3CAFC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387350D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DD0DE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20B5B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152D24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53A4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28709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855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E6D87E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59CBE3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75F3F3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28D35C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4C0D4F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38741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D33C8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089D3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44E3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DDE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5AA44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941615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F150E9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4647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6619F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32A15F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678CC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8F6E2A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A4F9F8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28F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82F8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5E7C1E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A39AFB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82081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A05AA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5CF8AF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2869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63D5DD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4AAAC9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DC4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165A73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F8423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9A0C72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AB9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99237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C9F4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BE5DF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6EB170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263FF6B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FBE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33667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47C61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EE7A8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5B927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282CA7A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B1177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460D7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30A2AE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BCAF3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BF8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6114C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BD9C8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A12B32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030FB0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1CC23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0CBF4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A89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EFC6B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3D29A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CA2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552C461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43711A6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2767D3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BB9764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4B9A9A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8CEFC2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D31FD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F7D39E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910F80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4C98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C663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B0A1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8E645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F9765D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C7800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790556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BD84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AFC63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75E4A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127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265F1F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DD2197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50CA90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AFB72A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4A51F4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E2706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323FC8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9ED071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0FB631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F86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C0461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ED30ED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372C4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36C0A0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E874AA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FD128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A1184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4A28E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5F7C14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9EC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3690A04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7E313B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1249F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AD2DA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CBFC4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5BDE49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E53E6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BF040C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007EF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245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A37C49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CC556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401D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FEDE3B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98B73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F4AB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7C0E9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1A913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C2B5E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103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E92B5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D0116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431BE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FCEDC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C81AC0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5B4FBB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F0B6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F682EF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9716D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bl>
    <w:p w14:paraId="3E4C4FEB">
      <w:pPr>
        <w:jc w:val="left"/>
        <w:rPr>
          <w:rFonts w:ascii="宋体" w:hAnsi="宋体" w:cs="宋体"/>
          <w:b/>
          <w:color w:val="000000"/>
          <w:sz w:val="24"/>
          <w:szCs w:val="24"/>
        </w:rPr>
      </w:pPr>
    </w:p>
    <w:p w14:paraId="2C1BF5EA">
      <w:pPr>
        <w:wordWrap w:val="0"/>
        <w:spacing w:line="400" w:lineRule="exact"/>
        <w:ind w:firstLine="420" w:firstLineChars="175"/>
        <w:jc w:val="left"/>
        <w:rPr>
          <w:rFonts w:ascii="宋体" w:hAnsi="宋体" w:cs="楷体_GB2312"/>
          <w:sz w:val="24"/>
          <w:szCs w:val="24"/>
        </w:rPr>
      </w:pPr>
    </w:p>
    <w:p w14:paraId="6F914F68">
      <w:pPr>
        <w:wordWrap w:val="0"/>
        <w:spacing w:line="400" w:lineRule="exact"/>
        <w:ind w:firstLine="420" w:firstLineChars="175"/>
        <w:jc w:val="left"/>
        <w:rPr>
          <w:rFonts w:ascii="宋体" w:hAnsi="宋体" w:cs="楷体_GB2312"/>
          <w:sz w:val="24"/>
          <w:u w:val="single"/>
        </w:rPr>
      </w:pPr>
    </w:p>
    <w:p w14:paraId="363AB51D">
      <w:pPr>
        <w:spacing w:line="360" w:lineRule="auto"/>
        <w:ind w:right="240" w:firstLine="360" w:firstLineChars="150"/>
        <w:jc w:val="left"/>
        <w:rPr>
          <w:rFonts w:ascii="宋体" w:hAnsi="宋体" w:cs="楷体_GB2312"/>
          <w:sz w:val="24"/>
        </w:rPr>
      </w:pPr>
    </w:p>
    <w:p w14:paraId="3EEA1688">
      <w:pPr>
        <w:spacing w:line="360" w:lineRule="auto"/>
        <w:ind w:right="240" w:firstLine="360" w:firstLineChars="150"/>
        <w:jc w:val="left"/>
        <w:rPr>
          <w:rFonts w:ascii="宋体" w:hAnsi="宋体" w:cs="宋体"/>
          <w:color w:val="000000"/>
          <w:szCs w:val="21"/>
        </w:rPr>
      </w:pPr>
      <w:r>
        <w:rPr>
          <w:rFonts w:hint="eastAsia" w:ascii="宋体" w:hAnsi="宋体" w:cs="楷体_GB2312"/>
          <w:sz w:val="24"/>
        </w:rPr>
        <w:t xml:space="preserve">    </w:t>
      </w:r>
      <w:r>
        <w:rPr>
          <w:rFonts w:hint="eastAsia" w:ascii="宋体" w:hAnsi="宋体" w:cs="宋体"/>
          <w:color w:val="000000"/>
          <w:szCs w:val="21"/>
        </w:rPr>
        <w:t xml:space="preserve">       </w:t>
      </w:r>
    </w:p>
    <w:p w14:paraId="7D262FFF"/>
    <w:p w14:paraId="1C5C5393"/>
    <w:p w14:paraId="26EDC917">
      <w:pPr>
        <w:pStyle w:val="7"/>
        <w:ind w:left="63" w:right="63" w:firstLine="211"/>
      </w:pPr>
    </w:p>
    <w:p w14:paraId="0D7EBF71">
      <w:pPr>
        <w:keepNext/>
        <w:keepLines/>
        <w:spacing w:before="260" w:after="260" w:line="400" w:lineRule="exact"/>
        <w:jc w:val="center"/>
        <w:outlineLvl w:val="2"/>
        <w:rPr>
          <w:rFonts w:cs="宋体" w:asciiTheme="minorEastAsia" w:hAnsiTheme="minorEastAsia"/>
          <w:b/>
          <w:bCs/>
          <w:color w:val="000000"/>
          <w:sz w:val="24"/>
          <w:szCs w:val="24"/>
        </w:rPr>
      </w:pPr>
      <w:bookmarkStart w:id="395" w:name="_Toc11417"/>
      <w:bookmarkStart w:id="396" w:name="_Toc31137"/>
      <w:r>
        <w:rPr>
          <w:rFonts w:hint="eastAsia" w:cs="宋体" w:asciiTheme="minorEastAsia" w:hAnsiTheme="minorEastAsia"/>
          <w:b/>
          <w:bCs/>
          <w:color w:val="000000"/>
          <w:sz w:val="24"/>
          <w:szCs w:val="24"/>
        </w:rPr>
        <w:t>（二）主要人员简历表</w:t>
      </w:r>
      <w:bookmarkEnd w:id="395"/>
      <w:bookmarkEnd w:id="396"/>
    </w:p>
    <w:p w14:paraId="116FC954">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“主要人员简历表”中的项目经理应附注册证、</w:t>
      </w:r>
      <w:r>
        <w:rPr>
          <w:rFonts w:hint="eastAsia" w:cs="宋体" w:asciiTheme="minorEastAsia" w:hAnsiTheme="minorEastAsia"/>
          <w:kern w:val="0"/>
          <w:sz w:val="24"/>
          <w:szCs w:val="24"/>
        </w:rPr>
        <w:t>安全生产考核合格证（B类）、</w:t>
      </w:r>
      <w:r>
        <w:rPr>
          <w:rFonts w:hint="eastAsia" w:cs="宋体" w:asciiTheme="minorEastAsia" w:hAnsiTheme="minorEastAsia"/>
          <w:color w:val="000000"/>
          <w:sz w:val="24"/>
          <w:szCs w:val="24"/>
        </w:rPr>
        <w:t>身份证等扫描件；技术负责人应附身份证、职称证等扫描件；其他主要人员应附执业证或上岗证书扫描件（专职安全生产管理人员应附有效的安全生产考核合格证书）。</w:t>
      </w:r>
    </w:p>
    <w:p w14:paraId="5AB91FA8">
      <w:pPr>
        <w:topLinePunct/>
        <w:spacing w:line="440" w:lineRule="exact"/>
        <w:jc w:val="center"/>
        <w:rPr>
          <w:rFonts w:cs="宋体" w:asciiTheme="minorEastAsia" w:hAnsiTheme="minorEastAsia"/>
          <w:color w:val="000000"/>
          <w:sz w:val="24"/>
          <w:szCs w:val="24"/>
        </w:rPr>
      </w:pP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416"/>
        <w:gridCol w:w="831"/>
        <w:gridCol w:w="1070"/>
        <w:gridCol w:w="1229"/>
        <w:gridCol w:w="821"/>
        <w:gridCol w:w="1456"/>
        <w:gridCol w:w="183"/>
        <w:gridCol w:w="2475"/>
      </w:tblGrid>
      <w:tr w14:paraId="5182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2608B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姓  名</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157B860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7DFC860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 龄</w:t>
            </w:r>
          </w:p>
        </w:tc>
        <w:tc>
          <w:tcPr>
            <w:tcW w:w="624" w:type="pct"/>
            <w:tcBorders>
              <w:top w:val="single" w:color="auto" w:sz="4" w:space="0"/>
              <w:left w:val="single" w:color="auto" w:sz="4" w:space="0"/>
              <w:bottom w:val="single" w:color="auto" w:sz="4" w:space="0"/>
              <w:right w:val="single" w:color="auto" w:sz="4" w:space="0"/>
            </w:tcBorders>
            <w:vAlign w:val="center"/>
          </w:tcPr>
          <w:p w14:paraId="461FAB8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74CB288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学历</w:t>
            </w:r>
          </w:p>
        </w:tc>
        <w:tc>
          <w:tcPr>
            <w:tcW w:w="1252" w:type="pct"/>
            <w:tcBorders>
              <w:top w:val="single" w:color="auto" w:sz="4" w:space="0"/>
              <w:left w:val="single" w:color="auto" w:sz="4" w:space="0"/>
              <w:bottom w:val="single" w:color="auto" w:sz="4" w:space="0"/>
              <w:right w:val="single" w:color="auto" w:sz="4" w:space="0"/>
            </w:tcBorders>
            <w:vAlign w:val="center"/>
          </w:tcPr>
          <w:p w14:paraId="75A4F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3F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5A3ECD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称</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4D213CB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5DCDE4C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务</w:t>
            </w:r>
          </w:p>
        </w:tc>
        <w:tc>
          <w:tcPr>
            <w:tcW w:w="624" w:type="pct"/>
            <w:tcBorders>
              <w:top w:val="single" w:color="auto" w:sz="4" w:space="0"/>
              <w:left w:val="single" w:color="auto" w:sz="4" w:space="0"/>
              <w:bottom w:val="single" w:color="auto" w:sz="4" w:space="0"/>
              <w:right w:val="single" w:color="auto" w:sz="4" w:space="0"/>
            </w:tcBorders>
            <w:vAlign w:val="center"/>
          </w:tcPr>
          <w:p w14:paraId="341F43A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3632FE3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拟在本合同任职</w:t>
            </w:r>
          </w:p>
        </w:tc>
        <w:tc>
          <w:tcPr>
            <w:tcW w:w="1252" w:type="pct"/>
            <w:tcBorders>
              <w:top w:val="single" w:color="auto" w:sz="4" w:space="0"/>
              <w:left w:val="single" w:color="auto" w:sz="4" w:space="0"/>
              <w:bottom w:val="single" w:color="auto" w:sz="4" w:space="0"/>
              <w:right w:val="single" w:color="auto" w:sz="4" w:space="0"/>
            </w:tcBorders>
            <w:vAlign w:val="center"/>
          </w:tcPr>
          <w:p w14:paraId="055816E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CF5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3C8BE04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毕业学校</w:t>
            </w:r>
          </w:p>
        </w:tc>
        <w:tc>
          <w:tcPr>
            <w:tcW w:w="4304" w:type="pct"/>
            <w:gridSpan w:val="8"/>
            <w:tcBorders>
              <w:top w:val="single" w:color="auto" w:sz="4" w:space="0"/>
              <w:left w:val="single" w:color="auto" w:sz="4" w:space="0"/>
              <w:bottom w:val="single" w:color="auto" w:sz="4" w:space="0"/>
              <w:right w:val="single" w:color="auto" w:sz="4" w:space="0"/>
            </w:tcBorders>
            <w:vAlign w:val="center"/>
          </w:tcPr>
          <w:p w14:paraId="68FB960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年毕业于            学校        专业</w:t>
            </w:r>
          </w:p>
        </w:tc>
      </w:tr>
      <w:tr w14:paraId="3CDF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1EA765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主要工作经历</w:t>
            </w:r>
          </w:p>
        </w:tc>
      </w:tr>
      <w:tr w14:paraId="347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48DBBB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时  间</w:t>
            </w: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82ECAC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参加过的类似项目</w:t>
            </w:r>
          </w:p>
        </w:tc>
        <w:tc>
          <w:tcPr>
            <w:tcW w:w="739" w:type="pct"/>
            <w:tcBorders>
              <w:top w:val="single" w:color="auto" w:sz="4" w:space="0"/>
              <w:left w:val="single" w:color="auto" w:sz="4" w:space="0"/>
              <w:bottom w:val="single" w:color="auto" w:sz="4" w:space="0"/>
              <w:right w:val="single" w:color="auto" w:sz="4" w:space="0"/>
            </w:tcBorders>
            <w:vAlign w:val="center"/>
          </w:tcPr>
          <w:p w14:paraId="107ED95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担任职务</w:t>
            </w: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BF06C6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发包人及联系电话</w:t>
            </w:r>
          </w:p>
        </w:tc>
      </w:tr>
      <w:tr w14:paraId="7C0D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3F6783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5BC8B6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3EE636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67A575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6FD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22C15B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4C7B5B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2D4E3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FC0802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5D63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A59585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44D8603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ACD585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1F701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A8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0EDB4A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F0594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4A1F97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0CC99E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272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1FB0BAC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D9B8DB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958B79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3BACB9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6047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595737E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8DEF17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0A1B7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71FD39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7322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C7B231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E1DE2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6DD5DF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D78EC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58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AD9B1E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0F841A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9388BE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E1C818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199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6EF0A9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A0CF38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727A03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2AB1DB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CD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A3892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7E3964C8">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852B9A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43CF1EC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bl>
    <w:p w14:paraId="21BB99D6">
      <w:pPr>
        <w:jc w:val="right"/>
        <w:rPr>
          <w:rFonts w:cs="宋体" w:asciiTheme="minorEastAsia" w:hAnsiTheme="minorEastAsia"/>
          <w:b/>
          <w:color w:val="000000"/>
          <w:sz w:val="24"/>
          <w:szCs w:val="24"/>
        </w:rPr>
      </w:pPr>
    </w:p>
    <w:p w14:paraId="4DB80386">
      <w:pPr>
        <w:wordWrap w:val="0"/>
        <w:spacing w:line="400" w:lineRule="exact"/>
        <w:ind w:firstLine="420" w:firstLineChars="175"/>
        <w:jc w:val="left"/>
        <w:rPr>
          <w:rFonts w:cs="楷体_GB2312" w:asciiTheme="minorEastAsia" w:hAnsiTheme="minorEastAsia"/>
          <w:sz w:val="24"/>
          <w:szCs w:val="24"/>
        </w:rPr>
      </w:pPr>
    </w:p>
    <w:p w14:paraId="1ED941F9">
      <w:pPr>
        <w:wordWrap w:val="0"/>
        <w:spacing w:line="400" w:lineRule="exact"/>
        <w:ind w:firstLine="420" w:firstLineChars="175"/>
        <w:jc w:val="left"/>
        <w:rPr>
          <w:rFonts w:cs="楷体_GB2312" w:asciiTheme="minorEastAsia" w:hAnsiTheme="minorEastAsia"/>
          <w:sz w:val="24"/>
          <w:szCs w:val="24"/>
        </w:rPr>
      </w:pPr>
    </w:p>
    <w:p w14:paraId="14120455">
      <w:pPr>
        <w:wordWrap w:val="0"/>
        <w:spacing w:line="400" w:lineRule="exact"/>
        <w:ind w:firstLine="420" w:firstLineChars="175"/>
        <w:jc w:val="left"/>
        <w:rPr>
          <w:rFonts w:cs="楷体_GB2312" w:asciiTheme="minorEastAsia" w:hAnsiTheme="minorEastAsia"/>
          <w:sz w:val="24"/>
          <w:szCs w:val="24"/>
          <w:u w:val="single"/>
        </w:rPr>
      </w:pPr>
    </w:p>
    <w:p w14:paraId="45E1153F">
      <w:pPr>
        <w:widowControl/>
        <w:spacing w:after="200" w:line="220" w:lineRule="atLeast"/>
        <w:ind w:firstLine="480" w:firstLineChars="200"/>
        <w:jc w:val="center"/>
        <w:rPr>
          <w:rFonts w:cs="宋体" w:asciiTheme="minorEastAsia" w:hAnsiTheme="minorEastAsia"/>
          <w:b/>
          <w:color w:val="000000"/>
          <w:sz w:val="24"/>
          <w:szCs w:val="24"/>
        </w:rPr>
      </w:pPr>
      <w:r>
        <w:rPr>
          <w:rFonts w:hint="eastAsia" w:cs="楷体_GB2312" w:asciiTheme="minorEastAsia" w:hAnsiTheme="minorEastAsia"/>
          <w:sz w:val="24"/>
          <w:szCs w:val="24"/>
        </w:rPr>
        <w:t xml:space="preserve">    </w:t>
      </w:r>
      <w:r>
        <w:rPr>
          <w:rFonts w:hint="eastAsia" w:cs="宋体" w:asciiTheme="minorEastAsia" w:hAnsiTheme="minorEastAsia"/>
          <w:b/>
          <w:bCs/>
          <w:color w:val="000000"/>
          <w:kern w:val="0"/>
          <w:sz w:val="24"/>
          <w:szCs w:val="24"/>
        </w:rPr>
        <w:br w:type="page"/>
      </w:r>
      <w:bookmarkStart w:id="397" w:name="_Toc27221"/>
      <w:r>
        <w:rPr>
          <w:rFonts w:hint="eastAsia" w:cs="宋体" w:asciiTheme="minorEastAsia" w:hAnsiTheme="minorEastAsia"/>
          <w:b/>
          <w:sz w:val="24"/>
          <w:szCs w:val="24"/>
        </w:rPr>
        <w:t>六、资格审查资料</w:t>
      </w:r>
      <w:bookmarkEnd w:id="397"/>
    </w:p>
    <w:tbl>
      <w:tblPr>
        <w:tblStyle w:val="15"/>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4"/>
        <w:gridCol w:w="1009"/>
        <w:gridCol w:w="1071"/>
        <w:gridCol w:w="944"/>
        <w:gridCol w:w="475"/>
        <w:gridCol w:w="351"/>
        <w:gridCol w:w="1214"/>
        <w:gridCol w:w="550"/>
        <w:gridCol w:w="967"/>
        <w:gridCol w:w="1121"/>
      </w:tblGrid>
      <w:tr w14:paraId="21EB3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8" w:type="pct"/>
            <w:vAlign w:val="center"/>
          </w:tcPr>
          <w:p w14:paraId="01BAA17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供应商名称</w:t>
            </w:r>
          </w:p>
        </w:tc>
        <w:tc>
          <w:tcPr>
            <w:tcW w:w="3991" w:type="pct"/>
            <w:gridSpan w:val="9"/>
            <w:vAlign w:val="center"/>
          </w:tcPr>
          <w:p w14:paraId="44B6D7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F014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6C271BE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注册地址</w:t>
            </w:r>
          </w:p>
        </w:tc>
        <w:tc>
          <w:tcPr>
            <w:tcW w:w="1995" w:type="pct"/>
            <w:gridSpan w:val="5"/>
            <w:vAlign w:val="center"/>
          </w:tcPr>
          <w:p w14:paraId="1F2029E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150B386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邮政编码</w:t>
            </w:r>
          </w:p>
        </w:tc>
        <w:tc>
          <w:tcPr>
            <w:tcW w:w="1367" w:type="pct"/>
            <w:gridSpan w:val="3"/>
            <w:vAlign w:val="center"/>
          </w:tcPr>
          <w:p w14:paraId="12E2973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1C1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8" w:type="pct"/>
            <w:vMerge w:val="restart"/>
            <w:vAlign w:val="center"/>
          </w:tcPr>
          <w:p w14:paraId="01132C6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联系方式</w:t>
            </w:r>
          </w:p>
        </w:tc>
        <w:tc>
          <w:tcPr>
            <w:tcW w:w="523" w:type="pct"/>
            <w:vAlign w:val="center"/>
          </w:tcPr>
          <w:p w14:paraId="3D4768C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联系人</w:t>
            </w:r>
          </w:p>
        </w:tc>
        <w:tc>
          <w:tcPr>
            <w:tcW w:w="1471" w:type="pct"/>
            <w:gridSpan w:val="4"/>
            <w:vAlign w:val="center"/>
          </w:tcPr>
          <w:p w14:paraId="34C2047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09C842C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 话</w:t>
            </w:r>
          </w:p>
        </w:tc>
        <w:tc>
          <w:tcPr>
            <w:tcW w:w="1367" w:type="pct"/>
            <w:gridSpan w:val="3"/>
            <w:vAlign w:val="center"/>
          </w:tcPr>
          <w:p w14:paraId="580CF1B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11C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pct"/>
            <w:vMerge w:val="continue"/>
            <w:tcBorders>
              <w:top w:val="nil"/>
            </w:tcBorders>
            <w:vAlign w:val="center"/>
          </w:tcPr>
          <w:p w14:paraId="42DCA70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23" w:type="pct"/>
            <w:vAlign w:val="center"/>
          </w:tcPr>
          <w:p w14:paraId="026A5A66">
            <w:pPr>
              <w:keepNext w:val="0"/>
              <w:keepLines w:val="0"/>
              <w:suppressLineNumbers w:val="0"/>
              <w:tabs>
                <w:tab w:val="left" w:pos="427"/>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传</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真</w:t>
            </w:r>
          </w:p>
        </w:tc>
        <w:tc>
          <w:tcPr>
            <w:tcW w:w="1471" w:type="pct"/>
            <w:gridSpan w:val="4"/>
            <w:vAlign w:val="center"/>
          </w:tcPr>
          <w:p w14:paraId="65708D8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590968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网 址</w:t>
            </w:r>
          </w:p>
        </w:tc>
        <w:tc>
          <w:tcPr>
            <w:tcW w:w="1367" w:type="pct"/>
            <w:gridSpan w:val="3"/>
            <w:vAlign w:val="center"/>
          </w:tcPr>
          <w:p w14:paraId="607BA5A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B97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08" w:type="pct"/>
            <w:vAlign w:val="center"/>
          </w:tcPr>
          <w:p w14:paraId="16E92CD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组织结构</w:t>
            </w:r>
          </w:p>
        </w:tc>
        <w:tc>
          <w:tcPr>
            <w:tcW w:w="3991" w:type="pct"/>
            <w:gridSpan w:val="9"/>
            <w:vAlign w:val="center"/>
          </w:tcPr>
          <w:p w14:paraId="2789C42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F8E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8" w:type="pct"/>
            <w:vAlign w:val="center"/>
          </w:tcPr>
          <w:p w14:paraId="0A50109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法定代表人</w:t>
            </w:r>
          </w:p>
        </w:tc>
        <w:tc>
          <w:tcPr>
            <w:tcW w:w="523" w:type="pct"/>
            <w:vAlign w:val="center"/>
          </w:tcPr>
          <w:p w14:paraId="00EB100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1B4C56B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58E795A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4C0867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454E2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36CF3C0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F662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08" w:type="pct"/>
            <w:vAlign w:val="center"/>
          </w:tcPr>
          <w:p w14:paraId="7323EC8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技术负责人</w:t>
            </w:r>
          </w:p>
        </w:tc>
        <w:tc>
          <w:tcPr>
            <w:tcW w:w="523" w:type="pct"/>
            <w:vAlign w:val="center"/>
          </w:tcPr>
          <w:p w14:paraId="6689968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0653834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3ACB96A6">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2BCE18F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D83CE0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660DEB1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4A0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8" w:type="pct"/>
            <w:vAlign w:val="center"/>
          </w:tcPr>
          <w:p w14:paraId="3E130D9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成立时间</w:t>
            </w:r>
          </w:p>
        </w:tc>
        <w:tc>
          <w:tcPr>
            <w:tcW w:w="1078" w:type="pct"/>
            <w:gridSpan w:val="2"/>
            <w:vAlign w:val="center"/>
          </w:tcPr>
          <w:p w14:paraId="287219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2913" w:type="pct"/>
            <w:gridSpan w:val="7"/>
            <w:vAlign w:val="center"/>
          </w:tcPr>
          <w:p w14:paraId="5116368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员工总人数：</w:t>
            </w:r>
          </w:p>
        </w:tc>
      </w:tr>
      <w:tr w14:paraId="270A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008" w:type="pct"/>
            <w:vAlign w:val="center"/>
          </w:tcPr>
          <w:p w14:paraId="0975859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企业资质等级</w:t>
            </w:r>
          </w:p>
        </w:tc>
        <w:tc>
          <w:tcPr>
            <w:tcW w:w="1078" w:type="pct"/>
            <w:gridSpan w:val="2"/>
            <w:vAlign w:val="center"/>
          </w:tcPr>
          <w:p w14:paraId="42BD9AF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restart"/>
            <w:vAlign w:val="center"/>
          </w:tcPr>
          <w:p w14:paraId="79049E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其中</w:t>
            </w:r>
          </w:p>
        </w:tc>
        <w:tc>
          <w:tcPr>
            <w:tcW w:w="1342" w:type="pct"/>
            <w:gridSpan w:val="4"/>
            <w:vAlign w:val="center"/>
          </w:tcPr>
          <w:p w14:paraId="1809217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项目经理</w:t>
            </w:r>
          </w:p>
        </w:tc>
        <w:tc>
          <w:tcPr>
            <w:tcW w:w="1081" w:type="pct"/>
            <w:gridSpan w:val="2"/>
            <w:vAlign w:val="center"/>
          </w:tcPr>
          <w:p w14:paraId="7EEB755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0779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2072C93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营业执照号</w:t>
            </w:r>
          </w:p>
        </w:tc>
        <w:tc>
          <w:tcPr>
            <w:tcW w:w="1078" w:type="pct"/>
            <w:gridSpan w:val="2"/>
            <w:vAlign w:val="center"/>
          </w:tcPr>
          <w:p w14:paraId="50C7315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507CF3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2F988DA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高级职称人员</w:t>
            </w:r>
          </w:p>
        </w:tc>
        <w:tc>
          <w:tcPr>
            <w:tcW w:w="1081" w:type="pct"/>
            <w:gridSpan w:val="2"/>
            <w:vAlign w:val="center"/>
          </w:tcPr>
          <w:p w14:paraId="12EDCFB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163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8" w:type="pct"/>
            <w:vAlign w:val="center"/>
          </w:tcPr>
          <w:p w14:paraId="1A60260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注册资金</w:t>
            </w:r>
          </w:p>
        </w:tc>
        <w:tc>
          <w:tcPr>
            <w:tcW w:w="1078" w:type="pct"/>
            <w:gridSpan w:val="2"/>
            <w:vAlign w:val="center"/>
          </w:tcPr>
          <w:p w14:paraId="47EB06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15D61A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12CEF36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中级职称人员</w:t>
            </w:r>
          </w:p>
        </w:tc>
        <w:tc>
          <w:tcPr>
            <w:tcW w:w="1081" w:type="pct"/>
            <w:gridSpan w:val="2"/>
            <w:vAlign w:val="center"/>
          </w:tcPr>
          <w:p w14:paraId="7393CB4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E6A0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pct"/>
            <w:vAlign w:val="center"/>
          </w:tcPr>
          <w:p w14:paraId="45360BA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开户银行</w:t>
            </w:r>
          </w:p>
        </w:tc>
        <w:tc>
          <w:tcPr>
            <w:tcW w:w="1078" w:type="pct"/>
            <w:gridSpan w:val="2"/>
            <w:vAlign w:val="center"/>
          </w:tcPr>
          <w:p w14:paraId="4290EF6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21EFCD2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784011D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初级职称人员</w:t>
            </w:r>
          </w:p>
        </w:tc>
        <w:tc>
          <w:tcPr>
            <w:tcW w:w="1081" w:type="pct"/>
            <w:gridSpan w:val="2"/>
            <w:vAlign w:val="center"/>
          </w:tcPr>
          <w:p w14:paraId="73025B9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B70B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8" w:type="pct"/>
            <w:vAlign w:val="center"/>
          </w:tcPr>
          <w:p w14:paraId="312A795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账号</w:t>
            </w:r>
          </w:p>
        </w:tc>
        <w:tc>
          <w:tcPr>
            <w:tcW w:w="1078" w:type="pct"/>
            <w:gridSpan w:val="2"/>
            <w:vAlign w:val="center"/>
          </w:tcPr>
          <w:p w14:paraId="37063D2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0403D40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53EB9E13">
            <w:pPr>
              <w:keepNext w:val="0"/>
              <w:keepLines w:val="0"/>
              <w:suppressLineNumbers w:val="0"/>
              <w:tabs>
                <w:tab w:val="left" w:pos="528"/>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工</w:t>
            </w:r>
          </w:p>
        </w:tc>
        <w:tc>
          <w:tcPr>
            <w:tcW w:w="1081" w:type="pct"/>
            <w:gridSpan w:val="2"/>
            <w:vAlign w:val="center"/>
          </w:tcPr>
          <w:p w14:paraId="6C49590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1027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008" w:type="pct"/>
            <w:vAlign w:val="center"/>
          </w:tcPr>
          <w:p w14:paraId="2F3B69C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经营范围</w:t>
            </w:r>
          </w:p>
        </w:tc>
        <w:tc>
          <w:tcPr>
            <w:tcW w:w="3991" w:type="pct"/>
            <w:gridSpan w:val="9"/>
            <w:vAlign w:val="center"/>
          </w:tcPr>
          <w:p w14:paraId="0BD8818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909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pct"/>
            <w:vAlign w:val="center"/>
          </w:tcPr>
          <w:p w14:paraId="0A5A72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备注</w:t>
            </w:r>
          </w:p>
        </w:tc>
        <w:tc>
          <w:tcPr>
            <w:tcW w:w="3991" w:type="pct"/>
            <w:gridSpan w:val="9"/>
            <w:vAlign w:val="center"/>
          </w:tcPr>
          <w:p w14:paraId="3FC6BF5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bl>
    <w:p w14:paraId="333DC4E6">
      <w:pPr>
        <w:spacing w:line="422" w:lineRule="exact"/>
        <w:rPr>
          <w:rFonts w:asciiTheme="minorEastAsia" w:hAnsiTheme="minorEastAsia"/>
          <w:sz w:val="24"/>
          <w:szCs w:val="24"/>
        </w:rPr>
      </w:pPr>
    </w:p>
    <w:p w14:paraId="51E723A0">
      <w:pPr>
        <w:spacing w:line="422" w:lineRule="exact"/>
        <w:rPr>
          <w:rFonts w:asciiTheme="minorEastAsia" w:hAnsiTheme="minorEastAsia"/>
          <w:sz w:val="24"/>
          <w:szCs w:val="24"/>
        </w:rPr>
      </w:pPr>
      <w:r>
        <w:rPr>
          <w:rFonts w:cs="宋体" w:asciiTheme="minorEastAsia" w:hAnsiTheme="minorEastAsia"/>
          <w:b/>
          <w:kern w:val="0"/>
          <w:sz w:val="24"/>
          <w:szCs w:val="24"/>
          <w:lang w:val="zh-CN" w:bidi="zh-CN"/>
        </w:rPr>
        <w:t>后附</w:t>
      </w:r>
      <w:r>
        <w:rPr>
          <w:rFonts w:hint="eastAsia" w:cs="宋体" w:asciiTheme="minorEastAsia" w:hAnsiTheme="minorEastAsia"/>
          <w:b/>
          <w:kern w:val="0"/>
          <w:sz w:val="24"/>
          <w:szCs w:val="24"/>
          <w:lang w:val="zh-CN" w:bidi="zh-CN"/>
        </w:rPr>
        <w:t>供应</w:t>
      </w:r>
      <w:r>
        <w:rPr>
          <w:rFonts w:cs="宋体" w:asciiTheme="minorEastAsia" w:hAnsiTheme="minorEastAsia"/>
          <w:b/>
          <w:kern w:val="0"/>
          <w:sz w:val="24"/>
          <w:szCs w:val="24"/>
          <w:lang w:val="zh-CN" w:bidi="zh-CN"/>
        </w:rPr>
        <w:t>商资格要求中：营业执照等相关证件的扫描件</w:t>
      </w:r>
    </w:p>
    <w:p w14:paraId="18A9D742">
      <w:pPr>
        <w:spacing w:line="422" w:lineRule="exact"/>
        <w:rPr>
          <w:rFonts w:asciiTheme="minorEastAsia" w:hAnsiTheme="minorEastAsia"/>
          <w:sz w:val="24"/>
          <w:szCs w:val="24"/>
        </w:rPr>
      </w:pPr>
    </w:p>
    <w:p w14:paraId="7827299D">
      <w:pPr>
        <w:ind w:firstLine="480"/>
        <w:rPr>
          <w:rFonts w:asciiTheme="minorEastAsia" w:hAnsiTheme="minorEastAsia"/>
          <w:sz w:val="24"/>
          <w:szCs w:val="24"/>
        </w:rPr>
      </w:pPr>
    </w:p>
    <w:p w14:paraId="6CDABBC6">
      <w:pPr>
        <w:spacing w:line="422" w:lineRule="exact"/>
        <w:rPr>
          <w:rFonts w:asciiTheme="minorEastAsia" w:hAnsiTheme="minorEastAsia"/>
          <w:sz w:val="24"/>
          <w:szCs w:val="24"/>
        </w:rPr>
      </w:pPr>
    </w:p>
    <w:p w14:paraId="58B346E5">
      <w:pPr>
        <w:pStyle w:val="7"/>
        <w:ind w:left="63" w:right="63" w:firstLine="211"/>
        <w:rPr>
          <w:rFonts w:asciiTheme="minorEastAsia" w:hAnsiTheme="minorEastAsia"/>
          <w:sz w:val="24"/>
          <w:szCs w:val="24"/>
        </w:rPr>
      </w:pPr>
    </w:p>
    <w:p w14:paraId="2B240D5D">
      <w:pPr>
        <w:widowControl/>
        <w:spacing w:after="200" w:line="360" w:lineRule="auto"/>
        <w:jc w:val="center"/>
        <w:rPr>
          <w:rFonts w:cs="宋体" w:asciiTheme="minorEastAsia" w:hAnsiTheme="minorEastAsia"/>
          <w:sz w:val="24"/>
          <w:szCs w:val="24"/>
        </w:rPr>
      </w:pPr>
      <w:bookmarkStart w:id="398" w:name="_Toc11244"/>
    </w:p>
    <w:p w14:paraId="5BC87571">
      <w:pPr>
        <w:widowControl/>
        <w:spacing w:after="200" w:line="360" w:lineRule="auto"/>
        <w:jc w:val="center"/>
        <w:rPr>
          <w:rFonts w:cs="宋体" w:asciiTheme="minorEastAsia" w:hAnsiTheme="minorEastAsia"/>
          <w:b/>
          <w:color w:val="000000"/>
          <w:kern w:val="1"/>
          <w:sz w:val="24"/>
          <w:szCs w:val="24"/>
        </w:rPr>
      </w:pPr>
      <w:r>
        <w:rPr>
          <w:rFonts w:hint="eastAsia" w:cs="宋体" w:asciiTheme="minorEastAsia" w:hAnsiTheme="minorEastAsia"/>
          <w:b/>
          <w:sz w:val="24"/>
          <w:szCs w:val="24"/>
        </w:rPr>
        <w:t>七、</w:t>
      </w:r>
      <w:bookmarkEnd w:id="398"/>
      <w:r>
        <w:rPr>
          <w:rFonts w:ascii="宋体" w:hAnsi="宋体" w:cs="宋体"/>
          <w:b/>
          <w:sz w:val="24"/>
        </w:rPr>
        <w:t>组织</w:t>
      </w:r>
      <w:r>
        <w:rPr>
          <w:rFonts w:hint="eastAsia" w:ascii="宋体" w:hAnsi="宋体" w:cs="宋体"/>
          <w:b/>
          <w:sz w:val="24"/>
        </w:rPr>
        <w:t>技术</w:t>
      </w:r>
      <w:r>
        <w:rPr>
          <w:rFonts w:ascii="宋体" w:hAnsi="宋体" w:cs="宋体"/>
          <w:b/>
          <w:sz w:val="24"/>
        </w:rPr>
        <w:t>方案</w:t>
      </w:r>
    </w:p>
    <w:p w14:paraId="0446A772">
      <w:pPr>
        <w:widowControl/>
        <w:ind w:firstLine="480" w:firstLineChars="200"/>
        <w:jc w:val="left"/>
        <w:rPr>
          <w:rFonts w:ascii="Calibri" w:hAnsi="Calibri" w:eastAsia="宋体" w:cs="Times New Roman"/>
          <w:kern w:val="0"/>
          <w:sz w:val="24"/>
        </w:rPr>
      </w:pPr>
      <w:bookmarkStart w:id="399" w:name="_Toc28656"/>
      <w:r>
        <w:rPr>
          <w:rFonts w:ascii="Calibri" w:hAnsi="Calibri" w:eastAsia="宋体" w:cs="Times New Roman"/>
          <w:kern w:val="0"/>
          <w:sz w:val="24"/>
        </w:rPr>
        <w:t>供应商自拟格式并阐述。</w:t>
      </w:r>
    </w:p>
    <w:p w14:paraId="726B877D">
      <w:pPr>
        <w:jc w:val="center"/>
        <w:outlineLvl w:val="1"/>
        <w:rPr>
          <w:rFonts w:cs="宋体" w:asciiTheme="minorEastAsia" w:hAnsiTheme="minorEastAsia"/>
          <w:sz w:val="24"/>
          <w:szCs w:val="24"/>
        </w:rPr>
      </w:pPr>
    </w:p>
    <w:p w14:paraId="1395F640">
      <w:pPr>
        <w:jc w:val="center"/>
        <w:outlineLvl w:val="1"/>
        <w:rPr>
          <w:rFonts w:cs="宋体" w:asciiTheme="minorEastAsia" w:hAnsiTheme="minorEastAsia"/>
          <w:sz w:val="24"/>
          <w:szCs w:val="24"/>
        </w:rPr>
      </w:pPr>
    </w:p>
    <w:p w14:paraId="6363DD93">
      <w:pPr>
        <w:jc w:val="center"/>
        <w:outlineLvl w:val="1"/>
        <w:rPr>
          <w:rFonts w:cs="宋体" w:asciiTheme="minorEastAsia" w:hAnsiTheme="minorEastAsia"/>
          <w:b/>
          <w:sz w:val="24"/>
          <w:szCs w:val="24"/>
        </w:rPr>
      </w:pPr>
    </w:p>
    <w:p w14:paraId="36AC431F">
      <w:pPr>
        <w:jc w:val="center"/>
        <w:outlineLvl w:val="1"/>
        <w:rPr>
          <w:rFonts w:cs="宋体" w:asciiTheme="minorEastAsia" w:hAnsiTheme="minorEastAsia"/>
          <w:b/>
          <w:sz w:val="24"/>
          <w:szCs w:val="24"/>
        </w:rPr>
      </w:pPr>
    </w:p>
    <w:p w14:paraId="4E45FCB8">
      <w:pPr>
        <w:jc w:val="center"/>
        <w:outlineLvl w:val="1"/>
        <w:rPr>
          <w:rFonts w:cs="宋体" w:asciiTheme="minorEastAsia" w:hAnsiTheme="minorEastAsia"/>
          <w:b/>
          <w:sz w:val="24"/>
          <w:szCs w:val="24"/>
        </w:rPr>
      </w:pPr>
    </w:p>
    <w:p w14:paraId="5D4C5D46">
      <w:pPr>
        <w:jc w:val="center"/>
        <w:outlineLvl w:val="1"/>
        <w:rPr>
          <w:rFonts w:cs="宋体" w:asciiTheme="minorEastAsia" w:hAnsiTheme="minorEastAsia"/>
          <w:b/>
          <w:sz w:val="24"/>
          <w:szCs w:val="24"/>
        </w:rPr>
      </w:pPr>
    </w:p>
    <w:p w14:paraId="5E249F8A">
      <w:pPr>
        <w:jc w:val="center"/>
        <w:outlineLvl w:val="1"/>
        <w:rPr>
          <w:rFonts w:cs="宋体" w:asciiTheme="minorEastAsia" w:hAnsiTheme="minorEastAsia"/>
          <w:b/>
          <w:sz w:val="24"/>
          <w:szCs w:val="24"/>
        </w:rPr>
      </w:pPr>
    </w:p>
    <w:p w14:paraId="76D1B140">
      <w:pPr>
        <w:jc w:val="center"/>
        <w:outlineLvl w:val="1"/>
        <w:rPr>
          <w:rFonts w:cs="宋体" w:asciiTheme="minorEastAsia" w:hAnsiTheme="minorEastAsia"/>
          <w:b/>
          <w:sz w:val="24"/>
          <w:szCs w:val="24"/>
        </w:rPr>
      </w:pPr>
    </w:p>
    <w:p w14:paraId="5824263C">
      <w:pPr>
        <w:jc w:val="center"/>
        <w:outlineLvl w:val="1"/>
        <w:rPr>
          <w:rFonts w:cs="宋体" w:asciiTheme="minorEastAsia" w:hAnsiTheme="minorEastAsia"/>
          <w:b/>
          <w:sz w:val="24"/>
          <w:szCs w:val="24"/>
        </w:rPr>
      </w:pPr>
    </w:p>
    <w:p w14:paraId="627E51A1">
      <w:pPr>
        <w:jc w:val="center"/>
        <w:outlineLvl w:val="1"/>
        <w:rPr>
          <w:rFonts w:cs="宋体" w:asciiTheme="minorEastAsia" w:hAnsiTheme="minorEastAsia"/>
          <w:b/>
          <w:sz w:val="24"/>
          <w:szCs w:val="24"/>
        </w:rPr>
      </w:pPr>
    </w:p>
    <w:p w14:paraId="1CB9CE4C">
      <w:pPr>
        <w:jc w:val="center"/>
        <w:outlineLvl w:val="1"/>
        <w:rPr>
          <w:rFonts w:cs="宋体" w:asciiTheme="minorEastAsia" w:hAnsiTheme="minorEastAsia"/>
          <w:b/>
          <w:sz w:val="24"/>
          <w:szCs w:val="24"/>
        </w:rPr>
      </w:pPr>
    </w:p>
    <w:p w14:paraId="5408E870">
      <w:pPr>
        <w:jc w:val="center"/>
        <w:outlineLvl w:val="1"/>
        <w:rPr>
          <w:rFonts w:cs="宋体" w:asciiTheme="minorEastAsia" w:hAnsiTheme="minorEastAsia"/>
          <w:b/>
          <w:sz w:val="24"/>
          <w:szCs w:val="24"/>
        </w:rPr>
      </w:pPr>
    </w:p>
    <w:p w14:paraId="0393ED59">
      <w:pPr>
        <w:jc w:val="center"/>
        <w:outlineLvl w:val="1"/>
        <w:rPr>
          <w:rFonts w:cs="宋体" w:asciiTheme="minorEastAsia" w:hAnsiTheme="minorEastAsia"/>
          <w:b/>
          <w:sz w:val="24"/>
          <w:szCs w:val="24"/>
        </w:rPr>
      </w:pPr>
    </w:p>
    <w:p w14:paraId="2A727154">
      <w:pPr>
        <w:jc w:val="center"/>
        <w:outlineLvl w:val="1"/>
        <w:rPr>
          <w:rFonts w:cs="宋体" w:asciiTheme="minorEastAsia" w:hAnsiTheme="minorEastAsia"/>
          <w:b/>
          <w:sz w:val="24"/>
          <w:szCs w:val="24"/>
        </w:rPr>
      </w:pPr>
    </w:p>
    <w:p w14:paraId="020F254D">
      <w:pPr>
        <w:jc w:val="center"/>
        <w:outlineLvl w:val="1"/>
        <w:rPr>
          <w:rFonts w:cs="宋体" w:asciiTheme="minorEastAsia" w:hAnsiTheme="minorEastAsia"/>
          <w:b/>
          <w:sz w:val="24"/>
          <w:szCs w:val="24"/>
        </w:rPr>
      </w:pPr>
    </w:p>
    <w:p w14:paraId="3C4555ED">
      <w:pPr>
        <w:jc w:val="center"/>
        <w:outlineLvl w:val="1"/>
        <w:rPr>
          <w:rFonts w:cs="宋体" w:asciiTheme="minorEastAsia" w:hAnsiTheme="minorEastAsia"/>
          <w:b/>
          <w:sz w:val="24"/>
          <w:szCs w:val="24"/>
        </w:rPr>
      </w:pPr>
    </w:p>
    <w:p w14:paraId="071F63CB">
      <w:pPr>
        <w:jc w:val="center"/>
        <w:outlineLvl w:val="1"/>
        <w:rPr>
          <w:rFonts w:cs="宋体" w:asciiTheme="minorEastAsia" w:hAnsiTheme="minorEastAsia"/>
          <w:b/>
          <w:sz w:val="24"/>
          <w:szCs w:val="24"/>
        </w:rPr>
      </w:pPr>
    </w:p>
    <w:p w14:paraId="180DAE6C">
      <w:pPr>
        <w:jc w:val="center"/>
        <w:outlineLvl w:val="1"/>
        <w:rPr>
          <w:rFonts w:cs="宋体" w:asciiTheme="minorEastAsia" w:hAnsiTheme="minorEastAsia"/>
          <w:b/>
          <w:sz w:val="24"/>
          <w:szCs w:val="24"/>
        </w:rPr>
      </w:pPr>
    </w:p>
    <w:p w14:paraId="5EE2515B">
      <w:pPr>
        <w:jc w:val="center"/>
        <w:outlineLvl w:val="1"/>
        <w:rPr>
          <w:rFonts w:cs="宋体" w:asciiTheme="minorEastAsia" w:hAnsiTheme="minorEastAsia"/>
          <w:b/>
          <w:sz w:val="24"/>
          <w:szCs w:val="24"/>
        </w:rPr>
      </w:pPr>
    </w:p>
    <w:p w14:paraId="42982633">
      <w:pPr>
        <w:jc w:val="center"/>
        <w:outlineLvl w:val="1"/>
        <w:rPr>
          <w:rFonts w:cs="宋体" w:asciiTheme="minorEastAsia" w:hAnsiTheme="minorEastAsia"/>
          <w:b/>
          <w:sz w:val="24"/>
          <w:szCs w:val="24"/>
        </w:rPr>
      </w:pPr>
    </w:p>
    <w:p w14:paraId="49794306">
      <w:pPr>
        <w:jc w:val="center"/>
        <w:outlineLvl w:val="1"/>
        <w:rPr>
          <w:rFonts w:cs="宋体" w:asciiTheme="minorEastAsia" w:hAnsiTheme="minorEastAsia"/>
          <w:b/>
          <w:sz w:val="24"/>
          <w:szCs w:val="24"/>
        </w:rPr>
      </w:pPr>
    </w:p>
    <w:p w14:paraId="35A0025A">
      <w:pPr>
        <w:jc w:val="center"/>
        <w:outlineLvl w:val="1"/>
        <w:rPr>
          <w:rFonts w:cs="宋体" w:asciiTheme="minorEastAsia" w:hAnsiTheme="minorEastAsia"/>
          <w:b/>
          <w:sz w:val="24"/>
          <w:szCs w:val="24"/>
        </w:rPr>
      </w:pPr>
    </w:p>
    <w:p w14:paraId="46E70E2B">
      <w:pPr>
        <w:jc w:val="center"/>
        <w:outlineLvl w:val="1"/>
        <w:rPr>
          <w:rFonts w:cs="宋体" w:asciiTheme="minorEastAsia" w:hAnsiTheme="minorEastAsia"/>
          <w:b/>
          <w:sz w:val="24"/>
          <w:szCs w:val="24"/>
        </w:rPr>
      </w:pPr>
    </w:p>
    <w:p w14:paraId="366DF86B">
      <w:pPr>
        <w:jc w:val="center"/>
        <w:outlineLvl w:val="1"/>
        <w:rPr>
          <w:rFonts w:cs="宋体" w:asciiTheme="minorEastAsia" w:hAnsiTheme="minorEastAsia"/>
          <w:b/>
          <w:sz w:val="24"/>
          <w:szCs w:val="24"/>
        </w:rPr>
      </w:pPr>
    </w:p>
    <w:p w14:paraId="4D968526">
      <w:pPr>
        <w:jc w:val="center"/>
        <w:outlineLvl w:val="1"/>
        <w:rPr>
          <w:rFonts w:cs="宋体" w:asciiTheme="minorEastAsia" w:hAnsiTheme="minorEastAsia"/>
          <w:b/>
          <w:sz w:val="24"/>
          <w:szCs w:val="24"/>
        </w:rPr>
      </w:pPr>
    </w:p>
    <w:p w14:paraId="7DCBF004">
      <w:pPr>
        <w:jc w:val="center"/>
        <w:outlineLvl w:val="1"/>
        <w:rPr>
          <w:rFonts w:cs="宋体" w:asciiTheme="minorEastAsia" w:hAnsiTheme="minorEastAsia"/>
          <w:b/>
          <w:sz w:val="24"/>
          <w:szCs w:val="24"/>
        </w:rPr>
      </w:pPr>
    </w:p>
    <w:p w14:paraId="4146A929">
      <w:pPr>
        <w:jc w:val="center"/>
        <w:outlineLvl w:val="1"/>
        <w:rPr>
          <w:rFonts w:cs="宋体" w:asciiTheme="minorEastAsia" w:hAnsiTheme="minorEastAsia"/>
          <w:b/>
          <w:sz w:val="24"/>
          <w:szCs w:val="24"/>
        </w:rPr>
      </w:pPr>
    </w:p>
    <w:p w14:paraId="2D4E290D">
      <w:pPr>
        <w:jc w:val="center"/>
        <w:outlineLvl w:val="1"/>
        <w:rPr>
          <w:rFonts w:cs="宋体" w:asciiTheme="minorEastAsia" w:hAnsiTheme="minorEastAsia"/>
          <w:b/>
          <w:sz w:val="24"/>
          <w:szCs w:val="24"/>
        </w:rPr>
      </w:pPr>
    </w:p>
    <w:p w14:paraId="14FBAF70">
      <w:pPr>
        <w:jc w:val="center"/>
        <w:outlineLvl w:val="1"/>
        <w:rPr>
          <w:rFonts w:cs="宋体" w:asciiTheme="minorEastAsia" w:hAnsiTheme="minorEastAsia"/>
          <w:b/>
          <w:sz w:val="24"/>
          <w:szCs w:val="24"/>
        </w:rPr>
      </w:pPr>
    </w:p>
    <w:p w14:paraId="1CADBDD1">
      <w:pPr>
        <w:jc w:val="center"/>
        <w:outlineLvl w:val="1"/>
        <w:rPr>
          <w:rFonts w:cs="宋体" w:asciiTheme="minorEastAsia" w:hAnsiTheme="minorEastAsia"/>
          <w:b/>
          <w:sz w:val="24"/>
          <w:szCs w:val="24"/>
        </w:rPr>
      </w:pPr>
    </w:p>
    <w:p w14:paraId="51FB6AAC">
      <w:pPr>
        <w:jc w:val="center"/>
        <w:outlineLvl w:val="1"/>
        <w:rPr>
          <w:rFonts w:cs="宋体" w:asciiTheme="minorEastAsia" w:hAnsiTheme="minorEastAsia"/>
          <w:b/>
          <w:sz w:val="24"/>
          <w:szCs w:val="24"/>
        </w:rPr>
      </w:pPr>
    </w:p>
    <w:p w14:paraId="5E49F334">
      <w:pPr>
        <w:jc w:val="center"/>
        <w:outlineLvl w:val="1"/>
        <w:rPr>
          <w:rFonts w:cs="宋体" w:asciiTheme="minorEastAsia" w:hAnsiTheme="minorEastAsia"/>
          <w:b/>
          <w:sz w:val="24"/>
          <w:szCs w:val="24"/>
        </w:rPr>
      </w:pPr>
    </w:p>
    <w:p w14:paraId="1F5019EB">
      <w:pPr>
        <w:jc w:val="center"/>
        <w:outlineLvl w:val="1"/>
        <w:rPr>
          <w:rFonts w:cs="宋体" w:asciiTheme="minorEastAsia" w:hAnsiTheme="minorEastAsia"/>
          <w:b/>
          <w:sz w:val="24"/>
          <w:szCs w:val="24"/>
        </w:rPr>
      </w:pPr>
    </w:p>
    <w:p w14:paraId="7E2D859E">
      <w:pPr>
        <w:jc w:val="center"/>
        <w:outlineLvl w:val="1"/>
        <w:rPr>
          <w:rFonts w:cs="宋体" w:asciiTheme="minorEastAsia" w:hAnsiTheme="minorEastAsia"/>
          <w:b/>
          <w:sz w:val="24"/>
          <w:szCs w:val="24"/>
        </w:rPr>
      </w:pPr>
    </w:p>
    <w:p w14:paraId="0AB17A1E">
      <w:pPr>
        <w:jc w:val="center"/>
        <w:outlineLvl w:val="1"/>
        <w:rPr>
          <w:rFonts w:cs="宋体" w:asciiTheme="minorEastAsia" w:hAnsiTheme="minorEastAsia"/>
          <w:b/>
          <w:sz w:val="24"/>
          <w:szCs w:val="24"/>
        </w:rPr>
      </w:pPr>
    </w:p>
    <w:p w14:paraId="7090C7E7">
      <w:pPr>
        <w:jc w:val="center"/>
        <w:outlineLvl w:val="1"/>
        <w:rPr>
          <w:rFonts w:cs="宋体" w:asciiTheme="minorEastAsia" w:hAnsiTheme="minorEastAsia"/>
          <w:b/>
          <w:sz w:val="24"/>
          <w:szCs w:val="24"/>
        </w:rPr>
      </w:pPr>
    </w:p>
    <w:p w14:paraId="27004492">
      <w:pPr>
        <w:jc w:val="center"/>
        <w:outlineLvl w:val="1"/>
        <w:rPr>
          <w:rFonts w:cs="宋体" w:asciiTheme="minorEastAsia" w:hAnsiTheme="minorEastAsia"/>
          <w:b/>
          <w:sz w:val="24"/>
          <w:szCs w:val="24"/>
        </w:rPr>
      </w:pPr>
    </w:p>
    <w:p w14:paraId="586C3B98">
      <w:pPr>
        <w:jc w:val="center"/>
        <w:outlineLvl w:val="1"/>
        <w:rPr>
          <w:rFonts w:cs="宋体" w:asciiTheme="minorEastAsia" w:hAnsiTheme="minorEastAsia"/>
          <w:b/>
          <w:sz w:val="24"/>
          <w:szCs w:val="24"/>
        </w:rPr>
      </w:pPr>
    </w:p>
    <w:p w14:paraId="79245074">
      <w:pPr>
        <w:jc w:val="center"/>
        <w:outlineLvl w:val="1"/>
        <w:rPr>
          <w:rFonts w:cs="宋体" w:asciiTheme="minorEastAsia" w:hAnsiTheme="minorEastAsia"/>
          <w:b/>
          <w:sz w:val="24"/>
          <w:szCs w:val="24"/>
        </w:rPr>
      </w:pPr>
    </w:p>
    <w:p w14:paraId="3D20DC81">
      <w:pPr>
        <w:jc w:val="center"/>
        <w:outlineLvl w:val="1"/>
        <w:rPr>
          <w:rFonts w:cs="宋体" w:asciiTheme="minorEastAsia" w:hAnsiTheme="minorEastAsia"/>
          <w:b/>
          <w:sz w:val="24"/>
          <w:szCs w:val="24"/>
        </w:rPr>
      </w:pPr>
    </w:p>
    <w:p w14:paraId="0F276B61">
      <w:pPr>
        <w:jc w:val="center"/>
        <w:outlineLvl w:val="1"/>
        <w:rPr>
          <w:rFonts w:cs="宋体" w:asciiTheme="minorEastAsia" w:hAnsiTheme="minorEastAsia"/>
          <w:b/>
          <w:sz w:val="24"/>
          <w:szCs w:val="24"/>
        </w:rPr>
      </w:pPr>
    </w:p>
    <w:p w14:paraId="2D1EB221">
      <w:pPr>
        <w:jc w:val="center"/>
        <w:outlineLvl w:val="1"/>
        <w:rPr>
          <w:rFonts w:cs="宋体" w:asciiTheme="minorEastAsia" w:hAnsiTheme="minorEastAsia"/>
          <w:b/>
          <w:sz w:val="24"/>
          <w:szCs w:val="24"/>
        </w:rPr>
      </w:pPr>
    </w:p>
    <w:p w14:paraId="1C9DF05F">
      <w:pPr>
        <w:jc w:val="center"/>
        <w:outlineLvl w:val="1"/>
        <w:rPr>
          <w:rFonts w:cs="宋体" w:asciiTheme="minorEastAsia" w:hAnsiTheme="minorEastAsia"/>
          <w:b/>
          <w:sz w:val="24"/>
          <w:szCs w:val="24"/>
        </w:rPr>
      </w:pPr>
      <w:r>
        <w:rPr>
          <w:rFonts w:hint="eastAsia" w:cs="宋体" w:asciiTheme="minorEastAsia" w:hAnsiTheme="minorEastAsia"/>
          <w:b/>
          <w:sz w:val="24"/>
          <w:szCs w:val="24"/>
        </w:rPr>
        <w:t>八、其他资料</w:t>
      </w:r>
      <w:bookmarkEnd w:id="399"/>
    </w:p>
    <w:p w14:paraId="7330C283">
      <w:pPr>
        <w:spacing w:line="360" w:lineRule="auto"/>
        <w:jc w:val="center"/>
        <w:rPr>
          <w:rFonts w:asciiTheme="minorEastAsia" w:hAnsiTheme="minorEastAsia"/>
          <w:sz w:val="24"/>
          <w:szCs w:val="24"/>
        </w:rPr>
      </w:pPr>
      <w:r>
        <w:rPr>
          <w:rFonts w:hint="eastAsia" w:asciiTheme="minorEastAsia" w:hAnsiTheme="minorEastAsia"/>
          <w:sz w:val="24"/>
          <w:szCs w:val="24"/>
        </w:rPr>
        <w:t>附供应商认为需提供的其他资料</w:t>
      </w:r>
    </w:p>
    <w:p w14:paraId="170F4D1B">
      <w:pPr>
        <w:widowControl/>
        <w:adjustRightInd w:val="0"/>
        <w:snapToGrid w:val="0"/>
        <w:spacing w:after="200"/>
        <w:ind w:firstLine="480" w:firstLineChars="200"/>
        <w:jc w:val="left"/>
        <w:rPr>
          <w:rFonts w:cs="宋体" w:asciiTheme="minorEastAsia" w:hAnsiTheme="minorEastAsia"/>
          <w:color w:val="000000"/>
          <w:kern w:val="0"/>
          <w:sz w:val="24"/>
          <w:szCs w:val="24"/>
        </w:rPr>
      </w:pPr>
    </w:p>
    <w:p w14:paraId="46CDF04B">
      <w:pPr>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br w:type="page"/>
      </w:r>
      <w:r>
        <w:rPr>
          <w:rFonts w:hint="eastAsia" w:cs="宋体" w:asciiTheme="minorEastAsia" w:hAnsiTheme="minorEastAsia"/>
          <w:color w:val="000000"/>
          <w:kern w:val="0"/>
          <w:sz w:val="24"/>
          <w:szCs w:val="24"/>
        </w:rPr>
        <w:t>附件1：</w:t>
      </w:r>
    </w:p>
    <w:p w14:paraId="7001F4E2">
      <w:pPr>
        <w:spacing w:line="48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中小企业声明函（工程、服务）</w:t>
      </w:r>
    </w:p>
    <w:p w14:paraId="69FF26D8">
      <w:pPr>
        <w:spacing w:before="312" w:beforeLines="100"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本公司（联合体）郑重声明，根据《政府采购促进中小企业发展管理办法》（财库﹝2020﹞46 号）的规定，本公司参加</w:t>
      </w:r>
      <w:r>
        <w:rPr>
          <w:rFonts w:hint="eastAsia" w:cs="宋体" w:asciiTheme="minorEastAsia" w:hAnsiTheme="minorEastAsia"/>
          <w:sz w:val="24"/>
          <w:szCs w:val="24"/>
          <w:u w:val="single"/>
        </w:rPr>
        <w:t>（单位名称）</w:t>
      </w:r>
      <w:r>
        <w:rPr>
          <w:rFonts w:hint="eastAsia" w:cs="宋体" w:asciiTheme="minorEastAsia" w:hAnsiTheme="minorEastAsia"/>
          <w:sz w:val="24"/>
          <w:szCs w:val="24"/>
        </w:rPr>
        <w:t>的</w:t>
      </w:r>
      <w:r>
        <w:rPr>
          <w:rFonts w:hint="eastAsia" w:cs="宋体" w:asciiTheme="minorEastAsia" w:hAnsiTheme="minorEastAsia"/>
          <w:sz w:val="24"/>
          <w:szCs w:val="24"/>
          <w:u w:val="single"/>
        </w:rPr>
        <w:t>（项目名称）</w:t>
      </w:r>
      <w:r>
        <w:rPr>
          <w:rFonts w:hint="eastAsia" w:cs="宋体" w:asciiTheme="minorEastAsia" w:hAnsiTheme="minorEastAsia"/>
          <w:sz w:val="24"/>
          <w:szCs w:val="24"/>
        </w:rPr>
        <w:t>采购活动，工程的施工单位全部为符合政策要求的中小企业（或者：服务全部由符合政策要求的中小企业承接）。相关企业的具体情况如下：</w:t>
      </w:r>
    </w:p>
    <w:p w14:paraId="246DB842">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1.</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（标的名称）</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，属于</w:t>
      </w:r>
      <w:r>
        <w:rPr>
          <w:rFonts w:hint="eastAsia" w:cs="宋体" w:asciiTheme="minorEastAsia" w:hAnsiTheme="minorEastAsia"/>
          <w:sz w:val="24"/>
          <w:szCs w:val="24"/>
          <w:u w:val="single"/>
          <w:lang w:val="en-US" w:eastAsia="zh-CN"/>
        </w:rPr>
        <w:t xml:space="preserve">    建筑业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rPr>
        <w:t>（中型企业/小型企业/微型企业）；</w:t>
      </w:r>
    </w:p>
    <w:p w14:paraId="4420F167">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 xml:space="preserve">2. </w:t>
      </w:r>
      <w:r>
        <w:rPr>
          <w:rFonts w:hint="eastAsia" w:cs="宋体" w:asciiTheme="minorEastAsia" w:hAnsiTheme="minorEastAsia"/>
          <w:sz w:val="24"/>
          <w:szCs w:val="24"/>
          <w:u w:val="single"/>
        </w:rPr>
        <w:t xml:space="preserve">（标的名称） </w:t>
      </w:r>
      <w:r>
        <w:rPr>
          <w:rFonts w:hint="eastAsia" w:cs="宋体" w:asciiTheme="minorEastAsia" w:hAnsiTheme="minorEastAsia"/>
          <w:sz w:val="24"/>
          <w:szCs w:val="24"/>
        </w:rPr>
        <w:t>，属于</w:t>
      </w:r>
      <w:r>
        <w:rPr>
          <w:rFonts w:hint="eastAsia" w:cs="宋体" w:asciiTheme="minorEastAsia" w:hAnsiTheme="minorEastAsia"/>
          <w:sz w:val="24"/>
          <w:szCs w:val="24"/>
          <w:u w:val="single"/>
        </w:rPr>
        <w:t>（采购文件中明确的所属行业）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rPr>
        <w:t>（中型企业/小型企业/微型企业）</w:t>
      </w:r>
      <w:r>
        <w:rPr>
          <w:rFonts w:hint="eastAsia" w:cs="宋体" w:asciiTheme="minorEastAsia" w:hAnsiTheme="minorEastAsia"/>
          <w:sz w:val="24"/>
          <w:szCs w:val="24"/>
        </w:rPr>
        <w:t>；</w:t>
      </w:r>
    </w:p>
    <w:p w14:paraId="2F163129">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w:t>
      </w:r>
    </w:p>
    <w:p w14:paraId="147FA155">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以上企业，不属于大企业的分支机构，不存在控股股东为大企业的情形，也不存在与大企业的负责人为同一人的情形。</w:t>
      </w:r>
    </w:p>
    <w:p w14:paraId="706BB950">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本企业对上述声明内容的真实性负责。如有虚假，将依法承担相应责任。</w:t>
      </w:r>
    </w:p>
    <w:p w14:paraId="7D47A560">
      <w:pPr>
        <w:spacing w:line="360" w:lineRule="auto"/>
        <w:ind w:firstLine="638" w:firstLineChars="266"/>
        <w:jc w:val="left"/>
        <w:rPr>
          <w:rFonts w:cs="宋体" w:asciiTheme="minorEastAsia" w:hAnsiTheme="minorEastAsia"/>
          <w:sz w:val="24"/>
          <w:szCs w:val="24"/>
        </w:rPr>
      </w:pPr>
    </w:p>
    <w:p w14:paraId="2627705A">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企业名称（盖公章）：</w:t>
      </w:r>
    </w:p>
    <w:p w14:paraId="339FC82C">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日期：</w:t>
      </w:r>
    </w:p>
    <w:p w14:paraId="66E8F940">
      <w:pPr>
        <w:spacing w:line="360" w:lineRule="auto"/>
        <w:ind w:firstLine="480" w:firstLineChars="200"/>
        <w:rPr>
          <w:rFonts w:ascii="宋体" w:hAnsi="宋体" w:cs="宋体"/>
          <w:sz w:val="24"/>
          <w:szCs w:val="28"/>
        </w:rPr>
      </w:pPr>
      <w:r>
        <w:rPr>
          <w:rFonts w:hint="eastAsia" w:ascii="宋体" w:hAnsi="宋体" w:cs="宋体"/>
          <w:sz w:val="24"/>
          <w:szCs w:val="28"/>
        </w:rPr>
        <w:t>备注：</w:t>
      </w:r>
    </w:p>
    <w:p w14:paraId="32CC744D">
      <w:pPr>
        <w:spacing w:line="360" w:lineRule="auto"/>
        <w:ind w:firstLine="480" w:firstLineChars="200"/>
        <w:rPr>
          <w:rFonts w:ascii="宋体" w:hAnsi="宋体" w:cs="宋体"/>
          <w:sz w:val="24"/>
          <w:szCs w:val="28"/>
        </w:rPr>
      </w:pPr>
      <w:r>
        <w:rPr>
          <w:rFonts w:hint="eastAsia" w:ascii="宋体" w:hAnsi="宋体" w:cs="宋体"/>
          <w:sz w:val="24"/>
          <w:szCs w:val="28"/>
        </w:rPr>
        <w:t>1、如果</w:t>
      </w:r>
      <w:r>
        <w:rPr>
          <w:rFonts w:hint="eastAsia" w:ascii="宋体" w:hAnsi="宋体" w:cs="宋体"/>
          <w:sz w:val="24"/>
          <w:szCs w:val="28"/>
          <w:lang w:eastAsia="zh-CN"/>
        </w:rPr>
        <w:t>供应商</w:t>
      </w:r>
      <w:r>
        <w:rPr>
          <w:rFonts w:hint="eastAsia" w:ascii="宋体" w:hAnsi="宋体" w:cs="宋体"/>
          <w:sz w:val="24"/>
          <w:szCs w:val="28"/>
        </w:rPr>
        <w:t>不满足中小微企业的认定标准，或所投产品的供应商不符合小型微型企业认定标准的，则不需要提供《中小微企业声明函》 。否则，因此导致虚假投标的后果由供应商自行承担。</w:t>
      </w:r>
    </w:p>
    <w:p w14:paraId="00580241">
      <w:pPr>
        <w:spacing w:line="360" w:lineRule="auto"/>
        <w:ind w:firstLine="480" w:firstLineChars="200"/>
        <w:rPr>
          <w:rFonts w:ascii="宋体" w:hAnsi="宋体" w:cs="宋体"/>
          <w:sz w:val="24"/>
          <w:szCs w:val="28"/>
        </w:rPr>
      </w:pPr>
      <w:r>
        <w:rPr>
          <w:rFonts w:hint="eastAsia" w:ascii="宋体" w:hAnsi="宋体" w:cs="宋体"/>
          <w:sz w:val="24"/>
          <w:szCs w:val="28"/>
        </w:rPr>
        <w:t>2、如果供应商不是小型或微型企业，本声明函可删除。</w:t>
      </w:r>
    </w:p>
    <w:p w14:paraId="1DD301A6">
      <w:pPr>
        <w:spacing w:after="120"/>
        <w:rPr>
          <w:rFonts w:cs="Mangal" w:asciiTheme="minorHAnsi" w:hAnsiTheme="minorHAnsi" w:eastAsiaTheme="minorEastAsia"/>
          <w:sz w:val="32"/>
          <w:szCs w:val="32"/>
        </w:rPr>
      </w:pPr>
      <w:r>
        <w:rPr>
          <w:rFonts w:hint="eastAsia" w:ascii="宋体" w:hAnsi="宋体" w:cs="宋体" w:eastAsiaTheme="minorEastAsia"/>
          <w:sz w:val="24"/>
          <w:szCs w:val="28"/>
          <w:lang w:eastAsia="hi-IN" w:bidi="hi-IN"/>
        </w:rPr>
        <w:t xml:space="preserve">    3、从业人员、营业收入、资产总额填报上一年度数据，无上一年度数据的新成立企业可不填报。</w:t>
      </w:r>
    </w:p>
    <w:p w14:paraId="34233F33">
      <w:pPr>
        <w:spacing w:line="480" w:lineRule="auto"/>
        <w:textAlignment w:val="baseline"/>
        <w:rPr>
          <w:rFonts w:ascii="宋体" w:hAnsi="宋体" w:cs="宋体"/>
          <w:b/>
          <w:sz w:val="24"/>
          <w:szCs w:val="24"/>
        </w:rPr>
      </w:pPr>
      <w:r>
        <w:rPr>
          <w:rFonts w:hint="eastAsia" w:ascii="宋体" w:hAnsi="宋体" w:cs="宋体"/>
          <w:b/>
          <w:sz w:val="24"/>
          <w:szCs w:val="24"/>
        </w:rPr>
        <w:t>说明：</w:t>
      </w:r>
    </w:p>
    <w:p w14:paraId="66FC506D">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财政部、工信部关于印发《政府采购促进中小企业发展管理办法》的通知（财库〔2020〕46号）第二条、第四条规定：中小企业（含中型、小型、微型企业）应当同时符合以下条件：</w:t>
      </w:r>
    </w:p>
    <w:p w14:paraId="5AC155C4">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bCs/>
          <w:kern w:val="0"/>
          <w:sz w:val="24"/>
          <w:szCs w:val="24"/>
        </w:rPr>
        <w:t xml:space="preserve">1. </w:t>
      </w:r>
      <w:r>
        <w:rPr>
          <w:rFonts w:hint="eastAsia" w:ascii="宋体" w:hAnsi="宋体" w:cs="宋体"/>
          <w:kern w:val="0"/>
          <w:sz w:val="24"/>
          <w:szCs w:val="24"/>
        </w:rPr>
        <w:t>符合中小企业划分标准（见工业和信息化部国家统计局国家发展和改革委员会财政部《关于印发中小企业划型标准规定的通知》（工信部联企业〔2011〕300号)）；</w:t>
      </w:r>
    </w:p>
    <w:p w14:paraId="6C11DA9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EA92BB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符合中小企业划分标准的个体工商户，在政府采购活动中视同中小企业。</w:t>
      </w:r>
    </w:p>
    <w:p w14:paraId="1FDB8CC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 在服务采购项目中，服务由中小企业承接，即提供服务的人员为中小企业依照《中华人民共和国劳动合同法》订立劳动合同的从业人员。</w:t>
      </w:r>
    </w:p>
    <w:p w14:paraId="2C445FC4">
      <w:pPr>
        <w:widowControl/>
        <w:adjustRightInd w:val="0"/>
        <w:snapToGrid w:val="0"/>
        <w:spacing w:after="200" w:line="480" w:lineRule="auto"/>
        <w:jc w:val="left"/>
        <w:rPr>
          <w:rFonts w:ascii="宋体" w:hAnsi="宋体" w:cs="宋体"/>
          <w:kern w:val="0"/>
          <w:sz w:val="24"/>
          <w:szCs w:val="24"/>
        </w:rPr>
      </w:pPr>
    </w:p>
    <w:p w14:paraId="132A9B14">
      <w:pPr>
        <w:widowControl/>
        <w:jc w:val="left"/>
        <w:rPr>
          <w:rFonts w:ascii="宋体" w:hAnsi="宋体" w:cs="宋体"/>
          <w:sz w:val="24"/>
          <w:szCs w:val="24"/>
        </w:rPr>
      </w:pPr>
      <w:r>
        <w:rPr>
          <w:rFonts w:hint="eastAsia" w:ascii="宋体" w:hAnsi="宋体" w:cs="宋体"/>
          <w:b/>
          <w:kern w:val="0"/>
          <w:sz w:val="24"/>
          <w:szCs w:val="24"/>
        </w:rPr>
        <w:t>（提醒：如果响应人不满足小型、微型企业的认定标准，或所投产品的制造商不符合小型、微型企业认定标准的，则不需要提供《中小企业声明函》。否则，因此导致虚假投标的后果由响应人自行承担。）</w:t>
      </w:r>
    </w:p>
    <w:p w14:paraId="78C8BE5A">
      <w:pPr>
        <w:widowControl/>
        <w:adjustRightInd w:val="0"/>
        <w:snapToGrid w:val="0"/>
        <w:spacing w:after="200" w:line="480" w:lineRule="auto"/>
        <w:ind w:firstLine="354" w:firstLineChars="147"/>
        <w:jc w:val="left"/>
        <w:rPr>
          <w:rFonts w:hint="eastAsia" w:ascii="宋体" w:hAnsi="宋体" w:cs="宋体"/>
          <w:b/>
          <w:kern w:val="0"/>
          <w:sz w:val="24"/>
          <w:szCs w:val="24"/>
        </w:rPr>
      </w:pPr>
    </w:p>
    <w:p w14:paraId="0568F677">
      <w:pPr>
        <w:pStyle w:val="5"/>
        <w:rPr>
          <w:rFonts w:hint="eastAsia"/>
          <w:lang w:eastAsia="zh-CN" w:bidi="ar-SA"/>
        </w:rPr>
      </w:pPr>
    </w:p>
    <w:p w14:paraId="79ECF040">
      <w:pPr>
        <w:rPr>
          <w:rFonts w:hint="eastAsia"/>
        </w:rPr>
      </w:pPr>
    </w:p>
    <w:p w14:paraId="7257FEBB">
      <w:pPr>
        <w:pStyle w:val="5"/>
        <w:rPr>
          <w:rFonts w:hint="eastAsia"/>
          <w:lang w:eastAsia="zh-CN" w:bidi="ar-SA"/>
        </w:rPr>
      </w:pPr>
    </w:p>
    <w:p w14:paraId="4A9DF82A">
      <w:pPr>
        <w:rPr>
          <w:rFonts w:hint="eastAsia"/>
        </w:rPr>
      </w:pPr>
    </w:p>
    <w:p w14:paraId="1740AA26">
      <w:pPr>
        <w:pStyle w:val="5"/>
        <w:rPr>
          <w:rFonts w:hint="eastAsia"/>
          <w:lang w:eastAsia="zh-CN" w:bidi="ar-SA"/>
        </w:rPr>
      </w:pPr>
    </w:p>
    <w:p w14:paraId="594EEF3E">
      <w:pPr>
        <w:rPr>
          <w:rFonts w:hint="eastAsia"/>
        </w:rPr>
      </w:pPr>
    </w:p>
    <w:p w14:paraId="6727704F">
      <w:pPr>
        <w:pStyle w:val="5"/>
        <w:rPr>
          <w:rFonts w:hint="eastAsia"/>
          <w:lang w:eastAsia="zh-CN" w:bidi="ar-SA"/>
        </w:rPr>
      </w:pPr>
    </w:p>
    <w:p w14:paraId="531E80AD">
      <w:pPr>
        <w:rPr>
          <w:rFonts w:hint="eastAsia"/>
        </w:rPr>
      </w:pPr>
    </w:p>
    <w:p w14:paraId="07C9748D">
      <w:pPr>
        <w:pStyle w:val="5"/>
        <w:rPr>
          <w:rFonts w:hint="eastAsia"/>
          <w:lang w:eastAsia="zh-CN" w:bidi="ar-SA"/>
        </w:rPr>
      </w:pPr>
    </w:p>
    <w:p w14:paraId="20E6BE1D">
      <w:pPr>
        <w:rPr>
          <w:rFonts w:hint="eastAsia"/>
        </w:rPr>
      </w:pPr>
    </w:p>
    <w:p w14:paraId="7FE6AA38">
      <w:pPr>
        <w:pStyle w:val="5"/>
        <w:rPr>
          <w:rFonts w:hint="eastAsia"/>
          <w:lang w:eastAsia="zh-CN" w:bidi="ar-SA"/>
        </w:rPr>
      </w:pPr>
    </w:p>
    <w:p w14:paraId="06FEF53F">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bookmarkStart w:id="400" w:name="_Toc10802"/>
      <w:bookmarkStart w:id="401" w:name="OLE_LINK13"/>
      <w:bookmarkStart w:id="402" w:name="_Toc26908"/>
      <w:bookmarkStart w:id="403" w:name="_Toc3686"/>
      <w:bookmarkStart w:id="404" w:name="_Toc1407"/>
      <w:bookmarkStart w:id="405" w:name="_Toc14029"/>
      <w:bookmarkStart w:id="406" w:name="_Toc2835"/>
      <w:bookmarkStart w:id="407" w:name="_Toc18758"/>
      <w:bookmarkStart w:id="408" w:name="_Toc22816"/>
      <w:bookmarkStart w:id="409" w:name="OLE_LINK14"/>
      <w:bookmarkStart w:id="410" w:name="_Toc29482"/>
      <w:bookmarkStart w:id="411" w:name="_Toc5459"/>
      <w:bookmarkStart w:id="412" w:name="_Toc23527"/>
      <w:bookmarkStart w:id="413" w:name="_Toc22084"/>
      <w:bookmarkStart w:id="414" w:name="_Toc21261"/>
      <w:bookmarkStart w:id="415" w:name="_Toc7278"/>
      <w:bookmarkStart w:id="416" w:name="_Toc14656"/>
      <w:bookmarkStart w:id="417" w:name="_Toc15388"/>
      <w:bookmarkStart w:id="418" w:name="_Toc25719"/>
      <w:bookmarkStart w:id="419" w:name="_Toc25504"/>
    </w:p>
    <w:p w14:paraId="087E4B3E">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6CBFB4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76D322DC">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5AEF1DB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C11883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443BF5B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0144FF71">
      <w:pPr>
        <w:numPr>
          <w:ilvl w:val="1"/>
          <w:numId w:val="0"/>
        </w:numPr>
        <w:wordWrap w:val="0"/>
        <w:topLinePunct/>
        <w:spacing w:line="360" w:lineRule="auto"/>
        <w:ind w:firstLine="482" w:firstLineChars="200"/>
        <w:jc w:val="center"/>
        <w:outlineLvl w:val="9"/>
        <w:rPr>
          <w:rFonts w:ascii="宋体" w:hAnsi="宋体" w:cs="宋体"/>
          <w:b/>
          <w:bCs/>
          <w:spacing w:val="6"/>
          <w:sz w:val="24"/>
          <w:szCs w:val="24"/>
        </w:rPr>
      </w:pPr>
      <w:r>
        <w:rPr>
          <w:rFonts w:hint="eastAsia" w:ascii="宋体" w:hAnsi="宋体" w:cs="宋体"/>
          <w:b/>
          <w:bCs/>
          <w:sz w:val="24"/>
          <w:szCs w:val="24"/>
        </w:rPr>
        <w:t>残疾人福利性单位声明函</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B85B1B0">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pacing w:val="6"/>
          <w:sz w:val="24"/>
          <w:szCs w:val="24"/>
          <w:u w:val="single"/>
        </w:rPr>
        <w:t xml:space="preserve">       </w:t>
      </w:r>
      <w:r>
        <w:rPr>
          <w:rFonts w:hint="eastAsia" w:ascii="宋体" w:hAnsi="宋体" w:cs="宋体"/>
          <w:spacing w:val="6"/>
          <w:sz w:val="24"/>
          <w:szCs w:val="24"/>
        </w:rPr>
        <w:t>单位的</w:t>
      </w:r>
      <w:r>
        <w:rPr>
          <w:rFonts w:hint="eastAsia"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71EE23F8">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30EEA6D0">
      <w:pPr>
        <w:spacing w:line="360" w:lineRule="auto"/>
        <w:ind w:firstLine="504" w:firstLineChars="200"/>
        <w:rPr>
          <w:rFonts w:ascii="宋体" w:hAnsi="宋体" w:cs="宋体"/>
          <w:spacing w:val="6"/>
          <w:sz w:val="24"/>
          <w:szCs w:val="24"/>
        </w:rPr>
      </w:pPr>
    </w:p>
    <w:p w14:paraId="59B1C83D">
      <w:pPr>
        <w:tabs>
          <w:tab w:val="left" w:pos="4860"/>
        </w:tabs>
        <w:spacing w:line="360" w:lineRule="auto"/>
        <w:ind w:firstLine="504" w:firstLineChars="200"/>
        <w:jc w:val="center"/>
        <w:rPr>
          <w:rFonts w:ascii="宋体" w:hAnsi="宋体" w:cs="宋体"/>
          <w:spacing w:val="6"/>
          <w:sz w:val="24"/>
          <w:szCs w:val="24"/>
          <w:u w:val="single"/>
        </w:rPr>
      </w:pPr>
      <w:r>
        <w:rPr>
          <w:rFonts w:hint="eastAsia" w:ascii="宋体" w:hAnsi="宋体" w:cs="宋体"/>
          <w:spacing w:val="6"/>
          <w:sz w:val="24"/>
          <w:szCs w:val="24"/>
        </w:rPr>
        <w:t xml:space="preserve">               单位名称（盖章）：</w:t>
      </w:r>
      <w:r>
        <w:rPr>
          <w:rFonts w:hint="eastAsia" w:ascii="宋体" w:hAnsi="宋体" w:cs="宋体"/>
          <w:spacing w:val="6"/>
          <w:sz w:val="24"/>
          <w:szCs w:val="24"/>
          <w:u w:val="single"/>
        </w:rPr>
        <w:t xml:space="preserve">                </w:t>
      </w:r>
    </w:p>
    <w:p w14:paraId="701A20E8">
      <w:pPr>
        <w:tabs>
          <w:tab w:val="left" w:pos="4860"/>
        </w:tabs>
        <w:spacing w:line="360" w:lineRule="auto"/>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1759A1B4">
      <w:pPr>
        <w:widowControl/>
        <w:spacing w:line="360" w:lineRule="auto"/>
        <w:ind w:firstLine="482" w:firstLineChars="200"/>
        <w:rPr>
          <w:rFonts w:ascii="宋体" w:hAnsi="宋体" w:cs="宋体"/>
          <w:b/>
          <w:sz w:val="24"/>
          <w:szCs w:val="24"/>
        </w:rPr>
      </w:pPr>
      <w:r>
        <w:rPr>
          <w:rFonts w:hint="eastAsia" w:ascii="宋体" w:hAnsi="宋体" w:cs="宋体"/>
          <w:b/>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sz w:val="24"/>
          <w:szCs w:val="24"/>
        </w:rPr>
        <w:t>，则不需要提供《残疾人福利性单位声明函》。否则，因此导致虚假投标的后果由供应商自行承担。）</w:t>
      </w:r>
    </w:p>
    <w:p w14:paraId="27CC3EAD">
      <w:pPr>
        <w:spacing w:line="360" w:lineRule="auto"/>
        <w:ind w:firstLine="480" w:firstLineChars="200"/>
        <w:rPr>
          <w:rFonts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1F8AFA33">
      <w:pPr>
        <w:spacing w:line="360" w:lineRule="auto"/>
        <w:ind w:firstLine="480" w:firstLineChars="200"/>
        <w:rPr>
          <w:rFonts w:ascii="宋体" w:hAnsi="宋体" w:cs="宋体"/>
          <w:sz w:val="24"/>
          <w:szCs w:val="24"/>
        </w:rPr>
      </w:pPr>
      <w:r>
        <w:rPr>
          <w:rFonts w:hint="eastAsia" w:ascii="宋体" w:hAnsi="宋体" w:cs="宋体"/>
          <w:sz w:val="24"/>
          <w:szCs w:val="24"/>
        </w:rPr>
        <w:t>1. 享受政府采购支持政策的残疾人福利性单位应当同时满足以下条件：</w:t>
      </w:r>
    </w:p>
    <w:p w14:paraId="7C9015EE">
      <w:pPr>
        <w:spacing w:line="360" w:lineRule="auto"/>
        <w:ind w:firstLine="480" w:firstLineChars="20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70575CB0">
      <w:pPr>
        <w:spacing w:line="360" w:lineRule="auto"/>
        <w:ind w:firstLine="480" w:firstLineChars="200"/>
        <w:rPr>
          <w:rFonts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5E8615B5">
      <w:pPr>
        <w:spacing w:line="360" w:lineRule="auto"/>
        <w:ind w:firstLine="480" w:firstLineChars="200"/>
        <w:rPr>
          <w:rFonts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64D07E8F">
      <w:pPr>
        <w:spacing w:line="360" w:lineRule="auto"/>
        <w:ind w:firstLine="480" w:firstLineChars="200"/>
        <w:rPr>
          <w:rFonts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716F2AD8">
      <w:pPr>
        <w:spacing w:line="360" w:lineRule="auto"/>
        <w:ind w:firstLine="480" w:firstLineChars="20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4CECF76F">
      <w:pPr>
        <w:spacing w:line="360" w:lineRule="auto"/>
        <w:ind w:firstLine="480" w:firstLineChars="200"/>
        <w:rPr>
          <w:rFonts w:ascii="Calibri" w:hAnsi="Calibri"/>
          <w:szCs w:val="24"/>
        </w:rPr>
      </w:pPr>
      <w:r>
        <w:rPr>
          <w:rFonts w:hint="eastAsia" w:ascii="宋体" w:hAnsi="宋体" w:cs="宋体"/>
          <w:sz w:val="24"/>
          <w:szCs w:val="24"/>
        </w:rPr>
        <w:t xml:space="preserve">2. 成交人为残疾人福利性单位的，采购人或者其委托的采购代理机构应当随成交、成交结果同时公告其《残疾人福利性单位声明函》，接受社会监督。   </w:t>
      </w:r>
    </w:p>
    <w:p w14:paraId="3F44EE8D">
      <w:pPr>
        <w:numPr>
          <w:ilvl w:val="1"/>
          <w:numId w:val="0"/>
        </w:numPr>
        <w:wordWrap w:val="0"/>
        <w:topLinePunct/>
        <w:spacing w:line="360" w:lineRule="auto"/>
        <w:ind w:firstLine="643" w:firstLineChars="200"/>
        <w:jc w:val="center"/>
        <w:outlineLvl w:val="9"/>
        <w:rPr>
          <w:rFonts w:ascii="宋体" w:hAnsi="宋体" w:cs="宋体"/>
          <w:b/>
          <w:bCs/>
          <w:sz w:val="32"/>
          <w:szCs w:val="24"/>
        </w:rPr>
      </w:pPr>
      <w:bookmarkStart w:id="420" w:name="_Toc2763"/>
      <w:bookmarkStart w:id="421" w:name="_Toc12130"/>
      <w:bookmarkStart w:id="422" w:name="_Toc28942"/>
      <w:bookmarkStart w:id="423" w:name="_Toc27334"/>
      <w:r>
        <w:rPr>
          <w:rFonts w:hint="eastAsia" w:ascii="宋体" w:hAnsi="宋体" w:cs="宋体"/>
          <w:b/>
          <w:bCs/>
          <w:sz w:val="32"/>
          <w:szCs w:val="24"/>
        </w:rPr>
        <w:t>监狱企业证明文件</w:t>
      </w:r>
      <w:bookmarkEnd w:id="420"/>
      <w:bookmarkEnd w:id="421"/>
      <w:bookmarkEnd w:id="422"/>
      <w:bookmarkEnd w:id="423"/>
    </w:p>
    <w:p w14:paraId="2B40DCCE">
      <w:r>
        <w:rPr>
          <w:rFonts w:hint="eastAsia" w:ascii="宋体" w:hAnsi="宋体" w:cs="宋体"/>
          <w:szCs w:val="22"/>
        </w:rPr>
        <w:t>（监狱企业参加政府采购活动时，应当提供由省级以上监狱管理局、戒毒管理局(含新疆生产建设兵团)出具的属于监狱企业的证明文件。</w:t>
      </w:r>
    </w:p>
    <w:sectPr>
      <w:headerReference r:id="rId6" w:type="defaul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_5b8b_4f53">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FD76">
    <w:pPr>
      <w:jc w:val="center"/>
    </w:pPr>
  </w:p>
  <w:p w14:paraId="123145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232">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RzB0QAAAAMBAAAPAAAAAAAAAAEAIAAAACIAAABkcnMv&#10;ZG93bnJldi54bWxQSwECFAAUAAAACACHTuJAaJgonQoCAAACBAAADgAAAAAAAAABACAAAAAgAQAA&#10;ZHJzL2Uyb0RvYy54bWxQSwUGAAAAAAYABgBZAQAAnAUAAAAA&#10;">
              <v:fill on="f" focussize="0,0"/>
              <v:stroke on="f"/>
              <v:imagedata o:title=""/>
              <o:lock v:ext="edit" aspectratio="f"/>
              <v:textbox inset="0mm,0mm,0mm,0mm" style="mso-fit-shape-to-text:t;">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r>
      <w:rPr>
        <w:rFonts w:hint="eastAsia"/>
      </w:rPr>
      <w:t xml:space="preserve"> </w:t>
    </w:r>
  </w:p>
  <w:p w14:paraId="550357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28D6">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352F1F0A">
                          <w:pPr>
                            <w:jc w:val="center"/>
                          </w:pPr>
                          <w:r>
                            <w:fldChar w:fldCharType="begin"/>
                          </w:r>
                          <w:r>
                            <w:instrText xml:space="preserve">PAGE   \* MERGEFORMAT</w:instrText>
                          </w:r>
                          <w:r>
                            <w:fldChar w:fldCharType="separate"/>
                          </w:r>
                          <w:r>
                            <w:rPr>
                              <w:lang w:val="zh-CN"/>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HMHRAAAAAwEAAA8AAAAAAAAAAQAgAAAAIgAAAGRycy9k&#10;b3ducmV2LnhtbFBLAQIUABQAAAAIAIdO4kA5IfDJCQIAAAIEAAAOAAAAAAAAAAEAIAAAACABAABk&#10;cnMvZTJvRG9jLnhtbFBLBQYAAAAABgAGAFkBAACbBQAAAAA=&#10;">
              <v:fill on="f" focussize="0,0"/>
              <v:stroke on="f"/>
              <v:imagedata o:title=""/>
              <o:lock v:ext="edit" aspectratio="f"/>
              <v:textbox inset="0mm,0mm,0mm,0mm" style="mso-fit-shape-to-text:t;">
                <w:txbxContent>
                  <w:p w14:paraId="352F1F0A">
                    <w:pP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32BE">
    <w:pP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117"/>
  <w:p w14:paraId="054FB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F0B1"/>
    <w:multiLevelType w:val="singleLevel"/>
    <w:tmpl w:val="AE60F0B1"/>
    <w:lvl w:ilvl="0" w:tentative="0">
      <w:start w:val="4"/>
      <w:numFmt w:val="decimal"/>
      <w:suff w:val="nothing"/>
      <w:lvlText w:val="%1、"/>
      <w:lvlJc w:val="left"/>
    </w:lvl>
  </w:abstractNum>
  <w:abstractNum w:abstractNumId="1">
    <w:nsid w:val="4169253D"/>
    <w:multiLevelType w:val="multilevel"/>
    <w:tmpl w:val="4169253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trackRevisions w:val="1"/>
  <w:documentProtection w:edit="trackedChanges" w:enforcement="1" w:cryptProviderType="rsaFull" w:cryptAlgorithmClass="hash" w:cryptAlgorithmType="typeAny" w:cryptAlgorithmSid="4" w:cryptSpinCount="0" w:hash="MuKYn06pwTAPLTTWW2eP101Jxs8=" w:salt="w4j0bRy9oz5VJxP8+8/KC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mU5Y2UyYTcxMGU2OTlhMGZmYjA5NGEyNWMyNTgifQ=="/>
  </w:docVars>
  <w:rsids>
    <w:rsidRoot w:val="007C6B5B"/>
    <w:rsid w:val="000360F2"/>
    <w:rsid w:val="000E3B84"/>
    <w:rsid w:val="00166837"/>
    <w:rsid w:val="0021184F"/>
    <w:rsid w:val="003D6E59"/>
    <w:rsid w:val="003E4D46"/>
    <w:rsid w:val="00401101"/>
    <w:rsid w:val="00432558"/>
    <w:rsid w:val="0045377C"/>
    <w:rsid w:val="004D20F2"/>
    <w:rsid w:val="005A3349"/>
    <w:rsid w:val="00601823"/>
    <w:rsid w:val="007200AE"/>
    <w:rsid w:val="007415F5"/>
    <w:rsid w:val="007C6B5B"/>
    <w:rsid w:val="00844788"/>
    <w:rsid w:val="00A30B06"/>
    <w:rsid w:val="00B1008E"/>
    <w:rsid w:val="00B20A80"/>
    <w:rsid w:val="00B67B49"/>
    <w:rsid w:val="00B9464A"/>
    <w:rsid w:val="00D87BED"/>
    <w:rsid w:val="00E26266"/>
    <w:rsid w:val="00E2651C"/>
    <w:rsid w:val="00E4041A"/>
    <w:rsid w:val="00E80C6F"/>
    <w:rsid w:val="00FF3BD1"/>
    <w:rsid w:val="01592D6B"/>
    <w:rsid w:val="018C33F1"/>
    <w:rsid w:val="01DD1E9F"/>
    <w:rsid w:val="01E505B7"/>
    <w:rsid w:val="031E451D"/>
    <w:rsid w:val="032F2286"/>
    <w:rsid w:val="039E565E"/>
    <w:rsid w:val="03EE0393"/>
    <w:rsid w:val="03F62DA4"/>
    <w:rsid w:val="04BF2C00"/>
    <w:rsid w:val="04C11604"/>
    <w:rsid w:val="050F167C"/>
    <w:rsid w:val="0559183C"/>
    <w:rsid w:val="05997019"/>
    <w:rsid w:val="05F6352F"/>
    <w:rsid w:val="060317A8"/>
    <w:rsid w:val="06043E9E"/>
    <w:rsid w:val="064424ED"/>
    <w:rsid w:val="066E7451"/>
    <w:rsid w:val="06AD62E4"/>
    <w:rsid w:val="06B4614E"/>
    <w:rsid w:val="06E25862"/>
    <w:rsid w:val="06F61A7D"/>
    <w:rsid w:val="06FE6B3F"/>
    <w:rsid w:val="079528D4"/>
    <w:rsid w:val="07F25F78"/>
    <w:rsid w:val="08234384"/>
    <w:rsid w:val="08AF79C5"/>
    <w:rsid w:val="08EB2BF9"/>
    <w:rsid w:val="09903C9B"/>
    <w:rsid w:val="0992531D"/>
    <w:rsid w:val="0A0D0E47"/>
    <w:rsid w:val="0AAB0D8C"/>
    <w:rsid w:val="0AD57BB7"/>
    <w:rsid w:val="0B065FC2"/>
    <w:rsid w:val="0B4852DE"/>
    <w:rsid w:val="0BC55E7E"/>
    <w:rsid w:val="0C585DED"/>
    <w:rsid w:val="0C8573BB"/>
    <w:rsid w:val="0CE95B9C"/>
    <w:rsid w:val="0D0068A6"/>
    <w:rsid w:val="0E0013EF"/>
    <w:rsid w:val="0E5B6E42"/>
    <w:rsid w:val="0F2A424A"/>
    <w:rsid w:val="0F55021C"/>
    <w:rsid w:val="0F9A3F44"/>
    <w:rsid w:val="10572E1C"/>
    <w:rsid w:val="11194576"/>
    <w:rsid w:val="11A13517"/>
    <w:rsid w:val="129E3950"/>
    <w:rsid w:val="12D1335A"/>
    <w:rsid w:val="12E32EDE"/>
    <w:rsid w:val="130628D8"/>
    <w:rsid w:val="13AC657F"/>
    <w:rsid w:val="14290F74"/>
    <w:rsid w:val="154A73F4"/>
    <w:rsid w:val="15C75880"/>
    <w:rsid w:val="15D942D4"/>
    <w:rsid w:val="1686445B"/>
    <w:rsid w:val="16CC47B5"/>
    <w:rsid w:val="174B2FAF"/>
    <w:rsid w:val="177A3491"/>
    <w:rsid w:val="17FE41C9"/>
    <w:rsid w:val="1930238D"/>
    <w:rsid w:val="19B337B9"/>
    <w:rsid w:val="1A6920CA"/>
    <w:rsid w:val="1B18764C"/>
    <w:rsid w:val="1C0025BA"/>
    <w:rsid w:val="1C9D24FF"/>
    <w:rsid w:val="1CA613B3"/>
    <w:rsid w:val="1CEE2D5A"/>
    <w:rsid w:val="1D641F5B"/>
    <w:rsid w:val="1D8B2357"/>
    <w:rsid w:val="1D8D3097"/>
    <w:rsid w:val="1D931D4E"/>
    <w:rsid w:val="1E42510C"/>
    <w:rsid w:val="1EEB1B44"/>
    <w:rsid w:val="1F291E28"/>
    <w:rsid w:val="1F43738D"/>
    <w:rsid w:val="1F4E0726"/>
    <w:rsid w:val="1F64211D"/>
    <w:rsid w:val="1FED554B"/>
    <w:rsid w:val="20551E5C"/>
    <w:rsid w:val="20CA763A"/>
    <w:rsid w:val="212E5195"/>
    <w:rsid w:val="214F23A0"/>
    <w:rsid w:val="21921F06"/>
    <w:rsid w:val="21DA565B"/>
    <w:rsid w:val="21DE339D"/>
    <w:rsid w:val="220538BC"/>
    <w:rsid w:val="223C6316"/>
    <w:rsid w:val="235651B5"/>
    <w:rsid w:val="23865A9B"/>
    <w:rsid w:val="23E40A13"/>
    <w:rsid w:val="253F23A5"/>
    <w:rsid w:val="257F27A2"/>
    <w:rsid w:val="25A246E2"/>
    <w:rsid w:val="25FF5C0C"/>
    <w:rsid w:val="261F3F85"/>
    <w:rsid w:val="264439EB"/>
    <w:rsid w:val="279B763B"/>
    <w:rsid w:val="279D1605"/>
    <w:rsid w:val="27C30EBC"/>
    <w:rsid w:val="281A4A03"/>
    <w:rsid w:val="288D1679"/>
    <w:rsid w:val="289F315B"/>
    <w:rsid w:val="28AD3ACA"/>
    <w:rsid w:val="28CA467C"/>
    <w:rsid w:val="28E21F0E"/>
    <w:rsid w:val="297E7214"/>
    <w:rsid w:val="29844B8B"/>
    <w:rsid w:val="29E74DB9"/>
    <w:rsid w:val="2A2C0A1E"/>
    <w:rsid w:val="2AA1140C"/>
    <w:rsid w:val="2B8F5708"/>
    <w:rsid w:val="2C002162"/>
    <w:rsid w:val="2C583D4C"/>
    <w:rsid w:val="2CC97514"/>
    <w:rsid w:val="2CD535EF"/>
    <w:rsid w:val="2D1A157E"/>
    <w:rsid w:val="2D55028C"/>
    <w:rsid w:val="2E156399"/>
    <w:rsid w:val="2E861045"/>
    <w:rsid w:val="2EC50E19"/>
    <w:rsid w:val="2EDA313F"/>
    <w:rsid w:val="2EF277A0"/>
    <w:rsid w:val="2F2C0E88"/>
    <w:rsid w:val="2F546A4D"/>
    <w:rsid w:val="2F5B427F"/>
    <w:rsid w:val="2FD952C9"/>
    <w:rsid w:val="2FE34275"/>
    <w:rsid w:val="301D1535"/>
    <w:rsid w:val="308B2942"/>
    <w:rsid w:val="309061AB"/>
    <w:rsid w:val="30932C88"/>
    <w:rsid w:val="30F304E8"/>
    <w:rsid w:val="30FD40AA"/>
    <w:rsid w:val="31F6028F"/>
    <w:rsid w:val="323D738C"/>
    <w:rsid w:val="32FF13C6"/>
    <w:rsid w:val="33197C8A"/>
    <w:rsid w:val="33D22636"/>
    <w:rsid w:val="33EF4F96"/>
    <w:rsid w:val="340F388A"/>
    <w:rsid w:val="342324EF"/>
    <w:rsid w:val="345D45F6"/>
    <w:rsid w:val="351F7AFD"/>
    <w:rsid w:val="352275ED"/>
    <w:rsid w:val="35635C3C"/>
    <w:rsid w:val="35867B7C"/>
    <w:rsid w:val="35D95EFE"/>
    <w:rsid w:val="369167D9"/>
    <w:rsid w:val="36BB1AA7"/>
    <w:rsid w:val="36C070BE"/>
    <w:rsid w:val="36D6068F"/>
    <w:rsid w:val="379C3687"/>
    <w:rsid w:val="37DD15AA"/>
    <w:rsid w:val="38C2711D"/>
    <w:rsid w:val="3914724D"/>
    <w:rsid w:val="396554B9"/>
    <w:rsid w:val="39FB23C7"/>
    <w:rsid w:val="3A2C7779"/>
    <w:rsid w:val="3B037579"/>
    <w:rsid w:val="3B4F27BE"/>
    <w:rsid w:val="3BDD7DCA"/>
    <w:rsid w:val="3BEE647B"/>
    <w:rsid w:val="3BF35840"/>
    <w:rsid w:val="3CD016DD"/>
    <w:rsid w:val="3DD2013D"/>
    <w:rsid w:val="3DF05D9E"/>
    <w:rsid w:val="3EA41944"/>
    <w:rsid w:val="3F275F2C"/>
    <w:rsid w:val="3F2B709E"/>
    <w:rsid w:val="409749EB"/>
    <w:rsid w:val="41272213"/>
    <w:rsid w:val="41370683"/>
    <w:rsid w:val="419453CF"/>
    <w:rsid w:val="42336996"/>
    <w:rsid w:val="425D7B4C"/>
    <w:rsid w:val="42731488"/>
    <w:rsid w:val="445350CD"/>
    <w:rsid w:val="445C6678"/>
    <w:rsid w:val="44C45FCB"/>
    <w:rsid w:val="455C6204"/>
    <w:rsid w:val="455E3D2A"/>
    <w:rsid w:val="45991206"/>
    <w:rsid w:val="45A621BD"/>
    <w:rsid w:val="45D264C6"/>
    <w:rsid w:val="460F771A"/>
    <w:rsid w:val="468E063F"/>
    <w:rsid w:val="468E4AE3"/>
    <w:rsid w:val="46BF2EEE"/>
    <w:rsid w:val="46D47B81"/>
    <w:rsid w:val="47332F94"/>
    <w:rsid w:val="47497073"/>
    <w:rsid w:val="475F3D89"/>
    <w:rsid w:val="47F941DE"/>
    <w:rsid w:val="48FF3A76"/>
    <w:rsid w:val="4902295D"/>
    <w:rsid w:val="494D47E1"/>
    <w:rsid w:val="497550AC"/>
    <w:rsid w:val="49AD702E"/>
    <w:rsid w:val="49B760FE"/>
    <w:rsid w:val="4A713C30"/>
    <w:rsid w:val="4A722025"/>
    <w:rsid w:val="4AA779F3"/>
    <w:rsid w:val="4AE7656F"/>
    <w:rsid w:val="4BA64049"/>
    <w:rsid w:val="4C1710D6"/>
    <w:rsid w:val="4C5B5467"/>
    <w:rsid w:val="4C7B1665"/>
    <w:rsid w:val="4CB274BD"/>
    <w:rsid w:val="4CDB42BB"/>
    <w:rsid w:val="4D2C295F"/>
    <w:rsid w:val="4D3A1520"/>
    <w:rsid w:val="4D423F31"/>
    <w:rsid w:val="4D4B7289"/>
    <w:rsid w:val="4D7A7118"/>
    <w:rsid w:val="4E6525CD"/>
    <w:rsid w:val="4ED35884"/>
    <w:rsid w:val="4FB8497E"/>
    <w:rsid w:val="4FDF015D"/>
    <w:rsid w:val="50082ED5"/>
    <w:rsid w:val="501871CB"/>
    <w:rsid w:val="5023629C"/>
    <w:rsid w:val="50795EBC"/>
    <w:rsid w:val="5156444F"/>
    <w:rsid w:val="52636E23"/>
    <w:rsid w:val="530F0D59"/>
    <w:rsid w:val="534053B7"/>
    <w:rsid w:val="534B3AD8"/>
    <w:rsid w:val="538C23AA"/>
    <w:rsid w:val="538F59F6"/>
    <w:rsid w:val="53A476F3"/>
    <w:rsid w:val="541128AF"/>
    <w:rsid w:val="54D062C6"/>
    <w:rsid w:val="55E464CD"/>
    <w:rsid w:val="5730129E"/>
    <w:rsid w:val="57574A7D"/>
    <w:rsid w:val="580F1057"/>
    <w:rsid w:val="581110D0"/>
    <w:rsid w:val="594869A2"/>
    <w:rsid w:val="59710078"/>
    <w:rsid w:val="5A180741"/>
    <w:rsid w:val="5A3115B5"/>
    <w:rsid w:val="5A6B2531"/>
    <w:rsid w:val="5A7E7EEF"/>
    <w:rsid w:val="5B2276CC"/>
    <w:rsid w:val="5B503CBD"/>
    <w:rsid w:val="5BDB7A2A"/>
    <w:rsid w:val="5BF94355"/>
    <w:rsid w:val="5C9A78E6"/>
    <w:rsid w:val="5CF2526E"/>
    <w:rsid w:val="5DE132F2"/>
    <w:rsid w:val="5E4E6BDA"/>
    <w:rsid w:val="60597AB8"/>
    <w:rsid w:val="605E0C2A"/>
    <w:rsid w:val="606427F7"/>
    <w:rsid w:val="606C09EB"/>
    <w:rsid w:val="60870181"/>
    <w:rsid w:val="60A01243"/>
    <w:rsid w:val="6122434D"/>
    <w:rsid w:val="613D6C69"/>
    <w:rsid w:val="614E6EF1"/>
    <w:rsid w:val="630B4EE9"/>
    <w:rsid w:val="63676048"/>
    <w:rsid w:val="638D6D13"/>
    <w:rsid w:val="64C71494"/>
    <w:rsid w:val="64FA62AF"/>
    <w:rsid w:val="655A5E64"/>
    <w:rsid w:val="66501015"/>
    <w:rsid w:val="668D2269"/>
    <w:rsid w:val="6694035A"/>
    <w:rsid w:val="66B214DE"/>
    <w:rsid w:val="67787679"/>
    <w:rsid w:val="67F83735"/>
    <w:rsid w:val="67FA392E"/>
    <w:rsid w:val="685A261F"/>
    <w:rsid w:val="69020CEC"/>
    <w:rsid w:val="695A549A"/>
    <w:rsid w:val="69BA15C7"/>
    <w:rsid w:val="69D65CD5"/>
    <w:rsid w:val="6B7B4D86"/>
    <w:rsid w:val="6C1F1BB5"/>
    <w:rsid w:val="6C283EAB"/>
    <w:rsid w:val="6C4314DE"/>
    <w:rsid w:val="6C5A499B"/>
    <w:rsid w:val="6C5D623A"/>
    <w:rsid w:val="6CD02EB0"/>
    <w:rsid w:val="6CF21078"/>
    <w:rsid w:val="6D003795"/>
    <w:rsid w:val="6D0A63C2"/>
    <w:rsid w:val="6D0C2D55"/>
    <w:rsid w:val="6D3E564F"/>
    <w:rsid w:val="6DA210B8"/>
    <w:rsid w:val="6DA85BDA"/>
    <w:rsid w:val="6DE704B1"/>
    <w:rsid w:val="6E0C7F17"/>
    <w:rsid w:val="6E530EF0"/>
    <w:rsid w:val="6E5B2C4D"/>
    <w:rsid w:val="6EC32CCC"/>
    <w:rsid w:val="6EE113A4"/>
    <w:rsid w:val="6F3239AE"/>
    <w:rsid w:val="6F850EAE"/>
    <w:rsid w:val="6FDB5DF3"/>
    <w:rsid w:val="71033854"/>
    <w:rsid w:val="71A843FB"/>
    <w:rsid w:val="71B40FF2"/>
    <w:rsid w:val="71D957A0"/>
    <w:rsid w:val="72C62D8B"/>
    <w:rsid w:val="72EF7E69"/>
    <w:rsid w:val="73217FC1"/>
    <w:rsid w:val="73397A01"/>
    <w:rsid w:val="738371B4"/>
    <w:rsid w:val="73880040"/>
    <w:rsid w:val="73BB0416"/>
    <w:rsid w:val="74796957"/>
    <w:rsid w:val="7496678D"/>
    <w:rsid w:val="749D5D6D"/>
    <w:rsid w:val="74DF10BB"/>
    <w:rsid w:val="74FB2A94"/>
    <w:rsid w:val="75412B9C"/>
    <w:rsid w:val="75BA294F"/>
    <w:rsid w:val="764D5571"/>
    <w:rsid w:val="76D65566"/>
    <w:rsid w:val="77204A34"/>
    <w:rsid w:val="77291B3A"/>
    <w:rsid w:val="77B04009"/>
    <w:rsid w:val="77CE623E"/>
    <w:rsid w:val="782A5B6A"/>
    <w:rsid w:val="783F0EE9"/>
    <w:rsid w:val="78A321D2"/>
    <w:rsid w:val="78C7785D"/>
    <w:rsid w:val="796450AB"/>
    <w:rsid w:val="796C3DBB"/>
    <w:rsid w:val="7A9674E6"/>
    <w:rsid w:val="7ABE6A3D"/>
    <w:rsid w:val="7CD460A4"/>
    <w:rsid w:val="7CE107C1"/>
    <w:rsid w:val="7CE56503"/>
    <w:rsid w:val="7D1172F8"/>
    <w:rsid w:val="7D3E79C1"/>
    <w:rsid w:val="7DB76E0E"/>
    <w:rsid w:val="7DBB1900"/>
    <w:rsid w:val="7E073292"/>
    <w:rsid w:val="7E77762F"/>
    <w:rsid w:val="7EA313C4"/>
    <w:rsid w:val="7F1430D0"/>
    <w:rsid w:val="7F181322"/>
    <w:rsid w:val="7F594F87"/>
    <w:rsid w:val="7F82454A"/>
    <w:rsid w:val="7FBD72C3"/>
    <w:rsid w:val="7FDB68EF"/>
    <w:rsid w:val="7FEA47F6"/>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41"/>
    <w:qFormat/>
    <w:uiPriority w:val="9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120" w:after="120"/>
      <w:ind w:firstLine="480"/>
      <w:outlineLvl w:val="2"/>
    </w:pPr>
    <w:rPr>
      <w:b/>
      <w:bCs/>
      <w:sz w:val="24"/>
      <w:szCs w:val="24"/>
    </w:rPr>
  </w:style>
  <w:style w:type="character" w:default="1" w:styleId="17">
    <w:name w:val="Default Paragraph Font"/>
    <w:autoRedefine/>
    <w:unhideWhenUsed/>
    <w:qFormat/>
    <w:uiPriority w:val="1"/>
  </w:style>
  <w:style w:type="table" w:default="1" w:styleId="1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5">
    <w:name w:val="Body Text"/>
    <w:basedOn w:val="1"/>
    <w:next w:val="1"/>
    <w:qFormat/>
    <w:uiPriority w:val="99"/>
    <w:pPr>
      <w:snapToGrid w:val="0"/>
      <w:spacing w:line="360" w:lineRule="auto"/>
    </w:pPr>
    <w:rPr>
      <w:kern w:val="0"/>
      <w:sz w:val="24"/>
      <w:szCs w:val="24"/>
    </w:rPr>
  </w:style>
  <w:style w:type="paragraph" w:styleId="6">
    <w:name w:val="Plain Text"/>
    <w:basedOn w:val="1"/>
    <w:qFormat/>
    <w:uiPriority w:val="99"/>
    <w:rPr>
      <w:rFonts w:ascii="宋体" w:hAnsi="Courier New" w:eastAsia="华文宋体"/>
      <w:kern w:val="0"/>
      <w:sz w:val="28"/>
      <w:szCs w:val="28"/>
    </w:rPr>
  </w:style>
  <w:style w:type="paragraph" w:styleId="7">
    <w:name w:val="Balloon Text"/>
    <w:basedOn w:val="1"/>
    <w:link w:val="32"/>
    <w:autoRedefine/>
    <w:semiHidden/>
    <w:unhideWhenUsed/>
    <w:qFormat/>
    <w:uiPriority w:val="99"/>
    <w:rPr>
      <w:sz w:val="18"/>
      <w:szCs w:val="18"/>
    </w:rPr>
  </w:style>
  <w:style w:type="paragraph" w:styleId="8">
    <w:name w:val="footer"/>
    <w:basedOn w:val="1"/>
    <w:link w:val="31"/>
    <w:autoRedefine/>
    <w:unhideWhenUsed/>
    <w:qFormat/>
    <w:uiPriority w:val="99"/>
    <w:pPr>
      <w:tabs>
        <w:tab w:val="center" w:pos="4153"/>
        <w:tab w:val="right" w:pos="8306"/>
      </w:tabs>
      <w:snapToGrid w:val="0"/>
      <w:jc w:val="left"/>
    </w:pPr>
    <w:rPr>
      <w:sz w:val="18"/>
      <w:szCs w:val="18"/>
    </w:rPr>
  </w:style>
  <w:style w:type="paragraph" w:styleId="9">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next w:val="6"/>
    <w:qFormat/>
    <w:uiPriority w:val="99"/>
    <w:pPr>
      <w:widowControl/>
      <w:spacing w:before="100" w:beforeAutospacing="1" w:after="100" w:afterAutospacing="1"/>
      <w:jc w:val="left"/>
    </w:pPr>
    <w:rPr>
      <w:rFonts w:ascii="宋体" w:hAnsi="宋体"/>
      <w:kern w:val="0"/>
      <w:sz w:val="24"/>
      <w:szCs w:val="24"/>
    </w:rPr>
  </w:style>
  <w:style w:type="paragraph" w:styleId="11">
    <w:name w:val="Message Header"/>
    <w:basedOn w:val="1"/>
    <w:link w:val="4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w:basedOn w:val="1"/>
    <w:next w:val="14"/>
    <w:qFormat/>
    <w:uiPriority w:val="0"/>
    <w:pPr>
      <w:spacing w:line="360" w:lineRule="auto"/>
      <w:ind w:firstLine="420"/>
    </w:pPr>
    <w:rPr>
      <w:rFonts w:eastAsia="Arial Unicode MS"/>
      <w:color w:val="000000"/>
      <w:kern w:val="0"/>
      <w:sz w:val="28"/>
      <w:szCs w:val="28"/>
    </w:rPr>
  </w:style>
  <w:style w:type="paragraph" w:styleId="14">
    <w:name w:val="Body Text First Indent 2"/>
    <w:basedOn w:val="1"/>
    <w:next w:val="1"/>
    <w:qFormat/>
    <w:uiPriority w:val="0"/>
    <w:pPr>
      <w:spacing w:before="100" w:beforeAutospacing="1" w:after="120" w:line="360" w:lineRule="auto"/>
      <w:ind w:left="420" w:firstLine="420"/>
    </w:pPr>
    <w:rPr>
      <w:rFonts w:eastAsia="Arial Unicode MS"/>
      <w:color w:val="000000"/>
      <w:kern w:val="0"/>
      <w:sz w:val="20"/>
      <w:szCs w:val="20"/>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FollowedHyperlink"/>
    <w:basedOn w:val="17"/>
    <w:autoRedefine/>
    <w:semiHidden/>
    <w:unhideWhenUsed/>
    <w:qFormat/>
    <w:uiPriority w:val="99"/>
    <w:rPr>
      <w:color w:val="800080"/>
      <w:u w:val="none"/>
    </w:rPr>
  </w:style>
  <w:style w:type="character" w:styleId="20">
    <w:name w:val="Emphasis"/>
    <w:basedOn w:val="17"/>
    <w:autoRedefine/>
    <w:qFormat/>
    <w:uiPriority w:val="20"/>
    <w:rPr>
      <w:b/>
      <w:bCs/>
    </w:rPr>
  </w:style>
  <w:style w:type="character" w:styleId="21">
    <w:name w:val="HTML Definition"/>
    <w:basedOn w:val="17"/>
    <w:autoRedefine/>
    <w:semiHidden/>
    <w:unhideWhenUsed/>
    <w:qFormat/>
    <w:uiPriority w:val="99"/>
  </w:style>
  <w:style w:type="character" w:styleId="22">
    <w:name w:val="HTML Typewriter"/>
    <w:basedOn w:val="17"/>
    <w:autoRedefine/>
    <w:semiHidden/>
    <w:unhideWhenUsed/>
    <w:qFormat/>
    <w:uiPriority w:val="99"/>
    <w:rPr>
      <w:rFonts w:hint="default" w:ascii="monospace" w:hAnsi="monospace" w:eastAsia="monospace" w:cs="monospace"/>
      <w:sz w:val="20"/>
    </w:rPr>
  </w:style>
  <w:style w:type="character" w:styleId="23">
    <w:name w:val="HTML Acronym"/>
    <w:basedOn w:val="17"/>
    <w:autoRedefine/>
    <w:semiHidden/>
    <w:unhideWhenUsed/>
    <w:qFormat/>
    <w:uiPriority w:val="99"/>
  </w:style>
  <w:style w:type="character" w:styleId="24">
    <w:name w:val="HTML Variable"/>
    <w:basedOn w:val="17"/>
    <w:autoRedefine/>
    <w:semiHidden/>
    <w:unhideWhenUsed/>
    <w:qFormat/>
    <w:uiPriority w:val="99"/>
  </w:style>
  <w:style w:type="character" w:styleId="25">
    <w:name w:val="Hyperlink"/>
    <w:basedOn w:val="17"/>
    <w:autoRedefine/>
    <w:semiHidden/>
    <w:unhideWhenUsed/>
    <w:qFormat/>
    <w:uiPriority w:val="99"/>
    <w:rPr>
      <w:color w:val="0000FF"/>
      <w:u w:val="none"/>
    </w:rPr>
  </w:style>
  <w:style w:type="character" w:styleId="26">
    <w:name w:val="HTML Code"/>
    <w:basedOn w:val="17"/>
    <w:autoRedefine/>
    <w:semiHidden/>
    <w:unhideWhenUsed/>
    <w:qFormat/>
    <w:uiPriority w:val="99"/>
    <w:rPr>
      <w:rFonts w:ascii="monospace" w:hAnsi="monospace" w:eastAsia="monospace" w:cs="monospace"/>
      <w:sz w:val="20"/>
    </w:rPr>
  </w:style>
  <w:style w:type="character" w:styleId="27">
    <w:name w:val="HTML Cite"/>
    <w:basedOn w:val="17"/>
    <w:autoRedefine/>
    <w:semiHidden/>
    <w:unhideWhenUsed/>
    <w:qFormat/>
    <w:uiPriority w:val="99"/>
  </w:style>
  <w:style w:type="character" w:styleId="28">
    <w:name w:val="HTML Keyboard"/>
    <w:basedOn w:val="17"/>
    <w:autoRedefine/>
    <w:semiHidden/>
    <w:unhideWhenUsed/>
    <w:qFormat/>
    <w:uiPriority w:val="99"/>
    <w:rPr>
      <w:rFonts w:hint="default" w:ascii="monospace" w:hAnsi="monospace" w:eastAsia="monospace" w:cs="monospace"/>
      <w:sz w:val="20"/>
    </w:rPr>
  </w:style>
  <w:style w:type="character" w:styleId="29">
    <w:name w:val="HTML Sample"/>
    <w:basedOn w:val="17"/>
    <w:autoRedefine/>
    <w:semiHidden/>
    <w:unhideWhenUsed/>
    <w:qFormat/>
    <w:uiPriority w:val="99"/>
    <w:rPr>
      <w:rFonts w:hint="default" w:ascii="monospace" w:hAnsi="monospace" w:eastAsia="monospace" w:cs="monospace"/>
    </w:rPr>
  </w:style>
  <w:style w:type="character" w:customStyle="1" w:styleId="30">
    <w:name w:val="页眉 Char"/>
    <w:basedOn w:val="17"/>
    <w:link w:val="9"/>
    <w:autoRedefine/>
    <w:qFormat/>
    <w:uiPriority w:val="99"/>
    <w:rPr>
      <w:sz w:val="18"/>
      <w:szCs w:val="18"/>
    </w:rPr>
  </w:style>
  <w:style w:type="character" w:customStyle="1" w:styleId="31">
    <w:name w:val="页脚 Char"/>
    <w:basedOn w:val="17"/>
    <w:link w:val="8"/>
    <w:autoRedefine/>
    <w:qFormat/>
    <w:uiPriority w:val="99"/>
    <w:rPr>
      <w:sz w:val="18"/>
      <w:szCs w:val="18"/>
    </w:rPr>
  </w:style>
  <w:style w:type="character" w:customStyle="1" w:styleId="32">
    <w:name w:val="批注框文本 Char"/>
    <w:basedOn w:val="17"/>
    <w:link w:val="7"/>
    <w:autoRedefine/>
    <w:semiHidden/>
    <w:qFormat/>
    <w:uiPriority w:val="99"/>
    <w:rPr>
      <w:sz w:val="18"/>
      <w:szCs w:val="18"/>
    </w:rPr>
  </w:style>
  <w:style w:type="paragraph" w:styleId="33">
    <w:name w:val="List Paragraph"/>
    <w:basedOn w:val="1"/>
    <w:autoRedefine/>
    <w:qFormat/>
    <w:uiPriority w:val="34"/>
    <w:pPr>
      <w:ind w:firstLine="420" w:firstLineChars="200"/>
    </w:pPr>
  </w:style>
  <w:style w:type="character" w:customStyle="1" w:styleId="34">
    <w:name w:val="first-child"/>
    <w:basedOn w:val="17"/>
    <w:autoRedefine/>
    <w:qFormat/>
    <w:uiPriority w:val="0"/>
  </w:style>
  <w:style w:type="character" w:customStyle="1" w:styleId="35">
    <w:name w:val="layui-layer-tabnow"/>
    <w:basedOn w:val="17"/>
    <w:autoRedefine/>
    <w:qFormat/>
    <w:uiPriority w:val="0"/>
    <w:rPr>
      <w:bdr w:val="single" w:color="CCCCCC" w:sz="6" w:space="0"/>
      <w:shd w:val="clear" w:fill="FFFFFF"/>
    </w:rPr>
  </w:style>
  <w:style w:type="character" w:customStyle="1" w:styleId="36">
    <w:name w:val="hover1"/>
    <w:basedOn w:val="17"/>
    <w:autoRedefine/>
    <w:qFormat/>
    <w:uiPriority w:val="0"/>
    <w:rPr>
      <w:color w:val="2590EB"/>
    </w:rPr>
  </w:style>
  <w:style w:type="character" w:customStyle="1" w:styleId="37">
    <w:name w:val="hover2"/>
    <w:basedOn w:val="17"/>
    <w:autoRedefine/>
    <w:qFormat/>
    <w:uiPriority w:val="0"/>
    <w:rPr>
      <w:color w:val="2590EB"/>
    </w:rPr>
  </w:style>
  <w:style w:type="character" w:customStyle="1" w:styleId="38">
    <w:name w:val="hover3"/>
    <w:basedOn w:val="17"/>
    <w:autoRedefine/>
    <w:qFormat/>
    <w:uiPriority w:val="0"/>
  </w:style>
  <w:style w:type="character" w:customStyle="1" w:styleId="39">
    <w:name w:val="mini-outputtext1"/>
    <w:basedOn w:val="17"/>
    <w:autoRedefine/>
    <w:qFormat/>
    <w:uiPriority w:val="0"/>
  </w:style>
  <w:style w:type="character" w:customStyle="1" w:styleId="40">
    <w:name w:val="信息标题 字符"/>
    <w:basedOn w:val="17"/>
    <w:link w:val="11"/>
    <w:qFormat/>
    <w:uiPriority w:val="0"/>
    <w:rPr>
      <w:rFonts w:ascii="等线 Light" w:hAnsi="等线 Light" w:eastAsia="等线 Light" w:cs="Times New Roman"/>
      <w:kern w:val="2"/>
      <w:sz w:val="24"/>
      <w:szCs w:val="24"/>
      <w:shd w:val="pct20" w:color="auto" w:fill="auto"/>
    </w:rPr>
  </w:style>
  <w:style w:type="character" w:customStyle="1" w:styleId="41">
    <w:name w:val="标题 2 字符"/>
    <w:basedOn w:val="17"/>
    <w:link w:val="3"/>
    <w:qFormat/>
    <w:uiPriority w:val="0"/>
    <w:rPr>
      <w:rFonts w:ascii="等线 Light" w:hAnsi="等线 Light" w:eastAsia="等线 Light" w:cs="Times New Roman"/>
      <w:color w:val="0F4761"/>
      <w:kern w:val="2"/>
      <w:sz w:val="40"/>
      <w:szCs w:val="40"/>
    </w:rPr>
  </w:style>
  <w:style w:type="paragraph" w:customStyle="1" w:styleId="42">
    <w:name w:val="样式 标题 3 + (中文) 黑体 小四 非加粗 段前: 7.8 磅 段后: 0 磅 行距: 固定值 20 磅"/>
    <w:basedOn w:val="4"/>
    <w:qFormat/>
    <w:uiPriority w:val="0"/>
    <w:pPr>
      <w:spacing w:before="0" w:after="0" w:line="400" w:lineRule="exact"/>
      <w:ind w:firstLine="0"/>
    </w:pPr>
    <w:rPr>
      <w:rFonts w:eastAsia="黑体" w:cs="宋体"/>
      <w:b w:val="0"/>
      <w:bCs w:val="0"/>
    </w:rPr>
  </w:style>
  <w:style w:type="paragraph" w:customStyle="1" w:styleId="43">
    <w:name w:val="正文_1"/>
    <w:basedOn w:val="1"/>
    <w:qFormat/>
    <w:uiPriority w:val="0"/>
    <w:rPr>
      <w:rFonts w:ascii="Calibri" w:hAnsi="Calibri" w:cs="Calibri"/>
    </w:rPr>
  </w:style>
  <w:style w:type="character" w:customStyle="1" w:styleId="44">
    <w:name w:val="hover"/>
    <w:basedOn w:val="17"/>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15577</Words>
  <Characters>17506</Characters>
  <Lines>185</Lines>
  <Paragraphs>52</Paragraphs>
  <TotalTime>26</TotalTime>
  <ScaleCrop>false</ScaleCrop>
  <LinksUpToDate>false</LinksUpToDate>
  <CharactersWithSpaces>17686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2023-06-19T02:13:00Z</dcterms:created>
  <dc:creator>深圳市合创建设工程顾问有限公司:信安深圳市合创建设工程顾问有限公司</dc:creator>
  <cp:lastModifiedBy>杨彩红</cp:lastModifiedBy>
  <cp:lastPrinted>2024-03-11T00:13:00Z</cp:lastPrinted>
  <dcterms:modified xsi:type="dcterms:W3CDTF">2025-09-08T10:51:31Z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93C0AD068D4642FD9AD7E17DAC7628E3_13</vt:lpwstr>
  </property>
  <property fmtid="{D5CDD505-2E9C-101B-9397-08002B2CF9AE}" pid="4" name="KSOTemplateDocerSaveRecord">
    <vt:lpwstr>eyJoZGlkIjoiZDNlNmY4ZWJkZDc4ZGQ4MDMwN2ZiN2E3MWQ0MWNmMjgiLCJ1c2VySWQiOiIzNTI3ODc2MjUifQ==</vt:lpwstr>
  </property>
</Properties>
</file>