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C28AB">
      <w:pPr>
        <w:adjustRightInd w:val="0"/>
        <w:snapToGrid w:val="0"/>
        <w:spacing w:line="360" w:lineRule="auto"/>
        <w:jc w:val="center"/>
        <w:rPr>
          <w:rFonts w:hint="eastAsia" w:ascii="宋体" w:cs="Times New Roman" w:eastAsiaTheme="minorEastAsia"/>
          <w:sz w:val="44"/>
          <w:szCs w:val="28"/>
          <w:u w:val="none"/>
          <w:lang w:eastAsia="zh-CN"/>
        </w:rPr>
      </w:pPr>
      <w:r>
        <w:rPr>
          <w:rFonts w:hint="eastAsia" w:ascii="宋体" w:cs="Times New Roman"/>
          <w:sz w:val="44"/>
          <w:szCs w:val="28"/>
          <w:u w:val="none"/>
          <w:lang w:eastAsia="zh-CN"/>
        </w:rPr>
        <w:t>卢氏县2025年烟叶产业配套烤房建设项目</w:t>
      </w:r>
      <w:r>
        <w:rPr>
          <w:rFonts w:hint="eastAsia" w:ascii="宋体" w:cs="Times New Roman" w:eastAsiaTheme="minorEastAsia"/>
          <w:sz w:val="48"/>
          <w:szCs w:val="32"/>
          <w:u w:val="none"/>
          <w:lang w:eastAsia="zh-CN"/>
        </w:rPr>
        <w:t xml:space="preserve"> </w:t>
      </w:r>
    </w:p>
    <w:p w14:paraId="5939FD7E">
      <w:pPr>
        <w:pStyle w:val="11"/>
        <w:jc w:val="center"/>
        <w:rPr>
          <w:rFonts w:hint="eastAsia" w:eastAsiaTheme="minorEastAsia"/>
          <w:sz w:val="21"/>
          <w:szCs w:val="21"/>
          <w:lang w:val="en-US" w:eastAsia="zh-CN"/>
        </w:rPr>
      </w:pPr>
      <w:r>
        <w:rPr>
          <w:rFonts w:hint="eastAsia" w:ascii="宋体" w:hAnsi="宋体"/>
          <w:b/>
          <w:bCs/>
          <w:sz w:val="60"/>
          <w:szCs w:val="60"/>
        </w:rPr>
        <w:t>招 标 文 件</w:t>
      </w:r>
      <w:r>
        <w:rPr>
          <w:rFonts w:hint="eastAsia" w:ascii="宋体" w:hAnsi="宋体"/>
          <w:b/>
          <w:bCs/>
          <w:sz w:val="60"/>
          <w:szCs w:val="60"/>
          <w:lang w:val="en-US" w:eastAsia="zh-CN"/>
        </w:rPr>
        <w:t xml:space="preserve"> </w:t>
      </w:r>
    </w:p>
    <w:p w14:paraId="2882DAAC">
      <w:pPr>
        <w:pStyle w:val="7"/>
        <w:rPr>
          <w:rFonts w:hint="default"/>
          <w:sz w:val="22"/>
          <w:szCs w:val="22"/>
          <w:lang w:val="en-US" w:eastAsia="zh-CN"/>
        </w:rPr>
      </w:pPr>
    </w:p>
    <w:p w14:paraId="1892515B">
      <w:pPr>
        <w:pStyle w:val="7"/>
        <w:rPr>
          <w:rFonts w:hint="default"/>
          <w:sz w:val="22"/>
          <w:szCs w:val="22"/>
          <w:lang w:val="en-US" w:eastAsia="zh-CN"/>
        </w:rPr>
      </w:pPr>
    </w:p>
    <w:p w14:paraId="31FF4AF8">
      <w:pPr>
        <w:adjustRightInd w:val="0"/>
        <w:snapToGrid w:val="0"/>
        <w:spacing w:line="360" w:lineRule="auto"/>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项目编号：三卢公开采购-2025-42、LSGZ[2025]199-ZC134</w:t>
      </w:r>
    </w:p>
    <w:p w14:paraId="5C75D9B5">
      <w:pPr>
        <w:adjustRightInd w:val="0"/>
        <w:snapToGrid w:val="0"/>
        <w:spacing w:line="360" w:lineRule="auto"/>
        <w:jc w:val="center"/>
        <w:rPr>
          <w:rFonts w:hint="eastAsia" w:ascii="宋体" w:hAnsi="宋体" w:eastAsia="宋体" w:cs="黑体"/>
          <w:color w:val="auto"/>
          <w:sz w:val="24"/>
          <w:szCs w:val="24"/>
          <w:highlight w:val="none"/>
          <w:lang w:eastAsia="zh-CN"/>
        </w:rPr>
      </w:pPr>
    </w:p>
    <w:p w14:paraId="01B93FF5">
      <w:pPr>
        <w:pStyle w:val="16"/>
        <w:rPr>
          <w:rFonts w:hint="eastAsia"/>
          <w:lang w:eastAsia="zh-CN"/>
        </w:rPr>
      </w:pPr>
    </w:p>
    <w:p w14:paraId="4848B0EF">
      <w:pPr>
        <w:adjustRightInd w:val="0"/>
        <w:snapToGrid w:val="0"/>
        <w:spacing w:line="360" w:lineRule="auto"/>
        <w:jc w:val="center"/>
        <w:rPr>
          <w:rFonts w:hint="eastAsia" w:ascii="宋体" w:hAnsi="宋体" w:eastAsia="宋体" w:cs="黑体"/>
          <w:color w:val="auto"/>
          <w:sz w:val="24"/>
          <w:szCs w:val="24"/>
          <w:highlight w:val="none"/>
          <w:lang w:eastAsia="zh-CN"/>
        </w:rPr>
      </w:pPr>
    </w:p>
    <w:p w14:paraId="5EBCD8BA">
      <w:pPr>
        <w:adjustRightInd w:val="0"/>
        <w:snapToGrid w:val="0"/>
        <w:spacing w:line="360" w:lineRule="auto"/>
        <w:jc w:val="center"/>
        <w:rPr>
          <w:rFonts w:hint="eastAsia" w:ascii="宋体" w:hAnsi="宋体" w:eastAsia="宋体" w:cs="宋体"/>
          <w:b/>
          <w:spacing w:val="-6"/>
          <w:sz w:val="32"/>
          <w:szCs w:val="32"/>
          <w:lang w:eastAsia="zh-CN"/>
        </w:rPr>
      </w:pPr>
    </w:p>
    <w:p w14:paraId="58F26A5C">
      <w:pPr>
        <w:adjustRightInd w:val="0"/>
        <w:snapToGrid w:val="0"/>
        <w:spacing w:line="360" w:lineRule="auto"/>
        <w:jc w:val="center"/>
        <w:rPr>
          <w:rFonts w:hint="eastAsia" w:ascii="宋体" w:hAnsi="宋体" w:eastAsia="宋体" w:cs="宋体"/>
          <w:b/>
          <w:spacing w:val="-6"/>
          <w:sz w:val="32"/>
          <w:szCs w:val="32"/>
          <w:lang w:eastAsia="zh-CN"/>
        </w:rPr>
      </w:pPr>
      <w:r>
        <w:rPr>
          <w:rFonts w:hint="eastAsia" w:ascii="黑体" w:eastAsia="黑体"/>
          <w:color w:val="auto"/>
          <w:sz w:val="28"/>
          <w:szCs w:val="28"/>
          <w:lang w:eastAsia="zh-CN"/>
        </w:rPr>
        <w:drawing>
          <wp:inline distT="0" distB="0" distL="114300" distR="114300">
            <wp:extent cx="2348230" cy="2883535"/>
            <wp:effectExtent l="0" t="0" r="13970" b="12065"/>
            <wp:docPr id="6" name="图片 6" descr="6fbb91057500d82120c8bf007374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bb91057500d82120c8bf007374e70"/>
                    <pic:cNvPicPr>
                      <a:picLocks noChangeAspect="1"/>
                    </pic:cNvPicPr>
                  </pic:nvPicPr>
                  <pic:blipFill>
                    <a:blip r:embed="rId9"/>
                    <a:stretch>
                      <a:fillRect/>
                    </a:stretch>
                  </pic:blipFill>
                  <pic:spPr>
                    <a:xfrm>
                      <a:off x="0" y="0"/>
                      <a:ext cx="2348230" cy="2883535"/>
                    </a:xfrm>
                    <a:prstGeom prst="rect">
                      <a:avLst/>
                    </a:prstGeom>
                    <a:noFill/>
                    <a:ln>
                      <a:noFill/>
                    </a:ln>
                  </pic:spPr>
                </pic:pic>
              </a:graphicData>
            </a:graphic>
          </wp:inline>
        </w:drawing>
      </w:r>
    </w:p>
    <w:p w14:paraId="4B416B40">
      <w:pPr>
        <w:adjustRightInd w:val="0"/>
        <w:snapToGrid w:val="0"/>
        <w:spacing w:line="360" w:lineRule="auto"/>
        <w:jc w:val="center"/>
        <w:rPr>
          <w:rFonts w:hint="eastAsia" w:ascii="宋体" w:hAnsi="宋体" w:eastAsia="宋体" w:cs="宋体"/>
          <w:b/>
          <w:spacing w:val="-6"/>
          <w:sz w:val="32"/>
          <w:szCs w:val="32"/>
          <w:lang w:eastAsia="zh-CN"/>
        </w:rPr>
      </w:pPr>
    </w:p>
    <w:p w14:paraId="0467BBFF">
      <w:pPr>
        <w:tabs>
          <w:tab w:val="left" w:pos="-1155"/>
          <w:tab w:val="left" w:pos="-1050"/>
        </w:tabs>
        <w:adjustRightInd w:val="0"/>
        <w:snapToGrid w:val="0"/>
        <w:spacing w:line="360" w:lineRule="auto"/>
        <w:jc w:val="center"/>
        <w:rPr>
          <w:rFonts w:hint="eastAsia" w:ascii="宋体" w:hAnsi="宋体" w:eastAsia="宋体" w:cs="宋体"/>
          <w:b/>
          <w:color w:val="000000" w:themeColor="text1"/>
          <w:kern w:val="0"/>
          <w:sz w:val="32"/>
          <w:szCs w:val="32"/>
          <w:lang w:val="en-US" w:eastAsia="zh-CN"/>
          <w14:textFill>
            <w14:solidFill>
              <w14:schemeClr w14:val="tx1"/>
            </w14:solidFill>
          </w14:textFill>
        </w:rPr>
      </w:pPr>
      <w:r>
        <w:rPr>
          <w:rFonts w:hint="eastAsia" w:ascii="宋体" w:hAnsi="宋体" w:eastAsia="宋体" w:cs="宋体"/>
          <w:b/>
          <w:spacing w:val="-6"/>
          <w:sz w:val="32"/>
          <w:szCs w:val="32"/>
          <w:lang w:eastAsia="zh-CN"/>
        </w:rPr>
        <w:t>采购</w:t>
      </w:r>
      <w:r>
        <w:rPr>
          <w:rFonts w:hint="eastAsia" w:ascii="宋体" w:hAnsi="宋体" w:eastAsia="宋体" w:cs="宋体"/>
          <w:b/>
          <w:spacing w:val="-6"/>
          <w:sz w:val="32"/>
          <w:szCs w:val="32"/>
        </w:rPr>
        <w:t>人：</w:t>
      </w:r>
      <w:r>
        <w:rPr>
          <w:rFonts w:hint="eastAsia" w:ascii="宋体" w:hAnsi="宋体" w:eastAsia="宋体" w:cs="宋体"/>
          <w:b/>
          <w:color w:val="000000" w:themeColor="text1"/>
          <w:kern w:val="0"/>
          <w:sz w:val="32"/>
          <w:szCs w:val="32"/>
          <w:lang w:val="en-US" w:eastAsia="zh-CN"/>
          <w14:textFill>
            <w14:solidFill>
              <w14:schemeClr w14:val="tx1"/>
            </w14:solidFill>
          </w14:textFill>
        </w:rPr>
        <w:t>卢氏县烟叶生产服务中心</w:t>
      </w:r>
    </w:p>
    <w:p w14:paraId="58CFA931">
      <w:pPr>
        <w:tabs>
          <w:tab w:val="left" w:pos="-1155"/>
          <w:tab w:val="left" w:pos="-1050"/>
        </w:tabs>
        <w:adjustRightInd w:val="0"/>
        <w:snapToGrid w:val="0"/>
        <w:spacing w:line="360" w:lineRule="auto"/>
        <w:jc w:val="center"/>
        <w:rPr>
          <w:rFonts w:hint="eastAsia" w:ascii="宋体" w:hAnsi="宋体" w:eastAsia="宋体" w:cs="宋体"/>
          <w:b/>
          <w:spacing w:val="-6"/>
          <w:sz w:val="32"/>
          <w:szCs w:val="32"/>
          <w:lang w:eastAsia="zh-CN"/>
        </w:rPr>
      </w:pPr>
      <w:r>
        <w:rPr>
          <w:rFonts w:hint="eastAsia" w:ascii="宋体" w:hAnsi="宋体" w:eastAsia="宋体" w:cs="宋体"/>
          <w:b/>
          <w:spacing w:val="-6"/>
          <w:sz w:val="32"/>
          <w:szCs w:val="32"/>
        </w:rPr>
        <w:t>代理机构：</w:t>
      </w:r>
      <w:r>
        <w:rPr>
          <w:rFonts w:hint="eastAsia" w:ascii="宋体" w:hAnsi="宋体" w:eastAsia="宋体" w:cs="宋体"/>
          <w:b/>
          <w:spacing w:val="-6"/>
          <w:sz w:val="32"/>
          <w:szCs w:val="32"/>
          <w:lang w:eastAsia="zh-CN"/>
        </w:rPr>
        <w:t>河南泰安工程管理有限公司</w:t>
      </w:r>
    </w:p>
    <w:p w14:paraId="24CE2C60">
      <w:pPr>
        <w:spacing w:line="0" w:lineRule="atLeast"/>
        <w:jc w:val="center"/>
        <w:rPr>
          <w:rFonts w:ascii="宋体" w:hAnsi="宋体" w:eastAsia="宋体"/>
          <w:b/>
          <w:color w:val="auto"/>
          <w:sz w:val="30"/>
          <w:szCs w:val="30"/>
          <w:highlight w:val="none"/>
        </w:rPr>
      </w:pPr>
      <w:r>
        <w:rPr>
          <w:rFonts w:hint="eastAsia" w:ascii="宋体" w:hAnsi="宋体" w:eastAsia="宋体"/>
          <w:b/>
          <w:color w:val="auto"/>
          <w:sz w:val="30"/>
          <w:szCs w:val="30"/>
          <w:highlight w:val="none"/>
        </w:rPr>
        <w:t>日期：二零二</w:t>
      </w:r>
      <w:r>
        <w:rPr>
          <w:rFonts w:hint="eastAsia" w:ascii="宋体" w:hAnsi="宋体" w:eastAsia="宋体"/>
          <w:b/>
          <w:color w:val="auto"/>
          <w:sz w:val="30"/>
          <w:szCs w:val="30"/>
          <w:highlight w:val="none"/>
          <w:lang w:eastAsia="zh-CN"/>
        </w:rPr>
        <w:t>五</w:t>
      </w:r>
      <w:r>
        <w:rPr>
          <w:rFonts w:hint="eastAsia" w:ascii="宋体" w:hAnsi="宋体" w:eastAsia="宋体"/>
          <w:b/>
          <w:color w:val="auto"/>
          <w:sz w:val="30"/>
          <w:szCs w:val="30"/>
          <w:highlight w:val="none"/>
        </w:rPr>
        <w:t>年</w:t>
      </w:r>
      <w:r>
        <w:rPr>
          <w:rFonts w:hint="eastAsia" w:ascii="宋体" w:hAnsi="宋体" w:eastAsia="宋体"/>
          <w:b/>
          <w:color w:val="auto"/>
          <w:sz w:val="30"/>
          <w:szCs w:val="30"/>
          <w:highlight w:val="none"/>
          <w:lang w:val="en-US" w:eastAsia="zh-CN"/>
        </w:rPr>
        <w:t>八</w:t>
      </w:r>
      <w:r>
        <w:rPr>
          <w:rFonts w:hint="eastAsia" w:ascii="宋体" w:hAnsi="宋体" w:eastAsia="宋体"/>
          <w:b/>
          <w:color w:val="auto"/>
          <w:sz w:val="30"/>
          <w:szCs w:val="30"/>
          <w:highlight w:val="none"/>
        </w:rPr>
        <w:t>月</w:t>
      </w:r>
    </w:p>
    <w:p w14:paraId="179E600D">
      <w:pPr>
        <w:jc w:val="center"/>
      </w:pPr>
    </w:p>
    <w:p w14:paraId="69302E22">
      <w:pPr>
        <w:spacing w:line="720" w:lineRule="auto"/>
        <w:ind w:firstLine="643"/>
        <w:jc w:val="center"/>
        <w:rPr>
          <w:rFonts w:ascii="宋体" w:hAnsi="宋体" w:eastAsia="宋体"/>
        </w:rPr>
        <w:sectPr>
          <w:pgSz w:w="11906" w:h="16838"/>
          <w:pgMar w:top="1440" w:right="1080" w:bottom="1440" w:left="1080" w:header="851" w:footer="850" w:gutter="0"/>
          <w:pgNumType w:start="1"/>
          <w:cols w:space="0" w:num="1"/>
          <w:titlePg/>
          <w:docGrid w:type="lines" w:linePitch="312" w:charSpace="0"/>
        </w:sectPr>
      </w:pPr>
    </w:p>
    <w:sdt>
      <w:sdtPr>
        <w:rPr>
          <w:rFonts w:ascii="宋体" w:hAnsi="宋体" w:eastAsia="宋体"/>
        </w:rPr>
        <w:id w:val="147475977"/>
        <w15:color w:val="DBDBDB"/>
        <w:docPartObj>
          <w:docPartGallery w:val="Table of Contents"/>
          <w:docPartUnique/>
        </w:docPartObj>
      </w:sdtPr>
      <w:sdtEndPr>
        <w:rPr>
          <w:rFonts w:asciiTheme="minorHAnsi" w:hAnsiTheme="minorHAnsi" w:eastAsiaTheme="minorEastAsia"/>
        </w:rPr>
      </w:sdtEndPr>
      <w:sdtContent>
        <w:p w14:paraId="38C56D43">
          <w:pPr>
            <w:spacing w:line="720" w:lineRule="auto"/>
            <w:ind w:firstLine="643"/>
            <w:jc w:val="center"/>
            <w:rPr>
              <w:sz w:val="28"/>
              <w:szCs w:val="28"/>
            </w:rPr>
          </w:pPr>
          <w:r>
            <w:rPr>
              <w:rFonts w:hint="eastAsia"/>
              <w:sz w:val="32"/>
              <w:szCs w:val="40"/>
            </w:rPr>
            <w:t>目 录</w:t>
          </w:r>
          <w:r>
            <w:rPr>
              <w:sz w:val="32"/>
              <w:szCs w:val="40"/>
            </w:rPr>
            <w:fldChar w:fldCharType="begin"/>
          </w:r>
          <w:r>
            <w:rPr>
              <w:sz w:val="32"/>
              <w:szCs w:val="40"/>
            </w:rPr>
            <w:instrText xml:space="preserve">TOC \o "1-1" \h \u </w:instrText>
          </w:r>
          <w:r>
            <w:rPr>
              <w:sz w:val="32"/>
              <w:szCs w:val="40"/>
            </w:rPr>
            <w:fldChar w:fldCharType="separate"/>
          </w:r>
        </w:p>
        <w:p w14:paraId="34C5DF7A">
          <w:pPr>
            <w:pStyle w:val="22"/>
            <w:tabs>
              <w:tab w:val="right" w:leader="dot" w:pos="9746"/>
            </w:tabs>
            <w:spacing w:line="480" w:lineRule="auto"/>
            <w:rPr>
              <w:sz w:val="28"/>
              <w:szCs w:val="28"/>
            </w:rPr>
          </w:pPr>
          <w:r>
            <w:fldChar w:fldCharType="begin"/>
          </w:r>
          <w:r>
            <w:instrText xml:space="preserve"> HYPERLINK \l "_Toc27979" </w:instrText>
          </w:r>
          <w:r>
            <w:fldChar w:fldCharType="separate"/>
          </w:r>
          <w:r>
            <w:rPr>
              <w:rFonts w:hint="eastAsia" w:ascii="宋体" w:hAnsi="宋体" w:cs="宋体"/>
              <w:bCs/>
              <w:sz w:val="28"/>
              <w:szCs w:val="48"/>
            </w:rPr>
            <w:t>第一章  招标公告</w:t>
          </w:r>
          <w:r>
            <w:rPr>
              <w:sz w:val="28"/>
              <w:szCs w:val="28"/>
            </w:rPr>
            <w:tab/>
          </w:r>
          <w:r>
            <w:rPr>
              <w:sz w:val="28"/>
              <w:szCs w:val="28"/>
            </w:rPr>
            <w:fldChar w:fldCharType="begin"/>
          </w:r>
          <w:r>
            <w:rPr>
              <w:sz w:val="28"/>
              <w:szCs w:val="28"/>
            </w:rPr>
            <w:instrText xml:space="preserve"> PAGEREF _Toc27979 \h </w:instrText>
          </w:r>
          <w:r>
            <w:rPr>
              <w:sz w:val="28"/>
              <w:szCs w:val="28"/>
            </w:rPr>
            <w:fldChar w:fldCharType="separate"/>
          </w:r>
          <w:r>
            <w:rPr>
              <w:sz w:val="28"/>
              <w:szCs w:val="28"/>
            </w:rPr>
            <w:t>2</w:t>
          </w:r>
          <w:r>
            <w:rPr>
              <w:sz w:val="28"/>
              <w:szCs w:val="28"/>
            </w:rPr>
            <w:fldChar w:fldCharType="end"/>
          </w:r>
          <w:r>
            <w:rPr>
              <w:sz w:val="28"/>
              <w:szCs w:val="28"/>
            </w:rPr>
            <w:fldChar w:fldCharType="end"/>
          </w:r>
        </w:p>
        <w:p w14:paraId="763B9E21">
          <w:pPr>
            <w:pStyle w:val="22"/>
            <w:tabs>
              <w:tab w:val="right" w:leader="dot" w:pos="9746"/>
            </w:tabs>
            <w:spacing w:line="480" w:lineRule="auto"/>
            <w:rPr>
              <w:sz w:val="28"/>
              <w:szCs w:val="28"/>
            </w:rPr>
          </w:pPr>
          <w:r>
            <w:fldChar w:fldCharType="begin"/>
          </w:r>
          <w:r>
            <w:instrText xml:space="preserve"> HYPERLINK \l "_Toc25087" </w:instrText>
          </w:r>
          <w:r>
            <w:fldChar w:fldCharType="separate"/>
          </w:r>
          <w:r>
            <w:rPr>
              <w:rFonts w:hint="eastAsia" w:ascii="宋体" w:hAnsi="宋体" w:cs="宋体"/>
              <w:bCs/>
              <w:sz w:val="28"/>
              <w:szCs w:val="48"/>
            </w:rPr>
            <w:t>第二章  投标供应商须知</w:t>
          </w:r>
          <w:r>
            <w:rPr>
              <w:sz w:val="28"/>
              <w:szCs w:val="28"/>
            </w:rPr>
            <w:tab/>
          </w:r>
          <w:r>
            <w:rPr>
              <w:sz w:val="28"/>
              <w:szCs w:val="28"/>
            </w:rPr>
            <w:fldChar w:fldCharType="begin"/>
          </w:r>
          <w:r>
            <w:rPr>
              <w:sz w:val="28"/>
              <w:szCs w:val="28"/>
            </w:rPr>
            <w:instrText xml:space="preserve"> PAGEREF _Toc25087 \h </w:instrText>
          </w:r>
          <w:r>
            <w:rPr>
              <w:sz w:val="28"/>
              <w:szCs w:val="28"/>
            </w:rPr>
            <w:fldChar w:fldCharType="separate"/>
          </w:r>
          <w:r>
            <w:rPr>
              <w:sz w:val="28"/>
              <w:szCs w:val="28"/>
            </w:rPr>
            <w:t>6</w:t>
          </w:r>
          <w:r>
            <w:rPr>
              <w:sz w:val="28"/>
              <w:szCs w:val="28"/>
            </w:rPr>
            <w:fldChar w:fldCharType="end"/>
          </w:r>
          <w:r>
            <w:rPr>
              <w:sz w:val="28"/>
              <w:szCs w:val="28"/>
            </w:rPr>
            <w:fldChar w:fldCharType="end"/>
          </w:r>
        </w:p>
        <w:p w14:paraId="3EEE025B">
          <w:pPr>
            <w:pStyle w:val="22"/>
            <w:tabs>
              <w:tab w:val="right" w:leader="dot" w:pos="9746"/>
            </w:tabs>
            <w:spacing w:line="480" w:lineRule="auto"/>
            <w:rPr>
              <w:sz w:val="28"/>
              <w:szCs w:val="28"/>
            </w:rPr>
          </w:pPr>
          <w:r>
            <w:fldChar w:fldCharType="begin"/>
          </w:r>
          <w:r>
            <w:instrText xml:space="preserve"> HYPERLINK \l "_Toc15043" </w:instrText>
          </w:r>
          <w:r>
            <w:fldChar w:fldCharType="separate"/>
          </w:r>
          <w:r>
            <w:rPr>
              <w:rFonts w:hint="eastAsia" w:ascii="宋体" w:hAnsi="宋体" w:cs="宋体"/>
              <w:bCs/>
              <w:sz w:val="28"/>
              <w:szCs w:val="48"/>
            </w:rPr>
            <w:t>第三章  采购需求</w:t>
          </w:r>
          <w:r>
            <w:rPr>
              <w:sz w:val="28"/>
              <w:szCs w:val="28"/>
            </w:rPr>
            <w:tab/>
          </w:r>
          <w:r>
            <w:rPr>
              <w:sz w:val="28"/>
              <w:szCs w:val="28"/>
            </w:rPr>
            <w:fldChar w:fldCharType="begin"/>
          </w:r>
          <w:r>
            <w:rPr>
              <w:sz w:val="28"/>
              <w:szCs w:val="28"/>
            </w:rPr>
            <w:instrText xml:space="preserve"> PAGEREF _Toc15043 \h </w:instrText>
          </w:r>
          <w:r>
            <w:rPr>
              <w:sz w:val="28"/>
              <w:szCs w:val="28"/>
            </w:rPr>
            <w:fldChar w:fldCharType="separate"/>
          </w:r>
          <w:r>
            <w:rPr>
              <w:sz w:val="28"/>
              <w:szCs w:val="28"/>
            </w:rPr>
            <w:t>32</w:t>
          </w:r>
          <w:r>
            <w:rPr>
              <w:sz w:val="28"/>
              <w:szCs w:val="28"/>
            </w:rPr>
            <w:fldChar w:fldCharType="end"/>
          </w:r>
          <w:r>
            <w:rPr>
              <w:sz w:val="28"/>
              <w:szCs w:val="28"/>
            </w:rPr>
            <w:fldChar w:fldCharType="end"/>
          </w:r>
        </w:p>
        <w:p w14:paraId="2D3613B9">
          <w:pPr>
            <w:pStyle w:val="22"/>
            <w:tabs>
              <w:tab w:val="right" w:leader="dot" w:pos="9746"/>
            </w:tabs>
            <w:spacing w:line="480" w:lineRule="auto"/>
            <w:rPr>
              <w:sz w:val="28"/>
              <w:szCs w:val="28"/>
            </w:rPr>
          </w:pPr>
          <w:r>
            <w:fldChar w:fldCharType="begin"/>
          </w:r>
          <w:r>
            <w:instrText xml:space="preserve"> HYPERLINK \l "_Toc21319" </w:instrText>
          </w:r>
          <w:r>
            <w:fldChar w:fldCharType="separate"/>
          </w:r>
          <w:r>
            <w:rPr>
              <w:rFonts w:hint="eastAsia" w:ascii="宋体" w:hAnsi="宋体" w:cs="宋体"/>
              <w:bCs/>
              <w:sz w:val="28"/>
              <w:szCs w:val="48"/>
            </w:rPr>
            <w:t>第四章  评标办法</w:t>
          </w:r>
          <w:r>
            <w:rPr>
              <w:sz w:val="28"/>
              <w:szCs w:val="28"/>
            </w:rPr>
            <w:tab/>
          </w:r>
          <w:r>
            <w:rPr>
              <w:sz w:val="28"/>
              <w:szCs w:val="28"/>
            </w:rPr>
            <w:fldChar w:fldCharType="begin"/>
          </w:r>
          <w:r>
            <w:rPr>
              <w:sz w:val="28"/>
              <w:szCs w:val="28"/>
            </w:rPr>
            <w:instrText xml:space="preserve"> PAGEREF _Toc21319 \h </w:instrText>
          </w:r>
          <w:r>
            <w:rPr>
              <w:sz w:val="28"/>
              <w:szCs w:val="28"/>
            </w:rPr>
            <w:fldChar w:fldCharType="separate"/>
          </w:r>
          <w:r>
            <w:rPr>
              <w:sz w:val="28"/>
              <w:szCs w:val="28"/>
            </w:rPr>
            <w:t>58</w:t>
          </w:r>
          <w:r>
            <w:rPr>
              <w:sz w:val="28"/>
              <w:szCs w:val="28"/>
            </w:rPr>
            <w:fldChar w:fldCharType="end"/>
          </w:r>
          <w:r>
            <w:rPr>
              <w:sz w:val="28"/>
              <w:szCs w:val="28"/>
            </w:rPr>
            <w:fldChar w:fldCharType="end"/>
          </w:r>
        </w:p>
        <w:p w14:paraId="0B8370B3">
          <w:pPr>
            <w:pStyle w:val="22"/>
            <w:tabs>
              <w:tab w:val="right" w:leader="dot" w:pos="9746"/>
            </w:tabs>
            <w:spacing w:line="480" w:lineRule="auto"/>
            <w:rPr>
              <w:sz w:val="28"/>
              <w:szCs w:val="28"/>
            </w:rPr>
          </w:pPr>
          <w:r>
            <w:fldChar w:fldCharType="begin"/>
          </w:r>
          <w:r>
            <w:instrText xml:space="preserve"> HYPERLINK \l "_Toc23047" </w:instrText>
          </w:r>
          <w:r>
            <w:fldChar w:fldCharType="separate"/>
          </w:r>
          <w:r>
            <w:rPr>
              <w:rFonts w:hint="eastAsia" w:ascii="宋体" w:hAnsi="宋体" w:cs="宋体"/>
              <w:bCs/>
              <w:sz w:val="28"/>
              <w:szCs w:val="48"/>
              <w:lang w:bidi="ar"/>
            </w:rPr>
            <w:t>第五章  合同主要条款及格式</w:t>
          </w:r>
          <w:r>
            <w:rPr>
              <w:sz w:val="28"/>
              <w:szCs w:val="28"/>
            </w:rPr>
            <w:tab/>
          </w:r>
          <w:r>
            <w:rPr>
              <w:sz w:val="28"/>
              <w:szCs w:val="28"/>
            </w:rPr>
            <w:fldChar w:fldCharType="begin"/>
          </w:r>
          <w:r>
            <w:rPr>
              <w:sz w:val="28"/>
              <w:szCs w:val="28"/>
            </w:rPr>
            <w:instrText xml:space="preserve"> PAGEREF _Toc23047 \h </w:instrText>
          </w:r>
          <w:r>
            <w:rPr>
              <w:sz w:val="28"/>
              <w:szCs w:val="28"/>
            </w:rPr>
            <w:fldChar w:fldCharType="separate"/>
          </w:r>
          <w:r>
            <w:rPr>
              <w:sz w:val="28"/>
              <w:szCs w:val="28"/>
            </w:rPr>
            <w:t>68</w:t>
          </w:r>
          <w:r>
            <w:rPr>
              <w:sz w:val="28"/>
              <w:szCs w:val="28"/>
            </w:rPr>
            <w:fldChar w:fldCharType="end"/>
          </w:r>
          <w:r>
            <w:rPr>
              <w:sz w:val="28"/>
              <w:szCs w:val="28"/>
            </w:rPr>
            <w:fldChar w:fldCharType="end"/>
          </w:r>
        </w:p>
        <w:p w14:paraId="610492EA">
          <w:pPr>
            <w:pStyle w:val="22"/>
            <w:tabs>
              <w:tab w:val="right" w:leader="dot" w:pos="9746"/>
            </w:tabs>
            <w:spacing w:line="480" w:lineRule="auto"/>
            <w:rPr>
              <w:rFonts w:hint="eastAsia" w:eastAsia="宋体"/>
              <w:sz w:val="28"/>
              <w:szCs w:val="28"/>
              <w:lang w:val="en-US" w:eastAsia="zh-CN"/>
            </w:rPr>
          </w:pPr>
          <w:r>
            <w:fldChar w:fldCharType="begin"/>
          </w:r>
          <w:r>
            <w:instrText xml:space="preserve"> HYPERLINK \l "_Toc16654" </w:instrText>
          </w:r>
          <w:r>
            <w:fldChar w:fldCharType="separate"/>
          </w:r>
          <w:r>
            <w:rPr>
              <w:rFonts w:hint="eastAsia" w:ascii="宋体" w:hAnsi="宋体" w:cs="宋体"/>
              <w:bCs/>
              <w:sz w:val="28"/>
              <w:szCs w:val="48"/>
              <w:lang w:bidi="ar"/>
            </w:rPr>
            <w:t>第六章  电子化投标文件格式</w:t>
          </w:r>
          <w:r>
            <w:rPr>
              <w:sz w:val="28"/>
              <w:szCs w:val="28"/>
            </w:rPr>
            <w:tab/>
          </w:r>
          <w:r>
            <w:rPr>
              <w:rFonts w:hint="eastAsia"/>
              <w:sz w:val="28"/>
              <w:szCs w:val="28"/>
              <w:lang w:val="en-US" w:eastAsia="zh-CN"/>
            </w:rPr>
            <w:t>7</w:t>
          </w:r>
          <w:r>
            <w:rPr>
              <w:sz w:val="28"/>
              <w:szCs w:val="28"/>
            </w:rPr>
            <w:fldChar w:fldCharType="end"/>
          </w:r>
          <w:r>
            <w:rPr>
              <w:rFonts w:hint="eastAsia"/>
              <w:sz w:val="28"/>
              <w:szCs w:val="28"/>
              <w:lang w:val="en-US" w:eastAsia="zh-CN"/>
            </w:rPr>
            <w:t>1</w:t>
          </w:r>
        </w:p>
        <w:p w14:paraId="0A155F11">
          <w:pPr>
            <w:spacing w:line="480" w:lineRule="auto"/>
          </w:pPr>
          <w:r>
            <w:rPr>
              <w:sz w:val="32"/>
              <w:szCs w:val="40"/>
            </w:rPr>
            <w:fldChar w:fldCharType="end"/>
          </w:r>
        </w:p>
      </w:sdtContent>
    </w:sdt>
    <w:p w14:paraId="3BB453E9"/>
    <w:p w14:paraId="2D94A890">
      <w:pPr>
        <w:pStyle w:val="13"/>
        <w:tabs>
          <w:tab w:val="left" w:pos="2791"/>
          <w:tab w:val="center" w:pos="4933"/>
        </w:tabs>
        <w:spacing w:before="156" w:beforeAutospacing="0" w:after="156" w:afterAutospacing="0" w:line="360" w:lineRule="auto"/>
      </w:pPr>
      <w:r>
        <w:rPr>
          <w:rFonts w:hint="eastAsia"/>
        </w:rPr>
        <w:tab/>
      </w:r>
      <w:r>
        <w:rPr>
          <w:rFonts w:hint="eastAsia"/>
        </w:rPr>
        <w:tab/>
      </w:r>
      <w:r>
        <w:t> </w:t>
      </w:r>
    </w:p>
    <w:p w14:paraId="112CEE27">
      <w:pPr>
        <w:pStyle w:val="13"/>
        <w:spacing w:beforeAutospacing="0" w:afterAutospacing="0"/>
        <w:jc w:val="both"/>
      </w:pPr>
      <w:r>
        <w:t> </w:t>
      </w:r>
    </w:p>
    <w:p w14:paraId="4C9F0A69">
      <w:pPr>
        <w:pStyle w:val="13"/>
        <w:spacing w:beforeAutospacing="0" w:afterAutospacing="0"/>
        <w:jc w:val="both"/>
      </w:pPr>
      <w:r>
        <w:t> </w:t>
      </w:r>
    </w:p>
    <w:p w14:paraId="0E019227">
      <w:pPr>
        <w:pStyle w:val="13"/>
        <w:spacing w:beforeAutospacing="0" w:afterAutospacing="0"/>
        <w:jc w:val="both"/>
      </w:pPr>
      <w:r>
        <w:t> </w:t>
      </w:r>
    </w:p>
    <w:p w14:paraId="09CAF3B0">
      <w:pPr>
        <w:pStyle w:val="13"/>
        <w:spacing w:beforeAutospacing="0" w:afterAutospacing="0"/>
        <w:jc w:val="center"/>
        <w:rPr>
          <w:rFonts w:ascii="宋体" w:hAnsi="宋体" w:eastAsia="宋体" w:cs="宋体"/>
          <w:shd w:val="clear" w:color="auto" w:fill="FFFFFF"/>
        </w:rPr>
        <w:sectPr>
          <w:footerReference r:id="rId4" w:type="first"/>
          <w:footerReference r:id="rId3" w:type="default"/>
          <w:pgSz w:w="11906" w:h="16838"/>
          <w:pgMar w:top="1440" w:right="1080" w:bottom="1440" w:left="1080" w:header="851" w:footer="850" w:gutter="0"/>
          <w:pgNumType w:fmt="decimal" w:start="1"/>
          <w:cols w:space="0" w:num="1"/>
          <w:titlePg/>
          <w:docGrid w:type="lines" w:linePitch="312" w:charSpace="0"/>
        </w:sectPr>
      </w:pPr>
      <w:bookmarkStart w:id="0" w:name="_Toc24711"/>
    </w:p>
    <w:p w14:paraId="2DB5E515">
      <w:pPr>
        <w:pStyle w:val="13"/>
        <w:spacing w:beforeAutospacing="0" w:afterAutospacing="0" w:line="660" w:lineRule="exact"/>
        <w:jc w:val="center"/>
        <w:outlineLvl w:val="0"/>
        <w:rPr>
          <w:sz w:val="32"/>
          <w:szCs w:val="32"/>
        </w:rPr>
      </w:pPr>
      <w:bookmarkStart w:id="1" w:name="_Toc27979"/>
      <w:r>
        <w:rPr>
          <w:rFonts w:hint="eastAsia" w:ascii="宋体" w:hAnsi="宋体" w:eastAsia="宋体" w:cs="宋体"/>
          <w:sz w:val="32"/>
          <w:szCs w:val="32"/>
          <w:shd w:val="clear" w:color="auto" w:fill="FFFFFF"/>
        </w:rPr>
        <w:t> </w:t>
      </w:r>
      <w:r>
        <w:rPr>
          <w:rFonts w:hint="eastAsia" w:ascii="宋体" w:hAnsi="宋体" w:eastAsia="宋体" w:cs="宋体"/>
          <w:b/>
          <w:bCs/>
          <w:sz w:val="32"/>
          <w:szCs w:val="32"/>
        </w:rPr>
        <w:t>第一章  招标公告</w:t>
      </w:r>
      <w:bookmarkEnd w:id="0"/>
      <w:bookmarkEnd w:id="1"/>
    </w:p>
    <w:p w14:paraId="04AE0ADB">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bookmarkStart w:id="2" w:name="OLE_LINK1"/>
      <w:r>
        <w:rPr>
          <w:rFonts w:hint="eastAsia" w:ascii="宋体" w:hAnsi="宋体" w:eastAsia="宋体" w:cs="宋体"/>
          <w:sz w:val="24"/>
          <w:szCs w:val="24"/>
          <w:lang w:eastAsia="zh-CN"/>
        </w:rPr>
        <w:t>河南泰安工程管理有限公司</w:t>
      </w:r>
      <w:r>
        <w:rPr>
          <w:rFonts w:hint="eastAsia" w:ascii="宋体" w:hAnsi="宋体" w:eastAsia="宋体" w:cs="宋体"/>
          <w:sz w:val="24"/>
          <w:szCs w:val="24"/>
        </w:rPr>
        <w:t>受</w:t>
      </w:r>
      <w:r>
        <w:rPr>
          <w:rFonts w:hint="eastAsia" w:ascii="宋体" w:hAnsi="宋体" w:eastAsia="宋体" w:cs="宋体"/>
          <w:sz w:val="24"/>
          <w:szCs w:val="24"/>
          <w:lang w:eastAsia="zh-CN"/>
        </w:rPr>
        <w:t>卢氏县烟叶生产服务中心</w:t>
      </w:r>
      <w:r>
        <w:rPr>
          <w:rFonts w:hint="eastAsia" w:ascii="宋体" w:hAnsi="宋体" w:eastAsia="宋体" w:cs="宋体"/>
          <w:sz w:val="24"/>
          <w:szCs w:val="24"/>
        </w:rPr>
        <w:t>的委托，就</w:t>
      </w:r>
      <w:r>
        <w:rPr>
          <w:rFonts w:hint="eastAsia" w:ascii="宋体" w:hAnsi="宋体" w:eastAsia="宋体" w:cs="宋体"/>
          <w:sz w:val="24"/>
          <w:szCs w:val="24"/>
          <w:lang w:eastAsia="zh-CN"/>
        </w:rPr>
        <w:t>卢氏县2025年烟叶产业配套烤房建设项目</w:t>
      </w:r>
      <w:r>
        <w:rPr>
          <w:rFonts w:hint="eastAsia" w:ascii="宋体" w:hAnsi="宋体" w:eastAsia="宋体" w:cs="宋体"/>
          <w:sz w:val="24"/>
          <w:szCs w:val="24"/>
        </w:rPr>
        <w:t>进行公开招标，欢迎符合资格条件的供应商参加。</w:t>
      </w:r>
      <w:bookmarkEnd w:id="2"/>
    </w:p>
    <w:p w14:paraId="650A4978">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一、项目基本信息</w:t>
      </w:r>
    </w:p>
    <w:p w14:paraId="652B09B1">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rPr>
        <w:t>1、采购人：</w:t>
      </w:r>
      <w:r>
        <w:rPr>
          <w:rFonts w:hint="eastAsia" w:ascii="宋体" w:hAnsi="宋体" w:eastAsia="宋体" w:cs="宋体"/>
          <w:sz w:val="24"/>
          <w:szCs w:val="24"/>
          <w:lang w:eastAsia="zh-CN"/>
        </w:rPr>
        <w:t>卢氏县烟叶生产服务中心</w:t>
      </w:r>
    </w:p>
    <w:p w14:paraId="25ABF46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rPr>
        <w:t>2、项目名称：</w:t>
      </w:r>
      <w:r>
        <w:rPr>
          <w:rFonts w:hint="eastAsia" w:ascii="宋体" w:hAnsi="宋体" w:eastAsia="宋体" w:cs="宋体"/>
          <w:sz w:val="24"/>
          <w:szCs w:val="24"/>
          <w:lang w:eastAsia="zh-CN"/>
        </w:rPr>
        <w:t>卢氏县2025年烟叶产业配套烤房建设项目</w:t>
      </w:r>
    </w:p>
    <w:p w14:paraId="39B3FF77">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default" w:ascii="宋体" w:hAnsi="宋体" w:eastAsia="宋体" w:cs="宋体"/>
          <w:kern w:val="2"/>
          <w:sz w:val="24"/>
          <w:szCs w:val="24"/>
          <w:lang w:val="en-US" w:eastAsia="zh-CN" w:bidi="ar-SA"/>
        </w:rPr>
      </w:pPr>
      <w:r>
        <w:rPr>
          <w:rFonts w:hint="eastAsia" w:ascii="宋体" w:hAnsi="宋体" w:eastAsia="宋体" w:cs="宋体"/>
          <w:sz w:val="24"/>
          <w:szCs w:val="24"/>
          <w:lang w:eastAsia="zh-CN"/>
        </w:rPr>
        <w:t>3、项目编号</w:t>
      </w:r>
      <w:r>
        <w:rPr>
          <w:rFonts w:hint="eastAsia" w:ascii="宋体" w:hAnsi="宋体" w:eastAsia="宋体" w:cs="宋体"/>
          <w:sz w:val="24"/>
          <w:szCs w:val="24"/>
        </w:rPr>
        <w:t>：</w:t>
      </w:r>
      <w:r>
        <w:rPr>
          <w:rFonts w:hint="eastAsia" w:ascii="宋体" w:hAnsi="宋体" w:eastAsia="宋体" w:cs="宋体"/>
          <w:sz w:val="24"/>
          <w:szCs w:val="24"/>
          <w:lang w:eastAsia="zh-CN"/>
        </w:rPr>
        <w:t>三卢公开采购-2025</w:t>
      </w:r>
      <w:r>
        <w:rPr>
          <w:rFonts w:hint="eastAsia" w:ascii="宋体" w:hAnsi="宋体" w:eastAsia="宋体" w:cs="宋体"/>
          <w:kern w:val="2"/>
          <w:sz w:val="24"/>
          <w:szCs w:val="24"/>
          <w:lang w:val="en-US" w:eastAsia="zh-CN" w:bidi="ar-SA"/>
        </w:rPr>
        <w:t>-42、LSGZ[2025]199-ZC134</w:t>
      </w:r>
    </w:p>
    <w:p w14:paraId="1F22C91D">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4、标段划分：本项目为</w:t>
      </w:r>
      <w:r>
        <w:rPr>
          <w:rFonts w:hint="eastAsia" w:ascii="宋体" w:hAnsi="宋体" w:eastAsia="宋体" w:cs="宋体"/>
          <w:sz w:val="24"/>
          <w:szCs w:val="24"/>
          <w:lang w:val="en-US" w:eastAsia="zh-CN"/>
        </w:rPr>
        <w:t>三</w:t>
      </w:r>
      <w:r>
        <w:rPr>
          <w:rFonts w:hint="eastAsia" w:ascii="宋体" w:hAnsi="宋体" w:eastAsia="宋体" w:cs="宋体"/>
          <w:sz w:val="24"/>
          <w:szCs w:val="24"/>
        </w:rPr>
        <w:t>个标段</w:t>
      </w:r>
    </w:p>
    <w:p w14:paraId="5D70DC93">
      <w:pPr>
        <w:keepNext w:val="0"/>
        <w:keepLines w:val="0"/>
        <w:pageBreakBefore w:val="0"/>
        <w:kinsoku/>
        <w:wordWrap/>
        <w:overflowPunct/>
        <w:topLinePunct w:val="0"/>
        <w:autoSpaceDE/>
        <w:autoSpaceDN/>
        <w:bidi w:val="0"/>
        <w:adjustRightInd/>
        <w:snapToGrid/>
        <w:spacing w:line="500" w:lineRule="exact"/>
        <w:ind w:left="0" w:leftChars="0" w:right="0" w:firstLine="547" w:firstLineChars="228"/>
        <w:outlineLvl w:val="9"/>
        <w:rPr>
          <w:rFonts w:hint="eastAsia" w:ascii="宋体" w:hAnsi="宋体" w:eastAsia="宋体" w:cs="宋体"/>
          <w:sz w:val="24"/>
          <w:szCs w:val="24"/>
          <w:lang w:val="en-US" w:eastAsia="zh-CN"/>
        </w:rPr>
      </w:pPr>
      <w:r>
        <w:rPr>
          <w:rFonts w:hint="eastAsia" w:ascii="宋体" w:hAnsi="宋体" w:eastAsia="宋体" w:cs="宋体"/>
          <w:sz w:val="24"/>
          <w:szCs w:val="24"/>
        </w:rPr>
        <w:t>5、采购内容：</w:t>
      </w:r>
      <w:bookmarkStart w:id="3" w:name="OLE_LINK16"/>
      <w:bookmarkStart w:id="4" w:name="OLE_LINK2"/>
      <w:r>
        <w:rPr>
          <w:rFonts w:hint="eastAsia" w:ascii="宋体" w:hAnsi="宋体" w:eastAsia="宋体" w:cs="宋体"/>
          <w:sz w:val="24"/>
          <w:szCs w:val="24"/>
          <w:lang w:val="en-US" w:eastAsia="zh-CN"/>
        </w:rPr>
        <w:t>主要采购内容为烟叶产业配套烤房建设，内置式生物质烤房131座。一标段：包括官道口30座、杜关18座共48座；二标段：包括范里10座、横涧19座、沙河14座共43座；三标段：包括东明26座、木桐4座、官坡10座共40座。（详见招标文件第三章采购需求）</w:t>
      </w:r>
      <w:bookmarkEnd w:id="3"/>
    </w:p>
    <w:bookmarkEnd w:id="4"/>
    <w:p w14:paraId="5545CFFB">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6、预算金额：</w:t>
      </w:r>
      <w:bookmarkStart w:id="5" w:name="OLE_LINK15"/>
      <w:r>
        <w:rPr>
          <w:rFonts w:ascii="宋体" w:hAnsi="宋体" w:eastAsia="宋体" w:cs="宋体"/>
          <w:sz w:val="24"/>
          <w:szCs w:val="24"/>
        </w:rPr>
        <w:t>¥</w:t>
      </w:r>
      <w:r>
        <w:rPr>
          <w:rFonts w:hint="eastAsia" w:ascii="宋体" w:hAnsi="宋体" w:eastAsia="宋体" w:cs="宋体"/>
          <w:sz w:val="24"/>
          <w:szCs w:val="24"/>
          <w:lang w:val="en-US" w:eastAsia="zh-CN"/>
        </w:rPr>
        <w:t>3825200.00</w:t>
      </w:r>
      <w:r>
        <w:rPr>
          <w:rFonts w:hint="eastAsia" w:ascii="宋体" w:hAnsi="宋体" w:eastAsia="宋体" w:cs="宋体"/>
          <w:sz w:val="24"/>
          <w:szCs w:val="24"/>
        </w:rPr>
        <w:t>元</w:t>
      </w:r>
      <w:bookmarkEnd w:id="5"/>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一标段：</w:t>
      </w:r>
      <w:r>
        <w:rPr>
          <w:rFonts w:ascii="宋体" w:hAnsi="宋体" w:eastAsia="宋体" w:cs="宋体"/>
          <w:sz w:val="24"/>
          <w:szCs w:val="24"/>
        </w:rPr>
        <w:t>¥</w:t>
      </w:r>
      <w:r>
        <w:rPr>
          <w:rFonts w:hint="eastAsia" w:ascii="宋体" w:hAnsi="宋体" w:eastAsia="宋体" w:cs="宋体"/>
          <w:sz w:val="24"/>
          <w:szCs w:val="24"/>
          <w:lang w:val="en-US" w:eastAsia="zh-CN"/>
        </w:rPr>
        <w:t>1401600.00元；二标段：</w:t>
      </w:r>
      <w:r>
        <w:rPr>
          <w:rFonts w:ascii="宋体" w:hAnsi="宋体" w:eastAsia="宋体" w:cs="宋体"/>
          <w:sz w:val="24"/>
          <w:szCs w:val="24"/>
        </w:rPr>
        <w:t>¥</w:t>
      </w:r>
      <w:r>
        <w:rPr>
          <w:rFonts w:hint="eastAsia" w:ascii="宋体" w:hAnsi="宋体" w:eastAsia="宋体" w:cs="宋体"/>
          <w:sz w:val="24"/>
          <w:szCs w:val="24"/>
          <w:lang w:val="en-US" w:eastAsia="zh-CN"/>
        </w:rPr>
        <w:t>1255600.00元；三标段：</w:t>
      </w:r>
      <w:r>
        <w:rPr>
          <w:rFonts w:ascii="宋体" w:hAnsi="宋体" w:eastAsia="宋体" w:cs="宋体"/>
          <w:sz w:val="24"/>
          <w:szCs w:val="24"/>
        </w:rPr>
        <w:t>¥</w:t>
      </w:r>
      <w:r>
        <w:rPr>
          <w:rFonts w:hint="eastAsia" w:ascii="宋体" w:hAnsi="宋体" w:eastAsia="宋体" w:cs="宋体"/>
          <w:sz w:val="24"/>
          <w:szCs w:val="24"/>
          <w:lang w:val="en-US" w:eastAsia="zh-CN"/>
        </w:rPr>
        <w:t>1168000.00元；</w:t>
      </w:r>
    </w:p>
    <w:p w14:paraId="7602A109">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7、资金来源：财政资金，且已落实</w:t>
      </w:r>
    </w:p>
    <w:p w14:paraId="5564235F">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rPr>
        <w:t>8、</w:t>
      </w:r>
      <w:bookmarkStart w:id="6" w:name="OLE_LINK5"/>
      <w:r>
        <w:rPr>
          <w:rFonts w:hint="eastAsia" w:ascii="宋体" w:hAnsi="宋体" w:eastAsia="宋体" w:cs="宋体"/>
          <w:sz w:val="24"/>
          <w:szCs w:val="24"/>
        </w:rPr>
        <w:t>供货期</w:t>
      </w:r>
      <w:bookmarkEnd w:id="6"/>
      <w:r>
        <w:rPr>
          <w:rFonts w:hint="eastAsia" w:ascii="宋体" w:hAnsi="宋体" w:eastAsia="宋体" w:cs="宋体"/>
          <w:sz w:val="24"/>
          <w:szCs w:val="24"/>
        </w:rPr>
        <w:t>：</w:t>
      </w:r>
      <w:r>
        <w:rPr>
          <w:rFonts w:hint="eastAsia" w:ascii="宋体" w:hAnsi="宋体" w:eastAsia="宋体" w:cs="宋体"/>
          <w:sz w:val="24"/>
          <w:szCs w:val="24"/>
          <w:lang w:eastAsia="zh-CN"/>
        </w:rPr>
        <w:t>合同签订后30日历天内交货并安装调试完毕</w:t>
      </w:r>
    </w:p>
    <w:p w14:paraId="5DE7D67D">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9、</w:t>
      </w:r>
      <w:bookmarkStart w:id="7" w:name="OLE_LINK10"/>
      <w:r>
        <w:rPr>
          <w:rFonts w:hint="eastAsia" w:ascii="宋体" w:hAnsi="宋体" w:eastAsia="宋体" w:cs="宋体"/>
          <w:sz w:val="24"/>
          <w:szCs w:val="24"/>
        </w:rPr>
        <w:t>供货地点：</w:t>
      </w:r>
      <w:bookmarkStart w:id="8" w:name="OLE_LINK9"/>
      <w:r>
        <w:rPr>
          <w:rFonts w:hint="eastAsia" w:ascii="宋体" w:hAnsi="宋体" w:eastAsia="宋体" w:cs="宋体"/>
          <w:sz w:val="24"/>
          <w:szCs w:val="24"/>
          <w:lang w:eastAsia="zh-CN"/>
        </w:rPr>
        <w:t>一标段：官道口镇、杜关镇；二标段：</w:t>
      </w:r>
      <w:r>
        <w:rPr>
          <w:rFonts w:hint="eastAsia" w:ascii="宋体" w:hAnsi="宋体" w:eastAsia="宋体" w:cs="宋体"/>
          <w:sz w:val="24"/>
          <w:szCs w:val="24"/>
          <w:lang w:val="en-US" w:eastAsia="zh-CN"/>
        </w:rPr>
        <w:t>范里镇、横涧乡、沙河乡</w:t>
      </w:r>
      <w:r>
        <w:rPr>
          <w:rFonts w:hint="eastAsia" w:ascii="宋体" w:hAnsi="宋体" w:eastAsia="宋体" w:cs="宋体"/>
          <w:sz w:val="24"/>
          <w:szCs w:val="24"/>
          <w:lang w:eastAsia="zh-CN"/>
        </w:rPr>
        <w:t>；三标段：</w:t>
      </w:r>
      <w:r>
        <w:rPr>
          <w:rFonts w:hint="eastAsia" w:ascii="宋体" w:hAnsi="宋体" w:eastAsia="宋体" w:cs="宋体"/>
          <w:sz w:val="24"/>
          <w:szCs w:val="24"/>
          <w:lang w:val="en-US" w:eastAsia="zh-CN"/>
        </w:rPr>
        <w:t>东明镇、木桐乡、官坡镇</w:t>
      </w:r>
    </w:p>
    <w:bookmarkEnd w:id="7"/>
    <w:bookmarkEnd w:id="8"/>
    <w:p w14:paraId="060B2F2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10、质量要求：达到国家相关法律、法规规定的生产、制造、验收合格标准，严格按照Q/HNYC050—2020《空气源密集烤房》板房部分文件的相关要求设计和安装，满足《密集烤房技术规范（试行）修订版》（国烟办综〔2009〕418号）及《中国烟草总公司关于印发密集烤房生物质颗粒成型燃料燃烧机技术规范（试行）的通知（中烟办〔2018〕30号）</w:t>
      </w:r>
    </w:p>
    <w:p w14:paraId="0B73EA10">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质保期：自验收合格之日起5年（不含耗材）</w:t>
      </w:r>
    </w:p>
    <w:p w14:paraId="2E44CFA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rPr>
        <w:t>、是否接受进口产品：否</w:t>
      </w:r>
    </w:p>
    <w:p w14:paraId="668930D8">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招标</w:t>
      </w:r>
      <w:r>
        <w:rPr>
          <w:rFonts w:hint="eastAsia" w:ascii="宋体" w:hAnsi="宋体" w:eastAsia="宋体" w:cs="宋体"/>
          <w:sz w:val="24"/>
          <w:szCs w:val="24"/>
        </w:rPr>
        <w:t>范围：</w:t>
      </w:r>
      <w:r>
        <w:rPr>
          <w:rFonts w:hint="eastAsia" w:ascii="宋体" w:hAnsi="宋体" w:eastAsia="宋体" w:cs="宋体"/>
          <w:sz w:val="24"/>
          <w:szCs w:val="24"/>
          <w:lang w:val="en-US" w:eastAsia="zh-CN"/>
        </w:rPr>
        <w:t>招标</w:t>
      </w:r>
      <w:r>
        <w:rPr>
          <w:rFonts w:hint="eastAsia" w:ascii="宋体" w:hAnsi="宋体" w:eastAsia="宋体" w:cs="宋体"/>
          <w:sz w:val="24"/>
          <w:szCs w:val="24"/>
        </w:rPr>
        <w:t>文件及</w:t>
      </w:r>
      <w:r>
        <w:rPr>
          <w:rFonts w:hint="eastAsia" w:ascii="宋体" w:hAnsi="宋体" w:eastAsia="宋体" w:cs="宋体"/>
          <w:sz w:val="24"/>
          <w:szCs w:val="24"/>
          <w:lang w:val="en-US" w:eastAsia="zh-CN"/>
        </w:rPr>
        <w:t>采购</w:t>
      </w:r>
      <w:r>
        <w:rPr>
          <w:rFonts w:hint="eastAsia" w:ascii="宋体" w:hAnsi="宋体" w:eastAsia="宋体" w:cs="宋体"/>
          <w:sz w:val="24"/>
          <w:szCs w:val="24"/>
        </w:rPr>
        <w:t>内容包含的全部内容</w:t>
      </w:r>
    </w:p>
    <w:p w14:paraId="2E42FFBA">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二、供应商资格要求</w:t>
      </w:r>
    </w:p>
    <w:p w14:paraId="2308EE36">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（一）、落实政府采购政策满足的资格要求：本项目非专门面向中小微企业采购项目，执行促进中小型企业发展政策（残疾人福利性企业、监狱企业视同小微企业）、优先采购节能环保产品等政府采购政策。</w:t>
      </w:r>
    </w:p>
    <w:p w14:paraId="7543361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供应商参加本次政府采购活动必须符合《中华人民共和国政府采购法》第二十二条的规定并同时具备下列条件：</w:t>
      </w:r>
    </w:p>
    <w:p w14:paraId="4B59B7DF">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1、具有在中华人民共和国境内能够独立承担民事责任</w:t>
      </w:r>
      <w:r>
        <w:rPr>
          <w:rFonts w:hint="eastAsia" w:ascii="宋体" w:hAnsi="宋体" w:eastAsia="宋体" w:cs="宋体"/>
          <w:sz w:val="24"/>
          <w:szCs w:val="24"/>
          <w:lang w:val="en-US" w:eastAsia="zh-CN"/>
        </w:rPr>
        <w:t>的能力</w:t>
      </w:r>
      <w:r>
        <w:rPr>
          <w:rFonts w:hint="eastAsia" w:ascii="宋体" w:hAnsi="宋体" w:eastAsia="宋体" w:cs="宋体"/>
          <w:sz w:val="24"/>
          <w:szCs w:val="24"/>
        </w:rPr>
        <w:t>；</w:t>
      </w:r>
    </w:p>
    <w:p w14:paraId="59E371D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2、具有有效的营业执照、税务登记证、组织机构代码证(或“三证合一”的营业执照)；</w:t>
      </w:r>
    </w:p>
    <w:p w14:paraId="3A48AC76">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3、具有履行本项目采购内容所必须的设备和专业技术服务能力；(提供证明材料或承诺书)；</w:t>
      </w:r>
    </w:p>
    <w:p w14:paraId="79D621D2">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具有良好的财务状况，提供(2022-2024年任意一年)财务审计报告或自行承诺；（新成立的企业从成立之日起计算）</w:t>
      </w:r>
    </w:p>
    <w:p w14:paraId="328E4342">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bCs/>
          <w:color w:val="000000"/>
          <w:sz w:val="24"/>
          <w:szCs w:val="28"/>
          <w:highlight w:val="none"/>
          <w:lang w:val="en-US" w:eastAsia="zh-CN"/>
        </w:rPr>
        <w:t>供应商具有依法缴纳税收和社会保障资金的良好记录证明材料或承诺书；</w:t>
      </w:r>
      <w:r>
        <w:rPr>
          <w:rFonts w:hint="eastAsia" w:ascii="宋体" w:hAnsi="宋体" w:eastAsia="宋体" w:cs="宋体"/>
          <w:sz w:val="24"/>
          <w:szCs w:val="24"/>
          <w:lang w:val="en-US" w:eastAsia="zh-CN"/>
        </w:rPr>
        <w:t>拟派项目负责人提供2025年以来任意一个月社保证明</w:t>
      </w:r>
      <w:r>
        <w:rPr>
          <w:rFonts w:hint="eastAsia" w:ascii="宋体" w:hAnsi="宋体" w:eastAsia="宋体" w:cs="宋体"/>
          <w:sz w:val="24"/>
          <w:szCs w:val="24"/>
        </w:rPr>
        <w:t>； </w:t>
      </w:r>
    </w:p>
    <w:p w14:paraId="0CEE0305">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Cs/>
          <w:color w:val="000000"/>
          <w:sz w:val="24"/>
          <w:szCs w:val="28"/>
          <w:highlight w:val="none"/>
          <w:lang w:val="en-US" w:eastAsia="zh-CN"/>
        </w:rPr>
        <w:t>参加政府采购活动前3年内无行贿犯罪记录，（开标时提供《中国裁判文书网》</w:t>
      </w:r>
      <w:r>
        <w:rPr>
          <w:rFonts w:hint="eastAsia" w:ascii="宋体" w:hAnsi="宋体" w:eastAsia="宋体" w:cs="宋体"/>
          <w:bCs/>
          <w:color w:val="000000"/>
          <w:sz w:val="24"/>
          <w:szCs w:val="28"/>
          <w:highlight w:val="none"/>
          <w:lang w:eastAsia="zh-CN"/>
        </w:rPr>
        <w:t>查询结果网页截图或企业自行承诺的无行贿犯罪承诺书，查询&lt;承诺&gt;对象为“企业，法定代表人，项目负责人”）</w:t>
      </w:r>
      <w:r>
        <w:rPr>
          <w:rFonts w:hint="eastAsia" w:ascii="宋体" w:hAnsi="宋体" w:eastAsia="宋体" w:cs="宋体"/>
          <w:sz w:val="24"/>
          <w:szCs w:val="24"/>
        </w:rPr>
        <w:t>；</w:t>
      </w:r>
    </w:p>
    <w:p w14:paraId="08062502">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、参加政府采购活动前3年内无商业贿赂、不正当竞争行为、骗取中标、严重违约及重大工程质量等问题（供应商须自行出具承诺书）；</w:t>
      </w:r>
    </w:p>
    <w:p w14:paraId="41AC783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zh-TW" w:eastAsia="zh-TW"/>
        </w:rPr>
        <w:t>根据《关于在政府采购活动中查询及使用信用记录有关问题的通知》(财库[2016]125号)和豫财购【201</w:t>
      </w:r>
      <w:r>
        <w:rPr>
          <w:rFonts w:hint="eastAsia" w:ascii="宋体" w:hAnsi="宋体" w:cs="宋体"/>
          <w:sz w:val="24"/>
          <w:szCs w:val="24"/>
          <w:lang w:val="zh-TW" w:eastAsia="zh-TW"/>
        </w:rPr>
        <w:t>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w:t>
      </w:r>
      <w:r>
        <w:rPr>
          <w:rFonts w:hint="eastAsia" w:ascii="宋体" w:hAnsi="宋体" w:cs="宋体"/>
          <w:sz w:val="24"/>
          <w:szCs w:val="24"/>
        </w:rPr>
        <w:t>(注：査询时间必须是公告发布以后开标时间以前并提供网站查询网页截图，查询结果清晰可见)</w:t>
      </w:r>
      <w:r>
        <w:rPr>
          <w:rFonts w:hint="eastAsia" w:ascii="宋体" w:hAnsi="宋体" w:eastAsia="宋体" w:cs="宋体"/>
          <w:sz w:val="24"/>
          <w:szCs w:val="24"/>
        </w:rPr>
        <w:t>；</w:t>
      </w:r>
    </w:p>
    <w:p w14:paraId="300C4D55">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、本次招标实行资格后审；</w:t>
      </w:r>
    </w:p>
    <w:p w14:paraId="7F99DB46">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、本项目不接受联合体投标。</w:t>
      </w:r>
    </w:p>
    <w:p w14:paraId="1CD340FE">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注：被列入失信被执行人及重大税收违法失信主体的企业做无效标处理；采购人或采购代理机构有权对供应商信用记录进行甄别和复查。</w:t>
      </w:r>
    </w:p>
    <w:p w14:paraId="52F30994">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注：供应商可投报多个标段，但同一供应商在三个标段中只能中一个标段。</w:t>
      </w:r>
      <w:r>
        <w:rPr>
          <w:rFonts w:hint="eastAsia" w:ascii="宋体" w:hAnsi="宋体" w:eastAsia="宋体" w:cs="宋体"/>
          <w:sz w:val="24"/>
          <w:szCs w:val="24"/>
        </w:rPr>
        <w:t>若</w:t>
      </w:r>
      <w:r>
        <w:rPr>
          <w:rFonts w:hint="eastAsia" w:ascii="宋体" w:hAnsi="宋体" w:eastAsia="宋体" w:cs="宋体"/>
          <w:sz w:val="24"/>
          <w:szCs w:val="24"/>
          <w:lang w:val="en-US" w:eastAsia="zh-CN"/>
        </w:rPr>
        <w:t>供应商</w:t>
      </w:r>
      <w:r>
        <w:rPr>
          <w:rFonts w:hint="eastAsia" w:ascii="宋体" w:hAnsi="宋体" w:eastAsia="宋体" w:cs="宋体"/>
          <w:sz w:val="24"/>
          <w:szCs w:val="24"/>
        </w:rPr>
        <w:t>在多个标段均排名第一，则按标段的顺序取排序靠前的标段推荐为中标人</w:t>
      </w:r>
      <w:r>
        <w:rPr>
          <w:rFonts w:hint="eastAsia" w:ascii="宋体" w:hAnsi="宋体" w:eastAsia="宋体" w:cs="宋体"/>
          <w:sz w:val="24"/>
          <w:szCs w:val="24"/>
          <w:lang w:eastAsia="zh-CN"/>
        </w:rPr>
        <w:t>。</w:t>
      </w:r>
    </w:p>
    <w:p w14:paraId="5E7BD6F1">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三、获取招标文件</w:t>
      </w:r>
    </w:p>
    <w:p w14:paraId="0694AC0E">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1"/>
        <w:textAlignment w:val="auto"/>
        <w:rPr>
          <w:rFonts w:ascii="宋体" w:hAnsi="宋体" w:eastAsia="宋体" w:cs="宋体"/>
          <w:sz w:val="24"/>
          <w:szCs w:val="24"/>
        </w:rPr>
      </w:pPr>
      <w:r>
        <w:rPr>
          <w:rFonts w:hint="eastAsia" w:ascii="宋体" w:hAnsi="宋体" w:eastAsia="宋体" w:cs="宋体"/>
          <w:sz w:val="24"/>
          <w:szCs w:val="24"/>
        </w:rPr>
        <w:t>1、本项目没有报名环节，供应商凭CA数字证书通过三门峡市公共资源交易中心网（网址：http://gzjy.smx.gov.cn/），点击交易平台选择“市场主体登录”，在所参与项目右侧点击参与投标，即可直接下载本项目招标文件（招标文件包含采购内容、技术参数要求等投标所需一切内容）。</w:t>
      </w:r>
    </w:p>
    <w:p w14:paraId="6E5172DB">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1"/>
        <w:textAlignment w:val="auto"/>
        <w:rPr>
          <w:rFonts w:ascii="宋体" w:hAnsi="宋体" w:eastAsia="宋体" w:cs="宋体"/>
          <w:sz w:val="24"/>
          <w:szCs w:val="24"/>
        </w:rPr>
      </w:pPr>
      <w:r>
        <w:rPr>
          <w:rFonts w:hint="eastAsia" w:ascii="宋体" w:hAnsi="宋体" w:eastAsia="宋体" w:cs="宋体"/>
          <w:sz w:val="24"/>
          <w:szCs w:val="24"/>
        </w:rPr>
        <w:t>办理CA证书：</w:t>
      </w:r>
      <w:r>
        <w:rPr>
          <w:sz w:val="24"/>
          <w:szCs w:val="24"/>
        </w:rPr>
        <w:fldChar w:fldCharType="begin"/>
      </w:r>
      <w:r>
        <w:rPr>
          <w:sz w:val="24"/>
          <w:szCs w:val="24"/>
        </w:rPr>
        <w:instrText xml:space="preserve"> HYPERLINK "http://gzjy.smx.gov.cn/bzzx/008001/20231102/4defc9b5-408e-47f2-9e9f-1f376a06ee1f.html" </w:instrText>
      </w:r>
      <w:r>
        <w:rPr>
          <w:sz w:val="24"/>
          <w:szCs w:val="24"/>
        </w:rPr>
        <w:fldChar w:fldCharType="separate"/>
      </w:r>
      <w:r>
        <w:rPr>
          <w:rFonts w:hint="eastAsia" w:ascii="宋体" w:hAnsi="宋体" w:eastAsia="宋体" w:cs="宋体"/>
          <w:sz w:val="24"/>
          <w:szCs w:val="24"/>
        </w:rPr>
        <w:t>http://gzjy.smx.gov.cn/bzzx/008001/20231102/4defc9b5-408e-47f2-9e9f-1f376a06ee1f.html</w:t>
      </w:r>
      <w:r>
        <w:rPr>
          <w:rFonts w:hint="eastAsia" w:ascii="宋体" w:hAnsi="宋体" w:eastAsia="宋体" w:cs="宋体"/>
          <w:sz w:val="24"/>
          <w:szCs w:val="24"/>
        </w:rPr>
        <w:fldChar w:fldCharType="end"/>
      </w:r>
    </w:p>
    <w:p w14:paraId="4FF84A69">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08</w:t>
      </w:r>
      <w:r>
        <w:rPr>
          <w:rFonts w:hint="eastAsia" w:ascii="宋体" w:hAnsi="宋体" w:eastAsia="宋体" w:cs="宋体"/>
          <w:sz w:val="24"/>
          <w:szCs w:val="24"/>
        </w:rPr>
        <w:t>月</w:t>
      </w:r>
      <w:r>
        <w:rPr>
          <w:rFonts w:hint="eastAsia" w:ascii="宋体" w:hAnsi="宋体" w:eastAsia="宋体" w:cs="宋体"/>
          <w:sz w:val="24"/>
          <w:szCs w:val="24"/>
          <w:lang w:val="en-US" w:eastAsia="zh-CN"/>
        </w:rPr>
        <w:t>14</w:t>
      </w:r>
      <w:r>
        <w:rPr>
          <w:rFonts w:hint="eastAsia" w:ascii="宋体" w:hAnsi="宋体" w:eastAsia="宋体" w:cs="宋体"/>
          <w:sz w:val="24"/>
          <w:szCs w:val="24"/>
        </w:rPr>
        <w:t>日08时00分至</w:t>
      </w:r>
      <w:bookmarkStart w:id="9" w:name="OLE_LINK20"/>
      <w:r>
        <w:rPr>
          <w:rFonts w:hint="eastAsia" w:ascii="宋体" w:hAnsi="宋体" w:eastAsia="宋体" w:cs="宋体"/>
          <w:sz w:val="24"/>
          <w:szCs w:val="24"/>
        </w:rPr>
        <w:t>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09</w:t>
      </w:r>
      <w:r>
        <w:rPr>
          <w:rFonts w:hint="eastAsia" w:ascii="宋体" w:hAnsi="宋体" w:eastAsia="宋体" w:cs="宋体"/>
          <w:sz w:val="24"/>
          <w:szCs w:val="24"/>
        </w:rPr>
        <w:t>月</w:t>
      </w:r>
      <w:r>
        <w:rPr>
          <w:rFonts w:hint="eastAsia" w:ascii="宋体" w:hAnsi="宋体" w:eastAsia="宋体" w:cs="宋体"/>
          <w:sz w:val="24"/>
          <w:szCs w:val="24"/>
          <w:lang w:val="en-US" w:eastAsia="zh-CN"/>
        </w:rPr>
        <w:t>03</w:t>
      </w:r>
      <w:r>
        <w:rPr>
          <w:rFonts w:hint="eastAsia" w:ascii="宋体" w:hAnsi="宋体" w:eastAsia="宋体" w:cs="宋体"/>
          <w:sz w:val="24"/>
          <w:szCs w:val="24"/>
        </w:rPr>
        <w:t>日08时40分</w:t>
      </w:r>
      <w:bookmarkEnd w:id="9"/>
      <w:r>
        <w:rPr>
          <w:rFonts w:hint="eastAsia" w:ascii="宋体" w:hAnsi="宋体" w:eastAsia="宋体" w:cs="宋体"/>
          <w:sz w:val="24"/>
          <w:szCs w:val="24"/>
        </w:rPr>
        <w:t>；</w:t>
      </w:r>
    </w:p>
    <w:p w14:paraId="675014A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1"/>
        <w:textAlignment w:val="auto"/>
        <w:rPr>
          <w:rFonts w:hint="eastAsia" w:ascii="宋体" w:hAnsi="宋体" w:eastAsia="宋体" w:cs="宋体"/>
          <w:sz w:val="24"/>
          <w:szCs w:val="24"/>
        </w:rPr>
      </w:pPr>
      <w:r>
        <w:rPr>
          <w:rFonts w:hint="eastAsia" w:ascii="宋体" w:hAnsi="宋体" w:eastAsia="宋体" w:cs="宋体"/>
          <w:sz w:val="24"/>
          <w:szCs w:val="24"/>
        </w:rPr>
        <w:t>3、本项目为全电子招标，不再收取招标文件费用</w:t>
      </w:r>
    </w:p>
    <w:p w14:paraId="53683E49">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1"/>
        <w:textAlignment w:val="auto"/>
        <w:rPr>
          <w:rFonts w:ascii="宋体" w:hAnsi="宋体" w:eastAsia="宋体" w:cs="宋体"/>
          <w:sz w:val="24"/>
          <w:szCs w:val="24"/>
        </w:rPr>
      </w:pPr>
      <w:r>
        <w:rPr>
          <w:rFonts w:hint="eastAsia" w:ascii="宋体" w:hAnsi="宋体" w:eastAsia="宋体" w:cs="宋体"/>
          <w:sz w:val="24"/>
          <w:szCs w:val="24"/>
        </w:rPr>
        <w:t>注：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因供应商原因未能解密、解密失败或解密超时的将被拒绝。</w:t>
      </w:r>
    </w:p>
    <w:p w14:paraId="4706A91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四、投标资料的提交</w:t>
      </w:r>
    </w:p>
    <w:p w14:paraId="29551157">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本项目实行资格后审，审查内容以投标截止时间前在三门峡市公共资源交易平台上传的投标文件为准。规定时间外上传或更改的信息不作为评标依据。投标人对投标文件信息的真实性、有效性、清晰可辩性负责。投标人应及时完善主体库。</w:t>
      </w:r>
    </w:p>
    <w:p w14:paraId="002EF1C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五、投标保证金</w:t>
      </w:r>
    </w:p>
    <w:p w14:paraId="5A52C28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按照《河南省财政厅关于优化政府采购营商环境有关问题的通知》（豫财购[2019]4号文）的要求本项目不再收取投标保证金。</w:t>
      </w:r>
    </w:p>
    <w:p w14:paraId="2565D13B">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六、投标文件的递交截止时间（开标时间）及开标地点</w:t>
      </w:r>
    </w:p>
    <w:p w14:paraId="08A2F46B">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1、投标文件递交截止时间（开标时间）：202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09</w:t>
      </w:r>
      <w:r>
        <w:rPr>
          <w:rFonts w:hint="eastAsia" w:ascii="宋体" w:hAnsi="宋体" w:eastAsia="宋体" w:cs="宋体"/>
          <w:sz w:val="24"/>
          <w:szCs w:val="24"/>
        </w:rPr>
        <w:t>月</w:t>
      </w:r>
      <w:r>
        <w:rPr>
          <w:rFonts w:hint="eastAsia" w:ascii="宋体" w:hAnsi="宋体" w:eastAsia="宋体" w:cs="宋体"/>
          <w:sz w:val="24"/>
          <w:szCs w:val="24"/>
          <w:lang w:val="en-US" w:eastAsia="zh-CN"/>
        </w:rPr>
        <w:t>03</w:t>
      </w:r>
      <w:r>
        <w:rPr>
          <w:rFonts w:hint="eastAsia" w:ascii="宋体" w:hAnsi="宋体" w:eastAsia="宋体" w:cs="宋体"/>
          <w:sz w:val="24"/>
          <w:szCs w:val="24"/>
        </w:rPr>
        <w:t>日08时40分（北京时间）</w:t>
      </w:r>
    </w:p>
    <w:p w14:paraId="3A65AA7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2、开标地点：卢氏县公共资源交易中心四楼第</w:t>
      </w:r>
      <w:r>
        <w:rPr>
          <w:rFonts w:hint="eastAsia" w:ascii="宋体" w:hAnsi="宋体" w:eastAsia="宋体" w:cs="宋体"/>
          <w:sz w:val="24"/>
          <w:szCs w:val="24"/>
          <w:lang w:val="en-US" w:eastAsia="zh-CN"/>
        </w:rPr>
        <w:t>二</w:t>
      </w:r>
      <w:r>
        <w:rPr>
          <w:rFonts w:hint="eastAsia" w:ascii="宋体" w:hAnsi="宋体" w:eastAsia="宋体" w:cs="宋体"/>
          <w:sz w:val="24"/>
          <w:szCs w:val="24"/>
        </w:rPr>
        <w:t>开标室；</w:t>
      </w:r>
    </w:p>
    <w:p w14:paraId="3448797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3、评标地点：卢氏县公共资源交易中心二楼第</w:t>
      </w:r>
      <w:r>
        <w:rPr>
          <w:rFonts w:hint="eastAsia" w:ascii="宋体" w:hAnsi="宋体" w:eastAsia="宋体" w:cs="宋体"/>
          <w:sz w:val="24"/>
          <w:szCs w:val="24"/>
          <w:lang w:val="en-US" w:eastAsia="zh-CN"/>
        </w:rPr>
        <w:t>二</w:t>
      </w:r>
      <w:r>
        <w:rPr>
          <w:rFonts w:hint="eastAsia" w:ascii="宋体" w:hAnsi="宋体" w:eastAsia="宋体" w:cs="宋体"/>
          <w:sz w:val="24"/>
          <w:szCs w:val="24"/>
        </w:rPr>
        <w:t>评标室；</w:t>
      </w:r>
    </w:p>
    <w:p w14:paraId="44F52287">
      <w:pPr>
        <w:pStyle w:val="13"/>
        <w:keepNext w:val="0"/>
        <w:keepLines w:val="0"/>
        <w:pageBreakBefore w:val="0"/>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七、其他事项</w:t>
      </w:r>
    </w:p>
    <w:p w14:paraId="79DB4EA8">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1、响应人应仔细阅读操作手册，在本公告中要求的截止时间前完成磋商文件下载工作。因响应人操作不当问题造成的无法下载磋商文件等一切后果，由响应人自行承担；</w:t>
      </w:r>
    </w:p>
    <w:p w14:paraId="097B25E0">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2、响应人递交的投标文件不论中标与否均不予退还；</w:t>
      </w:r>
    </w:p>
    <w:p w14:paraId="4E08B435">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3、采购人不组织投标单位踏勘现场。</w:t>
      </w:r>
    </w:p>
    <w:p w14:paraId="2558EEE0">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温馨提示：本项目为电子化、无纸化交易项目，开标时不再接受任何纸质资料，为保证您能开标成功，请需仔细阅读</w:t>
      </w:r>
      <w:r>
        <w:rPr>
          <w:rFonts w:hint="eastAsia" w:ascii="宋体" w:hAnsi="宋体" w:eastAsia="宋体" w:cs="宋体"/>
          <w:sz w:val="24"/>
          <w:szCs w:val="24"/>
          <w:lang w:eastAsia="zh-CN"/>
        </w:rPr>
        <w:t>招标</w:t>
      </w:r>
      <w:r>
        <w:rPr>
          <w:rFonts w:hint="eastAsia" w:ascii="宋体" w:hAnsi="宋体" w:eastAsia="宋体" w:cs="宋体"/>
          <w:sz w:val="24"/>
          <w:szCs w:val="24"/>
        </w:rPr>
        <w:t>文件和三门峡市公共资源交易中心官网业务办理指南。</w:t>
      </w:r>
    </w:p>
    <w:p w14:paraId="0B9A60C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rPr>
        <w:t>八、发布公告的媒介</w:t>
      </w:r>
    </w:p>
    <w:p w14:paraId="410EEFCE">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本次招标公告同时在《</w:t>
      </w:r>
      <w:r>
        <w:rPr>
          <w:rFonts w:hint="eastAsia" w:ascii="宋体" w:hAnsi="宋体" w:eastAsia="宋体" w:cs="宋体"/>
          <w:sz w:val="24"/>
          <w:szCs w:val="24"/>
          <w:lang w:eastAsia="zh-CN"/>
        </w:rPr>
        <w:t>中国采购与招标网</w:t>
      </w:r>
      <w:r>
        <w:rPr>
          <w:rFonts w:hint="eastAsia" w:ascii="宋体" w:hAnsi="宋体" w:eastAsia="宋体" w:cs="宋体"/>
          <w:sz w:val="24"/>
          <w:szCs w:val="24"/>
        </w:rPr>
        <w:t>》、《河南省政府采购网》</w:t>
      </w:r>
      <w:r>
        <w:rPr>
          <w:rFonts w:hint="eastAsia" w:ascii="宋体" w:hAnsi="宋体" w:eastAsia="宋体" w:cs="宋体"/>
          <w:sz w:val="24"/>
          <w:szCs w:val="24"/>
          <w:lang w:eastAsia="zh-CN"/>
        </w:rPr>
        <w:t>、</w:t>
      </w:r>
      <w:r>
        <w:rPr>
          <w:rFonts w:hint="eastAsia" w:ascii="宋体" w:hAnsi="宋体" w:eastAsia="宋体" w:cs="宋体"/>
          <w:sz w:val="24"/>
          <w:szCs w:val="24"/>
        </w:rPr>
        <w:t>《三门峡市公共资源交易中心网》网站上发布。</w:t>
      </w:r>
    </w:p>
    <w:p w14:paraId="70CD12CD">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九、联系方式</w:t>
      </w:r>
    </w:p>
    <w:p w14:paraId="4955125E">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监督单位：卢氏县政府采购办公室</w:t>
      </w:r>
    </w:p>
    <w:p w14:paraId="2E12B1DB">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联系人：郭伟静</w:t>
      </w:r>
    </w:p>
    <w:p w14:paraId="20DF85FF">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bCs/>
          <w:color w:val="000000"/>
          <w:sz w:val="24"/>
          <w:szCs w:val="28"/>
          <w:highlight w:val="none"/>
          <w:lang w:val="en-US" w:eastAsia="zh-CN"/>
        </w:rPr>
      </w:pPr>
      <w:r>
        <w:rPr>
          <w:rFonts w:hint="eastAsia" w:ascii="宋体" w:hAnsi="宋体" w:eastAsia="宋体" w:cs="宋体"/>
          <w:bCs/>
          <w:color w:val="000000"/>
          <w:sz w:val="24"/>
          <w:szCs w:val="28"/>
          <w:highlight w:val="none"/>
          <w:lang w:val="en-US" w:eastAsia="zh-CN"/>
        </w:rPr>
        <w:t>联系方式：0398-7863556</w:t>
      </w:r>
    </w:p>
    <w:p w14:paraId="02430EB6">
      <w:pPr>
        <w:keepNext w:val="0"/>
        <w:keepLines w:val="0"/>
        <w:pageBreakBefore w:val="0"/>
        <w:widowControl w:val="0"/>
        <w:kinsoku/>
        <w:wordWrap w:val="0"/>
        <w:overflowPunct/>
        <w:topLinePunct w:val="0"/>
        <w:autoSpaceDE/>
        <w:autoSpaceDN/>
        <w:bidi w:val="0"/>
        <w:adjustRightInd/>
        <w:snapToGrid/>
        <w:spacing w:line="560" w:lineRule="exact"/>
        <w:ind w:firstLine="482"/>
        <w:textAlignment w:val="auto"/>
        <w:rPr>
          <w:rFonts w:hint="eastAsia" w:ascii="宋体" w:hAnsi="宋体" w:eastAsia="宋体" w:cs="宋体"/>
          <w:sz w:val="24"/>
          <w:szCs w:val="24"/>
        </w:rPr>
      </w:pPr>
      <w:r>
        <w:rPr>
          <w:rFonts w:hint="eastAsia" w:ascii="宋体" w:hAnsi="宋体" w:eastAsia="宋体" w:cs="宋体"/>
          <w:bCs/>
          <w:color w:val="000000"/>
          <w:sz w:val="24"/>
          <w:szCs w:val="28"/>
          <w:highlight w:val="none"/>
          <w:lang w:val="en-US" w:eastAsia="zh-CN"/>
        </w:rPr>
        <w:t>地址：卢氏县城关镇解放路中段</w:t>
      </w:r>
    </w:p>
    <w:p w14:paraId="5E07F25D">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rPr>
        <w:t>监督单位：</w:t>
      </w:r>
      <w:r>
        <w:rPr>
          <w:rFonts w:hint="eastAsia" w:ascii="宋体" w:hAnsi="宋体" w:eastAsia="宋体" w:cs="宋体"/>
          <w:sz w:val="24"/>
          <w:szCs w:val="24"/>
          <w:lang w:eastAsia="zh-CN"/>
        </w:rPr>
        <w:t>卢氏县烟叶生产服务中心</w:t>
      </w:r>
    </w:p>
    <w:p w14:paraId="6C143ED5">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雷治强</w:t>
      </w:r>
    </w:p>
    <w:p w14:paraId="7A29A26D">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en-US" w:eastAsia="zh-CN"/>
        </w:rPr>
        <w:t>13525215489</w:t>
      </w:r>
    </w:p>
    <w:p w14:paraId="5F3E317A">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地</w:t>
      </w:r>
      <w:r>
        <w:rPr>
          <w:rFonts w:hint="eastAsia" w:ascii="宋体" w:hAnsi="宋体" w:eastAsia="宋体" w:cs="宋体"/>
          <w:sz w:val="24"/>
          <w:szCs w:val="24"/>
          <w:lang w:val="en-US" w:eastAsia="zh-CN"/>
        </w:rPr>
        <w:t>址：卢氏县龙山路（政府院）</w:t>
      </w:r>
    </w:p>
    <w:p w14:paraId="74774E44">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rPr>
        <w:t>采购人：</w:t>
      </w:r>
      <w:r>
        <w:rPr>
          <w:rFonts w:hint="eastAsia" w:ascii="宋体" w:hAnsi="宋体" w:eastAsia="宋体" w:cs="宋体"/>
          <w:sz w:val="24"/>
          <w:szCs w:val="24"/>
          <w:lang w:eastAsia="zh-CN"/>
        </w:rPr>
        <w:t>卢氏县烟叶生产服务中心</w:t>
      </w:r>
    </w:p>
    <w:p w14:paraId="3D20BF51">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周鹏</w:t>
      </w:r>
    </w:p>
    <w:p w14:paraId="12E4E5A1">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en-US" w:eastAsia="zh-CN"/>
        </w:rPr>
        <w:t>13525215489、0398-7872610</w:t>
      </w:r>
    </w:p>
    <w:p w14:paraId="268E756A">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地</w:t>
      </w:r>
      <w:r>
        <w:rPr>
          <w:rFonts w:hint="eastAsia" w:ascii="宋体" w:hAnsi="宋体" w:eastAsia="宋体" w:cs="宋体"/>
          <w:sz w:val="24"/>
          <w:szCs w:val="24"/>
          <w:lang w:val="en-US" w:eastAsia="zh-CN"/>
        </w:rPr>
        <w:t>址：卢氏县龙山路（政府院）</w:t>
      </w:r>
    </w:p>
    <w:p w14:paraId="452136B9">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bookmarkStart w:id="10" w:name="_Toc25087"/>
      <w:bookmarkStart w:id="11" w:name="_Toc17606"/>
      <w:r>
        <w:rPr>
          <w:rFonts w:hint="eastAsia" w:ascii="宋体" w:hAnsi="宋体" w:eastAsia="宋体" w:cs="宋体"/>
          <w:sz w:val="24"/>
          <w:szCs w:val="24"/>
          <w:lang w:val="en-US" w:eastAsia="zh-CN"/>
        </w:rPr>
        <w:t>招标代理：河南泰安工程管理有限公司</w:t>
      </w:r>
    </w:p>
    <w:p w14:paraId="526828A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联系人：侯海鸽</w:t>
      </w:r>
    </w:p>
    <w:p w14:paraId="51F3EF6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电话：0398-2151599、13303987012</w:t>
      </w:r>
    </w:p>
    <w:p w14:paraId="7F22C4B8">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地址：孟州市河雍街道西河雍大街0018号</w:t>
      </w:r>
    </w:p>
    <w:p w14:paraId="52E9DE7A">
      <w:pPr>
        <w:pStyle w:val="13"/>
        <w:spacing w:beforeAutospacing="0" w:afterAutospacing="0" w:line="240" w:lineRule="auto"/>
        <w:ind w:firstLine="0" w:firstLineChars="0"/>
        <w:rPr>
          <w:rFonts w:hint="eastAsia" w:ascii="宋体" w:hAnsi="宋体" w:eastAsia="宋体" w:cs="宋体"/>
          <w:b/>
          <w:bCs/>
          <w:sz w:val="32"/>
          <w:szCs w:val="32"/>
        </w:rPr>
      </w:pPr>
      <w:r>
        <w:rPr>
          <w:rFonts w:hint="eastAsia" w:ascii="宋体" w:hAnsi="宋体" w:eastAsia="宋体" w:cs="宋体"/>
          <w:b/>
          <w:bCs/>
          <w:sz w:val="32"/>
          <w:szCs w:val="32"/>
        </w:rPr>
        <w:t> </w:t>
      </w:r>
      <w:bookmarkStart w:id="12" w:name="_Toc7797"/>
    </w:p>
    <w:p w14:paraId="6041D32B">
      <w:pPr>
        <w:pStyle w:val="13"/>
        <w:spacing w:beforeAutospacing="0" w:afterAutospacing="0" w:line="620" w:lineRule="exact"/>
        <w:ind w:firstLine="2258" w:firstLineChars="703"/>
        <w:rPr>
          <w:rFonts w:hint="eastAsia" w:ascii="宋体" w:hAnsi="宋体" w:eastAsia="宋体" w:cs="宋体"/>
          <w:b/>
          <w:bCs/>
          <w:sz w:val="32"/>
          <w:szCs w:val="32"/>
        </w:rPr>
      </w:pPr>
    </w:p>
    <w:p w14:paraId="34510078">
      <w:pPr>
        <w:pStyle w:val="13"/>
        <w:spacing w:beforeAutospacing="0" w:afterAutospacing="0" w:line="620" w:lineRule="exact"/>
        <w:ind w:firstLine="2258" w:firstLineChars="703"/>
        <w:rPr>
          <w:rFonts w:hint="eastAsia" w:ascii="宋体" w:hAnsi="宋体" w:eastAsia="宋体" w:cs="宋体"/>
          <w:b/>
          <w:bCs/>
          <w:sz w:val="32"/>
          <w:szCs w:val="32"/>
        </w:rPr>
      </w:pPr>
    </w:p>
    <w:p w14:paraId="55B135B6">
      <w:pPr>
        <w:pStyle w:val="13"/>
        <w:spacing w:beforeAutospacing="0" w:afterAutospacing="0" w:line="620" w:lineRule="exact"/>
        <w:ind w:firstLine="2258" w:firstLineChars="703"/>
        <w:rPr>
          <w:rFonts w:hint="eastAsia" w:ascii="宋体" w:hAnsi="宋体" w:eastAsia="宋体" w:cs="宋体"/>
          <w:b/>
          <w:bCs/>
          <w:sz w:val="32"/>
          <w:szCs w:val="32"/>
        </w:rPr>
      </w:pPr>
    </w:p>
    <w:p w14:paraId="0D2CF268">
      <w:pPr>
        <w:pStyle w:val="13"/>
        <w:spacing w:beforeAutospacing="0" w:afterAutospacing="0" w:line="620" w:lineRule="exact"/>
        <w:ind w:firstLine="2258" w:firstLineChars="703"/>
        <w:rPr>
          <w:rFonts w:hint="eastAsia" w:ascii="宋体" w:hAnsi="宋体" w:eastAsia="宋体" w:cs="宋体"/>
          <w:b/>
          <w:bCs/>
          <w:sz w:val="32"/>
          <w:szCs w:val="32"/>
        </w:rPr>
      </w:pPr>
    </w:p>
    <w:p w14:paraId="3E2AC133">
      <w:pPr>
        <w:pStyle w:val="13"/>
        <w:spacing w:beforeAutospacing="0" w:afterAutospacing="0" w:line="620" w:lineRule="exact"/>
        <w:ind w:firstLine="2258" w:firstLineChars="703"/>
        <w:rPr>
          <w:rFonts w:hint="eastAsia" w:ascii="宋体" w:hAnsi="宋体" w:eastAsia="宋体" w:cs="宋体"/>
          <w:b/>
          <w:bCs/>
          <w:sz w:val="32"/>
          <w:szCs w:val="32"/>
        </w:rPr>
      </w:pPr>
    </w:p>
    <w:p w14:paraId="21BE2F6F">
      <w:pPr>
        <w:pStyle w:val="13"/>
        <w:spacing w:beforeAutospacing="0" w:afterAutospacing="0" w:line="620" w:lineRule="exact"/>
        <w:ind w:firstLine="2258" w:firstLineChars="703"/>
        <w:rPr>
          <w:rFonts w:hint="eastAsia" w:ascii="宋体" w:hAnsi="宋体" w:eastAsia="宋体" w:cs="宋体"/>
          <w:b/>
          <w:bCs/>
          <w:sz w:val="32"/>
          <w:szCs w:val="32"/>
        </w:rPr>
      </w:pPr>
    </w:p>
    <w:p w14:paraId="6EB4DDFC">
      <w:pPr>
        <w:pStyle w:val="13"/>
        <w:spacing w:beforeAutospacing="0" w:afterAutospacing="0" w:line="620" w:lineRule="exact"/>
        <w:ind w:firstLine="2258" w:firstLineChars="703"/>
        <w:rPr>
          <w:rFonts w:hint="eastAsia" w:ascii="宋体" w:hAnsi="宋体" w:eastAsia="宋体" w:cs="宋体"/>
          <w:b/>
          <w:bCs/>
          <w:sz w:val="32"/>
          <w:szCs w:val="32"/>
        </w:rPr>
      </w:pPr>
    </w:p>
    <w:p w14:paraId="608721E4">
      <w:pPr>
        <w:pStyle w:val="13"/>
        <w:spacing w:beforeAutospacing="0" w:afterAutospacing="0" w:line="620" w:lineRule="exact"/>
        <w:ind w:firstLine="2258" w:firstLineChars="703"/>
        <w:rPr>
          <w:rFonts w:hint="eastAsia" w:ascii="宋体" w:hAnsi="宋体" w:eastAsia="宋体" w:cs="宋体"/>
          <w:b/>
          <w:bCs/>
          <w:sz w:val="32"/>
          <w:szCs w:val="32"/>
        </w:rPr>
      </w:pPr>
    </w:p>
    <w:p w14:paraId="640AB1D0">
      <w:pPr>
        <w:pStyle w:val="13"/>
        <w:spacing w:beforeAutospacing="0" w:afterAutospacing="0" w:line="620" w:lineRule="exact"/>
        <w:ind w:firstLine="2258" w:firstLineChars="703"/>
        <w:rPr>
          <w:rFonts w:hint="eastAsia" w:ascii="宋体" w:hAnsi="宋体" w:eastAsia="宋体" w:cs="宋体"/>
          <w:b/>
          <w:bCs/>
          <w:sz w:val="32"/>
          <w:szCs w:val="32"/>
        </w:rPr>
      </w:pPr>
    </w:p>
    <w:p w14:paraId="7CC293F4">
      <w:pPr>
        <w:pStyle w:val="13"/>
        <w:spacing w:beforeAutospacing="0" w:afterAutospacing="0" w:line="620" w:lineRule="exact"/>
        <w:ind w:firstLine="2258" w:firstLineChars="703"/>
        <w:rPr>
          <w:rFonts w:hint="eastAsia" w:ascii="宋体" w:hAnsi="宋体" w:eastAsia="宋体" w:cs="宋体"/>
          <w:b/>
          <w:bCs/>
          <w:sz w:val="32"/>
          <w:szCs w:val="32"/>
        </w:rPr>
      </w:pPr>
    </w:p>
    <w:p w14:paraId="133D0A11">
      <w:pPr>
        <w:pStyle w:val="13"/>
        <w:spacing w:beforeAutospacing="0" w:afterAutospacing="0" w:line="620" w:lineRule="exact"/>
        <w:ind w:firstLine="2258" w:firstLineChars="703"/>
        <w:rPr>
          <w:rFonts w:hint="eastAsia" w:ascii="宋体" w:hAnsi="宋体" w:eastAsia="宋体" w:cs="宋体"/>
          <w:b/>
          <w:bCs/>
          <w:sz w:val="32"/>
          <w:szCs w:val="32"/>
        </w:rPr>
      </w:pPr>
    </w:p>
    <w:p w14:paraId="4C4C6C19">
      <w:pPr>
        <w:pStyle w:val="13"/>
        <w:spacing w:beforeAutospacing="0" w:afterAutospacing="0" w:line="620" w:lineRule="exact"/>
        <w:ind w:firstLine="2258" w:firstLineChars="703"/>
        <w:rPr>
          <w:rFonts w:hint="eastAsia" w:ascii="宋体" w:hAnsi="宋体" w:eastAsia="宋体" w:cs="宋体"/>
          <w:b/>
          <w:bCs/>
          <w:sz w:val="32"/>
          <w:szCs w:val="32"/>
        </w:rPr>
      </w:pPr>
    </w:p>
    <w:p w14:paraId="58E7BA6A">
      <w:pPr>
        <w:pStyle w:val="13"/>
        <w:spacing w:beforeAutospacing="0" w:afterAutospacing="0" w:line="620" w:lineRule="exact"/>
        <w:ind w:firstLine="2258" w:firstLineChars="703"/>
        <w:rPr>
          <w:rFonts w:ascii="宋体" w:hAnsi="宋体" w:eastAsia="宋体" w:cs="宋体"/>
          <w:sz w:val="32"/>
          <w:szCs w:val="32"/>
        </w:rPr>
      </w:pPr>
      <w:r>
        <w:rPr>
          <w:rFonts w:hint="eastAsia" w:ascii="宋体" w:hAnsi="宋体" w:eastAsia="宋体" w:cs="宋体"/>
          <w:b/>
          <w:bCs/>
          <w:sz w:val="32"/>
          <w:szCs w:val="32"/>
        </w:rPr>
        <w:t>第二章  投标供应商须知</w:t>
      </w:r>
      <w:bookmarkEnd w:id="10"/>
      <w:bookmarkEnd w:id="11"/>
      <w:bookmarkEnd w:id="12"/>
    </w:p>
    <w:p w14:paraId="75AA99EF">
      <w:pPr>
        <w:widowControl/>
        <w:jc w:val="center"/>
        <w:rPr>
          <w:sz w:val="28"/>
          <w:szCs w:val="36"/>
        </w:rPr>
      </w:pPr>
      <w:r>
        <w:rPr>
          <w:rFonts w:hint="eastAsia"/>
          <w:sz w:val="28"/>
          <w:szCs w:val="36"/>
        </w:rPr>
        <w:t>供应商须知前附表</w:t>
      </w:r>
    </w:p>
    <w:tbl>
      <w:tblPr>
        <w:tblStyle w:val="17"/>
        <w:tblW w:w="10131" w:type="dxa"/>
        <w:jc w:val="center"/>
        <w:tblLayout w:type="fixed"/>
        <w:tblCellMar>
          <w:top w:w="0" w:type="dxa"/>
          <w:left w:w="108" w:type="dxa"/>
          <w:bottom w:w="0" w:type="dxa"/>
          <w:right w:w="108" w:type="dxa"/>
        </w:tblCellMar>
      </w:tblPr>
      <w:tblGrid>
        <w:gridCol w:w="1096"/>
        <w:gridCol w:w="1878"/>
        <w:gridCol w:w="7157"/>
      </w:tblGrid>
      <w:tr w14:paraId="33B806AB">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677CD82">
            <w:pPr>
              <w:jc w:val="center"/>
              <w:rPr>
                <w:rFonts w:ascii="宋体" w:hAnsi="宋体" w:cs="宋体"/>
                <w:b/>
                <w:bCs/>
                <w:sz w:val="24"/>
              </w:rPr>
            </w:pPr>
            <w:r>
              <w:rPr>
                <w:rFonts w:hint="eastAsia" w:ascii="宋体" w:hAnsi="宋体" w:cs="宋体"/>
                <w:b/>
                <w:bCs/>
                <w:sz w:val="24"/>
              </w:rPr>
              <w:t>条款号</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82BE3A6">
            <w:pPr>
              <w:jc w:val="center"/>
              <w:rPr>
                <w:rFonts w:ascii="宋体" w:hAnsi="宋体" w:cs="宋体"/>
                <w:b/>
                <w:bCs/>
                <w:sz w:val="24"/>
              </w:rPr>
            </w:pPr>
            <w:r>
              <w:rPr>
                <w:rFonts w:hint="eastAsia" w:ascii="宋体" w:hAnsi="宋体" w:cs="宋体"/>
                <w:b/>
                <w:bCs/>
                <w:sz w:val="24"/>
              </w:rPr>
              <w:t>条  款  名  称</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3F84C10">
            <w:pPr>
              <w:jc w:val="center"/>
              <w:rPr>
                <w:rFonts w:ascii="宋体" w:hAnsi="宋体" w:cs="宋体"/>
                <w:b/>
                <w:bCs/>
                <w:sz w:val="24"/>
              </w:rPr>
            </w:pPr>
            <w:r>
              <w:rPr>
                <w:rFonts w:hint="eastAsia" w:ascii="宋体" w:hAnsi="宋体" w:cs="宋体"/>
                <w:b/>
                <w:bCs/>
                <w:sz w:val="24"/>
              </w:rPr>
              <w:t>编  列  内  容</w:t>
            </w:r>
          </w:p>
        </w:tc>
      </w:tr>
      <w:tr w14:paraId="0DB92B56">
        <w:tblPrEx>
          <w:tblCellMar>
            <w:top w:w="0" w:type="dxa"/>
            <w:left w:w="108" w:type="dxa"/>
            <w:bottom w:w="0" w:type="dxa"/>
            <w:right w:w="108" w:type="dxa"/>
          </w:tblCellMar>
        </w:tblPrEx>
        <w:trPr>
          <w:trHeight w:val="1411"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224929C">
            <w:pPr>
              <w:jc w:val="center"/>
              <w:rPr>
                <w:rFonts w:ascii="宋体" w:hAnsi="宋体" w:cs="宋体"/>
                <w:sz w:val="24"/>
              </w:rPr>
            </w:pPr>
            <w:r>
              <w:rPr>
                <w:rFonts w:hint="eastAsia" w:ascii="宋体" w:hAnsi="宋体" w:cs="宋体"/>
                <w:sz w:val="24"/>
              </w:rPr>
              <w:t>1</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C064B34">
            <w:pPr>
              <w:jc w:val="center"/>
              <w:rPr>
                <w:rFonts w:ascii="宋体" w:hAnsi="宋体" w:eastAsia="宋体" w:cs="宋体"/>
                <w:sz w:val="24"/>
              </w:rPr>
            </w:pPr>
            <w:r>
              <w:rPr>
                <w:rFonts w:hint="eastAsia" w:ascii="宋体" w:hAnsi="宋体" w:cs="宋体"/>
                <w:sz w:val="24"/>
              </w:rPr>
              <w:t>采购人</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8D5813B">
            <w:pPr>
              <w:pStyle w:val="13"/>
              <w:wordWrap w:val="0"/>
              <w:spacing w:beforeAutospacing="0" w:afterAutospacing="0"/>
              <w:jc w:val="both"/>
              <w:rPr>
                <w:rFonts w:hint="eastAsia" w:ascii="宋体" w:hAnsi="宋体" w:eastAsia="宋体" w:cs="宋体"/>
                <w:lang w:val="en-US" w:eastAsia="zh-CN"/>
              </w:rPr>
            </w:pPr>
            <w:r>
              <w:rPr>
                <w:rFonts w:hint="eastAsia" w:ascii="宋体" w:hAnsi="宋体" w:eastAsia="宋体" w:cs="宋体"/>
                <w:lang w:eastAsia="zh-CN"/>
              </w:rPr>
              <w:t>采</w:t>
            </w:r>
            <w:r>
              <w:rPr>
                <w:rFonts w:hint="eastAsia" w:ascii="宋体" w:hAnsi="宋体" w:eastAsia="宋体" w:cs="宋体"/>
                <w:lang w:val="en-US" w:eastAsia="zh-CN"/>
              </w:rPr>
              <w:t>购人：卢氏县烟叶生产服务中心</w:t>
            </w:r>
          </w:p>
          <w:p w14:paraId="0CA8220E">
            <w:pPr>
              <w:pStyle w:val="13"/>
              <w:wordWrap w:val="0"/>
              <w:spacing w:beforeAutospacing="0" w:afterAutospacing="0"/>
              <w:jc w:val="both"/>
              <w:rPr>
                <w:rFonts w:hint="eastAsia" w:ascii="宋体" w:hAnsi="宋体" w:eastAsia="宋体" w:cs="宋体"/>
                <w:lang w:val="en-US" w:eastAsia="zh-CN"/>
              </w:rPr>
            </w:pPr>
            <w:r>
              <w:rPr>
                <w:rFonts w:hint="eastAsia" w:ascii="宋体" w:hAnsi="宋体" w:eastAsia="宋体" w:cs="宋体"/>
                <w:lang w:val="en-US" w:eastAsia="zh-CN"/>
              </w:rPr>
              <w:t>联系人：周鹏</w:t>
            </w:r>
          </w:p>
          <w:p w14:paraId="08DB7FC1">
            <w:pPr>
              <w:pStyle w:val="13"/>
              <w:wordWrap w:val="0"/>
              <w:spacing w:beforeAutospacing="0" w:afterAutospacing="0"/>
              <w:jc w:val="both"/>
              <w:rPr>
                <w:rFonts w:hint="eastAsia" w:ascii="宋体" w:hAnsi="宋体" w:eastAsia="宋体" w:cs="宋体"/>
                <w:lang w:val="en-US" w:eastAsia="zh-CN"/>
              </w:rPr>
            </w:pPr>
            <w:r>
              <w:rPr>
                <w:rFonts w:hint="eastAsia" w:ascii="宋体" w:hAnsi="宋体" w:eastAsia="宋体" w:cs="宋体"/>
                <w:lang w:val="en-US" w:eastAsia="zh-CN"/>
              </w:rPr>
              <w:t>电话：13525215489、0398-7872610</w:t>
            </w:r>
          </w:p>
          <w:p w14:paraId="43146337">
            <w:pPr>
              <w:pStyle w:val="13"/>
              <w:wordWrap w:val="0"/>
              <w:spacing w:beforeAutospacing="0" w:afterAutospacing="0"/>
              <w:jc w:val="both"/>
              <w:rPr>
                <w:rFonts w:hint="eastAsia" w:ascii="宋体" w:hAnsi="宋体" w:eastAsia="宋体" w:cs="宋体"/>
                <w:lang w:eastAsia="zh-CN"/>
              </w:rPr>
            </w:pPr>
            <w:r>
              <w:rPr>
                <w:rFonts w:hint="eastAsia" w:ascii="宋体" w:hAnsi="宋体" w:eastAsia="宋体" w:cs="宋体"/>
                <w:lang w:val="en-US" w:eastAsia="zh-CN"/>
              </w:rPr>
              <w:t>地址：卢氏县龙</w:t>
            </w:r>
            <w:r>
              <w:rPr>
                <w:rFonts w:hint="eastAsia" w:ascii="宋体" w:hAnsi="宋体" w:eastAsia="宋体" w:cs="宋体"/>
                <w:sz w:val="24"/>
                <w:szCs w:val="24"/>
                <w:lang w:val="en-US" w:eastAsia="zh-CN"/>
              </w:rPr>
              <w:t>山路（政府院）</w:t>
            </w:r>
          </w:p>
        </w:tc>
      </w:tr>
      <w:tr w14:paraId="6609B3B1">
        <w:tblPrEx>
          <w:tblCellMar>
            <w:top w:w="0" w:type="dxa"/>
            <w:left w:w="108" w:type="dxa"/>
            <w:bottom w:w="0" w:type="dxa"/>
            <w:right w:w="108" w:type="dxa"/>
          </w:tblCellMar>
        </w:tblPrEx>
        <w:trPr>
          <w:trHeight w:val="1417"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AFC6F20">
            <w:pPr>
              <w:jc w:val="center"/>
              <w:rPr>
                <w:rFonts w:ascii="宋体" w:hAnsi="宋体" w:cs="宋体"/>
                <w:sz w:val="24"/>
              </w:rPr>
            </w:pPr>
            <w:r>
              <w:rPr>
                <w:rFonts w:hint="eastAsia" w:ascii="宋体" w:hAnsi="宋体" w:cs="宋体"/>
                <w:sz w:val="24"/>
              </w:rPr>
              <w:t>2</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7AEE29B">
            <w:pPr>
              <w:jc w:val="center"/>
              <w:rPr>
                <w:rFonts w:ascii="宋体" w:hAnsi="宋体" w:cs="宋体"/>
                <w:sz w:val="24"/>
              </w:rPr>
            </w:pPr>
            <w:r>
              <w:rPr>
                <w:rFonts w:hint="eastAsia" w:ascii="宋体" w:hAnsi="宋体" w:cs="宋体"/>
                <w:sz w:val="24"/>
              </w:rPr>
              <w:t>代理机构</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69B1335">
            <w:pPr>
              <w:pStyle w:val="13"/>
              <w:wordWrap w:val="0"/>
              <w:spacing w:beforeAutospacing="0" w:afterAutospacing="0"/>
              <w:jc w:val="both"/>
              <w:rPr>
                <w:rFonts w:hint="eastAsia" w:ascii="宋体" w:hAnsi="宋体" w:eastAsia="宋体" w:cs="宋体"/>
                <w:lang w:val="en-US" w:eastAsia="zh-CN"/>
              </w:rPr>
            </w:pPr>
            <w:r>
              <w:rPr>
                <w:rFonts w:hint="eastAsia" w:ascii="宋体" w:hAnsi="宋体" w:eastAsia="宋体" w:cs="宋体"/>
                <w:lang w:val="en-US" w:eastAsia="zh-CN"/>
              </w:rPr>
              <w:t>招标代理：河南泰安工程管理有限公司</w:t>
            </w:r>
          </w:p>
          <w:p w14:paraId="7D73A6A8">
            <w:pPr>
              <w:pStyle w:val="13"/>
              <w:wordWrap w:val="0"/>
              <w:spacing w:beforeAutospacing="0" w:afterAutospacing="0"/>
              <w:jc w:val="both"/>
              <w:rPr>
                <w:rFonts w:hint="eastAsia" w:ascii="宋体" w:hAnsi="宋体" w:eastAsia="宋体" w:cs="宋体"/>
                <w:lang w:val="en-US" w:eastAsia="zh-CN"/>
              </w:rPr>
            </w:pPr>
            <w:r>
              <w:rPr>
                <w:rFonts w:hint="eastAsia" w:ascii="宋体" w:hAnsi="宋体" w:eastAsia="宋体" w:cs="宋体"/>
                <w:lang w:val="en-US" w:eastAsia="zh-CN"/>
              </w:rPr>
              <w:t>联系人：侯海鸽</w:t>
            </w:r>
          </w:p>
          <w:p w14:paraId="036CD1F4">
            <w:pPr>
              <w:pStyle w:val="13"/>
              <w:wordWrap w:val="0"/>
              <w:spacing w:beforeAutospacing="0" w:afterAutospacing="0"/>
              <w:jc w:val="both"/>
              <w:rPr>
                <w:rFonts w:hint="eastAsia" w:ascii="宋体" w:hAnsi="宋体" w:eastAsia="宋体" w:cs="宋体"/>
                <w:lang w:val="en-US" w:eastAsia="zh-CN"/>
              </w:rPr>
            </w:pPr>
            <w:r>
              <w:rPr>
                <w:rFonts w:hint="eastAsia" w:ascii="宋体" w:hAnsi="宋体" w:eastAsia="宋体" w:cs="宋体"/>
                <w:lang w:val="en-US" w:eastAsia="zh-CN"/>
              </w:rPr>
              <w:t>电话：0398-2151599、13303987012</w:t>
            </w:r>
          </w:p>
          <w:p w14:paraId="04C540BE">
            <w:pPr>
              <w:pStyle w:val="13"/>
              <w:wordWrap w:val="0"/>
              <w:spacing w:beforeAutospacing="0" w:afterAutospacing="0"/>
              <w:jc w:val="both"/>
              <w:rPr>
                <w:rFonts w:hint="eastAsia" w:ascii="宋体" w:hAnsi="宋体" w:eastAsia="宋体" w:cs="宋体"/>
                <w:lang w:eastAsia="zh-CN"/>
              </w:rPr>
            </w:pPr>
            <w:r>
              <w:rPr>
                <w:rFonts w:hint="eastAsia" w:ascii="宋体" w:hAnsi="宋体" w:eastAsia="宋体" w:cs="宋体"/>
                <w:lang w:val="en-US" w:eastAsia="zh-CN"/>
              </w:rPr>
              <w:t>地址：孟州市河雍街道西河雍</w:t>
            </w:r>
            <w:r>
              <w:rPr>
                <w:rFonts w:hint="eastAsia" w:ascii="宋体" w:hAnsi="宋体" w:eastAsia="宋体" w:cs="宋体"/>
                <w:sz w:val="24"/>
                <w:szCs w:val="24"/>
                <w:lang w:val="en-US" w:eastAsia="zh-CN"/>
              </w:rPr>
              <w:t>大街0018号</w:t>
            </w:r>
          </w:p>
        </w:tc>
      </w:tr>
      <w:tr w14:paraId="23BBDD40">
        <w:tblPrEx>
          <w:tblCellMar>
            <w:top w:w="0" w:type="dxa"/>
            <w:left w:w="108" w:type="dxa"/>
            <w:bottom w:w="0" w:type="dxa"/>
            <w:right w:w="108" w:type="dxa"/>
          </w:tblCellMar>
        </w:tblPrEx>
        <w:trPr>
          <w:trHeight w:val="51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40261E8">
            <w:pPr>
              <w:jc w:val="center"/>
              <w:rPr>
                <w:rFonts w:ascii="宋体" w:hAnsi="宋体" w:cs="宋体"/>
                <w:sz w:val="24"/>
              </w:rPr>
            </w:pPr>
            <w:r>
              <w:rPr>
                <w:rFonts w:hint="eastAsia" w:ascii="宋体" w:hAnsi="宋体" w:cs="宋体"/>
                <w:sz w:val="24"/>
              </w:rPr>
              <w:t>3</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E082B98">
            <w:pPr>
              <w:jc w:val="center"/>
              <w:rPr>
                <w:rFonts w:ascii="宋体" w:hAnsi="宋体" w:cs="宋体"/>
                <w:sz w:val="24"/>
              </w:rPr>
            </w:pPr>
            <w:r>
              <w:rPr>
                <w:rFonts w:hint="eastAsia" w:ascii="宋体" w:hAnsi="宋体" w:cs="宋体"/>
                <w:sz w:val="24"/>
              </w:rPr>
              <w:t>项目名称</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D11632F">
            <w:pPr>
              <w:pStyle w:val="13"/>
              <w:wordWrap w:val="0"/>
              <w:spacing w:beforeAutospacing="0" w:afterAutospacing="0"/>
              <w:jc w:val="both"/>
              <w:rPr>
                <w:rFonts w:hint="eastAsia" w:eastAsia="宋体" w:cs="宋体"/>
                <w:kern w:val="2"/>
                <w:lang w:eastAsia="zh-CN"/>
              </w:rPr>
            </w:pPr>
            <w:r>
              <w:rPr>
                <w:rFonts w:hint="eastAsia" w:ascii="宋体" w:hAnsi="宋体" w:eastAsia="宋体" w:cs="宋体"/>
                <w:lang w:eastAsia="zh-CN"/>
              </w:rPr>
              <w:t>卢氏县2025年烟叶产业配套烤房建设项目</w:t>
            </w:r>
          </w:p>
        </w:tc>
      </w:tr>
      <w:tr w14:paraId="48F1A839">
        <w:tblPrEx>
          <w:tblCellMar>
            <w:top w:w="0" w:type="dxa"/>
            <w:left w:w="108" w:type="dxa"/>
            <w:bottom w:w="0" w:type="dxa"/>
            <w:right w:w="108" w:type="dxa"/>
          </w:tblCellMar>
        </w:tblPrEx>
        <w:trPr>
          <w:trHeight w:val="53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820CFCE">
            <w:pPr>
              <w:jc w:val="center"/>
              <w:rPr>
                <w:rFonts w:ascii="宋体" w:hAnsi="宋体" w:cs="宋体"/>
                <w:sz w:val="24"/>
              </w:rPr>
            </w:pPr>
            <w:r>
              <w:rPr>
                <w:rFonts w:hint="eastAsia" w:ascii="宋体" w:hAnsi="宋体" w:cs="宋体"/>
                <w:sz w:val="24"/>
              </w:rPr>
              <w:t>4</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48BAB75">
            <w:pPr>
              <w:jc w:val="center"/>
              <w:rPr>
                <w:rFonts w:ascii="宋体" w:hAnsi="宋体" w:cs="宋体"/>
                <w:sz w:val="24"/>
              </w:rPr>
            </w:pPr>
            <w:r>
              <w:rPr>
                <w:rFonts w:hint="eastAsia" w:ascii="宋体" w:hAnsi="宋体" w:cs="宋体"/>
                <w:sz w:val="24"/>
              </w:rPr>
              <w:t>采购方式</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9D6E605">
            <w:pPr>
              <w:pStyle w:val="13"/>
              <w:wordWrap w:val="0"/>
              <w:spacing w:beforeAutospacing="0" w:afterAutospacing="0"/>
              <w:jc w:val="both"/>
              <w:rPr>
                <w:rFonts w:cs="宋体"/>
                <w:kern w:val="2"/>
              </w:rPr>
            </w:pPr>
            <w:r>
              <w:rPr>
                <w:rFonts w:hint="eastAsia" w:cs="宋体"/>
                <w:kern w:val="2"/>
              </w:rPr>
              <w:t>公开招标</w:t>
            </w:r>
          </w:p>
        </w:tc>
      </w:tr>
      <w:tr w14:paraId="7A8905D5">
        <w:tblPrEx>
          <w:tblCellMar>
            <w:top w:w="0" w:type="dxa"/>
            <w:left w:w="108" w:type="dxa"/>
            <w:bottom w:w="0" w:type="dxa"/>
            <w:right w:w="108" w:type="dxa"/>
          </w:tblCellMar>
        </w:tblPrEx>
        <w:trPr>
          <w:trHeight w:val="726"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72E5371">
            <w:pPr>
              <w:jc w:val="center"/>
              <w:rPr>
                <w:rFonts w:ascii="宋体" w:hAnsi="宋体" w:cs="宋体"/>
                <w:sz w:val="24"/>
              </w:rPr>
            </w:pPr>
            <w:r>
              <w:rPr>
                <w:rFonts w:hint="eastAsia" w:ascii="宋体" w:hAnsi="宋体" w:cs="宋体"/>
                <w:sz w:val="24"/>
              </w:rPr>
              <w:t>5</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DA98E7D">
            <w:pPr>
              <w:jc w:val="center"/>
              <w:rPr>
                <w:rFonts w:ascii="宋体" w:hAnsi="宋体" w:cs="宋体"/>
                <w:sz w:val="24"/>
              </w:rPr>
            </w:pPr>
            <w:r>
              <w:rPr>
                <w:rFonts w:hint="eastAsia" w:ascii="宋体" w:hAnsi="宋体" w:cs="宋体"/>
                <w:sz w:val="24"/>
              </w:rPr>
              <w:t>采购内容</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6780FC5">
            <w:pPr>
              <w:pStyle w:val="13"/>
              <w:wordWrap w:val="0"/>
              <w:spacing w:beforeAutospacing="0" w:afterAutospacing="0"/>
              <w:jc w:val="both"/>
              <w:rPr>
                <w:rFonts w:cs="宋体"/>
                <w:kern w:val="2"/>
              </w:rPr>
            </w:pPr>
            <w:r>
              <w:rPr>
                <w:rFonts w:hint="eastAsia" w:ascii="宋体" w:hAnsi="宋体" w:eastAsia="宋体" w:cs="宋体"/>
                <w:sz w:val="24"/>
                <w:szCs w:val="24"/>
                <w:lang w:val="en-US" w:eastAsia="zh-CN"/>
              </w:rPr>
              <w:t>主要采购内容为烟叶产业配套烤房建设，内置式生物质烤房131座。一标段：包括官道口30座、杜关18座共48座；二标段：包括范里10座、横涧19座、沙河14座共43座；三标段：包括东明26座、木桐4座、官坡10座共40座。（详见招标文件第三章采购需求）</w:t>
            </w:r>
          </w:p>
        </w:tc>
      </w:tr>
      <w:tr w14:paraId="7E01A9EA">
        <w:tblPrEx>
          <w:tblCellMar>
            <w:top w:w="0" w:type="dxa"/>
            <w:left w:w="108" w:type="dxa"/>
            <w:bottom w:w="0" w:type="dxa"/>
            <w:right w:w="108" w:type="dxa"/>
          </w:tblCellMar>
        </w:tblPrEx>
        <w:trPr>
          <w:trHeight w:val="551"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8727015">
            <w:pPr>
              <w:jc w:val="center"/>
              <w:rPr>
                <w:rFonts w:ascii="宋体" w:hAnsi="宋体" w:cs="宋体"/>
                <w:sz w:val="24"/>
              </w:rPr>
            </w:pPr>
            <w:r>
              <w:rPr>
                <w:rFonts w:hint="eastAsia" w:ascii="宋体" w:hAnsi="宋体" w:cs="宋体"/>
                <w:sz w:val="24"/>
              </w:rPr>
              <w:t>6</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70C620F">
            <w:pPr>
              <w:jc w:val="center"/>
              <w:rPr>
                <w:rFonts w:ascii="宋体" w:hAnsi="宋体" w:cs="宋体"/>
                <w:sz w:val="24"/>
              </w:rPr>
            </w:pPr>
            <w:r>
              <w:rPr>
                <w:rFonts w:hint="eastAsia" w:ascii="宋体" w:hAnsi="宋体" w:cs="宋体"/>
                <w:sz w:val="24"/>
              </w:rPr>
              <w:t>标段划分</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64C4ADE">
            <w:pPr>
              <w:pStyle w:val="13"/>
              <w:wordWrap w:val="0"/>
              <w:spacing w:beforeAutospacing="0" w:afterAutospacing="0"/>
              <w:jc w:val="both"/>
              <w:rPr>
                <w:rFonts w:cs="宋体"/>
                <w:kern w:val="2"/>
              </w:rPr>
            </w:pPr>
            <w:r>
              <w:rPr>
                <w:rFonts w:hint="eastAsia" w:cs="宋体"/>
                <w:kern w:val="2"/>
              </w:rPr>
              <w:t>本项目为</w:t>
            </w:r>
            <w:r>
              <w:rPr>
                <w:rFonts w:hint="eastAsia" w:cs="宋体"/>
                <w:kern w:val="2"/>
                <w:lang w:val="en-US" w:eastAsia="zh-CN"/>
              </w:rPr>
              <w:t>三</w:t>
            </w:r>
            <w:r>
              <w:rPr>
                <w:rFonts w:hint="eastAsia" w:cs="宋体"/>
                <w:kern w:val="2"/>
              </w:rPr>
              <w:t>个标段</w:t>
            </w:r>
          </w:p>
        </w:tc>
      </w:tr>
      <w:tr w14:paraId="68CCE7CE">
        <w:tblPrEx>
          <w:tblCellMar>
            <w:top w:w="0" w:type="dxa"/>
            <w:left w:w="108" w:type="dxa"/>
            <w:bottom w:w="0" w:type="dxa"/>
            <w:right w:w="108" w:type="dxa"/>
          </w:tblCellMar>
        </w:tblPrEx>
        <w:trPr>
          <w:trHeight w:val="633"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EB4F632">
            <w:pPr>
              <w:jc w:val="center"/>
              <w:rPr>
                <w:rFonts w:ascii="宋体" w:hAnsi="宋体" w:cs="宋体"/>
                <w:sz w:val="24"/>
              </w:rPr>
            </w:pPr>
            <w:r>
              <w:rPr>
                <w:rFonts w:hint="eastAsia" w:ascii="宋体" w:hAnsi="宋体" w:cs="宋体"/>
                <w:sz w:val="24"/>
              </w:rPr>
              <w:t>7</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41C6FFF">
            <w:pPr>
              <w:jc w:val="center"/>
              <w:rPr>
                <w:rFonts w:ascii="宋体" w:hAnsi="宋体" w:cs="宋体"/>
                <w:sz w:val="24"/>
              </w:rPr>
            </w:pPr>
            <w:r>
              <w:rPr>
                <w:rFonts w:hint="eastAsia" w:ascii="宋体" w:hAnsi="宋体" w:cs="宋体"/>
                <w:sz w:val="24"/>
              </w:rPr>
              <w:t>资金来源</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774349B">
            <w:pPr>
              <w:pStyle w:val="13"/>
              <w:wordWrap w:val="0"/>
              <w:spacing w:beforeAutospacing="0" w:afterAutospacing="0"/>
              <w:jc w:val="both"/>
              <w:rPr>
                <w:rFonts w:cs="宋体"/>
                <w:kern w:val="2"/>
              </w:rPr>
            </w:pPr>
            <w:r>
              <w:rPr>
                <w:rFonts w:hint="eastAsia" w:cs="宋体"/>
                <w:kern w:val="2"/>
              </w:rPr>
              <w:t>财政资金</w:t>
            </w:r>
          </w:p>
        </w:tc>
      </w:tr>
      <w:tr w14:paraId="5EAE5ECC">
        <w:tblPrEx>
          <w:tblCellMar>
            <w:top w:w="0" w:type="dxa"/>
            <w:left w:w="108" w:type="dxa"/>
            <w:bottom w:w="0" w:type="dxa"/>
            <w:right w:w="108" w:type="dxa"/>
          </w:tblCellMar>
        </w:tblPrEx>
        <w:trPr>
          <w:trHeight w:val="74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CCE60D8">
            <w:pPr>
              <w:jc w:val="center"/>
              <w:rPr>
                <w:rFonts w:ascii="宋体" w:hAnsi="宋体" w:cs="宋体"/>
                <w:sz w:val="24"/>
              </w:rPr>
            </w:pPr>
            <w:r>
              <w:rPr>
                <w:rFonts w:hint="eastAsia" w:ascii="宋体" w:hAnsi="宋体" w:cs="宋体"/>
                <w:sz w:val="24"/>
              </w:rPr>
              <w:t>8</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D41BCA2">
            <w:pPr>
              <w:jc w:val="center"/>
              <w:rPr>
                <w:rFonts w:ascii="宋体" w:hAnsi="宋体" w:cs="宋体"/>
                <w:sz w:val="24"/>
              </w:rPr>
            </w:pPr>
            <w:r>
              <w:rPr>
                <w:rFonts w:hint="eastAsia" w:ascii="宋体" w:hAnsi="宋体" w:cs="宋体"/>
                <w:sz w:val="24"/>
              </w:rPr>
              <w:t>资金落实情况</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5ADA621">
            <w:pPr>
              <w:pStyle w:val="13"/>
              <w:wordWrap w:val="0"/>
              <w:spacing w:beforeAutospacing="0" w:afterAutospacing="0"/>
              <w:jc w:val="both"/>
              <w:rPr>
                <w:rFonts w:cs="宋体"/>
                <w:kern w:val="2"/>
              </w:rPr>
            </w:pPr>
            <w:r>
              <w:rPr>
                <w:rFonts w:hint="eastAsia" w:cs="宋体"/>
                <w:kern w:val="2"/>
              </w:rPr>
              <w:t>已落实</w:t>
            </w:r>
          </w:p>
        </w:tc>
      </w:tr>
      <w:tr w14:paraId="26D8F440">
        <w:tblPrEx>
          <w:tblCellMar>
            <w:top w:w="0" w:type="dxa"/>
            <w:left w:w="108" w:type="dxa"/>
            <w:bottom w:w="0" w:type="dxa"/>
            <w:right w:w="108" w:type="dxa"/>
          </w:tblCellMar>
        </w:tblPrEx>
        <w:trPr>
          <w:trHeight w:val="653"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tcPr>
          <w:p w14:paraId="66664BCD">
            <w:pPr>
              <w:jc w:val="center"/>
              <w:rPr>
                <w:rFonts w:ascii="宋体" w:hAnsi="宋体" w:cs="宋体"/>
                <w:sz w:val="24"/>
              </w:rPr>
            </w:pPr>
            <w:r>
              <w:rPr>
                <w:rFonts w:hint="eastAsia" w:ascii="宋体" w:hAnsi="宋体" w:cs="宋体"/>
                <w:sz w:val="24"/>
              </w:rPr>
              <w:t>9</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6624595">
            <w:pPr>
              <w:jc w:val="center"/>
              <w:rPr>
                <w:rFonts w:ascii="宋体" w:hAnsi="宋体" w:cs="宋体"/>
                <w:sz w:val="24"/>
              </w:rPr>
            </w:pPr>
            <w:r>
              <w:rPr>
                <w:rFonts w:hint="eastAsia" w:ascii="宋体" w:hAnsi="宋体" w:cs="宋体"/>
                <w:sz w:val="24"/>
              </w:rPr>
              <w:t>招标范围</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C4100D9">
            <w:pPr>
              <w:pStyle w:val="13"/>
              <w:wordWrap w:val="0"/>
              <w:spacing w:beforeAutospacing="0" w:afterAutospacing="0"/>
              <w:jc w:val="both"/>
              <w:rPr>
                <w:rFonts w:cs="宋体"/>
                <w:kern w:val="2"/>
              </w:rPr>
            </w:pPr>
            <w:r>
              <w:rPr>
                <w:rFonts w:hint="eastAsia" w:ascii="宋体" w:hAnsi="宋体" w:eastAsia="宋体" w:cs="宋体"/>
                <w:i w:val="0"/>
                <w:iCs w:val="0"/>
                <w:caps w:val="0"/>
                <w:color w:val="333333"/>
                <w:spacing w:val="0"/>
                <w:sz w:val="24"/>
                <w:szCs w:val="24"/>
                <w:lang w:val="en-US" w:eastAsia="zh-CN"/>
              </w:rPr>
              <w:t>招标</w:t>
            </w:r>
            <w:r>
              <w:rPr>
                <w:rFonts w:hint="eastAsia" w:ascii="宋体" w:hAnsi="宋体" w:eastAsia="宋体" w:cs="宋体"/>
                <w:i w:val="0"/>
                <w:iCs w:val="0"/>
                <w:caps w:val="0"/>
                <w:color w:val="333333"/>
                <w:spacing w:val="0"/>
                <w:sz w:val="24"/>
                <w:szCs w:val="24"/>
              </w:rPr>
              <w:t>文件及</w:t>
            </w:r>
            <w:r>
              <w:rPr>
                <w:rFonts w:hint="eastAsia" w:ascii="宋体" w:hAnsi="宋体" w:eastAsia="宋体" w:cs="宋体"/>
                <w:i w:val="0"/>
                <w:iCs w:val="0"/>
                <w:caps w:val="0"/>
                <w:color w:val="333333"/>
                <w:spacing w:val="0"/>
                <w:sz w:val="24"/>
                <w:szCs w:val="24"/>
                <w:lang w:val="en-US" w:eastAsia="zh-CN"/>
              </w:rPr>
              <w:t>采购</w:t>
            </w:r>
            <w:r>
              <w:rPr>
                <w:rFonts w:hint="eastAsia" w:ascii="宋体" w:hAnsi="宋体" w:eastAsia="宋体" w:cs="宋体"/>
                <w:i w:val="0"/>
                <w:iCs w:val="0"/>
                <w:caps w:val="0"/>
                <w:color w:val="333333"/>
                <w:spacing w:val="0"/>
                <w:sz w:val="24"/>
                <w:szCs w:val="24"/>
              </w:rPr>
              <w:t>内容包含的全部内容</w:t>
            </w:r>
          </w:p>
        </w:tc>
      </w:tr>
      <w:tr w14:paraId="3345836E">
        <w:tblPrEx>
          <w:tblCellMar>
            <w:top w:w="0" w:type="dxa"/>
            <w:left w:w="108" w:type="dxa"/>
            <w:bottom w:w="0" w:type="dxa"/>
            <w:right w:w="108" w:type="dxa"/>
          </w:tblCellMar>
        </w:tblPrEx>
        <w:trPr>
          <w:trHeight w:val="612"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1B636A9">
            <w:pPr>
              <w:jc w:val="center"/>
              <w:rPr>
                <w:rFonts w:ascii="宋体" w:hAnsi="宋体" w:cs="宋体"/>
                <w:sz w:val="24"/>
              </w:rPr>
            </w:pPr>
            <w:r>
              <w:rPr>
                <w:rFonts w:hint="eastAsia" w:ascii="宋体" w:hAnsi="宋体" w:cs="宋体"/>
                <w:sz w:val="24"/>
              </w:rPr>
              <w:t>10</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DFADA92">
            <w:pPr>
              <w:jc w:val="center"/>
              <w:rPr>
                <w:rFonts w:ascii="宋体" w:hAnsi="宋体" w:eastAsia="宋体" w:cs="宋体"/>
                <w:sz w:val="24"/>
              </w:rPr>
            </w:pPr>
            <w:r>
              <w:rPr>
                <w:rFonts w:hint="eastAsia" w:ascii="宋体" w:hAnsi="宋体" w:eastAsia="宋体" w:cs="宋体"/>
                <w:sz w:val="24"/>
              </w:rPr>
              <w:t>供货期</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32F565A">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textAlignment w:val="auto"/>
              <w:rPr>
                <w:rFonts w:hint="eastAsia" w:ascii="宋体" w:hAnsi="宋体" w:eastAsia="宋体" w:cs="宋体"/>
                <w:kern w:val="2"/>
                <w:lang w:eastAsia="zh-CN"/>
              </w:rPr>
            </w:pPr>
            <w:r>
              <w:rPr>
                <w:rFonts w:hint="eastAsia" w:ascii="宋体" w:hAnsi="宋体" w:eastAsia="宋体" w:cs="宋体"/>
                <w:i w:val="0"/>
                <w:iCs w:val="0"/>
                <w:caps w:val="0"/>
                <w:color w:val="333333"/>
                <w:spacing w:val="0"/>
                <w:sz w:val="24"/>
                <w:szCs w:val="24"/>
                <w:lang w:val="en-US" w:eastAsia="zh-CN"/>
              </w:rPr>
              <w:t>合同签订后30日历天内交货并安装调试完毕</w:t>
            </w:r>
          </w:p>
        </w:tc>
      </w:tr>
      <w:tr w14:paraId="28039428">
        <w:tblPrEx>
          <w:tblCellMar>
            <w:top w:w="0" w:type="dxa"/>
            <w:left w:w="108" w:type="dxa"/>
            <w:bottom w:w="0" w:type="dxa"/>
            <w:right w:w="108" w:type="dxa"/>
          </w:tblCellMar>
        </w:tblPrEx>
        <w:trPr>
          <w:trHeight w:val="718"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CDD844C">
            <w:pPr>
              <w:jc w:val="center"/>
              <w:rPr>
                <w:rFonts w:ascii="宋体" w:hAnsi="宋体" w:cs="宋体"/>
                <w:sz w:val="24"/>
              </w:rPr>
            </w:pPr>
            <w:r>
              <w:rPr>
                <w:rFonts w:hint="eastAsia" w:ascii="宋体" w:hAnsi="宋体" w:cs="宋体"/>
                <w:sz w:val="24"/>
              </w:rPr>
              <w:t>11</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665F164">
            <w:pPr>
              <w:jc w:val="center"/>
              <w:rPr>
                <w:rFonts w:ascii="宋体" w:hAnsi="宋体" w:cs="宋体"/>
                <w:sz w:val="24"/>
              </w:rPr>
            </w:pPr>
            <w:r>
              <w:rPr>
                <w:rFonts w:hint="eastAsia" w:ascii="宋体" w:hAnsi="宋体" w:cs="宋体"/>
                <w:sz w:val="24"/>
              </w:rPr>
              <w:t>质量要求</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BCE0027">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textAlignment w:val="auto"/>
              <w:rPr>
                <w:rFonts w:cs="宋体"/>
                <w:kern w:val="2"/>
              </w:rPr>
            </w:pPr>
            <w:r>
              <w:rPr>
                <w:rFonts w:hint="eastAsia" w:ascii="宋体" w:hAnsi="宋体" w:eastAsia="宋体" w:cs="宋体"/>
                <w:i w:val="0"/>
                <w:iCs w:val="0"/>
                <w:caps w:val="0"/>
                <w:color w:val="333333"/>
                <w:spacing w:val="0"/>
                <w:sz w:val="24"/>
                <w:szCs w:val="24"/>
                <w:lang w:val="en-US" w:eastAsia="zh-CN"/>
              </w:rPr>
              <w:t>达到国家相关法律、法规规定的生产、制造、验收合格标准，严格按照Q/HNYC050—2020《空气源密集烤房》板房部分文件的相关要求设计和安装，满足《密集烤房技术规范（试行）修订版》（国烟办综〔2009〕418号）及《中国烟草总公司关于印发密集烤房生物质颗粒成型燃料燃烧机技术规范（试行）的通知（中烟办〔2018〕30号）</w:t>
            </w:r>
          </w:p>
        </w:tc>
      </w:tr>
      <w:tr w14:paraId="016B24D3">
        <w:tblPrEx>
          <w:tblCellMar>
            <w:top w:w="0" w:type="dxa"/>
            <w:left w:w="108" w:type="dxa"/>
            <w:bottom w:w="0" w:type="dxa"/>
            <w:right w:w="108" w:type="dxa"/>
          </w:tblCellMar>
        </w:tblPrEx>
        <w:trPr>
          <w:trHeight w:val="736"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A07685C">
            <w:pPr>
              <w:jc w:val="center"/>
              <w:rPr>
                <w:rFonts w:ascii="宋体" w:hAnsi="宋体" w:cs="宋体"/>
                <w:sz w:val="24"/>
              </w:rPr>
            </w:pPr>
            <w:r>
              <w:rPr>
                <w:rFonts w:hint="eastAsia" w:ascii="宋体" w:hAnsi="宋体" w:cs="宋体"/>
                <w:sz w:val="24"/>
              </w:rPr>
              <w:t>12</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B926BB4">
            <w:pPr>
              <w:spacing w:line="360" w:lineRule="auto"/>
              <w:jc w:val="center"/>
              <w:rPr>
                <w:rFonts w:ascii="宋体" w:hAnsi="宋体" w:cs="宋体"/>
                <w:sz w:val="24"/>
              </w:rPr>
            </w:pPr>
            <w:r>
              <w:rPr>
                <w:rFonts w:hint="eastAsia" w:ascii="宋体" w:hAnsi="宋体" w:cs="宋体"/>
                <w:sz w:val="24"/>
              </w:rPr>
              <w:t>供货地点</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C654269">
            <w:pPr>
              <w:pStyle w:val="13"/>
              <w:widowControl/>
              <w:spacing w:beforeAutospacing="0" w:afterAutospacing="0"/>
              <w:jc w:val="both"/>
              <w:rPr>
                <w:rFonts w:hint="eastAsia" w:cs="宋体" w:eastAsiaTheme="minorEastAsia"/>
                <w:kern w:val="2"/>
                <w:lang w:eastAsia="zh-CN"/>
              </w:rPr>
            </w:pPr>
            <w:r>
              <w:rPr>
                <w:rFonts w:hint="eastAsia" w:ascii="宋体" w:hAnsi="宋体" w:eastAsia="宋体" w:cs="宋体"/>
                <w:sz w:val="24"/>
                <w:szCs w:val="24"/>
                <w:lang w:eastAsia="zh-CN"/>
              </w:rPr>
              <w:t>一标段：官道口镇、杜关镇；二标段：</w:t>
            </w:r>
            <w:r>
              <w:rPr>
                <w:rFonts w:hint="eastAsia" w:ascii="宋体" w:hAnsi="宋体" w:eastAsia="宋体" w:cs="宋体"/>
                <w:sz w:val="24"/>
                <w:szCs w:val="24"/>
                <w:lang w:val="en-US" w:eastAsia="zh-CN"/>
              </w:rPr>
              <w:t>范里镇、横涧乡、沙河乡</w:t>
            </w:r>
            <w:r>
              <w:rPr>
                <w:rFonts w:hint="eastAsia" w:ascii="宋体" w:hAnsi="宋体" w:eastAsia="宋体" w:cs="宋体"/>
                <w:sz w:val="24"/>
                <w:szCs w:val="24"/>
                <w:lang w:eastAsia="zh-CN"/>
              </w:rPr>
              <w:t>；三标段：</w:t>
            </w:r>
            <w:r>
              <w:rPr>
                <w:rFonts w:hint="eastAsia" w:ascii="宋体" w:hAnsi="宋体" w:eastAsia="宋体" w:cs="宋体"/>
                <w:sz w:val="24"/>
                <w:szCs w:val="24"/>
                <w:lang w:val="en-US" w:eastAsia="zh-CN"/>
              </w:rPr>
              <w:t>东明镇、木桐乡、官坡镇</w:t>
            </w:r>
          </w:p>
        </w:tc>
      </w:tr>
      <w:tr w14:paraId="70383DED">
        <w:tblPrEx>
          <w:tblCellMar>
            <w:top w:w="0" w:type="dxa"/>
            <w:left w:w="108" w:type="dxa"/>
            <w:bottom w:w="0" w:type="dxa"/>
            <w:right w:w="108" w:type="dxa"/>
          </w:tblCellMar>
        </w:tblPrEx>
        <w:trPr>
          <w:trHeight w:val="1235"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086D4FC">
            <w:pPr>
              <w:jc w:val="center"/>
              <w:rPr>
                <w:rFonts w:ascii="宋体" w:hAnsi="宋体" w:cs="宋体"/>
                <w:sz w:val="24"/>
              </w:rPr>
            </w:pPr>
            <w:r>
              <w:rPr>
                <w:rFonts w:hint="eastAsia" w:ascii="宋体" w:hAnsi="宋体" w:cs="宋体"/>
                <w:sz w:val="24"/>
              </w:rPr>
              <w:t>13</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7FC3319">
            <w:pPr>
              <w:jc w:val="center"/>
              <w:rPr>
                <w:rFonts w:ascii="宋体" w:hAnsi="宋体" w:cs="宋体"/>
                <w:sz w:val="24"/>
              </w:rPr>
            </w:pPr>
            <w:r>
              <w:rPr>
                <w:rFonts w:hint="eastAsia" w:ascii="宋体" w:hAnsi="宋体" w:cs="宋体"/>
                <w:sz w:val="24"/>
              </w:rPr>
              <w:t>供应商资质条件、能力和信誉</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D3DC817">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（一）、落实政府采购政策满足的资格要求：本项目非专门面向中小微企业采购项目，执行促进中小型企业发展政策（残疾人福利性企业、监狱企业视同小微企业）、优先采购节能环保产品等政府采购政策。</w:t>
            </w:r>
          </w:p>
          <w:p w14:paraId="6B228A8B">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供应商参加本次政府采购活动必须符合《中华人民共和国政府采购法》第二十二条的规定并同时具备下列条件：</w:t>
            </w:r>
          </w:p>
          <w:p w14:paraId="2DEB8D46">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1、具有在中华人民共和国境内能够独立承担民事责任的</w:t>
            </w:r>
            <w:r>
              <w:rPr>
                <w:rFonts w:hint="eastAsia" w:ascii="宋体" w:hAnsi="宋体" w:eastAsia="宋体" w:cs="宋体"/>
                <w:sz w:val="24"/>
                <w:szCs w:val="24"/>
                <w:lang w:val="en-US" w:eastAsia="zh-CN"/>
              </w:rPr>
              <w:t>能力</w:t>
            </w:r>
            <w:r>
              <w:rPr>
                <w:rFonts w:hint="eastAsia" w:ascii="宋体" w:hAnsi="宋体" w:eastAsia="宋体" w:cs="宋体"/>
                <w:sz w:val="24"/>
                <w:szCs w:val="24"/>
              </w:rPr>
              <w:t>；</w:t>
            </w:r>
          </w:p>
          <w:p w14:paraId="23D5FF01">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2、具有有效的营业执照、税务登记证、组织机构代码证(或“三证合一”的营业执照)；</w:t>
            </w:r>
          </w:p>
          <w:p w14:paraId="674077EA">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3、具有履行本项目采购内容所必须的设备和专业技术服务能力；(提供证明材料或承诺书)；</w:t>
            </w:r>
          </w:p>
          <w:p w14:paraId="7CBE7047">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4、</w:t>
            </w:r>
            <w:r>
              <w:rPr>
                <w:rFonts w:hint="eastAsia" w:ascii="宋体" w:hAnsi="宋体" w:eastAsia="宋体" w:cs="宋体"/>
                <w:sz w:val="24"/>
                <w:szCs w:val="24"/>
                <w:lang w:val="en-US" w:eastAsia="zh-CN"/>
              </w:rPr>
              <w:t>具有良好的财务状况，提供(2022-2024年任意一年)财务审计报告或自行承诺；（新成立的企业从成立之日起计算）</w:t>
            </w:r>
          </w:p>
          <w:p w14:paraId="79E06CC3">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bCs/>
                <w:color w:val="000000"/>
                <w:sz w:val="24"/>
                <w:szCs w:val="28"/>
                <w:highlight w:val="none"/>
                <w:lang w:val="en-US" w:eastAsia="zh-CN"/>
              </w:rPr>
              <w:t>供应商具有依法缴纳税收和社会保障资金的良好记录证明材料或承诺书；</w:t>
            </w:r>
            <w:r>
              <w:rPr>
                <w:rFonts w:hint="eastAsia" w:ascii="宋体" w:hAnsi="宋体" w:eastAsia="宋体" w:cs="宋体"/>
                <w:sz w:val="24"/>
                <w:szCs w:val="24"/>
                <w:lang w:val="en-US" w:eastAsia="zh-CN"/>
              </w:rPr>
              <w:t>拟派项目负责人提供2025年以来任意一个月社保证明</w:t>
            </w:r>
            <w:r>
              <w:rPr>
                <w:rFonts w:hint="eastAsia" w:ascii="宋体" w:hAnsi="宋体" w:eastAsia="宋体" w:cs="宋体"/>
                <w:sz w:val="24"/>
                <w:szCs w:val="24"/>
              </w:rPr>
              <w:t>； </w:t>
            </w:r>
          </w:p>
          <w:p w14:paraId="18BD67DE">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Cs/>
                <w:color w:val="000000"/>
                <w:sz w:val="24"/>
                <w:szCs w:val="28"/>
                <w:highlight w:val="none"/>
                <w:lang w:val="en-US" w:eastAsia="zh-CN"/>
              </w:rPr>
              <w:t>参加政府采购活动前3年内无行贿犯罪记录，（开标时提供《中国裁判文书网》</w:t>
            </w:r>
            <w:r>
              <w:rPr>
                <w:rFonts w:hint="eastAsia" w:ascii="宋体" w:hAnsi="宋体" w:eastAsia="宋体" w:cs="宋体"/>
                <w:bCs/>
                <w:color w:val="000000"/>
                <w:sz w:val="24"/>
                <w:szCs w:val="28"/>
                <w:highlight w:val="none"/>
                <w:lang w:eastAsia="zh-CN"/>
              </w:rPr>
              <w:t>查询结果网页截图或企业自行承诺的无行贿犯罪承诺书，查询&lt;承诺&gt;对象为“企业，法定代表人，项目负责人”）</w:t>
            </w:r>
            <w:r>
              <w:rPr>
                <w:rFonts w:hint="eastAsia" w:ascii="宋体" w:hAnsi="宋体" w:eastAsia="宋体" w:cs="宋体"/>
                <w:sz w:val="24"/>
                <w:szCs w:val="24"/>
              </w:rPr>
              <w:t>；</w:t>
            </w:r>
          </w:p>
          <w:p w14:paraId="2AC801B5">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、参加政府采购活动前3年内无商业贿赂、不正当竞争行为、骗取中标、严重违约及重大工程质量等问题（供应商须自行出具承诺书）；</w:t>
            </w:r>
          </w:p>
          <w:p w14:paraId="43AA6B6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w:t>
            </w:r>
            <w:r>
              <w:rPr>
                <w:rFonts w:hint="eastAsia" w:ascii="宋体" w:hAnsi="宋体" w:eastAsia="宋体" w:cs="宋体"/>
                <w:sz w:val="24"/>
                <w:szCs w:val="24"/>
                <w:lang w:val="zh-TW" w:eastAsia="zh-TW"/>
              </w:rPr>
              <w:t>根据《关于在政府采购活动中查询及使用信用记录有关问题的通知》(财库[2016]125号)和豫财购【201</w:t>
            </w:r>
            <w:r>
              <w:rPr>
                <w:rFonts w:hint="eastAsia" w:ascii="宋体" w:hAnsi="宋体" w:cs="宋体"/>
                <w:sz w:val="24"/>
                <w:szCs w:val="24"/>
                <w:lang w:val="zh-TW" w:eastAsia="zh-TW"/>
              </w:rPr>
              <w:t>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w:t>
            </w:r>
            <w:r>
              <w:rPr>
                <w:rFonts w:hint="eastAsia" w:ascii="宋体" w:hAnsi="宋体" w:cs="宋体"/>
                <w:sz w:val="24"/>
                <w:szCs w:val="24"/>
              </w:rPr>
              <w:t>(注：査询时间必须是公告发布以后开标时间以前并提供网站查询网页截图，查询结果清晰可见)</w:t>
            </w:r>
            <w:r>
              <w:rPr>
                <w:rFonts w:hint="eastAsia" w:ascii="宋体" w:hAnsi="宋体" w:eastAsia="宋体" w:cs="宋体"/>
                <w:sz w:val="24"/>
                <w:szCs w:val="24"/>
              </w:rPr>
              <w:t>；</w:t>
            </w:r>
          </w:p>
          <w:p w14:paraId="7EF85458">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、本次招标实行资格后审；</w:t>
            </w:r>
          </w:p>
          <w:p w14:paraId="1D362157">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、本项目不接受联合体投标。</w:t>
            </w:r>
          </w:p>
          <w:p w14:paraId="61ECEB1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hint="eastAsia" w:ascii="宋体" w:hAnsi="宋体" w:eastAsia="宋体" w:cs="宋体"/>
                <w:sz w:val="24"/>
                <w:szCs w:val="24"/>
              </w:rPr>
            </w:pPr>
            <w:r>
              <w:rPr>
                <w:rFonts w:hint="eastAsia" w:ascii="宋体" w:hAnsi="宋体" w:eastAsia="宋体" w:cs="宋体"/>
                <w:sz w:val="24"/>
                <w:szCs w:val="24"/>
              </w:rPr>
              <w:t>注：被列入失信被执行人及重大税收违法失信主体的企业做无效标处理；采购人或采购代理机构有权对供应商信用记录进行甄别和复查。</w:t>
            </w:r>
          </w:p>
          <w:p w14:paraId="1BD7B184">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textAlignment w:val="auto"/>
              <w:rPr>
                <w:rFonts w:ascii="宋体" w:hAnsi="宋体" w:cs="宋体"/>
                <w:sz w:val="24"/>
              </w:rPr>
            </w:pPr>
            <w:r>
              <w:rPr>
                <w:rFonts w:hint="eastAsia" w:ascii="宋体" w:hAnsi="宋体" w:eastAsia="宋体" w:cs="宋体"/>
                <w:sz w:val="24"/>
                <w:szCs w:val="24"/>
                <w:lang w:val="en-US" w:eastAsia="zh-CN"/>
              </w:rPr>
              <w:t>注：供应商可投报多个标段，但同一供应商在三个标段中只能中一个标段。</w:t>
            </w:r>
            <w:r>
              <w:rPr>
                <w:rFonts w:hint="eastAsia" w:ascii="宋体" w:hAnsi="宋体" w:eastAsia="宋体" w:cs="宋体"/>
                <w:sz w:val="24"/>
                <w:szCs w:val="24"/>
              </w:rPr>
              <w:t>若</w:t>
            </w:r>
            <w:r>
              <w:rPr>
                <w:rFonts w:hint="eastAsia" w:ascii="宋体" w:hAnsi="宋体" w:eastAsia="宋体" w:cs="宋体"/>
                <w:sz w:val="24"/>
                <w:szCs w:val="24"/>
                <w:lang w:val="en-US" w:eastAsia="zh-CN"/>
              </w:rPr>
              <w:t>供应商</w:t>
            </w:r>
            <w:r>
              <w:rPr>
                <w:rFonts w:hint="eastAsia" w:ascii="宋体" w:hAnsi="宋体" w:eastAsia="宋体" w:cs="宋体"/>
                <w:sz w:val="24"/>
                <w:szCs w:val="24"/>
              </w:rPr>
              <w:t>在多个标段均排名第一，则按标段的顺序取排序靠前的标段推荐为中标人</w:t>
            </w:r>
            <w:r>
              <w:rPr>
                <w:rFonts w:hint="eastAsia" w:ascii="宋体" w:hAnsi="宋体" w:eastAsia="宋体" w:cs="宋体"/>
                <w:sz w:val="24"/>
                <w:szCs w:val="24"/>
                <w:lang w:eastAsia="zh-CN"/>
              </w:rPr>
              <w:t>。</w:t>
            </w:r>
          </w:p>
        </w:tc>
      </w:tr>
      <w:tr w14:paraId="6BF2F8F6">
        <w:tblPrEx>
          <w:tblCellMar>
            <w:top w:w="0" w:type="dxa"/>
            <w:left w:w="108" w:type="dxa"/>
            <w:bottom w:w="0" w:type="dxa"/>
            <w:right w:w="108" w:type="dxa"/>
          </w:tblCellMar>
        </w:tblPrEx>
        <w:trPr>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569D97F">
            <w:pPr>
              <w:jc w:val="center"/>
              <w:rPr>
                <w:rFonts w:ascii="宋体" w:hAnsi="宋体" w:cs="宋体"/>
                <w:sz w:val="24"/>
              </w:rPr>
            </w:pPr>
            <w:r>
              <w:rPr>
                <w:rFonts w:hint="eastAsia" w:ascii="宋体" w:hAnsi="宋体" w:cs="宋体"/>
                <w:sz w:val="24"/>
              </w:rPr>
              <w:t>15</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EC17DDE">
            <w:pPr>
              <w:jc w:val="center"/>
              <w:rPr>
                <w:rFonts w:ascii="宋体" w:hAnsi="宋体" w:cs="宋体"/>
                <w:sz w:val="24"/>
              </w:rPr>
            </w:pPr>
            <w:r>
              <w:rPr>
                <w:rFonts w:hint="eastAsia" w:ascii="宋体" w:hAnsi="宋体" w:cs="宋体"/>
                <w:sz w:val="24"/>
              </w:rPr>
              <w:t>是否接受联合体投标</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4C30001">
            <w:pPr>
              <w:pStyle w:val="13"/>
              <w:wordWrap w:val="0"/>
              <w:spacing w:beforeAutospacing="0" w:afterAutospacing="0"/>
              <w:rPr>
                <w:rFonts w:cs="宋体"/>
                <w:kern w:val="2"/>
              </w:rPr>
            </w:pPr>
            <w:r>
              <w:rPr>
                <w:rFonts w:hint="eastAsia" w:cs="宋体"/>
                <w:kern w:val="2"/>
              </w:rPr>
              <w:t>不接受</w:t>
            </w:r>
          </w:p>
        </w:tc>
      </w:tr>
      <w:tr w14:paraId="0628B5D6">
        <w:tblPrEx>
          <w:tblCellMar>
            <w:top w:w="0" w:type="dxa"/>
            <w:left w:w="108" w:type="dxa"/>
            <w:bottom w:w="0" w:type="dxa"/>
            <w:right w:w="108" w:type="dxa"/>
          </w:tblCellMar>
        </w:tblPrEx>
        <w:trPr>
          <w:trHeight w:val="376"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B1D9DD5">
            <w:pPr>
              <w:jc w:val="center"/>
              <w:rPr>
                <w:rFonts w:ascii="宋体" w:hAnsi="宋体" w:cs="宋体"/>
                <w:sz w:val="24"/>
              </w:rPr>
            </w:pPr>
            <w:r>
              <w:rPr>
                <w:rFonts w:hint="eastAsia" w:ascii="宋体" w:hAnsi="宋体" w:cs="宋体"/>
                <w:sz w:val="24"/>
              </w:rPr>
              <w:t>16</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99A1116">
            <w:pPr>
              <w:jc w:val="center"/>
              <w:rPr>
                <w:rFonts w:ascii="宋体" w:hAnsi="宋体" w:cs="宋体"/>
                <w:sz w:val="24"/>
              </w:rPr>
            </w:pPr>
            <w:r>
              <w:rPr>
                <w:rFonts w:hint="eastAsia" w:ascii="宋体" w:hAnsi="宋体" w:cs="宋体"/>
                <w:sz w:val="24"/>
              </w:rPr>
              <w:t>投标预备会</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B113328">
            <w:pPr>
              <w:pStyle w:val="13"/>
              <w:wordWrap w:val="0"/>
              <w:spacing w:beforeAutospacing="0" w:afterAutospacing="0"/>
              <w:rPr>
                <w:rFonts w:cs="宋体"/>
                <w:kern w:val="2"/>
              </w:rPr>
            </w:pPr>
            <w:r>
              <w:rPr>
                <w:rFonts w:hint="eastAsia" w:cs="宋体"/>
                <w:kern w:val="2"/>
              </w:rPr>
              <w:t>不召开</w:t>
            </w:r>
          </w:p>
        </w:tc>
      </w:tr>
      <w:tr w14:paraId="0932FFA5">
        <w:tblPrEx>
          <w:tblCellMar>
            <w:top w:w="0" w:type="dxa"/>
            <w:left w:w="108" w:type="dxa"/>
            <w:bottom w:w="0" w:type="dxa"/>
            <w:right w:w="108" w:type="dxa"/>
          </w:tblCellMar>
        </w:tblPrEx>
        <w:trPr>
          <w:trHeight w:val="391"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82C483A">
            <w:pPr>
              <w:jc w:val="center"/>
              <w:rPr>
                <w:rFonts w:ascii="宋体" w:hAnsi="宋体" w:cs="宋体"/>
                <w:sz w:val="24"/>
              </w:rPr>
            </w:pPr>
            <w:r>
              <w:rPr>
                <w:rFonts w:hint="eastAsia" w:ascii="宋体" w:hAnsi="宋体" w:cs="宋体"/>
                <w:sz w:val="24"/>
              </w:rPr>
              <w:t>17</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5B677E2">
            <w:pPr>
              <w:jc w:val="center"/>
              <w:rPr>
                <w:rFonts w:ascii="宋体" w:hAnsi="宋体" w:cs="宋体"/>
                <w:sz w:val="24"/>
              </w:rPr>
            </w:pPr>
            <w:r>
              <w:rPr>
                <w:rFonts w:hint="eastAsia" w:ascii="宋体" w:hAnsi="宋体" w:cs="宋体"/>
                <w:sz w:val="24"/>
              </w:rPr>
              <w:t>分包</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93EADE2">
            <w:pPr>
              <w:pStyle w:val="13"/>
              <w:wordWrap w:val="0"/>
              <w:spacing w:beforeAutospacing="0" w:afterAutospacing="0"/>
              <w:rPr>
                <w:rFonts w:cs="宋体"/>
                <w:kern w:val="2"/>
              </w:rPr>
            </w:pPr>
            <w:r>
              <w:rPr>
                <w:rFonts w:hint="eastAsia" w:cs="宋体"/>
                <w:kern w:val="2"/>
              </w:rPr>
              <w:t>不允许</w:t>
            </w:r>
          </w:p>
        </w:tc>
      </w:tr>
      <w:tr w14:paraId="4EB3B0E0">
        <w:tblPrEx>
          <w:tblCellMar>
            <w:top w:w="0" w:type="dxa"/>
            <w:left w:w="108" w:type="dxa"/>
            <w:bottom w:w="0" w:type="dxa"/>
            <w:right w:w="108" w:type="dxa"/>
          </w:tblCellMar>
        </w:tblPrEx>
        <w:trPr>
          <w:trHeight w:val="451"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F2B0B20">
            <w:pPr>
              <w:jc w:val="center"/>
              <w:rPr>
                <w:rFonts w:ascii="宋体" w:hAnsi="宋体" w:cs="宋体"/>
                <w:sz w:val="24"/>
              </w:rPr>
            </w:pPr>
            <w:r>
              <w:rPr>
                <w:rFonts w:hint="eastAsia" w:ascii="宋体" w:hAnsi="宋体" w:cs="宋体"/>
                <w:sz w:val="24"/>
              </w:rPr>
              <w:t>18</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3D8B739">
            <w:pPr>
              <w:jc w:val="center"/>
              <w:rPr>
                <w:rFonts w:ascii="宋体" w:hAnsi="宋体" w:cs="宋体"/>
                <w:sz w:val="24"/>
              </w:rPr>
            </w:pPr>
            <w:r>
              <w:rPr>
                <w:rFonts w:hint="eastAsia" w:ascii="宋体" w:hAnsi="宋体" w:cs="宋体"/>
                <w:sz w:val="24"/>
              </w:rPr>
              <w:t>偏离</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038F2EE">
            <w:pPr>
              <w:pStyle w:val="13"/>
              <w:wordWrap w:val="0"/>
              <w:spacing w:beforeAutospacing="0" w:afterAutospacing="0"/>
              <w:rPr>
                <w:rFonts w:hint="eastAsia" w:cs="宋体" w:eastAsiaTheme="minorEastAsia"/>
                <w:kern w:val="2"/>
                <w:lang w:eastAsia="zh-CN"/>
              </w:rPr>
            </w:pPr>
            <w:r>
              <w:rPr>
                <w:rFonts w:hint="eastAsia" w:cs="宋体"/>
                <w:kern w:val="2"/>
              </w:rPr>
              <w:t>允许</w:t>
            </w:r>
            <w:r>
              <w:rPr>
                <w:rFonts w:hint="eastAsia" w:cs="宋体"/>
                <w:kern w:val="2"/>
                <w:lang w:eastAsia="zh-CN"/>
              </w:rPr>
              <w:t>（允许正偏离）</w:t>
            </w:r>
          </w:p>
        </w:tc>
      </w:tr>
      <w:tr w14:paraId="408E858B">
        <w:tblPrEx>
          <w:tblCellMar>
            <w:top w:w="0" w:type="dxa"/>
            <w:left w:w="108" w:type="dxa"/>
            <w:bottom w:w="0" w:type="dxa"/>
            <w:right w:w="108" w:type="dxa"/>
          </w:tblCellMar>
        </w:tblPrEx>
        <w:trPr>
          <w:trHeight w:val="68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2EFD900">
            <w:pPr>
              <w:adjustRightInd w:val="0"/>
              <w:jc w:val="center"/>
              <w:textAlignment w:val="baseline"/>
              <w:rPr>
                <w:rFonts w:ascii="宋体" w:hAnsi="宋体" w:cs="宋体"/>
                <w:sz w:val="24"/>
              </w:rPr>
            </w:pPr>
            <w:r>
              <w:rPr>
                <w:rFonts w:hint="eastAsia" w:ascii="宋体" w:hAnsi="宋体" w:cs="宋体"/>
                <w:sz w:val="24"/>
              </w:rPr>
              <w:t>19</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tcPr>
          <w:p w14:paraId="4E69FC90">
            <w:pPr>
              <w:adjustRightInd w:val="0"/>
              <w:jc w:val="center"/>
              <w:textAlignment w:val="baseline"/>
              <w:rPr>
                <w:rFonts w:ascii="宋体" w:hAnsi="宋体" w:cs="宋体"/>
                <w:sz w:val="24"/>
              </w:rPr>
            </w:pPr>
            <w:r>
              <w:rPr>
                <w:rFonts w:hint="eastAsia" w:ascii="宋体" w:hAnsi="宋体" w:eastAsia="宋体" w:cs="宋体"/>
                <w:sz w:val="24"/>
              </w:rPr>
              <w:t>构成招标文件的其他材料</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4B90D60">
            <w:pPr>
              <w:pStyle w:val="13"/>
              <w:wordWrap w:val="0"/>
              <w:spacing w:beforeAutospacing="0" w:afterAutospacing="0"/>
              <w:jc w:val="both"/>
              <w:rPr>
                <w:rFonts w:cs="宋体"/>
                <w:kern w:val="2"/>
              </w:rPr>
            </w:pPr>
            <w:r>
              <w:rPr>
                <w:rFonts w:hint="eastAsia" w:cs="宋体"/>
                <w:kern w:val="2"/>
              </w:rPr>
              <w:t>招标文件的补充文件（如有）</w:t>
            </w:r>
          </w:p>
        </w:tc>
      </w:tr>
      <w:tr w14:paraId="6D131AFF">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0D6A250">
            <w:pPr>
              <w:adjustRightInd w:val="0"/>
              <w:jc w:val="center"/>
              <w:textAlignment w:val="baseline"/>
              <w:rPr>
                <w:rFonts w:ascii="宋体" w:hAnsi="宋体" w:cs="宋体"/>
                <w:sz w:val="24"/>
              </w:rPr>
            </w:pPr>
            <w:r>
              <w:rPr>
                <w:rFonts w:hint="eastAsia" w:ascii="宋体" w:hAnsi="宋体" w:cs="宋体"/>
                <w:sz w:val="24"/>
              </w:rPr>
              <w:t>20</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6AE90AA">
            <w:pPr>
              <w:adjustRightInd w:val="0"/>
              <w:jc w:val="center"/>
              <w:textAlignment w:val="baseline"/>
              <w:rPr>
                <w:rFonts w:ascii="宋体" w:hAnsi="宋体" w:cs="宋体"/>
                <w:sz w:val="24"/>
              </w:rPr>
            </w:pPr>
            <w:r>
              <w:rPr>
                <w:rFonts w:hint="eastAsia" w:ascii="宋体" w:hAnsi="宋体" w:cs="宋体"/>
                <w:sz w:val="24"/>
              </w:rPr>
              <w:t>招标文件澄清</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48AD958">
            <w:pPr>
              <w:pStyle w:val="13"/>
              <w:wordWrap w:val="0"/>
              <w:spacing w:beforeAutospacing="0" w:afterAutospacing="0" w:line="360" w:lineRule="auto"/>
              <w:rPr>
                <w:rFonts w:cs="宋体"/>
                <w:kern w:val="2"/>
              </w:rPr>
            </w:pPr>
            <w:r>
              <w:rPr>
                <w:rFonts w:hint="eastAsia" w:cs="宋体"/>
                <w:kern w:val="2"/>
              </w:rPr>
              <w:t>时间：投标截止时间15日前</w:t>
            </w:r>
          </w:p>
          <w:p w14:paraId="08249BCD">
            <w:pPr>
              <w:pStyle w:val="13"/>
              <w:wordWrap w:val="0"/>
              <w:spacing w:beforeAutospacing="0" w:afterAutospacing="0" w:line="360" w:lineRule="auto"/>
              <w:rPr>
                <w:rFonts w:cs="宋体"/>
                <w:kern w:val="2"/>
              </w:rPr>
            </w:pPr>
            <w:r>
              <w:rPr>
                <w:rFonts w:hint="eastAsia" w:cs="宋体"/>
                <w:kern w:val="2"/>
              </w:rPr>
              <w:t>形式：以书面形式提交采购代理公司（加盖单位公章和法定代表人或委托代理人签字）并在三门峡市公共资源交易系统中提出质询。</w:t>
            </w:r>
          </w:p>
        </w:tc>
      </w:tr>
      <w:tr w14:paraId="01A59C5D">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3EF4308">
            <w:pPr>
              <w:adjustRightInd w:val="0"/>
              <w:jc w:val="center"/>
              <w:textAlignment w:val="baseline"/>
              <w:rPr>
                <w:rFonts w:ascii="宋体" w:hAnsi="宋体" w:cs="宋体"/>
                <w:sz w:val="24"/>
              </w:rPr>
            </w:pPr>
            <w:r>
              <w:rPr>
                <w:rFonts w:hint="eastAsia" w:ascii="宋体" w:hAnsi="宋体" w:cs="宋体"/>
                <w:sz w:val="24"/>
              </w:rPr>
              <w:t>21</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AFAF140">
            <w:pPr>
              <w:adjustRightInd w:val="0"/>
              <w:jc w:val="center"/>
              <w:textAlignment w:val="baseline"/>
              <w:rPr>
                <w:rFonts w:ascii="宋体" w:hAnsi="宋体" w:cs="宋体"/>
                <w:sz w:val="24"/>
              </w:rPr>
            </w:pPr>
            <w:r>
              <w:rPr>
                <w:rFonts w:hint="eastAsia" w:ascii="宋体" w:hAnsi="宋体" w:cs="宋体"/>
                <w:sz w:val="24"/>
              </w:rPr>
              <w:t>招标文件修改发出的形式</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E5FA473">
            <w:pPr>
              <w:pStyle w:val="13"/>
              <w:wordWrap w:val="0"/>
              <w:spacing w:beforeAutospacing="0" w:afterAutospacing="0" w:line="360" w:lineRule="auto"/>
              <w:rPr>
                <w:rFonts w:cs="宋体"/>
                <w:kern w:val="2"/>
              </w:rPr>
            </w:pPr>
            <w:r>
              <w:rPr>
                <w:rFonts w:hint="eastAsia" w:cs="宋体"/>
                <w:kern w:val="2"/>
              </w:rPr>
              <w:t>招标文件修改内容都将在发布招标公告的网址上公布</w:t>
            </w:r>
          </w:p>
        </w:tc>
      </w:tr>
      <w:tr w14:paraId="3F6022B9">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259B63E">
            <w:pPr>
              <w:adjustRightInd w:val="0"/>
              <w:jc w:val="center"/>
              <w:textAlignment w:val="baseline"/>
              <w:rPr>
                <w:rFonts w:ascii="宋体" w:hAnsi="宋体" w:cs="宋体"/>
                <w:sz w:val="24"/>
              </w:rPr>
            </w:pPr>
            <w:r>
              <w:rPr>
                <w:rFonts w:hint="eastAsia" w:ascii="宋体" w:hAnsi="宋体" w:cs="宋体"/>
                <w:sz w:val="24"/>
              </w:rPr>
              <w:t>22</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039CDAE">
            <w:pPr>
              <w:autoSpaceDE w:val="0"/>
              <w:autoSpaceDN w:val="0"/>
              <w:spacing w:line="360" w:lineRule="auto"/>
              <w:jc w:val="center"/>
              <w:rPr>
                <w:rFonts w:ascii="宋体" w:hAnsi="宋体" w:cs="宋体"/>
                <w:sz w:val="24"/>
              </w:rPr>
            </w:pPr>
            <w:r>
              <w:rPr>
                <w:rFonts w:hint="eastAsia" w:ascii="宋体" w:hAnsi="宋体" w:cs="宋体"/>
                <w:sz w:val="24"/>
              </w:rPr>
              <w:t>确认收到招标文件澄清或者修改</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F856B09">
            <w:pPr>
              <w:autoSpaceDE w:val="0"/>
              <w:autoSpaceDN w:val="0"/>
              <w:spacing w:line="360" w:lineRule="auto"/>
              <w:rPr>
                <w:rFonts w:ascii="宋体" w:hAnsi="宋体" w:cs="宋体"/>
                <w:sz w:val="24"/>
              </w:rPr>
            </w:pPr>
            <w:r>
              <w:rPr>
                <w:rFonts w:hint="eastAsia" w:ascii="宋体" w:hAnsi="宋体" w:cs="宋体"/>
                <w:sz w:val="24"/>
              </w:rPr>
              <w:t>供应商在投标截止时间前须自行查看在原公告发布媒体上发布的澄清或修改公告，因供应商未及时查看而造成的后果自负。</w:t>
            </w:r>
          </w:p>
        </w:tc>
      </w:tr>
      <w:tr w14:paraId="33BC69E3">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D62702A">
            <w:pPr>
              <w:adjustRightInd w:val="0"/>
              <w:jc w:val="center"/>
              <w:textAlignment w:val="baseline"/>
              <w:rPr>
                <w:rFonts w:ascii="宋体" w:hAnsi="宋体" w:cs="宋体"/>
                <w:sz w:val="24"/>
              </w:rPr>
            </w:pPr>
            <w:r>
              <w:rPr>
                <w:rFonts w:hint="eastAsia" w:ascii="宋体" w:hAnsi="宋体" w:cs="宋体"/>
                <w:sz w:val="24"/>
              </w:rPr>
              <w:t>23</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tcPr>
          <w:p w14:paraId="0458D906">
            <w:pPr>
              <w:adjustRightInd w:val="0"/>
              <w:jc w:val="center"/>
              <w:textAlignment w:val="baseline"/>
              <w:rPr>
                <w:rFonts w:ascii="宋体" w:hAnsi="宋体" w:cs="宋体"/>
                <w:sz w:val="24"/>
              </w:rPr>
            </w:pPr>
            <w:r>
              <w:rPr>
                <w:rFonts w:hint="eastAsia" w:ascii="宋体" w:hAnsi="宋体" w:cs="宋体"/>
                <w:sz w:val="24"/>
              </w:rPr>
              <w:t>构成投标文件的其他资料</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tcPr>
          <w:p w14:paraId="768F55A9">
            <w:pPr>
              <w:pStyle w:val="13"/>
              <w:wordWrap w:val="0"/>
              <w:spacing w:beforeAutospacing="0" w:afterAutospacing="0" w:line="360" w:lineRule="auto"/>
              <w:rPr>
                <w:rFonts w:cs="宋体"/>
                <w:kern w:val="2"/>
              </w:rPr>
            </w:pPr>
            <w:r>
              <w:rPr>
                <w:rFonts w:hint="eastAsia" w:cs="宋体"/>
                <w:kern w:val="2"/>
              </w:rPr>
              <w:t>按招标文件要求</w:t>
            </w:r>
          </w:p>
        </w:tc>
      </w:tr>
      <w:tr w14:paraId="5D704F3C">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24669A4">
            <w:pPr>
              <w:jc w:val="center"/>
              <w:rPr>
                <w:rFonts w:ascii="宋体" w:hAnsi="宋体" w:cs="宋体"/>
                <w:sz w:val="24"/>
              </w:rPr>
            </w:pPr>
            <w:r>
              <w:rPr>
                <w:rFonts w:hint="eastAsia" w:ascii="宋体" w:hAnsi="宋体" w:cs="宋体"/>
                <w:sz w:val="24"/>
              </w:rPr>
              <w:t>24</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1895659">
            <w:pPr>
              <w:spacing w:line="580" w:lineRule="exact"/>
              <w:jc w:val="center"/>
              <w:rPr>
                <w:rFonts w:ascii="宋体" w:hAnsi="宋体" w:cs="宋体"/>
                <w:sz w:val="24"/>
              </w:rPr>
            </w:pPr>
            <w:r>
              <w:rPr>
                <w:rFonts w:hint="eastAsia" w:ascii="宋体" w:hAnsi="宋体" w:cs="宋体"/>
                <w:sz w:val="24"/>
              </w:rPr>
              <w:t>最高投标限价</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1649126">
            <w:pPr>
              <w:pStyle w:val="13"/>
              <w:wordWrap w:val="0"/>
              <w:spacing w:beforeAutospacing="0" w:afterAutospacing="0" w:line="360" w:lineRule="auto"/>
              <w:rPr>
                <w:rFonts w:hint="eastAsia" w:ascii="宋体" w:hAnsi="宋体" w:eastAsia="宋体" w:cs="宋体"/>
                <w:sz w:val="24"/>
                <w:szCs w:val="24"/>
                <w:lang w:val="en-US" w:eastAsia="zh-CN"/>
              </w:rPr>
            </w:pPr>
            <w:r>
              <w:rPr>
                <w:rFonts w:ascii="宋体" w:hAnsi="宋体" w:eastAsia="宋体" w:cs="宋体"/>
                <w:sz w:val="24"/>
                <w:szCs w:val="24"/>
              </w:rPr>
              <w:t>¥</w:t>
            </w:r>
            <w:r>
              <w:rPr>
                <w:rFonts w:hint="eastAsia" w:ascii="宋体" w:hAnsi="宋体" w:eastAsia="宋体" w:cs="宋体"/>
                <w:sz w:val="24"/>
                <w:szCs w:val="24"/>
                <w:lang w:val="en-US" w:eastAsia="zh-CN"/>
              </w:rPr>
              <w:t>3825200.00</w:t>
            </w:r>
            <w:r>
              <w:rPr>
                <w:rFonts w:hint="eastAsia" w:ascii="宋体" w:hAnsi="宋体" w:eastAsia="宋体" w:cs="宋体"/>
                <w:sz w:val="24"/>
                <w:szCs w:val="24"/>
              </w:rPr>
              <w:t>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一标段：</w:t>
            </w:r>
            <w:r>
              <w:rPr>
                <w:rFonts w:ascii="宋体" w:hAnsi="宋体" w:eastAsia="宋体" w:cs="宋体"/>
                <w:sz w:val="24"/>
                <w:szCs w:val="24"/>
              </w:rPr>
              <w:t>¥</w:t>
            </w:r>
            <w:r>
              <w:rPr>
                <w:rFonts w:hint="eastAsia" w:ascii="宋体" w:hAnsi="宋体" w:eastAsia="宋体" w:cs="宋体"/>
                <w:sz w:val="24"/>
                <w:szCs w:val="24"/>
                <w:lang w:val="en-US" w:eastAsia="zh-CN"/>
              </w:rPr>
              <w:t>1401600.00元；二标段：</w:t>
            </w:r>
            <w:r>
              <w:rPr>
                <w:rFonts w:ascii="宋体" w:hAnsi="宋体" w:eastAsia="宋体" w:cs="宋体"/>
                <w:sz w:val="24"/>
                <w:szCs w:val="24"/>
              </w:rPr>
              <w:t>¥</w:t>
            </w:r>
            <w:r>
              <w:rPr>
                <w:rFonts w:hint="eastAsia" w:ascii="宋体" w:hAnsi="宋体" w:eastAsia="宋体" w:cs="宋体"/>
                <w:sz w:val="24"/>
                <w:szCs w:val="24"/>
                <w:lang w:val="en-US" w:eastAsia="zh-CN"/>
              </w:rPr>
              <w:t>1255600.00元；三标段：</w:t>
            </w:r>
            <w:r>
              <w:rPr>
                <w:rFonts w:ascii="宋体" w:hAnsi="宋体" w:eastAsia="宋体" w:cs="宋体"/>
                <w:sz w:val="24"/>
                <w:szCs w:val="24"/>
              </w:rPr>
              <w:t>¥</w:t>
            </w:r>
            <w:r>
              <w:rPr>
                <w:rFonts w:hint="eastAsia" w:ascii="宋体" w:hAnsi="宋体" w:eastAsia="宋体" w:cs="宋体"/>
                <w:sz w:val="24"/>
                <w:szCs w:val="24"/>
                <w:lang w:val="en-US" w:eastAsia="zh-CN"/>
              </w:rPr>
              <w:t>1168000.00元</w:t>
            </w:r>
          </w:p>
          <w:p w14:paraId="5205D0DC">
            <w:pPr>
              <w:pStyle w:val="13"/>
              <w:wordWrap w:val="0"/>
              <w:spacing w:beforeAutospacing="0" w:afterAutospacing="0" w:line="360" w:lineRule="auto"/>
              <w:rPr>
                <w:rFonts w:cs="宋体"/>
                <w:kern w:val="2"/>
              </w:rPr>
            </w:pPr>
            <w:r>
              <w:rPr>
                <w:rFonts w:hint="eastAsia" w:ascii="宋体" w:hAnsi="宋体" w:eastAsia="宋体" w:cs="宋体"/>
                <w:kern w:val="2"/>
              </w:rPr>
              <w:t>供应商的投标报价不得超过最高投标限价，否则视为无效报价</w:t>
            </w:r>
          </w:p>
        </w:tc>
      </w:tr>
      <w:tr w14:paraId="0051C01A">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D91F4A3">
            <w:pPr>
              <w:jc w:val="center"/>
              <w:rPr>
                <w:rFonts w:ascii="宋体" w:hAnsi="宋体" w:cs="宋体"/>
                <w:sz w:val="24"/>
              </w:rPr>
            </w:pPr>
            <w:r>
              <w:rPr>
                <w:rFonts w:hint="eastAsia" w:ascii="宋体" w:hAnsi="宋体" w:cs="宋体"/>
                <w:sz w:val="24"/>
              </w:rPr>
              <w:t>25</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2EC8599">
            <w:pPr>
              <w:adjustRightInd w:val="0"/>
              <w:jc w:val="center"/>
              <w:textAlignment w:val="baseline"/>
              <w:rPr>
                <w:rFonts w:ascii="宋体" w:hAnsi="宋体" w:cs="宋体"/>
                <w:sz w:val="24"/>
              </w:rPr>
            </w:pPr>
            <w:r>
              <w:rPr>
                <w:rFonts w:hint="eastAsia" w:ascii="宋体" w:hAnsi="宋体" w:cs="宋体"/>
                <w:sz w:val="24"/>
              </w:rPr>
              <w:t>投标报价的其他要求</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CD2DC2A">
            <w:pPr>
              <w:pStyle w:val="13"/>
              <w:wordWrap w:val="0"/>
              <w:spacing w:beforeAutospacing="0" w:afterAutospacing="0" w:line="360" w:lineRule="auto"/>
              <w:rPr>
                <w:rFonts w:cs="宋体"/>
                <w:kern w:val="2"/>
              </w:rPr>
            </w:pPr>
            <w:r>
              <w:rPr>
                <w:rFonts w:hint="eastAsia" w:cs="宋体"/>
                <w:kern w:val="2"/>
              </w:rPr>
              <w:t>（1）投标报价应包含本项目所有的采购内容，同时包含本项目供货、运输、保险、利润、税金、售后服务等所有费用；</w:t>
            </w:r>
          </w:p>
          <w:p w14:paraId="48AEAC7B">
            <w:pPr>
              <w:pStyle w:val="13"/>
              <w:wordWrap w:val="0"/>
              <w:spacing w:beforeAutospacing="0" w:afterAutospacing="0" w:line="360" w:lineRule="auto"/>
              <w:rPr>
                <w:rFonts w:cs="宋体"/>
                <w:kern w:val="2"/>
              </w:rPr>
            </w:pPr>
            <w:r>
              <w:rPr>
                <w:rFonts w:hint="eastAsia" w:cs="宋体"/>
                <w:kern w:val="2"/>
              </w:rPr>
              <w:t>（2）投标报价应完全包括招标文件规定的采购范围，不得任意分割或合并所规定的分项；</w:t>
            </w:r>
          </w:p>
          <w:p w14:paraId="107C9078">
            <w:pPr>
              <w:pStyle w:val="13"/>
              <w:wordWrap w:val="0"/>
              <w:spacing w:beforeAutospacing="0" w:afterAutospacing="0" w:line="360" w:lineRule="auto"/>
              <w:rPr>
                <w:rFonts w:cs="宋体"/>
                <w:kern w:val="2"/>
              </w:rPr>
            </w:pPr>
            <w:r>
              <w:rPr>
                <w:rFonts w:hint="eastAsia" w:cs="宋体"/>
                <w:kern w:val="2"/>
              </w:rPr>
              <w:t>（3）供应商对每种货物只允许有一个报价，采购人和采购代理机构不接受有任何选择报价的投标。（注：本项目不允许提交备选方案）；</w:t>
            </w:r>
          </w:p>
          <w:p w14:paraId="648592B6">
            <w:pPr>
              <w:pStyle w:val="13"/>
              <w:wordWrap w:val="0"/>
              <w:spacing w:beforeAutospacing="0" w:afterAutospacing="0" w:line="360" w:lineRule="auto"/>
              <w:rPr>
                <w:rFonts w:cs="宋体"/>
                <w:kern w:val="2"/>
              </w:rPr>
            </w:pPr>
            <w:r>
              <w:rPr>
                <w:rFonts w:hint="eastAsia" w:cs="宋体"/>
                <w:kern w:val="2"/>
              </w:rPr>
              <w:t>（4）供应商不得以任何理由在开标后对投标报价予以修改，报价在投标有效期内是固定的，不因任何原因而改变。任何包含价格调整要求和条件的投标，将被视为非实质性响应投标而予以拒绝；</w:t>
            </w:r>
          </w:p>
        </w:tc>
      </w:tr>
      <w:tr w14:paraId="0E7FF7D0">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DA7792C">
            <w:pPr>
              <w:jc w:val="center"/>
              <w:rPr>
                <w:rFonts w:ascii="宋体" w:hAnsi="宋体" w:cs="宋体"/>
                <w:sz w:val="24"/>
              </w:rPr>
            </w:pPr>
            <w:r>
              <w:rPr>
                <w:rFonts w:hint="eastAsia" w:ascii="宋体" w:hAnsi="宋体" w:cs="宋体"/>
                <w:sz w:val="24"/>
              </w:rPr>
              <w:t>26</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2D14C8E">
            <w:pPr>
              <w:jc w:val="center"/>
              <w:rPr>
                <w:rFonts w:ascii="宋体" w:hAnsi="宋体" w:cs="宋体"/>
                <w:sz w:val="24"/>
              </w:rPr>
            </w:pPr>
            <w:r>
              <w:rPr>
                <w:rFonts w:hint="eastAsia" w:ascii="宋体" w:hAnsi="宋体" w:cs="宋体"/>
                <w:sz w:val="24"/>
              </w:rPr>
              <w:t>投标有效期</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C6273E4">
            <w:pPr>
              <w:pStyle w:val="13"/>
              <w:wordWrap w:val="0"/>
              <w:spacing w:beforeAutospacing="0" w:afterAutospacing="0" w:line="360" w:lineRule="auto"/>
              <w:rPr>
                <w:rFonts w:cs="宋体"/>
                <w:kern w:val="2"/>
              </w:rPr>
            </w:pPr>
            <w:r>
              <w:rPr>
                <w:rFonts w:hint="eastAsia" w:cs="宋体"/>
                <w:kern w:val="2"/>
              </w:rPr>
              <w:t>60日历天（从投标截止之日算起）</w:t>
            </w:r>
          </w:p>
        </w:tc>
      </w:tr>
      <w:tr w14:paraId="160F66DF">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A376163">
            <w:pPr>
              <w:jc w:val="center"/>
              <w:rPr>
                <w:rFonts w:ascii="宋体" w:hAnsi="宋体" w:cs="宋体"/>
                <w:sz w:val="24"/>
              </w:rPr>
            </w:pPr>
            <w:r>
              <w:rPr>
                <w:rFonts w:hint="eastAsia" w:ascii="宋体" w:hAnsi="宋体" w:cs="宋体"/>
                <w:sz w:val="24"/>
              </w:rPr>
              <w:t>27</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B155159">
            <w:pPr>
              <w:widowControl/>
              <w:spacing w:line="360" w:lineRule="auto"/>
              <w:jc w:val="center"/>
              <w:rPr>
                <w:rFonts w:ascii="宋体" w:hAnsi="宋体" w:cs="宋体"/>
                <w:sz w:val="24"/>
              </w:rPr>
            </w:pPr>
            <w:r>
              <w:rPr>
                <w:rFonts w:hint="eastAsia" w:ascii="宋体" w:hAnsi="宋体" w:cs="宋体"/>
                <w:sz w:val="24"/>
              </w:rPr>
              <w:t>投标保证金</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tcPr>
          <w:p w14:paraId="25123A0A">
            <w:pPr>
              <w:pStyle w:val="13"/>
              <w:wordWrap w:val="0"/>
              <w:spacing w:beforeAutospacing="0" w:afterAutospacing="0" w:line="360" w:lineRule="auto"/>
              <w:rPr>
                <w:rFonts w:cs="宋体"/>
                <w:kern w:val="2"/>
              </w:rPr>
            </w:pPr>
            <w:r>
              <w:rPr>
                <w:rFonts w:hint="eastAsia" w:cs="宋体"/>
                <w:kern w:val="2"/>
              </w:rPr>
              <w:t>按照《河南省财政厅关于优化政府采购营商环境有关问题的通知》（豫财购[2019]4号文）的要求本项目不再收取投标保证金，供应商须提供投标承诺函。</w:t>
            </w:r>
          </w:p>
        </w:tc>
      </w:tr>
      <w:tr w14:paraId="194314CE">
        <w:tblPrEx>
          <w:tblCellMar>
            <w:top w:w="0" w:type="dxa"/>
            <w:left w:w="108" w:type="dxa"/>
            <w:bottom w:w="0" w:type="dxa"/>
            <w:right w:w="108" w:type="dxa"/>
          </w:tblCellMar>
        </w:tblPrEx>
        <w:trPr>
          <w:trHeight w:val="931"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AB547B7">
            <w:pPr>
              <w:jc w:val="center"/>
              <w:rPr>
                <w:rFonts w:ascii="宋体" w:hAnsi="宋体" w:cs="宋体"/>
                <w:sz w:val="24"/>
              </w:rPr>
            </w:pPr>
            <w:r>
              <w:rPr>
                <w:rFonts w:hint="eastAsia" w:ascii="宋体" w:hAnsi="宋体" w:cs="宋体"/>
                <w:sz w:val="24"/>
              </w:rPr>
              <w:t>28</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0C4CC10">
            <w:pPr>
              <w:adjustRightInd w:val="0"/>
              <w:jc w:val="center"/>
              <w:textAlignment w:val="baseline"/>
              <w:rPr>
                <w:rFonts w:ascii="宋体" w:hAnsi="宋体" w:cs="宋体"/>
                <w:sz w:val="24"/>
              </w:rPr>
            </w:pPr>
            <w:r>
              <w:rPr>
                <w:rFonts w:hint="eastAsia" w:ascii="宋体" w:hAnsi="宋体" w:cs="宋体"/>
                <w:sz w:val="24"/>
              </w:rPr>
              <w:t>近年完成的类似项目情况的时间要求</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636C3A5">
            <w:pPr>
              <w:pStyle w:val="13"/>
              <w:wordWrap w:val="0"/>
              <w:spacing w:beforeAutospacing="0" w:afterAutospacing="0" w:line="360" w:lineRule="auto"/>
              <w:rPr>
                <w:rFonts w:cs="宋体"/>
                <w:kern w:val="2"/>
              </w:rPr>
            </w:pPr>
            <w:r>
              <w:rPr>
                <w:rFonts w:hint="eastAsia" w:cs="宋体"/>
                <w:kern w:val="2"/>
              </w:rPr>
              <w:t>202</w:t>
            </w:r>
            <w:r>
              <w:rPr>
                <w:rFonts w:hint="eastAsia" w:cs="宋体"/>
                <w:kern w:val="2"/>
                <w:lang w:val="en-US" w:eastAsia="zh-CN"/>
              </w:rPr>
              <w:t>2</w:t>
            </w:r>
            <w:r>
              <w:rPr>
                <w:rFonts w:hint="eastAsia" w:cs="宋体"/>
                <w:kern w:val="2"/>
              </w:rPr>
              <w:t>年1月1 日以来（如有）</w:t>
            </w:r>
          </w:p>
        </w:tc>
      </w:tr>
      <w:tr w14:paraId="70F96192">
        <w:tblPrEx>
          <w:tblCellMar>
            <w:top w:w="0" w:type="dxa"/>
            <w:left w:w="108" w:type="dxa"/>
            <w:bottom w:w="0" w:type="dxa"/>
            <w:right w:w="108" w:type="dxa"/>
          </w:tblCellMar>
        </w:tblPrEx>
        <w:trPr>
          <w:trHeight w:val="79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7CF4F7B">
            <w:pPr>
              <w:jc w:val="center"/>
              <w:rPr>
                <w:rFonts w:ascii="宋体" w:hAnsi="宋体" w:cs="宋体"/>
                <w:sz w:val="24"/>
              </w:rPr>
            </w:pPr>
            <w:r>
              <w:rPr>
                <w:rFonts w:hint="eastAsia" w:ascii="宋体" w:hAnsi="宋体" w:cs="宋体"/>
                <w:sz w:val="24"/>
              </w:rPr>
              <w:t>29</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9C0A43D">
            <w:pPr>
              <w:jc w:val="center"/>
              <w:rPr>
                <w:rFonts w:ascii="宋体" w:hAnsi="宋体" w:cs="宋体"/>
                <w:sz w:val="24"/>
              </w:rPr>
            </w:pPr>
            <w:r>
              <w:rPr>
                <w:rFonts w:hint="eastAsia" w:ascii="宋体" w:hAnsi="宋体" w:cs="宋体"/>
                <w:sz w:val="24"/>
              </w:rPr>
              <w:t>是否允许递交备选投标方案</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F06BBD9">
            <w:pPr>
              <w:pStyle w:val="13"/>
              <w:wordWrap w:val="0"/>
              <w:spacing w:beforeAutospacing="0" w:afterAutospacing="0" w:line="360" w:lineRule="auto"/>
              <w:rPr>
                <w:rFonts w:cs="宋体"/>
                <w:kern w:val="2"/>
              </w:rPr>
            </w:pPr>
            <w:r>
              <w:rPr>
                <w:rFonts w:hint="eastAsia" w:cs="宋体"/>
                <w:kern w:val="2"/>
              </w:rPr>
              <w:t>不允许</w:t>
            </w:r>
          </w:p>
        </w:tc>
      </w:tr>
      <w:tr w14:paraId="77400D05">
        <w:tblPrEx>
          <w:tblCellMar>
            <w:top w:w="0" w:type="dxa"/>
            <w:left w:w="108" w:type="dxa"/>
            <w:bottom w:w="0" w:type="dxa"/>
            <w:right w:w="108" w:type="dxa"/>
          </w:tblCellMar>
        </w:tblPrEx>
        <w:trPr>
          <w:trHeight w:val="3875"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CDF633F">
            <w:pPr>
              <w:jc w:val="center"/>
              <w:rPr>
                <w:rFonts w:ascii="宋体" w:hAnsi="宋体" w:cs="宋体"/>
                <w:sz w:val="24"/>
              </w:rPr>
            </w:pPr>
            <w:r>
              <w:rPr>
                <w:rFonts w:hint="eastAsia" w:ascii="宋体" w:hAnsi="宋体" w:cs="宋体"/>
                <w:sz w:val="24"/>
              </w:rPr>
              <w:t>30</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1EDB42D">
            <w:pPr>
              <w:jc w:val="center"/>
              <w:rPr>
                <w:rFonts w:ascii="宋体" w:hAnsi="宋体" w:cs="宋体"/>
                <w:sz w:val="24"/>
              </w:rPr>
            </w:pPr>
            <w:r>
              <w:rPr>
                <w:rFonts w:hint="eastAsia" w:ascii="宋体" w:hAnsi="宋体" w:cs="宋体"/>
                <w:sz w:val="24"/>
              </w:rPr>
              <w:t>电子投标文件上传</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36A96C2">
            <w:pPr>
              <w:pStyle w:val="13"/>
              <w:wordWrap w:val="0"/>
              <w:spacing w:beforeAutospacing="0" w:afterAutospacing="0" w:line="360" w:lineRule="auto"/>
              <w:jc w:val="both"/>
              <w:rPr>
                <w:rFonts w:cs="宋体"/>
                <w:kern w:val="2"/>
              </w:rPr>
            </w:pPr>
            <w:r>
              <w:rPr>
                <w:rFonts w:hint="eastAsia" w:cs="宋体"/>
                <w:kern w:val="2"/>
              </w:rPr>
              <w:t>投标供应商所上传的电子化投标文件，应是通过中心电子化投标文件制作系统制作的，经过签章和加密后生成的电子版投标文件。上传投标文件格式后缀为SMXTF。上传完后，为了验证CA锁是否正常，建议模拟解密下。</w:t>
            </w:r>
          </w:p>
          <w:p w14:paraId="2178F437">
            <w:pPr>
              <w:pStyle w:val="13"/>
              <w:wordWrap w:val="0"/>
              <w:spacing w:beforeAutospacing="0" w:afterAutospacing="0" w:line="360" w:lineRule="auto"/>
              <w:jc w:val="both"/>
              <w:rPr>
                <w:rFonts w:cs="宋体"/>
                <w:kern w:val="2"/>
              </w:rPr>
            </w:pPr>
            <w:r>
              <w:rPr>
                <w:rFonts w:hint="eastAsia" w:cs="宋体"/>
                <w:kern w:val="2"/>
              </w:rPr>
              <w:t>注：投标人投报多个标段的，需要每个标段单独制作电子投标文件。</w:t>
            </w:r>
          </w:p>
          <w:p w14:paraId="6D414BE8">
            <w:pPr>
              <w:pStyle w:val="13"/>
              <w:wordWrap w:val="0"/>
              <w:spacing w:beforeAutospacing="0" w:afterAutospacing="0" w:line="360" w:lineRule="auto"/>
              <w:jc w:val="both"/>
              <w:rPr>
                <w:rFonts w:cs="宋体"/>
                <w:kern w:val="2"/>
              </w:rPr>
            </w:pPr>
            <w:r>
              <w:rPr>
                <w:rFonts w:hint="eastAsia" w:cs="宋体"/>
                <w:kern w:val="2"/>
              </w:rPr>
              <w:t>2、电子化投标文件应在投标截止时间前成功上传至三门峡市公共资源电子化交易系统。至投标截止时间止，仍未上传成功的电子化投标文件将不予接收。</w:t>
            </w:r>
          </w:p>
        </w:tc>
      </w:tr>
      <w:tr w14:paraId="3A5F5DA8">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DECDA25">
            <w:pPr>
              <w:jc w:val="center"/>
              <w:rPr>
                <w:rFonts w:ascii="宋体" w:hAnsi="宋体" w:cs="宋体"/>
                <w:sz w:val="24"/>
              </w:rPr>
            </w:pPr>
            <w:r>
              <w:rPr>
                <w:rFonts w:hint="eastAsia" w:ascii="宋体" w:hAnsi="宋体" w:cs="宋体"/>
                <w:sz w:val="24"/>
              </w:rPr>
              <w:t>31</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6E0D348">
            <w:pPr>
              <w:jc w:val="center"/>
              <w:rPr>
                <w:rFonts w:ascii="宋体" w:hAnsi="宋体" w:cs="宋体"/>
                <w:sz w:val="24"/>
              </w:rPr>
            </w:pPr>
            <w:r>
              <w:rPr>
                <w:rFonts w:hint="eastAsia" w:ascii="宋体" w:hAnsi="宋体" w:cs="宋体"/>
                <w:sz w:val="24"/>
              </w:rPr>
              <w:t>签字或盖章要求</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C173869">
            <w:pPr>
              <w:pStyle w:val="13"/>
              <w:wordWrap w:val="0"/>
              <w:spacing w:beforeAutospacing="0" w:afterAutospacing="0" w:line="360" w:lineRule="auto"/>
              <w:jc w:val="both"/>
              <w:rPr>
                <w:rFonts w:hint="eastAsia" w:cs="宋体"/>
                <w:kern w:val="2"/>
              </w:rPr>
            </w:pPr>
          </w:p>
          <w:p w14:paraId="3F6BF7DC">
            <w:pPr>
              <w:pStyle w:val="13"/>
              <w:wordWrap w:val="0"/>
              <w:spacing w:beforeAutospacing="0" w:afterAutospacing="0" w:line="360" w:lineRule="auto"/>
              <w:jc w:val="both"/>
              <w:rPr>
                <w:rFonts w:cs="宋体"/>
                <w:kern w:val="2"/>
              </w:rPr>
            </w:pPr>
            <w:r>
              <w:rPr>
                <w:rFonts w:hint="eastAsia" w:cs="宋体"/>
                <w:kern w:val="2"/>
              </w:rPr>
              <w:t>1、招标文件中要求法定代表人或授权委托人签字、盖章或签章的，投标供应商在进行电子化投标文件签章时，以签盖法定代表人电子签章为准。</w:t>
            </w:r>
          </w:p>
          <w:p w14:paraId="6C4178AE">
            <w:pPr>
              <w:pStyle w:val="13"/>
              <w:wordWrap w:val="0"/>
              <w:spacing w:beforeAutospacing="0" w:afterAutospacing="0" w:line="360" w:lineRule="auto"/>
              <w:jc w:val="both"/>
              <w:rPr>
                <w:rFonts w:cs="宋体"/>
                <w:kern w:val="2"/>
              </w:rPr>
            </w:pPr>
            <w:r>
              <w:rPr>
                <w:rFonts w:hint="eastAsia" w:cs="宋体"/>
                <w:kern w:val="2"/>
              </w:rPr>
              <w:t>2、招标文件中要求加盖单位公章的，投标供应商在进行电子化投标文件盖章时，以加盖投标供应商的电子印章为准。</w:t>
            </w:r>
          </w:p>
        </w:tc>
      </w:tr>
      <w:tr w14:paraId="56A8494A">
        <w:tblPrEx>
          <w:tblCellMar>
            <w:top w:w="0" w:type="dxa"/>
            <w:left w:w="108" w:type="dxa"/>
            <w:bottom w:w="0" w:type="dxa"/>
            <w:right w:w="108" w:type="dxa"/>
          </w:tblCellMar>
        </w:tblPrEx>
        <w:trPr>
          <w:trHeight w:val="59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D084F5E">
            <w:pPr>
              <w:jc w:val="center"/>
              <w:rPr>
                <w:rFonts w:ascii="宋体" w:hAnsi="宋体" w:cs="宋体"/>
                <w:sz w:val="24"/>
              </w:rPr>
            </w:pPr>
            <w:r>
              <w:rPr>
                <w:rFonts w:hint="eastAsia" w:ascii="宋体" w:hAnsi="宋体" w:cs="宋体"/>
                <w:sz w:val="24"/>
              </w:rPr>
              <w:t>32</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9ED8735">
            <w:pPr>
              <w:adjustRightInd w:val="0"/>
              <w:jc w:val="center"/>
              <w:textAlignment w:val="baseline"/>
              <w:rPr>
                <w:rFonts w:ascii="宋体" w:hAnsi="宋体" w:eastAsia="宋体" w:cs="宋体"/>
                <w:sz w:val="24"/>
              </w:rPr>
            </w:pPr>
            <w:r>
              <w:rPr>
                <w:rFonts w:hint="eastAsia" w:ascii="宋体" w:hAnsi="宋体" w:eastAsia="宋体" w:cs="宋体"/>
                <w:sz w:val="24"/>
              </w:rPr>
              <w:t>投标文件递交截止时间</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B06837A">
            <w:pPr>
              <w:pStyle w:val="13"/>
              <w:wordWrap w:val="0"/>
              <w:spacing w:beforeAutospacing="0" w:afterAutospacing="0" w:line="360" w:lineRule="auto"/>
              <w:jc w:val="both"/>
              <w:rPr>
                <w:rFonts w:hint="eastAsia" w:cs="宋体"/>
                <w:kern w:val="2"/>
              </w:rPr>
            </w:pPr>
          </w:p>
          <w:p w14:paraId="7C1A614B">
            <w:pPr>
              <w:pStyle w:val="13"/>
              <w:wordWrap w:val="0"/>
              <w:spacing w:beforeAutospacing="0" w:afterAutospacing="0" w:line="360" w:lineRule="auto"/>
              <w:jc w:val="both"/>
              <w:rPr>
                <w:rFonts w:hint="eastAsia" w:cs="宋体"/>
                <w:kern w:val="2"/>
              </w:rPr>
            </w:pPr>
            <w:r>
              <w:rPr>
                <w:rFonts w:hint="eastAsia" w:cs="宋体"/>
                <w:kern w:val="2"/>
              </w:rPr>
              <w:t>202</w:t>
            </w:r>
            <w:r>
              <w:rPr>
                <w:rFonts w:hint="eastAsia" w:cs="宋体"/>
                <w:kern w:val="2"/>
                <w:lang w:val="en-US" w:eastAsia="zh-CN"/>
              </w:rPr>
              <w:t>5</w:t>
            </w:r>
            <w:r>
              <w:rPr>
                <w:rFonts w:hint="eastAsia" w:cs="宋体"/>
                <w:kern w:val="2"/>
              </w:rPr>
              <w:t>年</w:t>
            </w:r>
            <w:r>
              <w:rPr>
                <w:rFonts w:hint="eastAsia" w:cs="宋体"/>
                <w:kern w:val="2"/>
                <w:lang w:val="en-US" w:eastAsia="zh-CN"/>
              </w:rPr>
              <w:t>09</w:t>
            </w:r>
            <w:r>
              <w:rPr>
                <w:rFonts w:hint="eastAsia" w:cs="宋体"/>
                <w:kern w:val="2"/>
              </w:rPr>
              <w:t>月</w:t>
            </w:r>
            <w:r>
              <w:rPr>
                <w:rFonts w:hint="eastAsia" w:cs="宋体"/>
                <w:kern w:val="2"/>
                <w:lang w:val="en-US" w:eastAsia="zh-CN"/>
              </w:rPr>
              <w:t>03</w:t>
            </w:r>
            <w:r>
              <w:rPr>
                <w:rFonts w:hint="eastAsia" w:cs="宋体"/>
                <w:kern w:val="2"/>
              </w:rPr>
              <w:t>日08时40分</w:t>
            </w:r>
          </w:p>
        </w:tc>
      </w:tr>
      <w:tr w14:paraId="2641222D">
        <w:tblPrEx>
          <w:tblCellMar>
            <w:top w:w="0" w:type="dxa"/>
            <w:left w:w="108" w:type="dxa"/>
            <w:bottom w:w="0" w:type="dxa"/>
            <w:right w:w="108" w:type="dxa"/>
          </w:tblCellMar>
        </w:tblPrEx>
        <w:trPr>
          <w:trHeight w:val="634"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EAF7B69">
            <w:pPr>
              <w:jc w:val="center"/>
              <w:rPr>
                <w:rFonts w:ascii="宋体" w:hAnsi="宋体" w:cs="宋体"/>
                <w:sz w:val="24"/>
              </w:rPr>
            </w:pPr>
            <w:r>
              <w:rPr>
                <w:rFonts w:hint="eastAsia" w:ascii="宋体" w:hAnsi="宋体" w:cs="宋体"/>
                <w:sz w:val="24"/>
              </w:rPr>
              <w:t>33</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8E4E8F2">
            <w:pPr>
              <w:adjustRightInd w:val="0"/>
              <w:jc w:val="center"/>
              <w:textAlignment w:val="baseline"/>
              <w:rPr>
                <w:rFonts w:ascii="宋体" w:hAnsi="宋体" w:cs="宋体"/>
                <w:sz w:val="24"/>
              </w:rPr>
            </w:pPr>
            <w:r>
              <w:rPr>
                <w:rFonts w:hint="eastAsia" w:ascii="宋体" w:hAnsi="宋体" w:cs="宋体"/>
                <w:sz w:val="24"/>
              </w:rPr>
              <w:t>投标文件是否退还</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86ED0F4">
            <w:pPr>
              <w:pStyle w:val="13"/>
              <w:wordWrap w:val="0"/>
              <w:spacing w:beforeAutospacing="0" w:afterAutospacing="0" w:line="360" w:lineRule="auto"/>
              <w:jc w:val="both"/>
              <w:rPr>
                <w:rFonts w:hint="eastAsia" w:cs="宋体"/>
                <w:kern w:val="2"/>
              </w:rPr>
            </w:pPr>
            <w:r>
              <w:rPr>
                <w:rFonts w:hint="eastAsia" w:cs="宋体"/>
                <w:kern w:val="2"/>
              </w:rPr>
              <w:t>否</w:t>
            </w:r>
          </w:p>
        </w:tc>
      </w:tr>
      <w:tr w14:paraId="79885DE2">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92B945D">
            <w:pPr>
              <w:jc w:val="center"/>
              <w:rPr>
                <w:rFonts w:ascii="宋体" w:hAnsi="宋体" w:cs="宋体"/>
                <w:sz w:val="24"/>
              </w:rPr>
            </w:pPr>
            <w:r>
              <w:rPr>
                <w:rFonts w:hint="eastAsia" w:ascii="宋体" w:hAnsi="宋体" w:cs="宋体"/>
                <w:sz w:val="24"/>
              </w:rPr>
              <w:t>34</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CB69385">
            <w:pPr>
              <w:adjustRightInd w:val="0"/>
              <w:jc w:val="center"/>
              <w:textAlignment w:val="baseline"/>
              <w:rPr>
                <w:rFonts w:ascii="宋体" w:hAnsi="宋体" w:eastAsia="宋体" w:cs="宋体"/>
                <w:sz w:val="24"/>
              </w:rPr>
            </w:pPr>
            <w:r>
              <w:rPr>
                <w:rFonts w:hint="eastAsia" w:ascii="宋体" w:hAnsi="宋体" w:eastAsia="宋体" w:cs="宋体"/>
                <w:sz w:val="24"/>
              </w:rPr>
              <w:t>开标时间和地点</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FC8EE11">
            <w:pPr>
              <w:pStyle w:val="13"/>
              <w:wordWrap w:val="0"/>
              <w:spacing w:beforeAutospacing="0" w:afterAutospacing="0" w:line="360" w:lineRule="auto"/>
              <w:jc w:val="both"/>
              <w:rPr>
                <w:rFonts w:hint="eastAsia" w:cs="宋体"/>
                <w:kern w:val="2"/>
              </w:rPr>
            </w:pPr>
            <w:r>
              <w:rPr>
                <w:rFonts w:hint="eastAsia" w:cs="宋体"/>
                <w:kern w:val="2"/>
              </w:rPr>
              <w:t>时间：202</w:t>
            </w:r>
            <w:r>
              <w:rPr>
                <w:rFonts w:hint="eastAsia" w:cs="宋体"/>
                <w:kern w:val="2"/>
                <w:lang w:val="en-US" w:eastAsia="zh-CN"/>
              </w:rPr>
              <w:t>5</w:t>
            </w:r>
            <w:r>
              <w:rPr>
                <w:rFonts w:hint="eastAsia" w:cs="宋体"/>
                <w:kern w:val="2"/>
              </w:rPr>
              <w:t>年</w:t>
            </w:r>
            <w:r>
              <w:rPr>
                <w:rFonts w:hint="eastAsia" w:cs="宋体"/>
                <w:kern w:val="2"/>
                <w:lang w:val="en-US" w:eastAsia="zh-CN"/>
              </w:rPr>
              <w:t>09</w:t>
            </w:r>
            <w:r>
              <w:rPr>
                <w:rFonts w:hint="eastAsia" w:cs="宋体"/>
                <w:kern w:val="2"/>
              </w:rPr>
              <w:t>月</w:t>
            </w:r>
            <w:r>
              <w:rPr>
                <w:rFonts w:hint="eastAsia" w:cs="宋体"/>
                <w:kern w:val="2"/>
                <w:lang w:val="en-US" w:eastAsia="zh-CN"/>
              </w:rPr>
              <w:t>03</w:t>
            </w:r>
            <w:r>
              <w:rPr>
                <w:rFonts w:hint="eastAsia" w:cs="宋体"/>
                <w:kern w:val="2"/>
              </w:rPr>
              <w:t>日08时40分</w:t>
            </w:r>
          </w:p>
          <w:p w14:paraId="0A51EF3B">
            <w:pPr>
              <w:pStyle w:val="13"/>
              <w:wordWrap w:val="0"/>
              <w:spacing w:beforeAutospacing="0" w:afterAutospacing="0" w:line="360" w:lineRule="auto"/>
              <w:jc w:val="both"/>
              <w:rPr>
                <w:rFonts w:hint="eastAsia" w:cs="宋体"/>
                <w:kern w:val="2"/>
                <w:lang w:eastAsia="zh-CN"/>
              </w:rPr>
            </w:pPr>
            <w:r>
              <w:rPr>
                <w:rFonts w:hint="eastAsia" w:cs="宋体"/>
                <w:kern w:val="2"/>
              </w:rPr>
              <w:t>地点：卢氏县公共资源交易中心四楼第</w:t>
            </w:r>
            <w:r>
              <w:rPr>
                <w:rFonts w:hint="eastAsia" w:cs="宋体"/>
                <w:kern w:val="2"/>
                <w:lang w:val="en-US" w:eastAsia="zh-CN"/>
              </w:rPr>
              <w:t>二</w:t>
            </w:r>
            <w:r>
              <w:rPr>
                <w:rFonts w:hint="eastAsia" w:cs="宋体"/>
                <w:kern w:val="2"/>
              </w:rPr>
              <w:t>开标室</w:t>
            </w:r>
          </w:p>
        </w:tc>
      </w:tr>
      <w:tr w14:paraId="5DBC9D15">
        <w:tblPrEx>
          <w:tblCellMar>
            <w:top w:w="0" w:type="dxa"/>
            <w:left w:w="108" w:type="dxa"/>
            <w:bottom w:w="0" w:type="dxa"/>
            <w:right w:w="108" w:type="dxa"/>
          </w:tblCellMar>
        </w:tblPrEx>
        <w:trPr>
          <w:trHeight w:val="47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0D2CFA9">
            <w:pPr>
              <w:adjustRightInd w:val="0"/>
              <w:jc w:val="center"/>
              <w:textAlignment w:val="baseline"/>
              <w:rPr>
                <w:rFonts w:ascii="宋体" w:hAnsi="宋体" w:cs="宋体"/>
                <w:sz w:val="24"/>
              </w:rPr>
            </w:pPr>
            <w:r>
              <w:rPr>
                <w:rFonts w:hint="eastAsia" w:ascii="宋体" w:hAnsi="宋体" w:cs="宋体"/>
                <w:sz w:val="24"/>
              </w:rPr>
              <w:t>35</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88A70B0">
            <w:pPr>
              <w:widowControl/>
              <w:spacing w:line="360" w:lineRule="auto"/>
              <w:jc w:val="center"/>
              <w:rPr>
                <w:rFonts w:ascii="宋体" w:hAnsi="宋体" w:cs="宋体"/>
                <w:kern w:val="0"/>
                <w:sz w:val="24"/>
              </w:rPr>
            </w:pPr>
            <w:r>
              <w:rPr>
                <w:rFonts w:hint="eastAsia" w:ascii="宋体" w:hAnsi="宋体" w:cs="宋体"/>
                <w:kern w:val="0"/>
                <w:sz w:val="24"/>
              </w:rPr>
              <w:t>开标</w:t>
            </w:r>
          </w:p>
          <w:p w14:paraId="1E48B399">
            <w:pPr>
              <w:widowControl/>
              <w:spacing w:line="360" w:lineRule="auto"/>
              <w:jc w:val="center"/>
              <w:rPr>
                <w:rFonts w:ascii="宋体" w:hAnsi="宋体" w:cs="宋体"/>
                <w:sz w:val="24"/>
              </w:rPr>
            </w:pPr>
            <w:r>
              <w:rPr>
                <w:rFonts w:hint="eastAsia" w:ascii="宋体" w:hAnsi="宋体" w:cs="宋体"/>
                <w:kern w:val="0"/>
                <w:sz w:val="24"/>
              </w:rPr>
              <w:t>程序</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805B748">
            <w:pPr>
              <w:pStyle w:val="13"/>
              <w:wordWrap w:val="0"/>
              <w:spacing w:beforeAutospacing="0" w:afterAutospacing="0" w:line="360" w:lineRule="auto"/>
              <w:jc w:val="both"/>
              <w:rPr>
                <w:rFonts w:cs="宋体"/>
                <w:kern w:val="2"/>
              </w:rPr>
            </w:pPr>
            <w:r>
              <w:rPr>
                <w:rFonts w:hint="eastAsia" w:cs="宋体"/>
                <w:kern w:val="2"/>
              </w:rPr>
              <w:t>1、本项目采用电子化、无纸化进行招标，开标当日，投标供应商无需到开标现场参加开标会议，投标供应商应当在投标截止时间前，登陆不见面开标大厅选择登陆三门峡市公共资源电子招投标系统进行登陆（网址为http://120.194.249.36:10094/BidOpening/bidopeninghallaction/hall/login）,在线准时参加开标活动并进行投标文件解密等。</w:t>
            </w:r>
          </w:p>
          <w:p w14:paraId="06E45795">
            <w:pPr>
              <w:pStyle w:val="13"/>
              <w:wordWrap w:val="0"/>
              <w:spacing w:beforeAutospacing="0" w:afterAutospacing="0" w:line="360" w:lineRule="auto"/>
              <w:jc w:val="both"/>
              <w:rPr>
                <w:rFonts w:cs="宋体"/>
                <w:kern w:val="2"/>
              </w:rPr>
            </w:pPr>
            <w:r>
              <w:rPr>
                <w:rFonts w:hint="eastAsia" w:cs="宋体"/>
                <w:kern w:val="2"/>
              </w:rPr>
              <w:t>2、电子化投标文件采用一次加密方式。开标时，由投标供应商使用CA 证书，在规定时间内对其电子化投标文件进行解密。每位投标供应商的解密时间为开标时间起30分钟内，如在规定时间内未完成解密的，其投标文件不予开标、唱标。每位投标供应商的解密时间为开标时间起30分钟内完成。</w:t>
            </w:r>
          </w:p>
          <w:p w14:paraId="30BB99BD">
            <w:pPr>
              <w:pStyle w:val="13"/>
              <w:wordWrap w:val="0"/>
              <w:spacing w:beforeAutospacing="0" w:afterAutospacing="0" w:line="360" w:lineRule="auto"/>
              <w:jc w:val="both"/>
              <w:rPr>
                <w:rFonts w:cs="宋体"/>
                <w:kern w:val="2"/>
              </w:rPr>
            </w:pPr>
            <w:r>
              <w:rPr>
                <w:rFonts w:hint="eastAsia" w:cs="宋体"/>
                <w:kern w:val="2"/>
              </w:rPr>
              <w:t>3 、待所有投标供应商投标文件解密完成后，由中介服务机构操作，对所有已解密投标文件进行唱标。</w:t>
            </w:r>
          </w:p>
          <w:p w14:paraId="7C974C84">
            <w:pPr>
              <w:widowControl w:val="0"/>
              <w:snapToGrid w:val="0"/>
              <w:spacing w:line="360" w:lineRule="auto"/>
              <w:jc w:val="both"/>
              <w:rPr>
                <w:rFonts w:hint="eastAsia" w:cs="宋体"/>
                <w:b/>
                <w:bCs/>
                <w:kern w:val="2"/>
              </w:rPr>
            </w:pPr>
            <w:r>
              <w:rPr>
                <w:rFonts w:hint="eastAsia" w:cs="宋体"/>
                <w:kern w:val="2"/>
              </w:rPr>
              <w:t>4 、开标时投标人可登录到交易系统中在开标大厅中点击开标一览表查看自己的投标报价</w:t>
            </w:r>
            <w:r>
              <w:rPr>
                <w:rFonts w:hint="eastAsia" w:cs="宋体"/>
                <w:b/>
                <w:bCs/>
                <w:kern w:val="2"/>
              </w:rPr>
              <w:t>。</w:t>
            </w:r>
            <w:r>
              <w:rPr>
                <w:rFonts w:hint="eastAsia" w:cs="宋体"/>
                <w:b/>
                <w:bCs/>
                <w:kern w:val="2"/>
                <w:lang w:val="en-US" w:eastAsia="zh-CN"/>
              </w:rPr>
              <w:t>如对自己的唱标内容有异议的，应在投标人解密成功后10分钟内向中服务机构通过开标大厅对话框提出质疑。中介服务机构应在监督人员的监督下接受投标人的质疑通过开标大厅对话框进行答复并做好书面记录。投标人未在规定时间内提出质疑的，视为认可唱标内容。</w:t>
            </w:r>
          </w:p>
          <w:p w14:paraId="1DC50A13">
            <w:pPr>
              <w:pStyle w:val="13"/>
              <w:wordWrap w:val="0"/>
              <w:spacing w:beforeAutospacing="0" w:afterAutospacing="0" w:line="360" w:lineRule="auto"/>
              <w:jc w:val="both"/>
              <w:rPr>
                <w:rFonts w:cs="宋体"/>
              </w:rPr>
            </w:pPr>
            <w:r>
              <w:rPr>
                <w:rFonts w:hint="eastAsia" w:cs="宋体"/>
                <w:kern w:val="2"/>
              </w:rPr>
              <w:t>注：投标供应商应保证在开标期间电话、电脑、网络能够正常工作，投标人因停电、电脑病毒、网络堵塞等原因，未在规定的解密时间内对投标文件进行解密的，其投标文件不予接收、唱标。</w:t>
            </w:r>
          </w:p>
        </w:tc>
      </w:tr>
      <w:tr w14:paraId="08A66B1C">
        <w:tblPrEx>
          <w:tblCellMar>
            <w:top w:w="0" w:type="dxa"/>
            <w:left w:w="108" w:type="dxa"/>
            <w:bottom w:w="0" w:type="dxa"/>
            <w:right w:w="108" w:type="dxa"/>
          </w:tblCellMar>
        </w:tblPrEx>
        <w:trPr>
          <w:trHeight w:val="9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BCF2D6B">
            <w:pPr>
              <w:adjustRightInd w:val="0"/>
              <w:jc w:val="center"/>
              <w:textAlignment w:val="baseline"/>
              <w:rPr>
                <w:rFonts w:ascii="宋体" w:hAnsi="宋体" w:cs="宋体"/>
                <w:sz w:val="24"/>
              </w:rPr>
            </w:pPr>
            <w:r>
              <w:rPr>
                <w:rFonts w:hint="eastAsia" w:ascii="宋体" w:hAnsi="宋体" w:cs="宋体"/>
                <w:sz w:val="24"/>
              </w:rPr>
              <w:t>36</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6853F8A">
            <w:pPr>
              <w:adjustRightInd w:val="0"/>
              <w:jc w:val="center"/>
              <w:textAlignment w:val="baseline"/>
              <w:rPr>
                <w:rFonts w:ascii="宋体" w:hAnsi="宋体" w:cs="宋体"/>
                <w:sz w:val="24"/>
              </w:rPr>
            </w:pPr>
            <w:r>
              <w:rPr>
                <w:rFonts w:hint="eastAsia" w:ascii="宋体" w:hAnsi="宋体" w:cs="宋体"/>
                <w:sz w:val="24"/>
              </w:rPr>
              <w:t>评标委员会的组建</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33EFFB0">
            <w:pPr>
              <w:pStyle w:val="13"/>
              <w:wordWrap w:val="0"/>
              <w:spacing w:beforeAutospacing="0" w:afterAutospacing="0" w:line="360" w:lineRule="auto"/>
              <w:jc w:val="both"/>
              <w:rPr>
                <w:rFonts w:cs="宋体"/>
                <w:kern w:val="2"/>
              </w:rPr>
            </w:pPr>
            <w:r>
              <w:rPr>
                <w:rFonts w:hint="eastAsia" w:cs="宋体"/>
                <w:kern w:val="2"/>
              </w:rPr>
              <w:t>评标委员会成员为5人，采购人代表1人，其余技术、经济等方面的专家4人，从河南省政府采购评审专家库中随机抽取。</w:t>
            </w:r>
          </w:p>
        </w:tc>
      </w:tr>
      <w:tr w14:paraId="553AD1C3">
        <w:tblPrEx>
          <w:tblCellMar>
            <w:top w:w="0" w:type="dxa"/>
            <w:left w:w="108" w:type="dxa"/>
            <w:bottom w:w="0" w:type="dxa"/>
            <w:right w:w="108" w:type="dxa"/>
          </w:tblCellMar>
        </w:tblPrEx>
        <w:trPr>
          <w:trHeight w:val="548"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E869B14">
            <w:pPr>
              <w:adjustRightInd w:val="0"/>
              <w:jc w:val="center"/>
              <w:textAlignment w:val="baseline"/>
              <w:rPr>
                <w:rFonts w:ascii="宋体" w:hAnsi="宋体" w:cs="宋体"/>
                <w:sz w:val="24"/>
              </w:rPr>
            </w:pPr>
            <w:r>
              <w:rPr>
                <w:rFonts w:hint="eastAsia" w:ascii="宋体" w:hAnsi="宋体" w:cs="宋体"/>
                <w:sz w:val="24"/>
              </w:rPr>
              <w:t>37</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F968B8F">
            <w:pPr>
              <w:widowControl/>
              <w:spacing w:line="360" w:lineRule="auto"/>
              <w:jc w:val="center"/>
              <w:rPr>
                <w:rFonts w:ascii="宋体" w:hAnsi="宋体" w:cs="宋体"/>
                <w:sz w:val="24"/>
              </w:rPr>
            </w:pPr>
            <w:r>
              <w:rPr>
                <w:rFonts w:hint="eastAsia" w:ascii="宋体" w:hAnsi="宋体" w:cs="宋体"/>
                <w:kern w:val="0"/>
                <w:sz w:val="24"/>
              </w:rPr>
              <w:t>是否授权评标委员会确定中标供应商</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67BCB07">
            <w:pPr>
              <w:pStyle w:val="13"/>
              <w:wordWrap w:val="0"/>
              <w:spacing w:beforeAutospacing="0" w:afterAutospacing="0" w:line="360" w:lineRule="auto"/>
              <w:jc w:val="both"/>
              <w:rPr>
                <w:rFonts w:cs="宋体"/>
                <w:kern w:val="2"/>
              </w:rPr>
            </w:pPr>
            <w:r>
              <w:rPr>
                <w:rFonts w:hint="eastAsia" w:cs="宋体"/>
                <w:kern w:val="2"/>
              </w:rPr>
              <w:t>否，推荐3名中标候选供应商。</w:t>
            </w:r>
            <w:r>
              <w:rPr>
                <w:rFonts w:hint="eastAsia" w:cs="宋体"/>
              </w:rPr>
              <w:t>采购人确定评标委员会推荐的排名第一的中标候选人为中标人。排名第一的中标候选人放弃中标、因不可抗力不能履行合同，或者被查实存在影响中标结果的违法行为等情形，不符合中标条件的，采购人可以按照评标委员会提出的中标候选人名单排序依次确定其他中标候选人为中标人，也可以重新招标。</w:t>
            </w:r>
          </w:p>
        </w:tc>
      </w:tr>
      <w:tr w14:paraId="403531B8">
        <w:tblPrEx>
          <w:tblCellMar>
            <w:top w:w="0" w:type="dxa"/>
            <w:left w:w="108" w:type="dxa"/>
            <w:bottom w:w="0" w:type="dxa"/>
            <w:right w:w="108" w:type="dxa"/>
          </w:tblCellMar>
        </w:tblPrEx>
        <w:trPr>
          <w:trHeight w:val="82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002DD84">
            <w:pPr>
              <w:adjustRightInd w:val="0"/>
              <w:jc w:val="center"/>
              <w:textAlignment w:val="baseline"/>
              <w:rPr>
                <w:rFonts w:ascii="宋体" w:hAnsi="宋体" w:cs="宋体"/>
                <w:sz w:val="24"/>
              </w:rPr>
            </w:pPr>
            <w:r>
              <w:rPr>
                <w:rFonts w:hint="eastAsia" w:ascii="宋体" w:hAnsi="宋体" w:cs="宋体"/>
                <w:sz w:val="24"/>
              </w:rPr>
              <w:t>38</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3136CC5">
            <w:pPr>
              <w:adjustRightInd w:val="0"/>
              <w:jc w:val="center"/>
              <w:textAlignment w:val="baseline"/>
              <w:rPr>
                <w:rFonts w:ascii="宋体" w:hAnsi="宋体" w:cs="宋体"/>
                <w:sz w:val="24"/>
              </w:rPr>
            </w:pPr>
            <w:r>
              <w:rPr>
                <w:rFonts w:hint="eastAsia" w:ascii="宋体" w:hAnsi="宋体" w:cs="宋体"/>
                <w:sz w:val="24"/>
              </w:rPr>
              <w:t>中标结果公告媒介及期限</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8D40D8E">
            <w:pPr>
              <w:pStyle w:val="13"/>
              <w:wordWrap w:val="0"/>
              <w:spacing w:beforeAutospacing="0" w:afterAutospacing="0"/>
              <w:rPr>
                <w:rFonts w:cs="宋体"/>
                <w:kern w:val="2"/>
              </w:rPr>
            </w:pPr>
            <w:r>
              <w:rPr>
                <w:rFonts w:hint="eastAsia" w:cs="宋体"/>
                <w:kern w:val="2"/>
              </w:rPr>
              <w:t>同时在</w:t>
            </w:r>
            <w:r>
              <w:rPr>
                <w:rFonts w:hint="eastAsia" w:ascii="宋体" w:hAnsi="宋体" w:eastAsia="宋体" w:cs="宋体"/>
                <w:sz w:val="24"/>
                <w:szCs w:val="24"/>
              </w:rPr>
              <w:t>《河南省政府采购网》</w:t>
            </w:r>
            <w:r>
              <w:rPr>
                <w:rFonts w:hint="eastAsia" w:ascii="宋体" w:hAnsi="宋体" w:eastAsia="宋体" w:cs="宋体"/>
                <w:sz w:val="24"/>
                <w:szCs w:val="24"/>
                <w:lang w:eastAsia="zh-CN"/>
              </w:rPr>
              <w:t>、</w:t>
            </w:r>
            <w:r>
              <w:rPr>
                <w:rFonts w:hint="eastAsia" w:cs="宋体"/>
                <w:kern w:val="2"/>
              </w:rPr>
              <w:t>《</w:t>
            </w:r>
            <w:r>
              <w:rPr>
                <w:rFonts w:hint="eastAsia" w:cs="宋体"/>
                <w:kern w:val="2"/>
                <w:lang w:eastAsia="zh-CN"/>
              </w:rPr>
              <w:t>中国采购与招标网</w:t>
            </w:r>
            <w:r>
              <w:rPr>
                <w:rFonts w:hint="eastAsia" w:cs="宋体"/>
                <w:kern w:val="2"/>
              </w:rPr>
              <w:t>》、《三门峡市公共资源交易中心网》上发布。</w:t>
            </w:r>
          </w:p>
        </w:tc>
      </w:tr>
      <w:tr w14:paraId="3E4731D0">
        <w:tblPrEx>
          <w:tblCellMar>
            <w:top w:w="0" w:type="dxa"/>
            <w:left w:w="108" w:type="dxa"/>
            <w:bottom w:w="0" w:type="dxa"/>
            <w:right w:w="108" w:type="dxa"/>
          </w:tblCellMar>
        </w:tblPrEx>
        <w:trPr>
          <w:trHeight w:val="496"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BD39B4C">
            <w:pPr>
              <w:adjustRightInd w:val="0"/>
              <w:jc w:val="center"/>
              <w:textAlignment w:val="baseline"/>
              <w:rPr>
                <w:rFonts w:ascii="宋体" w:hAnsi="宋体" w:cs="宋体"/>
                <w:sz w:val="24"/>
              </w:rPr>
            </w:pPr>
            <w:r>
              <w:rPr>
                <w:rFonts w:hint="eastAsia" w:ascii="宋体" w:hAnsi="宋体" w:cs="宋体"/>
                <w:sz w:val="24"/>
              </w:rPr>
              <w:t>39</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098C839">
            <w:pPr>
              <w:adjustRightInd w:val="0"/>
              <w:jc w:val="center"/>
              <w:textAlignment w:val="baseline"/>
              <w:rPr>
                <w:rFonts w:ascii="宋体" w:hAnsi="宋体" w:cs="宋体"/>
                <w:sz w:val="24"/>
              </w:rPr>
            </w:pPr>
            <w:r>
              <w:rPr>
                <w:rFonts w:hint="eastAsia" w:ascii="宋体" w:hAnsi="宋体" w:cs="宋体"/>
                <w:sz w:val="24"/>
              </w:rPr>
              <w:t>履约保证金</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3C253FC">
            <w:pPr>
              <w:pStyle w:val="13"/>
              <w:wordWrap w:val="0"/>
              <w:spacing w:beforeAutospacing="0" w:afterAutospacing="0"/>
              <w:jc w:val="both"/>
              <w:rPr>
                <w:rFonts w:cs="宋体"/>
                <w:kern w:val="2"/>
              </w:rPr>
            </w:pPr>
            <w:r>
              <w:rPr>
                <w:rFonts w:hint="eastAsia" w:cs="宋体"/>
                <w:kern w:val="2"/>
              </w:rPr>
              <w:t>无</w:t>
            </w:r>
          </w:p>
        </w:tc>
      </w:tr>
      <w:tr w14:paraId="1F22AE26">
        <w:tblPrEx>
          <w:tblCellMar>
            <w:top w:w="0" w:type="dxa"/>
            <w:left w:w="108" w:type="dxa"/>
            <w:bottom w:w="0" w:type="dxa"/>
            <w:right w:w="108" w:type="dxa"/>
          </w:tblCellMar>
        </w:tblPrEx>
        <w:trPr>
          <w:trHeight w:val="563"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4FF8498">
            <w:pPr>
              <w:adjustRightInd w:val="0"/>
              <w:jc w:val="center"/>
              <w:textAlignment w:val="baseline"/>
              <w:rPr>
                <w:rFonts w:ascii="宋体" w:hAnsi="宋体" w:cs="宋体"/>
                <w:sz w:val="24"/>
              </w:rPr>
            </w:pPr>
            <w:r>
              <w:rPr>
                <w:rFonts w:hint="eastAsia" w:ascii="宋体" w:hAnsi="宋体" w:cs="宋体"/>
                <w:sz w:val="24"/>
              </w:rPr>
              <w:t>40</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F125F33">
            <w:pPr>
              <w:adjustRightInd w:val="0"/>
              <w:jc w:val="center"/>
              <w:textAlignment w:val="baseline"/>
              <w:rPr>
                <w:rFonts w:ascii="宋体" w:hAnsi="宋体" w:eastAsia="宋体" w:cs="宋体"/>
                <w:sz w:val="24"/>
              </w:rPr>
            </w:pPr>
            <w:r>
              <w:rPr>
                <w:rFonts w:hint="eastAsia" w:ascii="宋体" w:hAnsi="宋体" w:eastAsia="宋体" w:cs="宋体"/>
                <w:sz w:val="24"/>
              </w:rPr>
              <w:t>付款方式</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FEBB6E9">
            <w:pPr>
              <w:widowControl/>
              <w:spacing w:before="0" w:beforeLines="0" w:beforeAutospacing="0" w:after="0" w:afterLines="0" w:afterAutospacing="0" w:line="400" w:lineRule="exact"/>
              <w:ind w:left="0" w:right="0"/>
              <w:rPr>
                <w:rFonts w:hint="default" w:cs="宋体" w:asciiTheme="minorHAnsi" w:hAnsiTheme="minorHAnsi" w:eastAsiaTheme="minorEastAsia"/>
                <w:kern w:val="0"/>
                <w:sz w:val="24"/>
                <w:szCs w:val="24"/>
                <w:lang w:val="en-US" w:eastAsia="zh-CN" w:bidi="ar-SA"/>
              </w:rPr>
            </w:pPr>
            <w:r>
              <w:rPr>
                <w:rFonts w:hint="eastAsia" w:ascii="宋体" w:hAnsi="宋体" w:cs="宋体"/>
                <w:color w:val="0000FF"/>
                <w:sz w:val="24"/>
              </w:rPr>
              <w:t xml:space="preserve"> </w:t>
            </w:r>
            <w:r>
              <w:rPr>
                <w:rFonts w:hint="eastAsia" w:cs="宋体" w:asciiTheme="minorHAnsi" w:hAnsiTheme="minorHAnsi" w:eastAsiaTheme="minorEastAsia"/>
                <w:kern w:val="0"/>
                <w:sz w:val="24"/>
                <w:szCs w:val="24"/>
                <w:lang w:val="en-US" w:eastAsia="zh-CN" w:bidi="ar-SA"/>
              </w:rPr>
              <w:t>1.生物质烤房建设完成安装调试，无质量问题，经烟叶生产服务中心、烟草分公司初验，县级相关单位验收合格后，甲方协调支付合同价款的97%资金，其余3%做为本项目的质量保证金，在保修期内中标供应商提供的货物质量和服务符合合同约定，经验收合格，保修期满后无息退还。</w:t>
            </w:r>
            <w:r>
              <w:rPr>
                <w:rFonts w:hint="eastAsia" w:cs="宋体"/>
                <w:kern w:val="0"/>
                <w:sz w:val="24"/>
                <w:szCs w:val="24"/>
                <w:lang w:val="en-US" w:eastAsia="zh-CN" w:bidi="ar-SA"/>
              </w:rPr>
              <w:t>（具体以签订合同为准）</w:t>
            </w:r>
          </w:p>
          <w:p w14:paraId="2EA70EB2">
            <w:pPr>
              <w:rPr>
                <w:rFonts w:ascii="宋体" w:hAnsi="宋体" w:eastAsia="宋体" w:cs="宋体"/>
                <w:sz w:val="24"/>
              </w:rPr>
            </w:pPr>
            <w:r>
              <w:rPr>
                <w:rFonts w:hint="eastAsia" w:cs="宋体" w:asciiTheme="minorHAnsi" w:hAnsiTheme="minorHAnsi" w:eastAsiaTheme="minorEastAsia"/>
                <w:kern w:val="0"/>
                <w:sz w:val="24"/>
                <w:szCs w:val="24"/>
                <w:lang w:val="en-US" w:eastAsia="zh-CN" w:bidi="ar-SA"/>
              </w:rPr>
              <w:t>2.如果因烤房建设质量、使用材料、设备质量不达标、技术问题或其他原因，在烘烤季运行中造成烟叶烘烤损失较重或不能通过各级验收的，不予支付合同价款，甲方有权解除本合同，乙方还应承担甲方返修、重建，以及产生烟叶烘烤损失的所有费用。</w:t>
            </w:r>
          </w:p>
        </w:tc>
      </w:tr>
      <w:tr w14:paraId="23548A9C">
        <w:tblPrEx>
          <w:tblCellMar>
            <w:top w:w="0" w:type="dxa"/>
            <w:left w:w="108" w:type="dxa"/>
            <w:bottom w:w="0" w:type="dxa"/>
            <w:right w:w="108" w:type="dxa"/>
          </w:tblCellMar>
        </w:tblPrEx>
        <w:trPr>
          <w:trHeight w:val="1007"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FD86DA9">
            <w:pPr>
              <w:adjustRightInd w:val="0"/>
              <w:jc w:val="center"/>
              <w:textAlignment w:val="baseline"/>
              <w:rPr>
                <w:rFonts w:ascii="宋体" w:hAnsi="宋体" w:cs="宋体"/>
                <w:sz w:val="24"/>
              </w:rPr>
            </w:pPr>
            <w:r>
              <w:rPr>
                <w:rFonts w:hint="eastAsia" w:ascii="宋体" w:hAnsi="宋体" w:cs="宋体"/>
                <w:sz w:val="24"/>
              </w:rPr>
              <w:t>41</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8F4D405">
            <w:pPr>
              <w:autoSpaceDE w:val="0"/>
              <w:autoSpaceDN w:val="0"/>
              <w:adjustRightInd w:val="0"/>
              <w:spacing w:line="400" w:lineRule="exact"/>
              <w:jc w:val="center"/>
              <w:rPr>
                <w:rFonts w:ascii="宋体" w:hAnsi="宋体" w:cs="宋体"/>
                <w:b/>
                <w:bCs/>
                <w:sz w:val="24"/>
              </w:rPr>
            </w:pPr>
            <w:r>
              <w:rPr>
                <w:rFonts w:hint="eastAsia" w:ascii="宋体" w:hAnsi="宋体" w:cs="宋体"/>
                <w:spacing w:val="-6"/>
                <w:sz w:val="24"/>
              </w:rPr>
              <w:t>合同签订时间</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496FB15D">
            <w:pPr>
              <w:tabs>
                <w:tab w:val="left" w:pos="180"/>
              </w:tabs>
              <w:spacing w:line="400" w:lineRule="exact"/>
              <w:rPr>
                <w:rFonts w:ascii="宋体" w:hAnsi="宋体" w:cs="宋体"/>
                <w:b/>
                <w:bCs/>
                <w:sz w:val="24"/>
              </w:rPr>
            </w:pPr>
            <w:r>
              <w:rPr>
                <w:rFonts w:hint="eastAsia" w:ascii="宋体" w:hAnsi="宋体" w:cs="宋体"/>
                <w:sz w:val="24"/>
              </w:rPr>
              <w:t>中标供应商在收到中标通知书后</w:t>
            </w:r>
            <w:r>
              <w:rPr>
                <w:rFonts w:hint="eastAsia" w:ascii="宋体" w:hAnsi="宋体" w:cs="宋体"/>
                <w:sz w:val="24"/>
                <w:lang w:val="en-US" w:eastAsia="zh-CN"/>
              </w:rPr>
              <w:t>1</w:t>
            </w:r>
            <w:r>
              <w:rPr>
                <w:rFonts w:hint="eastAsia" w:ascii="宋体" w:hAnsi="宋体" w:cs="宋体"/>
                <w:sz w:val="24"/>
              </w:rPr>
              <w:t>个工作日内应与采购人签订采购合同。</w:t>
            </w:r>
          </w:p>
        </w:tc>
      </w:tr>
      <w:tr w14:paraId="1213EB4A">
        <w:tblPrEx>
          <w:tblCellMar>
            <w:top w:w="0" w:type="dxa"/>
            <w:left w:w="108" w:type="dxa"/>
            <w:bottom w:w="0" w:type="dxa"/>
            <w:right w:w="108" w:type="dxa"/>
          </w:tblCellMar>
        </w:tblPrEx>
        <w:trPr>
          <w:trHeight w:val="512" w:hRule="atLeast"/>
          <w:jc w:val="center"/>
        </w:trPr>
        <w:tc>
          <w:tcPr>
            <w:tcW w:w="10131" w:type="dxa"/>
            <w:gridSpan w:val="3"/>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D423DE5">
            <w:pPr>
              <w:adjustRightInd w:val="0"/>
              <w:jc w:val="center"/>
              <w:textAlignment w:val="baseline"/>
              <w:rPr>
                <w:rFonts w:ascii="宋体" w:hAnsi="宋体" w:cs="宋体"/>
                <w:sz w:val="24"/>
              </w:rPr>
            </w:pPr>
            <w:r>
              <w:rPr>
                <w:rFonts w:hint="eastAsia" w:ascii="宋体" w:hAnsi="宋体" w:cs="宋体"/>
                <w:b/>
                <w:bCs/>
                <w:sz w:val="24"/>
              </w:rPr>
              <w:t>需要补充的其他内容</w:t>
            </w:r>
          </w:p>
        </w:tc>
      </w:tr>
      <w:tr w14:paraId="7FF89164">
        <w:tblPrEx>
          <w:tblCellMar>
            <w:top w:w="0" w:type="dxa"/>
            <w:left w:w="108" w:type="dxa"/>
            <w:bottom w:w="0" w:type="dxa"/>
            <w:right w:w="108" w:type="dxa"/>
          </w:tblCellMar>
        </w:tblPrEx>
        <w:trPr>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E6C2FBD">
            <w:pPr>
              <w:adjustRightInd w:val="0"/>
              <w:jc w:val="center"/>
              <w:textAlignment w:val="baseline"/>
              <w:rPr>
                <w:rFonts w:ascii="宋体" w:hAnsi="宋体" w:cs="宋体"/>
                <w:sz w:val="24"/>
              </w:rPr>
            </w:pPr>
            <w:r>
              <w:rPr>
                <w:rFonts w:hint="eastAsia" w:ascii="宋体" w:hAnsi="宋体" w:cs="宋体"/>
                <w:sz w:val="24"/>
              </w:rPr>
              <w:t>42</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A6CFDF9">
            <w:pPr>
              <w:adjustRightInd w:val="0"/>
              <w:jc w:val="center"/>
              <w:textAlignment w:val="baseline"/>
              <w:rPr>
                <w:rFonts w:ascii="宋体" w:hAnsi="宋体" w:cs="宋体"/>
                <w:sz w:val="24"/>
              </w:rPr>
            </w:pPr>
            <w:r>
              <w:rPr>
                <w:rFonts w:hint="eastAsia" w:ascii="宋体" w:hAnsi="宋体" w:cs="宋体"/>
                <w:sz w:val="24"/>
              </w:rPr>
              <w:t>知识产权</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9B3C30D">
            <w:pPr>
              <w:pStyle w:val="13"/>
              <w:wordWrap w:val="0"/>
              <w:spacing w:beforeAutospacing="0" w:afterAutospacing="0" w:line="360" w:lineRule="auto"/>
              <w:rPr>
                <w:rFonts w:cs="宋体"/>
                <w:kern w:val="2"/>
              </w:rPr>
            </w:pPr>
            <w:r>
              <w:rPr>
                <w:rFonts w:hint="eastAsia" w:cs="宋体"/>
                <w:kern w:val="2"/>
              </w:rPr>
              <w:t>构成本招标文件各个组成部分的文件，未经采购人书面同意，供应商不得擅自复印和用于非本招标项目所需的其他目的。采购人全部或者部分使用未中标人投标文件中的技术成果或技术方案时，需征得其书面同意，并不得擅自复印或提供给第三人。</w:t>
            </w:r>
          </w:p>
        </w:tc>
      </w:tr>
      <w:tr w14:paraId="1E8CD931">
        <w:tblPrEx>
          <w:tblCellMar>
            <w:top w:w="0" w:type="dxa"/>
            <w:left w:w="108" w:type="dxa"/>
            <w:bottom w:w="0" w:type="dxa"/>
            <w:right w:w="108" w:type="dxa"/>
          </w:tblCellMar>
        </w:tblPrEx>
        <w:trPr>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81BF695">
            <w:pPr>
              <w:adjustRightInd w:val="0"/>
              <w:jc w:val="center"/>
              <w:textAlignment w:val="baseline"/>
              <w:rPr>
                <w:rFonts w:ascii="宋体" w:hAnsi="宋体" w:cs="宋体"/>
                <w:bCs/>
                <w:sz w:val="24"/>
                <w:shd w:val="clear" w:color="050000" w:fill="auto"/>
              </w:rPr>
            </w:pPr>
            <w:r>
              <w:rPr>
                <w:rFonts w:hint="eastAsia" w:ascii="宋体" w:hAnsi="宋体" w:cs="宋体"/>
                <w:bCs/>
                <w:sz w:val="24"/>
                <w:shd w:val="clear" w:color="050000" w:fill="auto"/>
              </w:rPr>
              <w:t>43</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379DB094">
            <w:pPr>
              <w:jc w:val="center"/>
              <w:rPr>
                <w:rFonts w:ascii="宋体" w:hAnsi="宋体" w:cs="宋体"/>
                <w:sz w:val="24"/>
              </w:rPr>
            </w:pPr>
            <w:r>
              <w:rPr>
                <w:rFonts w:hint="eastAsia" w:ascii="宋体" w:hAnsi="宋体" w:cs="宋体"/>
                <w:sz w:val="24"/>
              </w:rPr>
              <w:t>监  督</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9F20D44">
            <w:pPr>
              <w:pStyle w:val="13"/>
              <w:wordWrap w:val="0"/>
              <w:spacing w:beforeAutospacing="0" w:afterAutospacing="0" w:line="360" w:lineRule="auto"/>
              <w:rPr>
                <w:rFonts w:cs="宋体"/>
                <w:kern w:val="2"/>
              </w:rPr>
            </w:pPr>
            <w:r>
              <w:rPr>
                <w:rFonts w:hint="eastAsia" w:cs="宋体"/>
                <w:kern w:val="2"/>
              </w:rPr>
              <w:t>本项目的采购活动及其相关当事人应当接受有管辖权的相关部门依法实施的监督</w:t>
            </w:r>
          </w:p>
        </w:tc>
      </w:tr>
      <w:tr w14:paraId="1CB7C05E">
        <w:tblPrEx>
          <w:tblCellMar>
            <w:top w:w="0" w:type="dxa"/>
            <w:left w:w="108" w:type="dxa"/>
            <w:bottom w:w="0" w:type="dxa"/>
            <w:right w:w="108" w:type="dxa"/>
          </w:tblCellMar>
        </w:tblPrEx>
        <w:trPr>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F1A6A83">
            <w:pPr>
              <w:adjustRightInd w:val="0"/>
              <w:jc w:val="center"/>
              <w:textAlignment w:val="baseline"/>
              <w:rPr>
                <w:rFonts w:ascii="宋体" w:hAnsi="宋体" w:cs="宋体"/>
                <w:bCs/>
                <w:sz w:val="24"/>
                <w:shd w:val="clear" w:color="050000" w:fill="auto"/>
              </w:rPr>
            </w:pPr>
            <w:r>
              <w:rPr>
                <w:rFonts w:hint="eastAsia" w:ascii="宋体" w:hAnsi="宋体" w:cs="宋体"/>
                <w:bCs/>
                <w:sz w:val="24"/>
                <w:shd w:val="clear" w:color="050000" w:fill="auto"/>
              </w:rPr>
              <w:t>44</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7737328">
            <w:pPr>
              <w:jc w:val="center"/>
              <w:rPr>
                <w:rFonts w:ascii="宋体" w:hAnsi="宋体" w:cs="宋体"/>
                <w:sz w:val="24"/>
              </w:rPr>
            </w:pPr>
            <w:r>
              <w:rPr>
                <w:rFonts w:hint="eastAsia" w:ascii="宋体" w:hAnsi="宋体" w:cs="宋体"/>
                <w:sz w:val="24"/>
              </w:rPr>
              <w:t>解释权</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5C066C3">
            <w:pPr>
              <w:pStyle w:val="13"/>
              <w:wordWrap w:val="0"/>
              <w:spacing w:beforeAutospacing="0" w:afterAutospacing="0" w:line="360" w:lineRule="auto"/>
              <w:rPr>
                <w:rFonts w:cs="宋体"/>
                <w:kern w:val="2"/>
              </w:rPr>
            </w:pPr>
            <w:r>
              <w:rPr>
                <w:rFonts w:hint="eastAsia" w:cs="宋体"/>
                <w:kern w:val="2"/>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供应商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6EA6A73">
        <w:tblPrEx>
          <w:tblCellMar>
            <w:top w:w="0" w:type="dxa"/>
            <w:left w:w="108" w:type="dxa"/>
            <w:bottom w:w="0" w:type="dxa"/>
            <w:right w:w="108" w:type="dxa"/>
          </w:tblCellMar>
        </w:tblPrEx>
        <w:trPr>
          <w:trHeight w:val="2020"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D341F5E">
            <w:pPr>
              <w:adjustRightInd w:val="0"/>
              <w:jc w:val="center"/>
              <w:textAlignment w:val="baseline"/>
              <w:rPr>
                <w:rFonts w:ascii="宋体" w:hAnsi="宋体" w:eastAsia="宋体" w:cs="宋体"/>
                <w:sz w:val="24"/>
              </w:rPr>
            </w:pPr>
            <w:r>
              <w:rPr>
                <w:rFonts w:hint="eastAsia" w:ascii="宋体" w:hAnsi="宋体" w:cs="宋体"/>
                <w:b/>
                <w:bCs/>
                <w:sz w:val="24"/>
              </w:rPr>
              <w:t>45</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5F595492">
            <w:pPr>
              <w:adjustRightInd w:val="0"/>
              <w:spacing w:line="400" w:lineRule="auto"/>
              <w:jc w:val="center"/>
              <w:textAlignment w:val="baseline"/>
              <w:rPr>
                <w:rFonts w:ascii="宋体" w:hAnsi="宋体" w:eastAsia="宋体" w:cs="宋体"/>
                <w:b/>
                <w:bCs/>
                <w:sz w:val="24"/>
              </w:rPr>
            </w:pPr>
            <w:r>
              <w:rPr>
                <w:rFonts w:hint="eastAsia" w:ascii="宋体" w:hAnsi="宋体" w:cs="宋体"/>
                <w:b/>
                <w:bCs/>
                <w:sz w:val="24"/>
              </w:rPr>
              <w:t>所属行业</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0517C81">
            <w:pPr>
              <w:wordWrap w:val="0"/>
              <w:spacing w:line="360" w:lineRule="auto"/>
              <w:rPr>
                <w:rFonts w:hint="eastAsia" w:ascii="宋体" w:hAnsi="宋体" w:cs="宋体"/>
                <w:b/>
                <w:bCs/>
                <w:sz w:val="24"/>
                <w:lang w:eastAsia="zh-CN"/>
              </w:rPr>
            </w:pPr>
            <w:r>
              <w:rPr>
                <w:rFonts w:hint="eastAsia" w:ascii="宋体" w:hAnsi="宋体" w:cs="宋体"/>
                <w:b/>
                <w:bCs/>
                <w:sz w:val="24"/>
              </w:rPr>
              <w:t>本项目采购标的属于：</w:t>
            </w:r>
            <w:r>
              <w:rPr>
                <w:rFonts w:hint="eastAsia" w:ascii="宋体" w:hAnsi="宋体" w:cs="宋体"/>
                <w:b/>
                <w:bCs/>
                <w:sz w:val="24"/>
                <w:lang w:val="en-US" w:eastAsia="zh-CN"/>
              </w:rPr>
              <w:t>工业</w:t>
            </w:r>
          </w:p>
          <w:p w14:paraId="3FF2DC60">
            <w:pPr>
              <w:wordWrap w:val="0"/>
              <w:spacing w:line="360" w:lineRule="auto"/>
              <w:rPr>
                <w:rFonts w:eastAsia="宋体"/>
                <w:b/>
                <w:bCs/>
                <w:sz w:val="24"/>
              </w:rPr>
            </w:pPr>
            <w:r>
              <w:rPr>
                <w:rFonts w:hint="eastAsia" w:ascii="宋体" w:hAnsi="宋体" w:cs="宋体"/>
                <w:b/>
                <w:bCs/>
                <w:sz w:val="24"/>
              </w:rPr>
              <w:t>划定标准为：《工业和信息化部、国家统计局、国家发展和改革委员会、财政部关于印发&lt;中小企业划型标准规定的通知&gt;（工信部联企业〔2011〕300号）规定的划分标准为依据。</w:t>
            </w:r>
          </w:p>
        </w:tc>
      </w:tr>
      <w:tr w14:paraId="3D871F62">
        <w:tblPrEx>
          <w:tblCellMar>
            <w:top w:w="0" w:type="dxa"/>
            <w:left w:w="108" w:type="dxa"/>
            <w:bottom w:w="0" w:type="dxa"/>
            <w:right w:w="108" w:type="dxa"/>
          </w:tblCellMar>
        </w:tblPrEx>
        <w:trPr>
          <w:trHeight w:val="69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1A5E4D64">
            <w:pPr>
              <w:adjustRightInd w:val="0"/>
              <w:jc w:val="center"/>
              <w:textAlignment w:val="baseline"/>
              <w:rPr>
                <w:rFonts w:hint="default" w:ascii="宋体" w:hAnsi="宋体" w:cs="宋体" w:eastAsiaTheme="minorEastAsia"/>
                <w:b/>
                <w:bCs/>
                <w:sz w:val="24"/>
                <w:lang w:val="en-US" w:eastAsia="zh-CN"/>
              </w:rPr>
            </w:pPr>
            <w:r>
              <w:rPr>
                <w:rFonts w:hint="eastAsia" w:ascii="宋体" w:hAnsi="宋体" w:cs="宋体"/>
                <w:b/>
                <w:bCs/>
                <w:sz w:val="24"/>
                <w:lang w:val="en-US" w:eastAsia="zh-CN"/>
              </w:rPr>
              <w:t>46</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4175C9D">
            <w:pPr>
              <w:adjustRightInd w:val="0"/>
              <w:spacing w:line="400" w:lineRule="auto"/>
              <w:jc w:val="center"/>
              <w:textAlignment w:val="baseline"/>
              <w:rPr>
                <w:rFonts w:hint="default" w:ascii="宋体" w:hAnsi="宋体" w:cs="宋体" w:eastAsiaTheme="minorEastAsia"/>
                <w:b/>
                <w:bCs/>
                <w:sz w:val="24"/>
                <w:lang w:val="en-US" w:eastAsia="zh-CN"/>
              </w:rPr>
            </w:pPr>
            <w:r>
              <w:rPr>
                <w:rFonts w:hint="eastAsia" w:ascii="宋体" w:hAnsi="宋体" w:cs="宋体"/>
                <w:b/>
                <w:bCs/>
                <w:sz w:val="24"/>
                <w:lang w:val="en-US" w:eastAsia="zh-CN"/>
              </w:rPr>
              <w:t>核心产品</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628EDEFA">
            <w:pPr>
              <w:wordWrap w:val="0"/>
              <w:spacing w:line="360" w:lineRule="auto"/>
              <w:rPr>
                <w:rFonts w:hint="default" w:ascii="宋体" w:hAnsi="宋体" w:cs="宋体" w:eastAsiaTheme="minorEastAsia"/>
                <w:b/>
                <w:bCs/>
                <w:sz w:val="24"/>
                <w:lang w:val="en-US" w:eastAsia="zh-CN"/>
              </w:rPr>
            </w:pPr>
            <w:r>
              <w:rPr>
                <w:rFonts w:hint="eastAsia" w:ascii="宋体" w:hAnsi="宋体" w:cs="宋体"/>
                <w:b/>
                <w:bCs/>
                <w:sz w:val="24"/>
                <w:lang w:val="en-US" w:eastAsia="zh-CN"/>
              </w:rPr>
              <w:t>板房及燃烧机</w:t>
            </w:r>
          </w:p>
        </w:tc>
      </w:tr>
      <w:tr w14:paraId="53CBA8CF">
        <w:tblPrEx>
          <w:tblCellMar>
            <w:top w:w="0" w:type="dxa"/>
            <w:left w:w="108" w:type="dxa"/>
            <w:bottom w:w="0" w:type="dxa"/>
            <w:right w:w="108" w:type="dxa"/>
          </w:tblCellMar>
        </w:tblPrEx>
        <w:trPr>
          <w:trHeight w:val="69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0E3E444">
            <w:pPr>
              <w:adjustRightInd w:val="0"/>
              <w:jc w:val="center"/>
              <w:textAlignment w:val="baseline"/>
              <w:rPr>
                <w:rFonts w:hint="eastAsia" w:ascii="宋体" w:hAnsi="宋体" w:cs="宋体" w:eastAsiaTheme="minorEastAsia"/>
                <w:sz w:val="24"/>
                <w:lang w:eastAsia="zh-CN"/>
              </w:rPr>
            </w:pPr>
            <w:r>
              <w:rPr>
                <w:rFonts w:hint="eastAsia" w:ascii="宋体" w:hAnsi="宋体" w:cs="宋体"/>
                <w:sz w:val="24"/>
              </w:rPr>
              <w:t>4</w:t>
            </w:r>
            <w:r>
              <w:rPr>
                <w:rFonts w:hint="eastAsia" w:ascii="宋体" w:hAnsi="宋体" w:cs="宋体"/>
                <w:sz w:val="24"/>
                <w:lang w:val="en-US" w:eastAsia="zh-CN"/>
              </w:rPr>
              <w:t>7</w:t>
            </w:r>
          </w:p>
        </w:tc>
        <w:tc>
          <w:tcPr>
            <w:tcW w:w="1878"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632ECEC">
            <w:pPr>
              <w:adjustRightInd w:val="0"/>
              <w:spacing w:line="400" w:lineRule="auto"/>
              <w:jc w:val="center"/>
              <w:textAlignment w:val="baseline"/>
              <w:rPr>
                <w:rFonts w:ascii="宋体" w:hAnsi="宋体" w:cs="宋体"/>
                <w:sz w:val="24"/>
              </w:rPr>
            </w:pPr>
            <w:r>
              <w:rPr>
                <w:rFonts w:hint="eastAsia" w:ascii="宋体" w:hAnsi="宋体" w:cs="宋体"/>
                <w:sz w:val="24"/>
              </w:rPr>
              <w:t>代理服务费</w:t>
            </w:r>
          </w:p>
        </w:tc>
        <w:tc>
          <w:tcPr>
            <w:tcW w:w="7157"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25A457B0">
            <w:pPr>
              <w:spacing w:line="360" w:lineRule="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收取标准：招标代理服务收费参照豫招协[2023]002号河南省招标投标协会关于印发《河南省招标代理服务收费指导意见》规定的收费标准收取中标服务费，招标代理服务费及其他所有费用由中标人支付。招标代理服务收费按差额定率累进法计算。代理服务费计算方式及金额在发布成交公告时一并公布。</w:t>
            </w:r>
          </w:p>
          <w:p w14:paraId="0037B36C">
            <w:pPr>
              <w:spacing w:line="360" w:lineRule="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收取方式：转账形式</w:t>
            </w:r>
          </w:p>
          <w:p w14:paraId="206200AA">
            <w:pPr>
              <w:spacing w:line="360" w:lineRule="auto"/>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lang w:eastAsia="zh-CN"/>
              </w:rPr>
              <w:t>账户名称：河南泰安工程管理有限公司卢氏分公司</w:t>
            </w:r>
          </w:p>
          <w:p w14:paraId="039F18B1">
            <w:pPr>
              <w:spacing w:line="360" w:lineRule="auto"/>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eastAsia="zh-CN"/>
              </w:rPr>
              <w:t>账户号码：</w:t>
            </w:r>
            <w:r>
              <w:rPr>
                <w:rFonts w:hint="eastAsia" w:ascii="宋体" w:hAnsi="宋体" w:eastAsia="宋体"/>
                <w:color w:val="auto"/>
                <w:sz w:val="24"/>
                <w:szCs w:val="24"/>
                <w:highlight w:val="none"/>
                <w:lang w:val="en-US" w:eastAsia="zh-CN"/>
              </w:rPr>
              <w:t>09401001100002185</w:t>
            </w:r>
          </w:p>
          <w:p w14:paraId="40041E58">
            <w:pPr>
              <w:pStyle w:val="13"/>
              <w:wordWrap w:val="0"/>
              <w:spacing w:beforeAutospacing="0" w:afterAutospacing="0" w:line="360" w:lineRule="auto"/>
              <w:rPr>
                <w:rFonts w:cs="宋体"/>
                <w:kern w:val="2"/>
              </w:rPr>
            </w:pPr>
            <w:r>
              <w:rPr>
                <w:rFonts w:hint="eastAsia" w:ascii="宋体" w:hAnsi="宋体" w:eastAsia="宋体"/>
                <w:color w:val="auto"/>
                <w:sz w:val="24"/>
                <w:szCs w:val="24"/>
                <w:highlight w:val="none"/>
                <w:lang w:eastAsia="zh-CN"/>
              </w:rPr>
              <w:t>开户行：河南卢氏农村商业银行股份有限公司</w:t>
            </w:r>
          </w:p>
        </w:tc>
      </w:tr>
      <w:tr w14:paraId="3EABE666">
        <w:tblPrEx>
          <w:tblCellMar>
            <w:top w:w="0" w:type="dxa"/>
            <w:left w:w="108" w:type="dxa"/>
            <w:bottom w:w="0" w:type="dxa"/>
            <w:right w:w="108" w:type="dxa"/>
          </w:tblCellMar>
        </w:tblPrEx>
        <w:trPr>
          <w:trHeight w:val="699" w:hRule="atLeast"/>
          <w:jc w:val="center"/>
        </w:trPr>
        <w:tc>
          <w:tcPr>
            <w:tcW w:w="1096" w:type="dxa"/>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013FE85E">
            <w:pPr>
              <w:spacing w:line="580" w:lineRule="exact"/>
              <w:rPr>
                <w:rFonts w:ascii="宋体" w:hAnsi="宋体" w:cs="宋体"/>
                <w:sz w:val="24"/>
              </w:rPr>
            </w:pPr>
            <w:r>
              <w:rPr>
                <w:rFonts w:hint="eastAsia" w:ascii="宋体" w:hAnsi="宋体" w:cs="宋体"/>
                <w:kern w:val="0"/>
                <w:sz w:val="24"/>
              </w:rPr>
              <w:t>电子化注意事项</w:t>
            </w:r>
          </w:p>
        </w:tc>
        <w:tc>
          <w:tcPr>
            <w:tcW w:w="9035" w:type="dxa"/>
            <w:gridSpan w:val="2"/>
            <w:tcBorders>
              <w:top w:val="single" w:color="836967" w:sz="4" w:space="0"/>
              <w:left w:val="single" w:color="836967" w:sz="4" w:space="0"/>
              <w:bottom w:val="single" w:color="836967" w:sz="4" w:space="0"/>
              <w:right w:val="single" w:color="836967" w:sz="4" w:space="0"/>
            </w:tcBorders>
            <w:tcMar>
              <w:left w:w="10" w:type="dxa"/>
              <w:right w:w="10" w:type="dxa"/>
            </w:tcMar>
            <w:vAlign w:val="center"/>
          </w:tcPr>
          <w:p w14:paraId="7D976FA0">
            <w:pPr>
              <w:pStyle w:val="13"/>
              <w:wordWrap w:val="0"/>
              <w:spacing w:beforeAutospacing="0" w:afterAutospacing="0" w:line="360" w:lineRule="auto"/>
              <w:rPr>
                <w:rFonts w:cs="宋体"/>
                <w:kern w:val="2"/>
              </w:rPr>
            </w:pPr>
            <w:r>
              <w:rPr>
                <w:rFonts w:hint="eastAsia" w:cs="宋体"/>
                <w:kern w:val="2"/>
              </w:rPr>
              <w:t>具体要求：本项目为电子化、无纸化交易项目，投标文件是投标人、供应商（以下简称“投标人”）通过中心投标文件制作系统制作，并经过签章和加密后生成的电子版投标文件。</w:t>
            </w:r>
          </w:p>
          <w:p w14:paraId="698B4AAA">
            <w:pPr>
              <w:pStyle w:val="13"/>
              <w:wordWrap w:val="0"/>
              <w:spacing w:beforeAutospacing="0" w:afterAutospacing="0" w:line="360" w:lineRule="auto"/>
              <w:rPr>
                <w:rFonts w:cs="宋体"/>
                <w:kern w:val="2"/>
              </w:rPr>
            </w:pPr>
            <w:r>
              <w:rPr>
                <w:rFonts w:hint="eastAsia" w:cs="宋体"/>
                <w:kern w:val="2"/>
              </w:rPr>
              <w:t>电子化投标文件具体制作文件请点击http://gzjy.smx.gov.cn/SMX/InformationCenter/NewsDetail.do?CID=fdd6c8fc-bb0a-4c07-8715-d29609fc7a80&amp;ID=3061a14f-cf3f-4cdd-aad4-7e2873151413进行下载。</w:t>
            </w:r>
          </w:p>
          <w:p w14:paraId="30D87ED7">
            <w:pPr>
              <w:pStyle w:val="13"/>
              <w:wordWrap w:val="0"/>
              <w:spacing w:beforeAutospacing="0" w:afterAutospacing="0" w:line="360" w:lineRule="auto"/>
              <w:rPr>
                <w:rFonts w:cs="宋体"/>
                <w:kern w:val="2"/>
              </w:rPr>
            </w:pPr>
            <w:r>
              <w:rPr>
                <w:rFonts w:hint="eastAsia" w:cs="宋体"/>
                <w:kern w:val="2"/>
              </w:rPr>
              <w:t>温馨提示：本项目为电子化、无纸化交易项目，为保证您能投标成功，请需仔细阅读以下条款。</w:t>
            </w:r>
          </w:p>
          <w:p w14:paraId="5B5A322C">
            <w:pPr>
              <w:pStyle w:val="13"/>
              <w:wordWrap w:val="0"/>
              <w:spacing w:beforeAutospacing="0" w:afterAutospacing="0" w:line="360" w:lineRule="auto"/>
              <w:rPr>
                <w:rFonts w:cs="宋体"/>
                <w:kern w:val="2"/>
              </w:rPr>
            </w:pPr>
            <w:r>
              <w:rPr>
                <w:rFonts w:hint="eastAsia" w:cs="宋体"/>
                <w:kern w:val="2"/>
              </w:rPr>
              <w:t>一、电子化投标</w:t>
            </w:r>
          </w:p>
          <w:p w14:paraId="446113C9">
            <w:pPr>
              <w:pStyle w:val="13"/>
              <w:wordWrap w:val="0"/>
              <w:spacing w:beforeAutospacing="0" w:afterAutospacing="0" w:line="360" w:lineRule="auto"/>
              <w:rPr>
                <w:rFonts w:cs="宋体"/>
                <w:kern w:val="2"/>
              </w:rPr>
            </w:pPr>
            <w:r>
              <w:rPr>
                <w:rFonts w:hint="eastAsia" w:cs="宋体"/>
                <w:kern w:val="2"/>
              </w:rPr>
              <w:t>（一）电子化投标文件的签章</w:t>
            </w:r>
          </w:p>
          <w:p w14:paraId="0C12A07D">
            <w:pPr>
              <w:pStyle w:val="13"/>
              <w:wordWrap w:val="0"/>
              <w:spacing w:beforeAutospacing="0" w:afterAutospacing="0" w:line="360" w:lineRule="auto"/>
              <w:rPr>
                <w:rFonts w:cs="宋体"/>
                <w:kern w:val="2"/>
              </w:rPr>
            </w:pPr>
            <w:r>
              <w:rPr>
                <w:rFonts w:hint="eastAsia" w:cs="宋体"/>
                <w:kern w:val="2"/>
              </w:rPr>
              <w:t>1、投标人在生成电子化投标文件后，应对电子化投标文件进行签章，未进行签章的视为无效投标。</w:t>
            </w:r>
          </w:p>
          <w:p w14:paraId="2D6A13E4">
            <w:pPr>
              <w:pStyle w:val="13"/>
              <w:wordWrap w:val="0"/>
              <w:spacing w:beforeAutospacing="0" w:afterAutospacing="0" w:line="360" w:lineRule="auto"/>
              <w:rPr>
                <w:rFonts w:cs="宋体"/>
                <w:bCs/>
              </w:rPr>
            </w:pPr>
            <w:r>
              <w:rPr>
                <w:rFonts w:hint="eastAsia" w:cs="宋体"/>
                <w:kern w:val="2"/>
              </w:rPr>
              <w:t>2、招标文件中要求法定代表人或授权委托人签字或盖章的，投标人在进行电子化投标文件签章时，以签盖法定代表人签章为准。</w:t>
            </w:r>
          </w:p>
          <w:p w14:paraId="43113421">
            <w:pPr>
              <w:pStyle w:val="13"/>
              <w:wordWrap w:val="0"/>
              <w:spacing w:beforeAutospacing="0" w:afterAutospacing="0" w:line="360" w:lineRule="auto"/>
              <w:rPr>
                <w:rFonts w:cs="宋体"/>
                <w:kern w:val="2"/>
              </w:rPr>
            </w:pPr>
            <w:r>
              <w:rPr>
                <w:rFonts w:hint="eastAsia" w:cs="宋体"/>
                <w:kern w:val="2"/>
              </w:rPr>
              <w:t>（二）电子化投标文件的格式及上传投标</w:t>
            </w:r>
          </w:p>
          <w:p w14:paraId="782393FD">
            <w:pPr>
              <w:pStyle w:val="13"/>
              <w:wordWrap w:val="0"/>
              <w:spacing w:beforeAutospacing="0" w:afterAutospacing="0" w:line="360" w:lineRule="auto"/>
              <w:rPr>
                <w:rFonts w:cs="宋体"/>
                <w:kern w:val="2"/>
              </w:rPr>
            </w:pPr>
            <w:r>
              <w:rPr>
                <w:rFonts w:hint="eastAsia" w:cs="宋体"/>
                <w:kern w:val="2"/>
              </w:rPr>
              <w:t>1、投标人所上传的电子化投标文件，应是通过中心投标文件制作系统制作的（投标文件制作工具下载地址：http://gzjy.smx.gov.cn/SMX/InformationCenter/NewsDetail.do?CID=fdd6c8fc-bb0a-4c07-8715-d29609fc7a80&amp;ID=3061a14f-cf3f-4cdd-aad4-7e2873151413），经过签章和加密后生成的电子版投标文件。其中包含用于投标文件上传的主文件（后缀为.smxtf）和用于应急补救的投标文件备份文件（后缀为.nsmxtf）。备份文件主要用于电子化开标出现技术问题后的补救，请投标人随身携带。</w:t>
            </w:r>
          </w:p>
          <w:p w14:paraId="34F85BA5">
            <w:pPr>
              <w:pStyle w:val="13"/>
              <w:wordWrap w:val="0"/>
              <w:spacing w:beforeAutospacing="0" w:afterAutospacing="0" w:line="360" w:lineRule="auto"/>
              <w:rPr>
                <w:rFonts w:cs="宋体"/>
                <w:kern w:val="2"/>
              </w:rPr>
            </w:pPr>
            <w:r>
              <w:rPr>
                <w:rFonts w:hint="eastAsia" w:cs="宋体"/>
                <w:kern w:val="2"/>
              </w:rPr>
              <w:t>注：投标人投报多个标段的，需要每个标段单独制作电子投标文件。</w:t>
            </w:r>
          </w:p>
          <w:p w14:paraId="22BABEE4">
            <w:pPr>
              <w:pStyle w:val="13"/>
              <w:wordWrap w:val="0"/>
              <w:spacing w:beforeAutospacing="0" w:afterAutospacing="0" w:line="360" w:lineRule="auto"/>
              <w:rPr>
                <w:rFonts w:cs="宋体"/>
                <w:kern w:val="2"/>
              </w:rPr>
            </w:pPr>
            <w:r>
              <w:rPr>
                <w:rFonts w:hint="eastAsia" w:cs="宋体"/>
                <w:kern w:val="2"/>
              </w:rPr>
              <w:t>2、电子化投标文件应在投标截止时间前成功上传至三门峡市公共资源电子化交易系统。至投标截止时间止，仍未上传成功的电子化投标文件将不予接收。</w:t>
            </w:r>
          </w:p>
          <w:p w14:paraId="5CEC1EA6">
            <w:pPr>
              <w:pStyle w:val="13"/>
              <w:wordWrap w:val="0"/>
              <w:spacing w:beforeAutospacing="0" w:afterAutospacing="0" w:line="360" w:lineRule="auto"/>
              <w:rPr>
                <w:rFonts w:cs="宋体"/>
                <w:kern w:val="2"/>
              </w:rPr>
            </w:pPr>
            <w:r>
              <w:rPr>
                <w:rFonts w:hint="eastAsia" w:cs="宋体"/>
                <w:kern w:val="2"/>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49A93E36">
            <w:pPr>
              <w:pStyle w:val="13"/>
              <w:wordWrap w:val="0"/>
              <w:spacing w:beforeAutospacing="0" w:afterAutospacing="0" w:line="360" w:lineRule="auto"/>
              <w:rPr>
                <w:rFonts w:cs="宋体"/>
                <w:kern w:val="2"/>
              </w:rPr>
            </w:pPr>
            <w:r>
              <w:rPr>
                <w:rFonts w:hint="eastAsia" w:cs="宋体"/>
                <w:kern w:val="2"/>
              </w:rPr>
              <w:t>技术联系电话：400-998-0000</w:t>
            </w:r>
          </w:p>
          <w:p w14:paraId="1FAFA23D">
            <w:pPr>
              <w:pStyle w:val="13"/>
              <w:wordWrap w:val="0"/>
              <w:spacing w:beforeAutospacing="0" w:afterAutospacing="0" w:line="360" w:lineRule="auto"/>
              <w:rPr>
                <w:rFonts w:cs="宋体"/>
                <w:kern w:val="2"/>
              </w:rPr>
            </w:pPr>
            <w:r>
              <w:rPr>
                <w:rFonts w:hint="eastAsia" w:cs="宋体"/>
                <w:kern w:val="2"/>
              </w:rPr>
              <w:t>（三）电子化项目开标、解密、唱标、评标</w:t>
            </w:r>
          </w:p>
          <w:p w14:paraId="26D79FDF">
            <w:pPr>
              <w:pStyle w:val="13"/>
              <w:wordWrap w:val="0"/>
              <w:spacing w:beforeAutospacing="0" w:afterAutospacing="0" w:line="360" w:lineRule="auto"/>
              <w:rPr>
                <w:rFonts w:cs="宋体"/>
                <w:kern w:val="2"/>
              </w:rPr>
            </w:pPr>
            <w:r>
              <w:rPr>
                <w:rFonts w:hint="eastAsia" w:cs="宋体"/>
                <w:kern w:val="2"/>
              </w:rPr>
              <w:t>1、本项目采用电子化、无纸化进行招标，开标当日，投标人无需到开标现场参加开标会议，投标人应当在投标截止时间前，登陆不见面开标大厅选择登陆三门峡市公共资源电子招投标系统进行登陆（网址为 http://120.194.249.36:10094/BidOpening/bidopeninghallaction/hall/login）,在线准时参加开标活动并进行投标文件解密等</w:t>
            </w:r>
          </w:p>
          <w:p w14:paraId="4CF16D8A">
            <w:pPr>
              <w:pStyle w:val="13"/>
              <w:wordWrap w:val="0"/>
              <w:spacing w:beforeAutospacing="0" w:afterAutospacing="0" w:line="360" w:lineRule="auto"/>
              <w:rPr>
                <w:rFonts w:cs="宋体"/>
                <w:kern w:val="2"/>
              </w:rPr>
            </w:pPr>
            <w:r>
              <w:rPr>
                <w:rFonts w:hint="eastAsia" w:cs="宋体"/>
                <w:kern w:val="2"/>
              </w:rPr>
              <w:t>2、电子化投标文件采用一次加密方式。开标时，由投标人使用CA 证书，在规定时间内对其电子化投标文件进行解密。每位投标人的解密时间为开标时间起30分钟内，如在规定时间内未完成解密的，其投标文件不予开标、唱标。</w:t>
            </w:r>
          </w:p>
          <w:p w14:paraId="72C8427D">
            <w:pPr>
              <w:pStyle w:val="13"/>
              <w:wordWrap w:val="0"/>
              <w:spacing w:beforeAutospacing="0" w:afterAutospacing="0" w:line="360" w:lineRule="auto"/>
              <w:rPr>
                <w:rFonts w:cs="宋体"/>
                <w:kern w:val="2"/>
              </w:rPr>
            </w:pPr>
            <w:r>
              <w:rPr>
                <w:rFonts w:hint="eastAsia" w:cs="宋体"/>
                <w:kern w:val="2"/>
              </w:rPr>
              <w:t>3、电子化投标文件解密异常的处理</w:t>
            </w:r>
          </w:p>
          <w:p w14:paraId="2F14AD56">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如出现响应人的电子响应文件无法解密等异常情况，响应人应及时致电中介服务机构说明。响应文件异常，按以下步骤进行处理：</w:t>
            </w:r>
          </w:p>
          <w:p w14:paraId="1A720399">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（1）首先由技术人员进行问题排查。</w:t>
            </w:r>
          </w:p>
          <w:p w14:paraId="376311C3">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（2）经技术人员排查后，是响应人文件自身问题导致响应文件无法解密的，该响应文件将不予接收、解密和唱标。开标会议继续进行。</w:t>
            </w:r>
          </w:p>
          <w:p w14:paraId="5B197322">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07D9563E">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4、待所有响应人响应文件解密完成后，由中介服务机构操作，对所有已解密响应文件进行唱标。</w:t>
            </w:r>
          </w:p>
          <w:p w14:paraId="71EAD02D">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响应人应保证在开标期间电话、电脑、网络能够正常工作，响应人因停电、电脑病毒、网络堵塞等原因，未在规定的解密时间内对响应文件进行解密的，其响应文件不予接收、唱标。</w:t>
            </w:r>
          </w:p>
          <w:p w14:paraId="286B9C67">
            <w:pPr>
              <w:spacing w:line="500" w:lineRule="exac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开标时投标人可登录到交易系统中在开标解密栏中点击报价一览表查看自己的投标报价。如对自己的唱标内容有异议的，应在供应商解密成功后10分钟内向中服务机构通过开标大厅对话框提出质疑。中介服务机构应在监督人员的监督下接受</w:t>
            </w:r>
            <w:r>
              <w:rPr>
                <w:rFonts w:hint="eastAsia" w:ascii="宋体" w:hAnsi="宋体" w:eastAsia="宋体"/>
                <w:color w:val="auto"/>
                <w:sz w:val="24"/>
                <w:szCs w:val="24"/>
                <w:highlight w:val="none"/>
                <w:lang w:val="en-US" w:eastAsia="zh-CN"/>
              </w:rPr>
              <w:t>供应商</w:t>
            </w:r>
            <w:r>
              <w:rPr>
                <w:rFonts w:hint="eastAsia" w:ascii="宋体" w:hAnsi="宋体" w:eastAsia="宋体"/>
                <w:color w:val="auto"/>
                <w:sz w:val="24"/>
                <w:szCs w:val="24"/>
                <w:highlight w:val="none"/>
              </w:rPr>
              <w:t>的质疑通过开标大厅对话框</w:t>
            </w:r>
            <w:r>
              <w:rPr>
                <w:rFonts w:hint="eastAsia" w:ascii="宋体" w:hAnsi="宋体" w:eastAsia="宋体"/>
                <w:color w:val="auto"/>
                <w:sz w:val="24"/>
                <w:szCs w:val="24"/>
                <w:highlight w:val="none"/>
                <w:lang w:val="en-US" w:eastAsia="zh-CN"/>
              </w:rPr>
              <w:t>进行答复</w:t>
            </w:r>
            <w:r>
              <w:rPr>
                <w:rFonts w:hint="eastAsia" w:ascii="宋体" w:hAnsi="宋体" w:eastAsia="宋体"/>
                <w:color w:val="auto"/>
                <w:sz w:val="24"/>
                <w:szCs w:val="24"/>
                <w:highlight w:val="none"/>
              </w:rPr>
              <w:t>并做好书面记录。</w:t>
            </w:r>
            <w:r>
              <w:rPr>
                <w:rFonts w:hint="eastAsia" w:ascii="宋体" w:hAnsi="宋体" w:eastAsia="宋体"/>
                <w:color w:val="auto"/>
                <w:sz w:val="24"/>
                <w:szCs w:val="24"/>
                <w:highlight w:val="none"/>
                <w:lang w:val="en-US" w:eastAsia="zh-CN"/>
              </w:rPr>
              <w:t>供应商</w:t>
            </w:r>
            <w:r>
              <w:rPr>
                <w:rFonts w:hint="eastAsia" w:ascii="宋体" w:hAnsi="宋体" w:eastAsia="宋体"/>
                <w:color w:val="auto"/>
                <w:sz w:val="24"/>
                <w:szCs w:val="24"/>
                <w:highlight w:val="none"/>
              </w:rPr>
              <w:t>未在规定时间内提出质疑的，视为认可唱标内容。</w:t>
            </w:r>
          </w:p>
          <w:p w14:paraId="22A51384">
            <w:pPr>
              <w:spacing w:line="500" w:lineRule="exact"/>
              <w:rPr>
                <w:rFonts w:cs="宋体"/>
                <w:kern w:val="2"/>
              </w:rPr>
            </w:pPr>
            <w:r>
              <w:rPr>
                <w:rFonts w:hint="eastAsia" w:ascii="宋体" w:hAnsi="宋体" w:eastAsia="宋体"/>
                <w:color w:val="auto"/>
                <w:sz w:val="24"/>
                <w:szCs w:val="24"/>
                <w:highlight w:val="none"/>
              </w:rPr>
              <w:t>6、评标时，评标委员会对电子化投标文件有质疑的，将通过电子化交易</w:t>
            </w:r>
            <w:r>
              <w:rPr>
                <w:rFonts w:hint="eastAsia" w:cs="宋体"/>
                <w:kern w:val="2"/>
              </w:rPr>
              <w:t>系统对投标人发起质疑，并在监督人员的监督下，用免提模式致电需要答复的投标人对质疑进行回复。投标人的回复文件必须以经过投标人和其法定代表人签章的PDF格式文件为准，并通过电子化交易系统提交至评标委员会。</w:t>
            </w:r>
          </w:p>
          <w:p w14:paraId="0AEC1EBB">
            <w:pPr>
              <w:widowControl w:val="0"/>
              <w:snapToGrid w:val="0"/>
              <w:spacing w:line="360" w:lineRule="auto"/>
              <w:jc w:val="both"/>
              <w:rPr>
                <w:rFonts w:hint="eastAsia" w:cs="宋体" w:asciiTheme="minorHAnsi" w:hAnsiTheme="minorHAnsi" w:eastAsiaTheme="minorEastAsia"/>
                <w:kern w:val="2"/>
                <w:sz w:val="24"/>
                <w:szCs w:val="24"/>
                <w:lang w:val="en-US" w:eastAsia="zh-CN" w:bidi="ar-SA"/>
              </w:rPr>
            </w:pPr>
            <w:r>
              <w:rPr>
                <w:rFonts w:hint="eastAsia" w:cs="宋体" w:asciiTheme="minorHAnsi" w:hAnsiTheme="minorHAnsi" w:eastAsiaTheme="minorEastAsia"/>
                <w:kern w:val="2"/>
                <w:sz w:val="24"/>
                <w:szCs w:val="24"/>
                <w:lang w:val="en-US" w:eastAsia="zh-CN" w:bidi="ar-SA"/>
              </w:rPr>
              <w:t>7、如评标委员会对需要回复的响应人在规定时间内通过电子化交易系统未收到回复的，视为响应人放弃回复，评标委员会将自行对需要回复的内容进行认定。</w:t>
            </w:r>
          </w:p>
          <w:p w14:paraId="116293C8">
            <w:pPr>
              <w:pStyle w:val="13"/>
              <w:wordWrap w:val="0"/>
              <w:spacing w:beforeAutospacing="0" w:afterAutospacing="0" w:line="360" w:lineRule="auto"/>
              <w:rPr>
                <w:rFonts w:cs="宋体"/>
                <w:kern w:val="2"/>
              </w:rPr>
            </w:pPr>
            <w:r>
              <w:rPr>
                <w:rFonts w:hint="eastAsia" w:cs="宋体"/>
                <w:kern w:val="2"/>
              </w:rPr>
              <w:t>二、资格审查资料</w:t>
            </w:r>
          </w:p>
          <w:p w14:paraId="455402D8">
            <w:pPr>
              <w:pStyle w:val="13"/>
              <w:wordWrap w:val="0"/>
              <w:spacing w:beforeAutospacing="0" w:afterAutospacing="0" w:line="360" w:lineRule="auto"/>
              <w:rPr>
                <w:rFonts w:cs="宋体"/>
              </w:rPr>
            </w:pPr>
            <w:r>
              <w:rPr>
                <w:rFonts w:hint="eastAsia" w:cs="宋体"/>
                <w:kern w:val="2"/>
              </w:rPr>
              <w:t>本项目实行资格后审，资格评审以投标文件为准，其上传资料真实性由投标人自行承担，同时投标人要完善主体库。提示：本项目为电子化、无纸化交易项目，为保证您能投标成功，请需仔细阅读以上条款。</w:t>
            </w:r>
          </w:p>
        </w:tc>
      </w:tr>
    </w:tbl>
    <w:p w14:paraId="541901ED">
      <w:pPr>
        <w:widowControl/>
        <w:spacing w:line="600" w:lineRule="exact"/>
        <w:ind w:firstLine="480" w:firstLineChars="200"/>
        <w:jc w:val="left"/>
        <w:rPr>
          <w:rFonts w:ascii="宋体" w:hAnsi="宋体" w:eastAsia="宋体" w:cs="宋体"/>
          <w:kern w:val="0"/>
          <w:sz w:val="24"/>
        </w:rPr>
      </w:pPr>
      <w:bookmarkStart w:id="13" w:name="_Toc16770549"/>
      <w:bookmarkEnd w:id="13"/>
      <w:bookmarkStart w:id="14" w:name="_Toc16938519"/>
      <w:bookmarkEnd w:id="14"/>
      <w:bookmarkStart w:id="15" w:name="_Toc120614214"/>
      <w:bookmarkEnd w:id="15"/>
      <w:bookmarkStart w:id="16" w:name="_Toc20823275"/>
      <w:bookmarkEnd w:id="16"/>
      <w:bookmarkStart w:id="17" w:name="_Toc513029203"/>
      <w:bookmarkEnd w:id="17"/>
      <w:bookmarkStart w:id="18" w:name="_Toc517178993"/>
      <w:bookmarkEnd w:id="18"/>
      <w:r>
        <w:rPr>
          <w:rFonts w:hint="eastAsia" w:ascii="宋体" w:hAnsi="宋体" w:eastAsia="宋体" w:cs="宋体"/>
          <w:kern w:val="0"/>
          <w:sz w:val="24"/>
        </w:rPr>
        <w:t>1. 总则</w:t>
      </w:r>
    </w:p>
    <w:p w14:paraId="213CF4FF">
      <w:pPr>
        <w:widowControl/>
        <w:spacing w:line="600" w:lineRule="exact"/>
        <w:ind w:firstLine="480" w:firstLineChars="200"/>
        <w:jc w:val="left"/>
        <w:rPr>
          <w:rFonts w:ascii="宋体" w:hAnsi="宋体" w:eastAsia="宋体" w:cs="宋体"/>
          <w:kern w:val="0"/>
          <w:sz w:val="24"/>
        </w:rPr>
      </w:pPr>
      <w:bookmarkStart w:id="19" w:name="_bookmark21"/>
      <w:bookmarkEnd w:id="19"/>
      <w:r>
        <w:rPr>
          <w:rFonts w:hint="eastAsia" w:ascii="宋体" w:hAnsi="宋体" w:eastAsia="宋体" w:cs="宋体"/>
          <w:kern w:val="0"/>
          <w:sz w:val="24"/>
        </w:rPr>
        <w:t>1.1招标项目概况</w:t>
      </w:r>
    </w:p>
    <w:p w14:paraId="72E5DC2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1.1.1根据《中华人民共和国政府采购法》、《中华人民共和国政府采购法实施条例》等有关法律、法规和规章的规定，本招标项目已具备招标条件，现对本项目进行招标。</w:t>
      </w:r>
    </w:p>
    <w:p w14:paraId="49537FC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1.1.2采购人：见供应商须知前附表。</w:t>
      </w:r>
    </w:p>
    <w:p w14:paraId="6ABC25D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1.1.3采购代理机构：见供应商须知前附表。</w:t>
      </w:r>
    </w:p>
    <w:p w14:paraId="7506375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1.1.4项目名称：见供应商须知前附表。</w:t>
      </w:r>
    </w:p>
    <w:p w14:paraId="2256EFB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1.1.5  采购方式：见供应商须知前附表。</w:t>
      </w:r>
    </w:p>
    <w:p w14:paraId="7E0AAF6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1.1.6  采购内容:见供应商须知前附表。</w:t>
      </w:r>
    </w:p>
    <w:p w14:paraId="0CFEB27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1.2  招标项目的资金来源和落实情况</w:t>
      </w:r>
    </w:p>
    <w:p w14:paraId="0EA0362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1.2.1 资金来源：见供应商须知前附表。</w:t>
      </w:r>
    </w:p>
    <w:p w14:paraId="16DE4C1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1.2.2 资金落实情况：见供应商须知前附表。</w:t>
      </w:r>
    </w:p>
    <w:p w14:paraId="686F8630">
      <w:pPr>
        <w:widowControl/>
        <w:spacing w:line="600" w:lineRule="exact"/>
        <w:ind w:firstLine="480" w:firstLineChars="200"/>
        <w:jc w:val="left"/>
        <w:rPr>
          <w:rFonts w:ascii="宋体" w:hAnsi="宋体" w:eastAsia="宋体" w:cs="宋体"/>
          <w:kern w:val="0"/>
          <w:sz w:val="24"/>
        </w:rPr>
      </w:pPr>
      <w:bookmarkStart w:id="20" w:name="_bookmark23"/>
      <w:bookmarkEnd w:id="20"/>
      <w:r>
        <w:rPr>
          <w:rFonts w:hint="eastAsia" w:ascii="宋体" w:hAnsi="宋体" w:eastAsia="宋体" w:cs="宋体"/>
          <w:kern w:val="0"/>
          <w:sz w:val="24"/>
        </w:rPr>
        <w:t>1.3招标范围、供货安装期、供货地点和质量要求</w:t>
      </w:r>
    </w:p>
    <w:p w14:paraId="6FBB185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1.3.1 招标范围：见供应商须知前附表。</w:t>
      </w:r>
    </w:p>
    <w:p w14:paraId="5682CC3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1.3.2  供货期：见供应商须知前附表。</w:t>
      </w:r>
    </w:p>
    <w:p w14:paraId="550BA0F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1.3.3  供货地点：见供应商须知前附表。</w:t>
      </w:r>
    </w:p>
    <w:p w14:paraId="459389E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1.3.4  质量要求：见供应商须知前附表。</w:t>
      </w:r>
    </w:p>
    <w:p w14:paraId="2FA23E0A">
      <w:pPr>
        <w:widowControl/>
        <w:spacing w:line="600" w:lineRule="exact"/>
        <w:ind w:firstLine="480" w:firstLineChars="200"/>
        <w:jc w:val="left"/>
        <w:rPr>
          <w:rFonts w:ascii="宋体" w:hAnsi="宋体" w:eastAsia="宋体" w:cs="宋体"/>
          <w:kern w:val="0"/>
          <w:sz w:val="24"/>
        </w:rPr>
      </w:pPr>
      <w:bookmarkStart w:id="21" w:name="_bookmark24"/>
      <w:bookmarkEnd w:id="21"/>
      <w:r>
        <w:rPr>
          <w:rFonts w:hint="eastAsia" w:ascii="宋体" w:hAnsi="宋体" w:eastAsia="宋体" w:cs="宋体"/>
          <w:kern w:val="0"/>
          <w:sz w:val="24"/>
        </w:rPr>
        <w:t>1.4供应商资格要求</w:t>
      </w:r>
    </w:p>
    <w:p w14:paraId="54457D2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1.4.1 见供应商须知前附表。</w:t>
      </w:r>
    </w:p>
    <w:p w14:paraId="79034BA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1.4.2 是否接受联合体投标：见供应商须知前附表。</w:t>
      </w:r>
    </w:p>
    <w:p w14:paraId="5BE8B60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1.4.3 供应商不得存在下列情形之一：</w:t>
      </w:r>
    </w:p>
    <w:p w14:paraId="647D7D5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（1）与采购人存在利害关系且可能影响招标公正性；</w:t>
      </w:r>
    </w:p>
    <w:p w14:paraId="322BC86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（2）与本招标项目的其他供应商为同一个单位负责人；</w:t>
      </w:r>
    </w:p>
    <w:p w14:paraId="6B90CAB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（3）与本招标项目的其他供应商存在控股、管理关系；</w:t>
      </w:r>
    </w:p>
    <w:p w14:paraId="5EEC013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（4）被依法暂停或者取消投标资格；</w:t>
      </w:r>
    </w:p>
    <w:p w14:paraId="0610FEA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（5）被责令停产停业、暂扣或者吊销许可证、暂扣或者吊销执照；</w:t>
      </w:r>
    </w:p>
    <w:p w14:paraId="753F3D1C">
      <w:pPr>
        <w:widowControl/>
        <w:spacing w:line="600" w:lineRule="exact"/>
        <w:ind w:firstLine="480" w:firstLineChars="200"/>
        <w:jc w:val="left"/>
        <w:rPr>
          <w:rFonts w:ascii="宋体" w:hAnsi="宋体" w:eastAsia="宋体" w:cs="宋体"/>
          <w:kern w:val="0"/>
          <w:sz w:val="24"/>
        </w:rPr>
      </w:pPr>
      <w:bookmarkStart w:id="22" w:name="_bookmark25"/>
      <w:bookmarkEnd w:id="22"/>
      <w:r>
        <w:rPr>
          <w:rFonts w:hint="eastAsia" w:ascii="宋体" w:hAnsi="宋体" w:eastAsia="宋体" w:cs="宋体"/>
          <w:kern w:val="0"/>
          <w:sz w:val="24"/>
        </w:rPr>
        <w:t>1.5 费用承担</w:t>
      </w:r>
    </w:p>
    <w:p w14:paraId="755216C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供应商准备和参加投标活动发生的费用自理。</w:t>
      </w:r>
    </w:p>
    <w:p w14:paraId="0C934DFA">
      <w:pPr>
        <w:widowControl/>
        <w:spacing w:line="600" w:lineRule="exact"/>
        <w:ind w:firstLine="480" w:firstLineChars="200"/>
        <w:jc w:val="left"/>
        <w:rPr>
          <w:rFonts w:ascii="宋体" w:hAnsi="宋体" w:eastAsia="宋体" w:cs="宋体"/>
          <w:kern w:val="0"/>
          <w:sz w:val="24"/>
        </w:rPr>
      </w:pPr>
      <w:bookmarkStart w:id="23" w:name="_bookmark26"/>
      <w:bookmarkEnd w:id="23"/>
      <w:r>
        <w:rPr>
          <w:rFonts w:hint="eastAsia" w:ascii="宋体" w:hAnsi="宋体" w:eastAsia="宋体" w:cs="宋体"/>
          <w:kern w:val="0"/>
          <w:sz w:val="24"/>
        </w:rPr>
        <w:t>1.6 保密</w:t>
      </w:r>
    </w:p>
    <w:p w14:paraId="465672F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参与招标投标活动的各方应对招标文件和投标文件中的商业和技术等秘密保密，否则应承担相应的法律责任。</w:t>
      </w:r>
    </w:p>
    <w:p w14:paraId="7488E2D3">
      <w:pPr>
        <w:widowControl/>
        <w:spacing w:line="600" w:lineRule="exact"/>
        <w:ind w:firstLine="480" w:firstLineChars="200"/>
        <w:jc w:val="left"/>
        <w:rPr>
          <w:rFonts w:ascii="宋体" w:hAnsi="宋体" w:eastAsia="宋体" w:cs="宋体"/>
          <w:kern w:val="0"/>
          <w:sz w:val="24"/>
        </w:rPr>
      </w:pPr>
      <w:bookmarkStart w:id="24" w:name="_bookmark27"/>
      <w:bookmarkEnd w:id="24"/>
      <w:r>
        <w:rPr>
          <w:rFonts w:hint="eastAsia" w:ascii="宋体" w:hAnsi="宋体" w:eastAsia="宋体" w:cs="宋体"/>
          <w:kern w:val="0"/>
          <w:sz w:val="24"/>
        </w:rPr>
        <w:t>1.7 语言文字</w:t>
      </w:r>
    </w:p>
    <w:p w14:paraId="0D1C717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招标投标文件使用的语言文字为中文。专用术语使用外文的，应附有中文注释。</w:t>
      </w:r>
    </w:p>
    <w:p w14:paraId="2129F234">
      <w:pPr>
        <w:widowControl/>
        <w:spacing w:line="600" w:lineRule="exact"/>
        <w:ind w:firstLine="480" w:firstLineChars="200"/>
        <w:jc w:val="left"/>
        <w:rPr>
          <w:rFonts w:ascii="宋体" w:hAnsi="宋体" w:eastAsia="宋体" w:cs="宋体"/>
          <w:kern w:val="0"/>
          <w:sz w:val="24"/>
        </w:rPr>
      </w:pPr>
      <w:bookmarkStart w:id="25" w:name="_bookmark28"/>
      <w:bookmarkEnd w:id="25"/>
      <w:r>
        <w:rPr>
          <w:rFonts w:hint="eastAsia" w:ascii="宋体" w:hAnsi="宋体" w:eastAsia="宋体" w:cs="宋体"/>
          <w:kern w:val="0"/>
          <w:sz w:val="24"/>
        </w:rPr>
        <w:t>1.8计量单位</w:t>
      </w:r>
    </w:p>
    <w:p w14:paraId="3B0BC5D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所有计量均采用中华人民共和国法定计量单位。</w:t>
      </w:r>
    </w:p>
    <w:p w14:paraId="49860294">
      <w:pPr>
        <w:widowControl/>
        <w:spacing w:line="600" w:lineRule="exact"/>
        <w:ind w:firstLine="480" w:firstLineChars="200"/>
        <w:jc w:val="left"/>
        <w:rPr>
          <w:rFonts w:ascii="宋体" w:hAnsi="宋体" w:eastAsia="宋体" w:cs="宋体"/>
          <w:kern w:val="0"/>
          <w:sz w:val="24"/>
        </w:rPr>
      </w:pPr>
      <w:bookmarkStart w:id="26" w:name="_bookmark29"/>
      <w:bookmarkEnd w:id="26"/>
      <w:r>
        <w:rPr>
          <w:rFonts w:hint="eastAsia" w:ascii="宋体" w:hAnsi="宋体" w:eastAsia="宋体" w:cs="宋体"/>
          <w:kern w:val="0"/>
          <w:sz w:val="24"/>
        </w:rPr>
        <w:t>1.9 投标预备会</w:t>
      </w:r>
    </w:p>
    <w:p w14:paraId="587D404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1.9.1 投标预备会：见供应商须知前附表</w:t>
      </w:r>
    </w:p>
    <w:p w14:paraId="1865A652">
      <w:pPr>
        <w:widowControl/>
        <w:spacing w:line="600" w:lineRule="exact"/>
        <w:ind w:firstLine="480" w:firstLineChars="200"/>
        <w:jc w:val="left"/>
        <w:rPr>
          <w:rFonts w:ascii="宋体" w:hAnsi="宋体" w:eastAsia="宋体" w:cs="宋体"/>
          <w:kern w:val="0"/>
          <w:sz w:val="24"/>
        </w:rPr>
      </w:pPr>
      <w:bookmarkStart w:id="27" w:name="_bookmark30"/>
      <w:bookmarkEnd w:id="27"/>
      <w:r>
        <w:rPr>
          <w:rFonts w:hint="eastAsia" w:ascii="宋体" w:hAnsi="宋体" w:eastAsia="宋体" w:cs="宋体"/>
          <w:kern w:val="0"/>
          <w:sz w:val="24"/>
        </w:rPr>
        <w:t>1.10分包</w:t>
      </w:r>
    </w:p>
    <w:p w14:paraId="35608A7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1.10.1 分包：见供应商须知前附表</w:t>
      </w:r>
    </w:p>
    <w:p w14:paraId="0F7162C7">
      <w:pPr>
        <w:widowControl/>
        <w:spacing w:line="600" w:lineRule="exact"/>
        <w:ind w:firstLine="480" w:firstLineChars="200"/>
        <w:jc w:val="left"/>
        <w:rPr>
          <w:rFonts w:ascii="宋体" w:hAnsi="宋体" w:eastAsia="宋体" w:cs="宋体"/>
          <w:kern w:val="0"/>
          <w:sz w:val="24"/>
        </w:rPr>
      </w:pPr>
      <w:bookmarkStart w:id="28" w:name="_bookmark31"/>
      <w:bookmarkEnd w:id="28"/>
      <w:r>
        <w:rPr>
          <w:rFonts w:hint="eastAsia" w:ascii="宋体" w:hAnsi="宋体" w:eastAsia="宋体" w:cs="宋体"/>
          <w:kern w:val="0"/>
          <w:sz w:val="24"/>
        </w:rPr>
        <w:t>1.11响应和偏差</w:t>
      </w:r>
    </w:p>
    <w:p w14:paraId="5D7EBCE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1.11.1  偏离：见供应商须知前附表</w:t>
      </w:r>
    </w:p>
    <w:p w14:paraId="2FE78150">
      <w:pPr>
        <w:widowControl/>
        <w:spacing w:line="600" w:lineRule="exact"/>
        <w:ind w:firstLine="480" w:firstLineChars="200"/>
        <w:jc w:val="left"/>
        <w:rPr>
          <w:rFonts w:ascii="宋体" w:hAnsi="宋体" w:eastAsia="宋体" w:cs="宋体"/>
          <w:kern w:val="0"/>
          <w:sz w:val="24"/>
        </w:rPr>
      </w:pPr>
      <w:bookmarkStart w:id="29" w:name="6、招标文件的构成"/>
      <w:bookmarkEnd w:id="29"/>
      <w:bookmarkStart w:id="30" w:name="7、招标文件的澄清及修改"/>
      <w:bookmarkEnd w:id="30"/>
      <w:bookmarkStart w:id="31" w:name="8、投标文件编制"/>
      <w:bookmarkEnd w:id="31"/>
      <w:r>
        <w:rPr>
          <w:rFonts w:hint="eastAsia" w:ascii="宋体" w:hAnsi="宋体" w:eastAsia="宋体" w:cs="宋体"/>
          <w:kern w:val="0"/>
          <w:sz w:val="24"/>
        </w:rPr>
        <w:t>招标文件</w:t>
      </w:r>
    </w:p>
    <w:p w14:paraId="410026A0">
      <w:pPr>
        <w:widowControl/>
        <w:spacing w:line="600" w:lineRule="exact"/>
        <w:ind w:firstLine="480" w:firstLineChars="200"/>
        <w:jc w:val="left"/>
        <w:rPr>
          <w:rFonts w:ascii="宋体" w:hAnsi="宋体" w:eastAsia="宋体" w:cs="宋体"/>
          <w:kern w:val="0"/>
          <w:sz w:val="24"/>
        </w:rPr>
      </w:pPr>
      <w:bookmarkStart w:id="32" w:name="_bookmark33"/>
      <w:bookmarkEnd w:id="32"/>
      <w:r>
        <w:rPr>
          <w:rFonts w:hint="eastAsia" w:ascii="宋体" w:hAnsi="宋体" w:eastAsia="宋体" w:cs="宋体"/>
          <w:kern w:val="0"/>
          <w:sz w:val="24"/>
        </w:rPr>
        <w:t>2.1  招标文件的组成</w:t>
      </w:r>
    </w:p>
    <w:p w14:paraId="6C0F8DB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本招标文件包括：</w:t>
      </w:r>
    </w:p>
    <w:p w14:paraId="39304F4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（1）招标公告；</w:t>
      </w:r>
    </w:p>
    <w:p w14:paraId="10160F5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（2）供应商须知；</w:t>
      </w:r>
    </w:p>
    <w:p w14:paraId="5FF87D6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（3）采购需求；</w:t>
      </w:r>
    </w:p>
    <w:p w14:paraId="648C155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（4）评标办法；</w:t>
      </w:r>
    </w:p>
    <w:p w14:paraId="18CBA37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（5）合同条款及格式；</w:t>
      </w:r>
    </w:p>
    <w:p w14:paraId="209D6DB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（6）投标文件格式；</w:t>
      </w:r>
    </w:p>
    <w:p w14:paraId="40C2F94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根据本章第2.2款和第2.3款对招标文件所作的澄清、修改，构成招标文件的组成部分。</w:t>
      </w:r>
    </w:p>
    <w:p w14:paraId="2ADF1CF5">
      <w:pPr>
        <w:widowControl/>
        <w:spacing w:line="600" w:lineRule="exact"/>
        <w:ind w:firstLine="480" w:firstLineChars="200"/>
        <w:jc w:val="left"/>
        <w:rPr>
          <w:rFonts w:ascii="宋体" w:hAnsi="宋体" w:eastAsia="宋体" w:cs="宋体"/>
          <w:kern w:val="0"/>
          <w:sz w:val="24"/>
        </w:rPr>
      </w:pPr>
      <w:bookmarkStart w:id="33" w:name="_bookmark34"/>
      <w:bookmarkEnd w:id="33"/>
      <w:r>
        <w:rPr>
          <w:rFonts w:hint="eastAsia" w:ascii="宋体" w:hAnsi="宋体" w:eastAsia="宋体" w:cs="宋体"/>
          <w:kern w:val="0"/>
          <w:sz w:val="24"/>
        </w:rPr>
        <w:t>2.2  招标文件的澄清</w:t>
      </w:r>
    </w:p>
    <w:p w14:paraId="498B7D0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2.2.1 供应商应仔细阅读和检查招标文件的全部内容。如发现缺页或附件不全，应及时向采购人提出，以便补齐。如有疑问，应在投标人须知前附表规定的时间在三门峡市公共资源交易系统中提出质询，要求采购人对招标文件予以澄清。</w:t>
      </w:r>
    </w:p>
    <w:p w14:paraId="64DEE35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2.2.2 招标文件的澄清将在投标供应商须知前附表规定的时间前，将需澄清及答疑内容在三门峡市公共资源交易中心网以网上形式通知所有已下载招标文件的潜在供应商，但不指明澄清问题的来源。澄清发出的时间距投标截止时间不足15日的，并且澄清内容可能影响投标文件编制的，将相应延长投标截止时间。</w:t>
      </w:r>
    </w:p>
    <w:p w14:paraId="228BC3A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2.2.3 投标人应自行查看澄清信息。</w:t>
      </w:r>
    </w:p>
    <w:p w14:paraId="58EC69D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2.2.4 除非采购人认为确有必要答复，否则，采购人有权拒绝回复供应商在本章第 2.2.1 项规定的时间后的任何澄清要求。</w:t>
      </w:r>
    </w:p>
    <w:p w14:paraId="5192A210">
      <w:pPr>
        <w:widowControl/>
        <w:spacing w:line="600" w:lineRule="exact"/>
        <w:ind w:firstLine="480" w:firstLineChars="200"/>
        <w:jc w:val="left"/>
        <w:rPr>
          <w:rFonts w:ascii="宋体" w:hAnsi="宋体" w:eastAsia="宋体" w:cs="宋体"/>
          <w:kern w:val="0"/>
          <w:sz w:val="24"/>
        </w:rPr>
      </w:pPr>
      <w:bookmarkStart w:id="34" w:name="_bookmark35"/>
      <w:bookmarkEnd w:id="34"/>
      <w:r>
        <w:rPr>
          <w:rFonts w:hint="eastAsia" w:ascii="宋体" w:hAnsi="宋体" w:eastAsia="宋体" w:cs="宋体"/>
          <w:kern w:val="0"/>
          <w:sz w:val="24"/>
        </w:rPr>
        <w:t>2.3  招标文件的修改</w:t>
      </w:r>
    </w:p>
    <w:p w14:paraId="1905E59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2.3.1  采购人以供应商须知前附表规定的形式修改招标文件，在投标截止时间15天前，采购人可以修改招标文件，并以三门峡市公共资源交易中心系统发布变更公告形式通知所有获取招标文件的潜在供应商，修改招标文件的时间距本章规定的投标截止时间不足15日的，并且修改内容可能影响投标文件编制的，将相应延长投标截止时间。</w:t>
      </w:r>
    </w:p>
    <w:p w14:paraId="73283D2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2.3.2当招标文件、修改补充通知、澄清文件内容相互矛盾时，以最后发出的通知或修改文件为准。</w:t>
      </w:r>
    </w:p>
    <w:p w14:paraId="6CAF7E9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 投标文件</w:t>
      </w:r>
    </w:p>
    <w:p w14:paraId="063997E0">
      <w:pPr>
        <w:widowControl/>
        <w:spacing w:line="600" w:lineRule="exact"/>
        <w:ind w:firstLine="480" w:firstLineChars="200"/>
        <w:jc w:val="left"/>
        <w:rPr>
          <w:rFonts w:ascii="宋体" w:hAnsi="宋体" w:eastAsia="宋体" w:cs="宋体"/>
          <w:kern w:val="0"/>
          <w:sz w:val="24"/>
        </w:rPr>
      </w:pPr>
      <w:bookmarkStart w:id="35" w:name="_bookmark38"/>
      <w:bookmarkEnd w:id="35"/>
      <w:r>
        <w:rPr>
          <w:rFonts w:hint="eastAsia" w:ascii="宋体" w:hAnsi="宋体" w:eastAsia="宋体" w:cs="宋体"/>
          <w:kern w:val="0"/>
          <w:sz w:val="24"/>
        </w:rPr>
        <w:t>3.1  投标文件的组成</w:t>
      </w:r>
    </w:p>
    <w:p w14:paraId="16B5F35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3.1.1 投标文件应包括下列内容：</w:t>
      </w:r>
    </w:p>
    <w:p w14:paraId="41ED125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一、投标函</w:t>
      </w:r>
    </w:p>
    <w:p w14:paraId="4C2C1E7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二、法定代表人身份证明书</w:t>
      </w:r>
    </w:p>
    <w:p w14:paraId="6C4739E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三、法定代表人授权书</w:t>
      </w:r>
    </w:p>
    <w:p w14:paraId="5822FFE6">
      <w:pPr>
        <w:widowControl/>
        <w:spacing w:line="6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四、投标承诺书</w:t>
      </w:r>
    </w:p>
    <w:p w14:paraId="64CBB91F">
      <w:pPr>
        <w:widowControl/>
        <w:spacing w:line="6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五</w:t>
      </w:r>
      <w:r>
        <w:rPr>
          <w:rFonts w:hint="eastAsia" w:ascii="宋体" w:hAnsi="宋体" w:eastAsia="宋体" w:cs="宋体"/>
          <w:kern w:val="0"/>
          <w:sz w:val="24"/>
        </w:rPr>
        <w:t>、供应商基本情况表</w:t>
      </w:r>
    </w:p>
    <w:p w14:paraId="6B348CC2">
      <w:pPr>
        <w:widowControl/>
        <w:spacing w:line="6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六</w:t>
      </w:r>
      <w:r>
        <w:rPr>
          <w:rFonts w:hint="eastAsia" w:ascii="宋体" w:hAnsi="宋体" w:eastAsia="宋体" w:cs="宋体"/>
          <w:kern w:val="0"/>
          <w:sz w:val="24"/>
        </w:rPr>
        <w:t>、商务标</w:t>
      </w:r>
    </w:p>
    <w:p w14:paraId="4E1D1027">
      <w:pPr>
        <w:widowControl/>
        <w:spacing w:line="600" w:lineRule="exact"/>
        <w:ind w:firstLine="480" w:firstLineChars="200"/>
        <w:jc w:val="left"/>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七</w:t>
      </w:r>
      <w:r>
        <w:rPr>
          <w:rFonts w:hint="eastAsia" w:ascii="宋体" w:hAnsi="宋体" w:eastAsia="宋体" w:cs="宋体"/>
          <w:kern w:val="0"/>
          <w:sz w:val="24"/>
        </w:rPr>
        <w:t>、</w:t>
      </w:r>
      <w:r>
        <w:rPr>
          <w:rFonts w:hint="eastAsia" w:ascii="宋体" w:hAnsi="宋体" w:eastAsia="宋体" w:cs="宋体"/>
          <w:kern w:val="0"/>
          <w:sz w:val="24"/>
          <w:lang w:val="en-US" w:eastAsia="zh-CN"/>
        </w:rPr>
        <w:t>技术部分</w:t>
      </w:r>
    </w:p>
    <w:p w14:paraId="72A84CB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lang w:val="en-US" w:eastAsia="zh-CN"/>
        </w:rPr>
        <w:t>八、</w:t>
      </w:r>
      <w:r>
        <w:rPr>
          <w:rFonts w:hint="eastAsia" w:ascii="宋体" w:hAnsi="宋体" w:eastAsia="宋体" w:cs="宋体"/>
          <w:kern w:val="0"/>
          <w:sz w:val="24"/>
        </w:rPr>
        <w:t>其他资料</w:t>
      </w:r>
    </w:p>
    <w:p w14:paraId="034851F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  投标报价</w:t>
      </w:r>
    </w:p>
    <w:p w14:paraId="5C4EC0E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3.2.1 投标报价应包括国家规定的增值税税金，除供应商须知前附表另有规定外，增值税税金按一般计税方法计算。供应商应按第六章“投标文件格式”的要求在投标函中进行报价。</w:t>
      </w:r>
    </w:p>
    <w:p w14:paraId="31F7519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3.2.2 供应商应充分了解该项目的总体情况以及影响投标报价的其他要素。供应商所报的投标报价均应为目的地交货价，包括</w:t>
      </w:r>
      <w:bookmarkStart w:id="36" w:name="OLE_LINK7"/>
      <w:r>
        <w:rPr>
          <w:rFonts w:hint="eastAsia" w:ascii="宋体" w:hAnsi="宋体" w:eastAsia="宋体" w:cs="宋体"/>
          <w:kern w:val="0"/>
          <w:sz w:val="24"/>
        </w:rPr>
        <w:t>本项目供货、运输、保险、利润、税金、售后服务等所有费用</w:t>
      </w:r>
      <w:bookmarkEnd w:id="36"/>
      <w:r>
        <w:rPr>
          <w:rFonts w:hint="eastAsia" w:ascii="宋体" w:hAnsi="宋体" w:eastAsia="宋体" w:cs="宋体"/>
          <w:kern w:val="0"/>
          <w:sz w:val="24"/>
        </w:rPr>
        <w:t>。</w:t>
      </w:r>
    </w:p>
    <w:p w14:paraId="03669F6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3.2.3 采购人设有最高投标限价的，供应商的投标报价不得超过最高投标限价。最高投标限价在供应商须知前附表中载明。</w:t>
      </w:r>
    </w:p>
    <w:p w14:paraId="54B5CCF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3.2.4全部报价均应以人民币为计量币种，并以人民币进行结算。</w:t>
      </w:r>
    </w:p>
    <w:p w14:paraId="308BCA3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3.2.5采购人对供应商提供的货物有权利到生产厂家进行考察和交货前验货，供应商应提供便利条件。</w:t>
      </w:r>
    </w:p>
    <w:p w14:paraId="6310414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3.2.6 投标报价的其他要求见供应商须知前附表。</w:t>
      </w:r>
    </w:p>
    <w:p w14:paraId="63DBE21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3.3  投标有效期</w:t>
      </w:r>
    </w:p>
    <w:p w14:paraId="6F34D0F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3.3.1 投标有效期详见供应商须知前附表。</w:t>
      </w:r>
    </w:p>
    <w:p w14:paraId="3CC9D36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3.3.2 在投标有效期内，供应商撤销投标文件的，应承担招标文件和法律规定的责任。</w:t>
      </w:r>
    </w:p>
    <w:p w14:paraId="63D36AB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3.3.3 出现特殊情况需要延长投标有效期的，采购人以书面形式通知所有供应商延长投标有效期。供应商应予以书面答复，同意延长的，不得要求或被允许修改其投标文件；供应商拒绝延长的，其投标失效。供应商答复不明确或者逾期未答复的，均视为拒绝延长有效期。</w:t>
      </w:r>
    </w:p>
    <w:p w14:paraId="453115F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 xml:space="preserve"> 3.4 投标保证金</w:t>
      </w:r>
    </w:p>
    <w:p w14:paraId="299B732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3.4.1.按照《河南省财政厅关于优化政府采购营商环境有关问题的通知》（豫财购[2019]4号文）的要求本项目不再收取投标保证金。</w:t>
      </w:r>
    </w:p>
    <w:p w14:paraId="18904201">
      <w:pPr>
        <w:widowControl/>
        <w:spacing w:line="600" w:lineRule="exact"/>
        <w:ind w:firstLine="480" w:firstLineChars="200"/>
        <w:jc w:val="left"/>
        <w:rPr>
          <w:rFonts w:ascii="宋体" w:hAnsi="宋体" w:eastAsia="宋体" w:cs="宋体"/>
          <w:kern w:val="0"/>
          <w:sz w:val="24"/>
        </w:rPr>
      </w:pPr>
      <w:bookmarkStart w:id="37" w:name="_bookmark43"/>
      <w:bookmarkEnd w:id="37"/>
      <w:r>
        <w:rPr>
          <w:rFonts w:hint="eastAsia" w:ascii="宋体" w:hAnsi="宋体" w:eastAsia="宋体" w:cs="宋体"/>
          <w:kern w:val="0"/>
          <w:sz w:val="24"/>
        </w:rPr>
        <w:t>3.5 资格审查资料</w:t>
      </w:r>
    </w:p>
    <w:p w14:paraId="6DC61F7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详见招标公告，经评审后合格供应商不足3家的，不得评标。</w:t>
      </w:r>
    </w:p>
    <w:p w14:paraId="6D41B54F">
      <w:pPr>
        <w:widowControl/>
        <w:spacing w:line="600" w:lineRule="exact"/>
        <w:ind w:firstLine="480" w:firstLineChars="200"/>
        <w:jc w:val="left"/>
        <w:rPr>
          <w:rFonts w:ascii="宋体" w:hAnsi="宋体" w:eastAsia="宋体" w:cs="宋体"/>
          <w:kern w:val="0"/>
          <w:sz w:val="24"/>
        </w:rPr>
      </w:pPr>
      <w:bookmarkStart w:id="38" w:name="_bookmark44"/>
      <w:bookmarkEnd w:id="38"/>
      <w:r>
        <w:rPr>
          <w:rFonts w:hint="eastAsia" w:ascii="宋体" w:hAnsi="宋体" w:eastAsia="宋体" w:cs="宋体"/>
          <w:kern w:val="0"/>
          <w:sz w:val="24"/>
        </w:rPr>
        <w:t>3.6 备选投标方案</w:t>
      </w:r>
    </w:p>
    <w:p w14:paraId="45344DF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3.6.1 除供应商须知前附表规定允许外，供应商不得递交备选投标方案，否则其投标将被否决。</w:t>
      </w:r>
    </w:p>
    <w:p w14:paraId="5067007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3.6.2 允许供应商递交备选投标方案的，只有中标人所递交的备选投标方案方可予以考虑。评标委员会认为中标人的备选投标方案优于其按照招标文件要求编制的投标方案的，采购人可以接受该备选投标方案。</w:t>
      </w:r>
    </w:p>
    <w:p w14:paraId="15CBD9A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3.6.3 供应商提供两个或两个以上投标报价，或者在投标文件中提供一个报价，但同时提供两个或两个以上供货方案的，视为提供备选方案。</w:t>
      </w:r>
      <w:bookmarkStart w:id="39" w:name="_bookmark45"/>
      <w:bookmarkEnd w:id="39"/>
    </w:p>
    <w:p w14:paraId="5CED0D2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3.7  投标文件的编制</w:t>
      </w:r>
    </w:p>
    <w:p w14:paraId="635189D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3.7.1 投标文件应按第六章“投标文件格式”进行编写，如有必要，可以增加附页，作为投标文件的组成部分。其中，投标函附录在满足招标文件实质性要求的基础上，可以提出比招标文件要求更有利于采购人的承诺。</w:t>
      </w:r>
    </w:p>
    <w:p w14:paraId="1E1D44A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3.7.2 投标文件应当对招标文件有关供货期、投标有效期、质量要求、货物技术指标和要求、招标范围等实质性内容做出响应。</w:t>
      </w:r>
    </w:p>
    <w:p w14:paraId="6D07D0B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3.8 投标文件的签署</w:t>
      </w:r>
    </w:p>
    <w:p w14:paraId="3358036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（1）电子投标文件必须上传电子投标系统。</w:t>
      </w:r>
    </w:p>
    <w:p w14:paraId="2BB7655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（2）电子投标文件由供应商的法定代表人签字或盖章。</w:t>
      </w:r>
    </w:p>
    <w:p w14:paraId="72DB9E8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4.投标</w:t>
      </w:r>
    </w:p>
    <w:p w14:paraId="3AD7AC5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4.1 电子投标文件的递交</w:t>
      </w:r>
    </w:p>
    <w:p w14:paraId="65F11C4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4.1.1 供应商应在规定的投标截止时间前递交投标文件。</w:t>
      </w:r>
    </w:p>
    <w:p w14:paraId="329A569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4.1.2 供应商递交投标文件的地点：见供应商须知前附表。</w:t>
      </w:r>
    </w:p>
    <w:p w14:paraId="2B5AAF9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4.1.3 逾期送达的或者未送达指定地点的投标文件，采购人不予受理。</w:t>
      </w:r>
    </w:p>
    <w:p w14:paraId="2B20453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4.1.4 供应商所递交的投标文件不予退还。</w:t>
      </w:r>
    </w:p>
    <w:p w14:paraId="40CAA1F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 开标</w:t>
      </w:r>
    </w:p>
    <w:p w14:paraId="5183F2B4">
      <w:pPr>
        <w:widowControl/>
        <w:spacing w:line="600" w:lineRule="exact"/>
        <w:ind w:firstLine="480" w:firstLineChars="200"/>
        <w:jc w:val="left"/>
        <w:rPr>
          <w:rFonts w:ascii="宋体" w:hAnsi="宋体" w:eastAsia="宋体" w:cs="宋体"/>
          <w:kern w:val="0"/>
          <w:sz w:val="24"/>
        </w:rPr>
      </w:pPr>
      <w:bookmarkStart w:id="40" w:name="_bookmark51"/>
      <w:bookmarkEnd w:id="40"/>
      <w:r>
        <w:rPr>
          <w:rFonts w:hint="eastAsia" w:ascii="宋体" w:hAnsi="宋体" w:eastAsia="宋体" w:cs="宋体"/>
          <w:kern w:val="0"/>
          <w:sz w:val="24"/>
        </w:rPr>
        <w:t>5.1采购人按本须知前附表所规定的时间和地点公开开标。开标会议由招标代理机构主持，在有关部门监督下进行。</w:t>
      </w:r>
    </w:p>
    <w:p w14:paraId="7CB8F89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5.2开标程序：</w:t>
      </w:r>
    </w:p>
    <w:p w14:paraId="3CB5FA2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5.2.1开标由招标代理机构主持；</w:t>
      </w:r>
    </w:p>
    <w:p w14:paraId="55B10E6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5.2.2宣布开标会议纪律；</w:t>
      </w:r>
    </w:p>
    <w:p w14:paraId="3F7A6D2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5.2.3公布在投标截止时间前递交投标文件的投标供应商名称；</w:t>
      </w:r>
    </w:p>
    <w:p w14:paraId="72BF68C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5.2.4开标时，电子招标投标交易平台自动提取所有投标文件，按时在线解密。解密全部完成后，向所有投标供应商公布投标供应商名称、投标价格和招标文件规定的其他内容。</w:t>
      </w:r>
    </w:p>
    <w:p w14:paraId="432D510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5.2.5采购人在招标文件要求提交投标文件的截止时间前收到的投标文件，开标时都应当众予以解密、宣读。</w:t>
      </w:r>
    </w:p>
    <w:p w14:paraId="102E9C1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5.3采购人对开标过程进行记录，并存档备查。</w:t>
      </w:r>
    </w:p>
    <w:p w14:paraId="2E857FC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5.4投标文件的有效性</w:t>
      </w:r>
    </w:p>
    <w:p w14:paraId="269E939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5.4.1投标文件有下列情形之一的为无效投标文件，采购人不予受理：</w:t>
      </w:r>
    </w:p>
    <w:p w14:paraId="63B6E8D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1)逾期上传的；</w:t>
      </w:r>
    </w:p>
    <w:p w14:paraId="68D438D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5D9C45E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5.4.2若投标文件解密后，有效电子投标文件不足三家的，本项目应予废标。</w:t>
      </w:r>
    </w:p>
    <w:p w14:paraId="166344C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5.4.3采购人将有效投标文件，送评标委员会进行评审、比较。</w:t>
      </w:r>
    </w:p>
    <w:p w14:paraId="1A4E720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 评标（本项目为电子评标）</w:t>
      </w:r>
    </w:p>
    <w:p w14:paraId="7D73F479">
      <w:pPr>
        <w:widowControl/>
        <w:spacing w:line="600" w:lineRule="exact"/>
        <w:ind w:firstLine="480" w:firstLineChars="200"/>
        <w:jc w:val="left"/>
        <w:rPr>
          <w:rFonts w:ascii="宋体" w:hAnsi="宋体" w:eastAsia="宋体" w:cs="宋体"/>
          <w:kern w:val="0"/>
          <w:sz w:val="24"/>
        </w:rPr>
      </w:pPr>
      <w:bookmarkStart w:id="41" w:name="_bookmark56"/>
      <w:bookmarkEnd w:id="41"/>
      <w:r>
        <w:rPr>
          <w:rFonts w:hint="eastAsia" w:ascii="宋体" w:hAnsi="宋体" w:eastAsia="宋体" w:cs="宋体"/>
          <w:kern w:val="0"/>
          <w:sz w:val="24"/>
        </w:rPr>
        <w:t>6.1 评标委员会</w:t>
      </w:r>
    </w:p>
    <w:p w14:paraId="0360D66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6.1.1 评标由采购人依法组建的评标委员会负责。评标委员会由采购人熟悉相关业务的代表，以及有关技术、经济等方面的专家组成。评标委员会成员人数以及技术、经济等方面专家的确定方式见供应商须知前附表。</w:t>
      </w:r>
    </w:p>
    <w:p w14:paraId="6FA9947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6.1.2 评标委员会成员有下列情形之一的，应当回避：</w:t>
      </w:r>
    </w:p>
    <w:p w14:paraId="3FA5869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（1）采购人或供应商的主要负责人的近亲属；</w:t>
      </w:r>
    </w:p>
    <w:p w14:paraId="42A5CD7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（2）项目主管部门或者行政监督部门的人员；</w:t>
      </w:r>
    </w:p>
    <w:p w14:paraId="0F7217E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（3）与供应商有经济利益关系，可能影响对投标公正评审的；</w:t>
      </w:r>
    </w:p>
    <w:p w14:paraId="5BE0054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（4）曾因在招标、评标以及其他与招标投标有关活动中从事违法行为而受过行政处罚或刑事处罚的。</w:t>
      </w:r>
    </w:p>
    <w:p w14:paraId="0978802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（5）与供应商有其他利害关系。</w:t>
      </w:r>
    </w:p>
    <w:p w14:paraId="636E5AC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6.1.3 评标过程中，评标委员会成员有回避事由、擅离职守或者因健康等原因不能继续评标的，采购人有权更换。被更换的评标委员会成员作出的评审结论无效，由更换后的评标委员会 成员重新进行评审。</w:t>
      </w:r>
    </w:p>
    <w:p w14:paraId="3144236C">
      <w:pPr>
        <w:widowControl/>
        <w:spacing w:line="600" w:lineRule="exact"/>
        <w:ind w:firstLine="480" w:firstLineChars="200"/>
        <w:jc w:val="left"/>
        <w:rPr>
          <w:rFonts w:ascii="宋体" w:hAnsi="宋体" w:eastAsia="宋体" w:cs="宋体"/>
          <w:kern w:val="0"/>
          <w:sz w:val="24"/>
        </w:rPr>
      </w:pPr>
      <w:bookmarkStart w:id="42" w:name="_bookmark57"/>
      <w:bookmarkEnd w:id="42"/>
      <w:r>
        <w:rPr>
          <w:rFonts w:hint="eastAsia" w:ascii="宋体" w:hAnsi="宋体" w:eastAsia="宋体" w:cs="宋体"/>
          <w:kern w:val="0"/>
          <w:sz w:val="24"/>
        </w:rPr>
        <w:t>6.2 评标原则</w:t>
      </w:r>
    </w:p>
    <w:p w14:paraId="5751A88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评标活动遵循公平、公正、科学和择优的原则，严格按照法律法规和招标文件规定的评标方法和评分标准评审。</w:t>
      </w:r>
    </w:p>
    <w:p w14:paraId="7EEB77F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6.3投标文件的资格评审</w:t>
      </w:r>
    </w:p>
    <w:p w14:paraId="59F1968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开标后，经采购人或采购代理机构查验对投标人上传投标文件进行资格审查，符合资格审查要求有关规定的有效的投标人，其投标文件才能由评标委员会进行评审。</w:t>
      </w:r>
    </w:p>
    <w:p w14:paraId="381708B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6.4评标</w:t>
      </w:r>
    </w:p>
    <w:p w14:paraId="5D86812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评标委员会按照第三章“评标办法”规定的方法、评审因素、标准和程序对供应商资格及投标文件进行评审。第三章“评标办法”没有规定的方法、评审因素和标准，不作为评标依据。</w:t>
      </w:r>
    </w:p>
    <w:p w14:paraId="349B805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  合同授予</w:t>
      </w:r>
      <w:bookmarkStart w:id="43" w:name="_bookmark60"/>
      <w:bookmarkEnd w:id="43"/>
    </w:p>
    <w:p w14:paraId="15F28F9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7.1 定标、中标公告、中标通知书发出</w:t>
      </w:r>
    </w:p>
    <w:p w14:paraId="7A8E693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7.1.1采购人和其委托的采购代理机构，在评标结束当日完成评标报告报送、中标供应商确定、中标公告发布、中标通知书发出。</w:t>
      </w:r>
    </w:p>
    <w:p w14:paraId="6BC4A88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7.1.2确定排名第一的中标候选人为中标供应商。当确定中标的中标候选人放弃中标或因不可抗力提出不能履行合同的，采购人可以按序确定排名第二的中标候选人为中标供应商，以此类推。</w:t>
      </w:r>
    </w:p>
    <w:p w14:paraId="0CE04E7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7.1.3按照供应商须知前附表的规定，采购人或采购人授权的评标委员会依法确定中标人。</w:t>
      </w:r>
    </w:p>
    <w:p w14:paraId="40143A1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7.1.4采购人不承诺将合同授予报价最低的或最高的中标候选人。</w:t>
      </w:r>
    </w:p>
    <w:p w14:paraId="372B99E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7.2</w:t>
      </w:r>
      <w:bookmarkStart w:id="44" w:name="_bookmark62"/>
      <w:bookmarkEnd w:id="44"/>
      <w:r>
        <w:rPr>
          <w:rFonts w:hint="eastAsia" w:ascii="宋体" w:hAnsi="宋体" w:eastAsia="宋体" w:cs="宋体"/>
          <w:kern w:val="0"/>
          <w:sz w:val="24"/>
        </w:rPr>
        <w:t>、质疑和投诉</w:t>
      </w:r>
    </w:p>
    <w:p w14:paraId="60F75AA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7.2.1供应商认为本次招标活动的招标文件、采购过程和中标结果使自己的权益受到损害的，有权按规定的程序在知道或应知其权益受到损害之日起7个工作日内实名向采购人、采购代理机构提出书面质疑；</w:t>
      </w:r>
    </w:p>
    <w:p w14:paraId="652E191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7.2.2对采购人、采购代理机构的答复不满意或者采购人、采购代理机构未在规定的时间内作出答复的，可以在答复期满后15个工作日内实名向（项目所属）同级政府采购监督管理部门投诉。</w:t>
      </w:r>
    </w:p>
    <w:p w14:paraId="256CF67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7.2.3质疑和投诉应有具体的质疑（投诉）事项和必要的证明材料或事实根据，供应商对其质疑和投诉内容的真实性及其来源的合法性承担法律责任。</w:t>
      </w:r>
    </w:p>
    <w:p w14:paraId="44F88EF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7.3  中标人履约能力审查</w:t>
      </w:r>
    </w:p>
    <w:p w14:paraId="5DF8F17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中标人的经营、财务状况发生较大变化或存在违法行为，采购人认为可能影响其履约能力的，将在发出中标通知书前按照招标文件规定的标准和方法进行重新审查确认。</w:t>
      </w:r>
      <w:bookmarkStart w:id="45" w:name="_bookmark63"/>
      <w:bookmarkEnd w:id="45"/>
    </w:p>
    <w:p w14:paraId="3734C598">
      <w:pPr>
        <w:widowControl/>
        <w:spacing w:line="600" w:lineRule="exact"/>
        <w:ind w:firstLine="480" w:firstLineChars="200"/>
        <w:jc w:val="left"/>
        <w:rPr>
          <w:rFonts w:ascii="宋体" w:hAnsi="宋体" w:eastAsia="宋体" w:cs="宋体"/>
          <w:kern w:val="0"/>
          <w:sz w:val="24"/>
        </w:rPr>
      </w:pPr>
      <w:bookmarkStart w:id="46" w:name="_bookmark65"/>
      <w:bookmarkEnd w:id="46"/>
      <w:bookmarkStart w:id="47" w:name="_bookmark64"/>
      <w:bookmarkEnd w:id="47"/>
      <w:r>
        <w:rPr>
          <w:rFonts w:hint="eastAsia" w:ascii="宋体" w:hAnsi="宋体" w:eastAsia="宋体" w:cs="宋体"/>
          <w:kern w:val="0"/>
          <w:sz w:val="24"/>
        </w:rPr>
        <w:t>7.4中标通知书</w:t>
      </w:r>
    </w:p>
    <w:p w14:paraId="1A9B30C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采购人或者采购代理机构应当向中标人发出中标通知书，对未中标的供应商，不做任何未中标原因的解释。所有投标文件不予退还。</w:t>
      </w:r>
    </w:p>
    <w:p w14:paraId="248FB66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7.5 履约保证金</w:t>
      </w:r>
    </w:p>
    <w:p w14:paraId="05624707">
      <w:pPr>
        <w:widowControl/>
        <w:spacing w:line="600" w:lineRule="exact"/>
        <w:ind w:firstLine="480" w:firstLineChars="200"/>
        <w:jc w:val="left"/>
        <w:rPr>
          <w:rFonts w:ascii="宋体" w:hAnsi="宋体" w:eastAsia="宋体" w:cs="宋体"/>
          <w:kern w:val="0"/>
          <w:sz w:val="24"/>
        </w:rPr>
      </w:pPr>
      <w:bookmarkStart w:id="48" w:name="_bookmark66"/>
      <w:bookmarkEnd w:id="48"/>
      <w:r>
        <w:rPr>
          <w:rFonts w:hint="eastAsia" w:ascii="宋体" w:hAnsi="宋体" w:eastAsia="宋体" w:cs="宋体"/>
          <w:kern w:val="0"/>
          <w:sz w:val="24"/>
        </w:rPr>
        <w:t>无</w:t>
      </w:r>
    </w:p>
    <w:p w14:paraId="3D22C8A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7.7 签订合同</w:t>
      </w:r>
    </w:p>
    <w:p w14:paraId="212ECDE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7.7.1 采购人与中标供应商将于中标通知书发出之日起</w:t>
      </w:r>
      <w:r>
        <w:rPr>
          <w:rFonts w:hint="eastAsia" w:ascii="宋体" w:hAnsi="宋体" w:eastAsia="宋体" w:cs="宋体"/>
          <w:kern w:val="0"/>
          <w:sz w:val="24"/>
          <w:lang w:val="en-US" w:eastAsia="zh-CN"/>
        </w:rPr>
        <w:t>1</w:t>
      </w:r>
      <w:r>
        <w:rPr>
          <w:rFonts w:hint="eastAsia" w:ascii="宋体" w:hAnsi="宋体" w:eastAsia="宋体" w:cs="宋体"/>
          <w:kern w:val="0"/>
          <w:sz w:val="24"/>
        </w:rPr>
        <w:t>个工作日内，按照招标文件及中标供应商的电子化投标文件订立书面采购合同，采购人和中标供应商不得再行订立背离合同实质性内容的其他协议。</w:t>
      </w:r>
    </w:p>
    <w:p w14:paraId="0758F40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采购人应当在合同签订后</w:t>
      </w:r>
      <w:r>
        <w:rPr>
          <w:rFonts w:hint="eastAsia" w:ascii="宋体" w:hAnsi="宋体" w:eastAsia="宋体" w:cs="宋体"/>
          <w:kern w:val="0"/>
          <w:sz w:val="24"/>
          <w:lang w:val="en-US" w:eastAsia="zh-CN"/>
        </w:rPr>
        <w:t>2</w:t>
      </w:r>
      <w:r>
        <w:rPr>
          <w:rFonts w:hint="eastAsia" w:ascii="宋体" w:hAnsi="宋体" w:eastAsia="宋体" w:cs="宋体"/>
          <w:kern w:val="0"/>
          <w:sz w:val="24"/>
        </w:rPr>
        <w:t>个工作日内在河南省政府采购网公示采购合同，并完成合同备案。</w:t>
      </w:r>
    </w:p>
    <w:p w14:paraId="1921CE9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7.7.2 发出中标通知书后，采购人无正当理由拒签合同，或者在签订合同时向中标人提出附加条件的，给中标人造成损失的，还应当赔偿损失。</w:t>
      </w:r>
      <w:bookmarkStart w:id="49" w:name="_bookmark67"/>
      <w:bookmarkEnd w:id="49"/>
    </w:p>
    <w:p w14:paraId="527455D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8.纪律和监督</w:t>
      </w:r>
    </w:p>
    <w:p w14:paraId="34BFFBDD">
      <w:pPr>
        <w:widowControl/>
        <w:spacing w:line="600" w:lineRule="exact"/>
        <w:ind w:firstLine="480" w:firstLineChars="200"/>
        <w:jc w:val="left"/>
        <w:rPr>
          <w:rFonts w:ascii="宋体" w:hAnsi="宋体" w:eastAsia="宋体" w:cs="宋体"/>
          <w:kern w:val="0"/>
          <w:sz w:val="24"/>
        </w:rPr>
      </w:pPr>
      <w:bookmarkStart w:id="50" w:name="_bookmark68"/>
      <w:bookmarkEnd w:id="50"/>
      <w:r>
        <w:rPr>
          <w:rFonts w:hint="eastAsia" w:ascii="宋体" w:hAnsi="宋体" w:eastAsia="宋体" w:cs="宋体"/>
          <w:kern w:val="0"/>
          <w:sz w:val="24"/>
        </w:rPr>
        <w:t>8.1对采购人的纪律要求</w:t>
      </w:r>
    </w:p>
    <w:p w14:paraId="6CE972B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采购人不得泄露招标投标活动中应当保密的情况和资料，不得与供应商串通损害国家利益、社会公共利益或者他人合法权益。</w:t>
      </w:r>
      <w:bookmarkStart w:id="51" w:name="_bookmark69"/>
      <w:bookmarkEnd w:id="51"/>
    </w:p>
    <w:p w14:paraId="42D5C2F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 xml:space="preserve"> 8.2 对供应商的纪律要求</w:t>
      </w:r>
    </w:p>
    <w:p w14:paraId="1C4A423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（1）供应商不得相互串通投标或者与采购人串通投标，</w:t>
      </w:r>
    </w:p>
    <w:p w14:paraId="465BEA6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（2）不得向采购人或者评标委员会成员行贿谋取中标，</w:t>
      </w:r>
    </w:p>
    <w:p w14:paraId="1EE5C30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（3）不得以他人名义投标或者以其他方式弄虚作假骗取中标，</w:t>
      </w:r>
    </w:p>
    <w:p w14:paraId="05C4840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（4）不得恶意低价抢标；</w:t>
      </w:r>
    </w:p>
    <w:p w14:paraId="57D25F8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（5）供应商不得以任何方式干扰、影响评标工作。</w:t>
      </w:r>
    </w:p>
    <w:p w14:paraId="023DAA5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（6）不得向采购人提出不合理的要求作为签订合同的条件；</w:t>
      </w:r>
    </w:p>
    <w:p w14:paraId="76E3BBF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（7）不得无正当理由放弃中标或中标后拒绝与采购人签订合同；</w:t>
      </w:r>
    </w:p>
    <w:p w14:paraId="380D7A9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（8）不得恶意诋毁其他供应商、采购人或采购代理机构；</w:t>
      </w:r>
    </w:p>
    <w:p w14:paraId="4C5FC6FF">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 xml:space="preserve">（9）在参与政府采购活动中，不得有其他违法违规行为。 </w:t>
      </w:r>
    </w:p>
    <w:p w14:paraId="013058F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8.3对评标委员会成员的纪律要求</w:t>
      </w:r>
    </w:p>
    <w:p w14:paraId="21F89E5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54A8249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（1）确定参与评标至评标结束前，不得私自接触供应商；</w:t>
      </w:r>
    </w:p>
    <w:p w14:paraId="2C4D5E2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（2）不得接受供应商提出的与投标文件不一致的澄清和说明；</w:t>
      </w:r>
    </w:p>
    <w:p w14:paraId="4A44626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（3）不得征询采购人的倾向性意见；</w:t>
      </w:r>
    </w:p>
    <w:p w14:paraId="4D30039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（7）不得对主观评审因素协商评分；</w:t>
      </w:r>
    </w:p>
    <w:p w14:paraId="17919D5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（8）不得对客观评审因素评分不一致；</w:t>
      </w:r>
    </w:p>
    <w:p w14:paraId="0F37C8A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（6）评标委员会成员不得接受供应商、采购人和采购代理机构等他人的贿赂或者其他不正当利益；</w:t>
      </w:r>
    </w:p>
    <w:p w14:paraId="4464727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（7）不得以不合理的条件对供应商实行差别待遇或者歧视待遇，排斥其他供应商公平参与竞争；</w:t>
      </w:r>
    </w:p>
    <w:p w14:paraId="7A53A94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（8）不得诱导、干预或影响其他评标专家依法依规独立评标；</w:t>
      </w:r>
    </w:p>
    <w:p w14:paraId="11E5395C">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（9）在评标活动中，评标委员会成员不得擅离职守，影响评标工作正常进行；</w:t>
      </w:r>
    </w:p>
    <w:p w14:paraId="1554D87B">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（10）不得记录、复制或带走任何评标资料；</w:t>
      </w:r>
    </w:p>
    <w:p w14:paraId="1E5DD627">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（11）不得泄露评标过程中获悉的对投标文件的评审和比较、中标候选人的推荐情况以及与评标有关的应当保密的情况和资料；</w:t>
      </w:r>
    </w:p>
    <w:p w14:paraId="4306B8B3">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（12）评标委员会成员与供应商存在利害关系应当回避；</w:t>
      </w:r>
    </w:p>
    <w:p w14:paraId="5F7F7520">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 xml:space="preserve">（13）在参与政府采购评标活动中，不得有其他违法违规行为。 </w:t>
      </w:r>
      <w:bookmarkStart w:id="52" w:name="_bookmark71"/>
      <w:bookmarkEnd w:id="52"/>
    </w:p>
    <w:p w14:paraId="4FFB1125">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8.4 对与评标活动有关的工作人员的纪律要求</w:t>
      </w:r>
    </w:p>
    <w:p w14:paraId="6B942B38">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与评标活动有关的工作人员不得收受他人的财物或者其他好处，不得向他人透露对投标文 件的评审和比较、中标候选人的推荐情况以及评标有关的其他情况。在评标活动中，与评标活动有关的工作人员不得擅离职守，影响评标程序正常进行,与供应商有利害关系的应当回避,在参与或服务政府采购活动中，不得有其他违法违规行为。</w:t>
      </w:r>
      <w:bookmarkStart w:id="53" w:name="_bookmark72"/>
      <w:bookmarkEnd w:id="53"/>
    </w:p>
    <w:p w14:paraId="26E0C9A0">
      <w:pPr>
        <w:widowControl/>
        <w:spacing w:line="600" w:lineRule="exact"/>
        <w:ind w:firstLine="480" w:firstLineChars="200"/>
        <w:jc w:val="left"/>
        <w:rPr>
          <w:rFonts w:ascii="宋体" w:hAnsi="宋体" w:eastAsia="宋体" w:cs="宋体"/>
          <w:kern w:val="0"/>
          <w:sz w:val="24"/>
        </w:rPr>
      </w:pPr>
      <w:bookmarkStart w:id="54" w:name="_bookmark74"/>
      <w:bookmarkEnd w:id="54"/>
      <w:bookmarkStart w:id="55" w:name="_bookmark73"/>
      <w:bookmarkEnd w:id="55"/>
      <w:r>
        <w:rPr>
          <w:rFonts w:hint="eastAsia" w:ascii="宋体" w:hAnsi="宋体" w:eastAsia="宋体" w:cs="宋体"/>
          <w:kern w:val="0"/>
          <w:sz w:val="24"/>
        </w:rPr>
        <w:t>9.重新采购和改变采购方式</w:t>
      </w:r>
    </w:p>
    <w:p w14:paraId="7525A3B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9.1重新采购</w:t>
      </w:r>
    </w:p>
    <w:p w14:paraId="075376D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有下列情形之一的，采购人将重新采购：</w:t>
      </w:r>
    </w:p>
    <w:p w14:paraId="1A86DE3B">
      <w:pPr>
        <w:widowControl/>
        <w:spacing w:line="600" w:lineRule="exact"/>
        <w:ind w:firstLine="480" w:firstLineChars="200"/>
        <w:jc w:val="left"/>
        <w:rPr>
          <w:rFonts w:ascii="宋体" w:hAnsi="宋体" w:eastAsia="宋体" w:cs="宋体"/>
          <w:kern w:val="0"/>
          <w:sz w:val="24"/>
        </w:rPr>
      </w:pPr>
      <w:bookmarkStart w:id="56" w:name="bookmark109"/>
      <w:r>
        <w:rPr>
          <w:rFonts w:hint="eastAsia" w:ascii="宋体" w:hAnsi="宋体" w:eastAsia="宋体" w:cs="宋体"/>
          <w:kern w:val="0"/>
          <w:sz w:val="24"/>
        </w:rPr>
        <w:t>（</w:t>
      </w:r>
      <w:bookmarkEnd w:id="56"/>
      <w:r>
        <w:rPr>
          <w:rFonts w:hint="eastAsia" w:ascii="宋体" w:hAnsi="宋体" w:eastAsia="宋体" w:cs="宋体"/>
          <w:kern w:val="0"/>
          <w:sz w:val="24"/>
        </w:rPr>
        <w:t>1）投标截止时间止，供应商少于3家的；</w:t>
      </w:r>
    </w:p>
    <w:p w14:paraId="1787C9BF">
      <w:pPr>
        <w:widowControl/>
        <w:spacing w:line="600" w:lineRule="exact"/>
        <w:ind w:firstLine="480" w:firstLineChars="200"/>
        <w:jc w:val="left"/>
        <w:rPr>
          <w:rFonts w:ascii="宋体" w:hAnsi="宋体" w:eastAsia="宋体" w:cs="宋体"/>
          <w:kern w:val="0"/>
          <w:sz w:val="24"/>
        </w:rPr>
      </w:pPr>
      <w:bookmarkStart w:id="57" w:name="bookmark110"/>
      <w:r>
        <w:rPr>
          <w:rFonts w:hint="eastAsia" w:ascii="宋体" w:hAnsi="宋体" w:eastAsia="宋体" w:cs="宋体"/>
          <w:kern w:val="0"/>
          <w:sz w:val="24"/>
        </w:rPr>
        <w:t>（</w:t>
      </w:r>
      <w:bookmarkEnd w:id="57"/>
      <w:r>
        <w:rPr>
          <w:rFonts w:hint="eastAsia" w:ascii="宋体" w:hAnsi="宋体" w:eastAsia="宋体" w:cs="宋体"/>
          <w:kern w:val="0"/>
          <w:sz w:val="24"/>
        </w:rPr>
        <w:t>2）经评标委员会评审后否决所有投标的。</w:t>
      </w:r>
    </w:p>
    <w:p w14:paraId="38EE25AC">
      <w:pPr>
        <w:widowControl/>
        <w:spacing w:line="600" w:lineRule="exact"/>
        <w:ind w:firstLine="480" w:firstLineChars="200"/>
        <w:jc w:val="left"/>
        <w:rPr>
          <w:rFonts w:ascii="宋体" w:hAnsi="宋体" w:eastAsia="宋体" w:cs="宋体"/>
          <w:kern w:val="0"/>
          <w:sz w:val="24"/>
        </w:rPr>
      </w:pPr>
      <w:bookmarkStart w:id="58" w:name="bookmark111"/>
      <w:r>
        <w:rPr>
          <w:rFonts w:hint="eastAsia" w:ascii="宋体" w:hAnsi="宋体" w:eastAsia="宋体" w:cs="宋体"/>
          <w:kern w:val="0"/>
          <w:sz w:val="24"/>
        </w:rPr>
        <w:t>（</w:t>
      </w:r>
      <w:bookmarkEnd w:id="58"/>
      <w:r>
        <w:rPr>
          <w:rFonts w:hint="eastAsia" w:ascii="宋体" w:hAnsi="宋体" w:eastAsia="宋体" w:cs="宋体"/>
          <w:kern w:val="0"/>
          <w:sz w:val="24"/>
        </w:rPr>
        <w:t>3）在评标环节对招标文件实质性响应合格的供应商不足3家，导致项目流标的。</w:t>
      </w:r>
    </w:p>
    <w:p w14:paraId="66764A5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9.2改变釆购方式</w:t>
      </w:r>
    </w:p>
    <w:p w14:paraId="5C5BAE2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重新采购后供应商仍少于3家或者所有投标被否决的，属于必须审批或核准的采购项目，经原审批或核准部门批准后改变釆购方式。</w:t>
      </w:r>
    </w:p>
    <w:p w14:paraId="7CF6F192">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10.解释权</w:t>
      </w:r>
    </w:p>
    <w:p w14:paraId="64A8D21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10.1.见供应商须知前附表。</w:t>
      </w:r>
    </w:p>
    <w:p w14:paraId="35B734FA">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 需要补充的其他内容</w:t>
      </w:r>
    </w:p>
    <w:p w14:paraId="4424F31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11.1 评标过程的保密</w:t>
      </w:r>
    </w:p>
    <w:p w14:paraId="7B5FB536">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11.1.1开标后，直至授予中标人合同为止，凡属于对投标文件的审查、澄清、评价和比较有关的资料，中标候选人的推荐情况，及其他任何与评标有关的情况均应严格保密。</w:t>
      </w:r>
    </w:p>
    <w:p w14:paraId="48F6532E">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11.1.2在投标文件的评审和比较、中标候选人推荐以及授予合同的过程中，供应商向采购人和评标委员会施加影响的任何行为，都将会导致其投标被拒绝。</w:t>
      </w:r>
    </w:p>
    <w:p w14:paraId="02082BC4">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11.1.3中标人确定后，采购人不对未中标单位就评标过程以及未能中标原因作出任何解释。未中标人不得向评标委员会组成人员或其他有关人员索问评标过程的情况和材料。</w:t>
      </w:r>
    </w:p>
    <w:p w14:paraId="58AB66D1">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11.2 未尽事宜按国家有关规定执行。</w:t>
      </w:r>
    </w:p>
    <w:p w14:paraId="5C0D2019">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11.3 本招标文件最终解释权归采购人。</w:t>
      </w:r>
    </w:p>
    <w:p w14:paraId="335ABE9D">
      <w:pPr>
        <w:widowControl/>
        <w:spacing w:line="6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11.4 需要补充的其他内容：见供应商须知前附表。</w:t>
      </w:r>
    </w:p>
    <w:p w14:paraId="4E653A07">
      <w:pPr>
        <w:pStyle w:val="13"/>
        <w:spacing w:beforeAutospacing="0" w:afterAutospacing="0" w:line="600" w:lineRule="exact"/>
        <w:ind w:firstLine="465"/>
        <w:jc w:val="both"/>
        <w:rPr>
          <w:rFonts w:ascii="宋体" w:hAnsi="宋体" w:eastAsia="宋体" w:cs="宋体"/>
          <w:b/>
          <w:bCs/>
        </w:rPr>
      </w:pPr>
      <w:r>
        <w:rPr>
          <w:rFonts w:hint="eastAsia" w:ascii="宋体" w:hAnsi="宋体" w:eastAsia="宋体" w:cs="宋体"/>
          <w:b/>
          <w:bCs/>
        </w:rPr>
        <w:t>12.招标代理服务收费参照豫招协[2023]002号河南省招标投标协会关于印发《河南省招标代理服务收费指导意见》规定的收费标准的收取中标服务费。</w:t>
      </w:r>
    </w:p>
    <w:p w14:paraId="3F0469BF">
      <w:pPr>
        <w:pStyle w:val="23"/>
        <w:tabs>
          <w:tab w:val="left" w:pos="1341"/>
        </w:tabs>
        <w:autoSpaceDE w:val="0"/>
        <w:autoSpaceDN w:val="0"/>
        <w:ind w:left="0" w:firstLine="0"/>
        <w:rPr>
          <w:rFonts w:ascii="宋体" w:hAnsi="宋体" w:eastAsia="宋体" w:cs="宋体"/>
          <w:b/>
          <w:bCs/>
          <w:spacing w:val="-1"/>
          <w:sz w:val="24"/>
        </w:rPr>
      </w:pPr>
    </w:p>
    <w:p w14:paraId="0A76AFEB">
      <w:pPr>
        <w:pStyle w:val="23"/>
        <w:tabs>
          <w:tab w:val="left" w:pos="1341"/>
        </w:tabs>
        <w:autoSpaceDE w:val="0"/>
        <w:autoSpaceDN w:val="0"/>
        <w:ind w:left="0" w:firstLine="717" w:firstLineChars="300"/>
        <w:outlineLvl w:val="0"/>
        <w:rPr>
          <w:rFonts w:ascii="宋体" w:hAnsi="宋体" w:eastAsia="宋体" w:cs="宋体"/>
          <w:b/>
          <w:bCs/>
          <w:spacing w:val="-1"/>
          <w:sz w:val="24"/>
        </w:rPr>
      </w:pPr>
      <w:bookmarkStart w:id="59" w:name="_Toc4061"/>
      <w:r>
        <w:rPr>
          <w:rFonts w:hint="eastAsia" w:ascii="宋体" w:hAnsi="宋体" w:eastAsia="宋体" w:cs="宋体"/>
          <w:b/>
          <w:bCs/>
          <w:spacing w:val="-1"/>
          <w:sz w:val="24"/>
        </w:rPr>
        <w:t>河南省招标代理服务费计算标准</w:t>
      </w:r>
      <w:bookmarkEnd w:id="59"/>
    </w:p>
    <w:tbl>
      <w:tblPr>
        <w:tblStyle w:val="17"/>
        <w:tblpPr w:leftFromText="180" w:rightFromText="180" w:vertAnchor="text" w:horzAnchor="page" w:tblpX="1421" w:tblpY="481"/>
        <w:tblOverlap w:val="never"/>
        <w:tblW w:w="0" w:type="auto"/>
        <w:tblInd w:w="0" w:type="dxa"/>
        <w:tblLayout w:type="fixed"/>
        <w:tblCellMar>
          <w:top w:w="0" w:type="dxa"/>
          <w:left w:w="15" w:type="dxa"/>
          <w:bottom w:w="0" w:type="dxa"/>
          <w:right w:w="15" w:type="dxa"/>
        </w:tblCellMar>
      </w:tblPr>
      <w:tblGrid>
        <w:gridCol w:w="3994"/>
        <w:gridCol w:w="1642"/>
        <w:gridCol w:w="1433"/>
        <w:gridCol w:w="1711"/>
      </w:tblGrid>
      <w:tr w14:paraId="14D74131">
        <w:tblPrEx>
          <w:tblCellMar>
            <w:top w:w="0" w:type="dxa"/>
            <w:left w:w="15" w:type="dxa"/>
            <w:bottom w:w="0" w:type="dxa"/>
            <w:right w:w="15" w:type="dxa"/>
          </w:tblCellMar>
        </w:tblPrEx>
        <w:trPr>
          <w:trHeight w:val="504" w:hRule="atLeast"/>
        </w:trPr>
        <w:tc>
          <w:tcPr>
            <w:tcW w:w="3994" w:type="dxa"/>
            <w:tcBorders>
              <w:top w:val="single" w:color="000000" w:sz="4" w:space="0"/>
              <w:left w:val="single" w:color="000000" w:sz="4" w:space="0"/>
              <w:bottom w:val="single" w:color="000000" w:sz="4" w:space="0"/>
              <w:right w:val="single" w:color="000000" w:sz="4" w:space="0"/>
            </w:tcBorders>
            <w:vAlign w:val="center"/>
          </w:tcPr>
          <w:p w14:paraId="647F1DF7">
            <w:pPr>
              <w:autoSpaceDN w:val="0"/>
              <w:jc w:val="center"/>
              <w:textAlignment w:val="center"/>
              <w:rPr>
                <w:rFonts w:ascii="宋体" w:hAnsi="宋体" w:eastAsia="宋体"/>
                <w:sz w:val="24"/>
                <w:szCs w:val="18"/>
              </w:rPr>
            </w:pPr>
            <w:r>
              <w:rPr>
                <w:rFonts w:ascii="宋体" w:hAnsi="宋体" w:eastAsia="宋体"/>
                <w:sz w:val="24"/>
                <w:szCs w:val="18"/>
              </w:rPr>
              <w:t>项目类型/（金额万元）</w:t>
            </w:r>
          </w:p>
        </w:tc>
        <w:tc>
          <w:tcPr>
            <w:tcW w:w="1642" w:type="dxa"/>
            <w:tcBorders>
              <w:top w:val="single" w:color="000000" w:sz="4" w:space="0"/>
              <w:left w:val="single" w:color="000000" w:sz="4" w:space="0"/>
              <w:bottom w:val="single" w:color="000000" w:sz="4" w:space="0"/>
              <w:right w:val="single" w:color="000000" w:sz="4" w:space="0"/>
            </w:tcBorders>
            <w:vAlign w:val="center"/>
          </w:tcPr>
          <w:p w14:paraId="158F6BE1">
            <w:pPr>
              <w:autoSpaceDN w:val="0"/>
              <w:jc w:val="center"/>
              <w:textAlignment w:val="center"/>
              <w:rPr>
                <w:rFonts w:ascii="宋体" w:hAnsi="宋体" w:eastAsia="宋体"/>
                <w:sz w:val="24"/>
                <w:szCs w:val="18"/>
              </w:rPr>
            </w:pPr>
            <w:r>
              <w:rPr>
                <w:rFonts w:ascii="宋体" w:hAnsi="宋体" w:eastAsia="宋体"/>
                <w:sz w:val="24"/>
                <w:szCs w:val="18"/>
              </w:rPr>
              <w:t>工程</w:t>
            </w:r>
          </w:p>
        </w:tc>
        <w:tc>
          <w:tcPr>
            <w:tcW w:w="1433" w:type="dxa"/>
            <w:tcBorders>
              <w:top w:val="single" w:color="000000" w:sz="4" w:space="0"/>
              <w:left w:val="single" w:color="000000" w:sz="4" w:space="0"/>
              <w:bottom w:val="single" w:color="000000" w:sz="4" w:space="0"/>
              <w:right w:val="single" w:color="000000" w:sz="4" w:space="0"/>
            </w:tcBorders>
            <w:vAlign w:val="center"/>
          </w:tcPr>
          <w:p w14:paraId="2B11217B">
            <w:pPr>
              <w:autoSpaceDN w:val="0"/>
              <w:jc w:val="center"/>
              <w:textAlignment w:val="center"/>
              <w:rPr>
                <w:rFonts w:ascii="宋体" w:hAnsi="宋体" w:eastAsia="宋体"/>
                <w:sz w:val="24"/>
                <w:szCs w:val="18"/>
              </w:rPr>
            </w:pPr>
            <w:r>
              <w:rPr>
                <w:rFonts w:ascii="宋体" w:hAnsi="宋体" w:eastAsia="宋体"/>
                <w:sz w:val="24"/>
                <w:szCs w:val="18"/>
              </w:rPr>
              <w:t>货物</w:t>
            </w:r>
          </w:p>
        </w:tc>
        <w:tc>
          <w:tcPr>
            <w:tcW w:w="1711" w:type="dxa"/>
            <w:tcBorders>
              <w:top w:val="single" w:color="000000" w:sz="4" w:space="0"/>
              <w:left w:val="single" w:color="000000" w:sz="4" w:space="0"/>
              <w:bottom w:val="single" w:color="000000" w:sz="4" w:space="0"/>
              <w:right w:val="single" w:color="000000" w:sz="4" w:space="0"/>
            </w:tcBorders>
            <w:vAlign w:val="center"/>
          </w:tcPr>
          <w:p w14:paraId="1C9B1416">
            <w:pPr>
              <w:autoSpaceDN w:val="0"/>
              <w:jc w:val="center"/>
              <w:textAlignment w:val="center"/>
              <w:rPr>
                <w:rFonts w:ascii="宋体" w:hAnsi="宋体" w:eastAsia="宋体"/>
                <w:sz w:val="24"/>
                <w:szCs w:val="18"/>
              </w:rPr>
            </w:pPr>
            <w:r>
              <w:rPr>
                <w:rFonts w:ascii="宋体" w:hAnsi="宋体" w:eastAsia="宋体"/>
                <w:sz w:val="24"/>
                <w:szCs w:val="18"/>
              </w:rPr>
              <w:t>服务</w:t>
            </w:r>
          </w:p>
        </w:tc>
      </w:tr>
      <w:tr w14:paraId="446C9BC4">
        <w:tblPrEx>
          <w:tblCellMar>
            <w:top w:w="0" w:type="dxa"/>
            <w:left w:w="15" w:type="dxa"/>
            <w:bottom w:w="0" w:type="dxa"/>
            <w:right w:w="15" w:type="dxa"/>
          </w:tblCellMar>
        </w:tblPrEx>
        <w:trPr>
          <w:trHeight w:val="504" w:hRule="atLeast"/>
        </w:trPr>
        <w:tc>
          <w:tcPr>
            <w:tcW w:w="3994" w:type="dxa"/>
            <w:tcBorders>
              <w:top w:val="single" w:color="000000" w:sz="4" w:space="0"/>
              <w:left w:val="single" w:color="000000" w:sz="4" w:space="0"/>
              <w:bottom w:val="single" w:color="000000" w:sz="4" w:space="0"/>
              <w:right w:val="single" w:color="000000" w:sz="4" w:space="0"/>
            </w:tcBorders>
            <w:vAlign w:val="center"/>
          </w:tcPr>
          <w:p w14:paraId="0FFEC175">
            <w:pPr>
              <w:autoSpaceDN w:val="0"/>
              <w:jc w:val="left"/>
              <w:textAlignment w:val="center"/>
              <w:rPr>
                <w:rFonts w:ascii="宋体" w:hAnsi="宋体" w:eastAsia="宋体"/>
                <w:sz w:val="24"/>
                <w:szCs w:val="18"/>
              </w:rPr>
            </w:pPr>
            <w:r>
              <w:rPr>
                <w:rFonts w:ascii="宋体" w:hAnsi="宋体" w:eastAsia="宋体"/>
                <w:sz w:val="24"/>
                <w:szCs w:val="18"/>
              </w:rPr>
              <w:t>100万元以下（含100万元）</w:t>
            </w:r>
          </w:p>
        </w:tc>
        <w:tc>
          <w:tcPr>
            <w:tcW w:w="1642" w:type="dxa"/>
            <w:tcBorders>
              <w:top w:val="single" w:color="000000" w:sz="4" w:space="0"/>
              <w:left w:val="single" w:color="000000" w:sz="4" w:space="0"/>
              <w:bottom w:val="single" w:color="000000" w:sz="4" w:space="0"/>
              <w:right w:val="single" w:color="000000" w:sz="4" w:space="0"/>
            </w:tcBorders>
            <w:vAlign w:val="center"/>
          </w:tcPr>
          <w:p w14:paraId="6E6201EE">
            <w:pPr>
              <w:autoSpaceDN w:val="0"/>
              <w:jc w:val="center"/>
              <w:textAlignment w:val="center"/>
              <w:rPr>
                <w:rFonts w:ascii="宋体" w:hAnsi="宋体" w:eastAsia="宋体"/>
                <w:sz w:val="24"/>
                <w:szCs w:val="18"/>
              </w:rPr>
            </w:pPr>
            <w:r>
              <w:rPr>
                <w:rFonts w:ascii="宋体" w:hAnsi="宋体" w:eastAsia="宋体"/>
                <w:sz w:val="24"/>
                <w:szCs w:val="18"/>
              </w:rPr>
              <w:t>1.20%</w:t>
            </w:r>
          </w:p>
        </w:tc>
        <w:tc>
          <w:tcPr>
            <w:tcW w:w="1433" w:type="dxa"/>
            <w:tcBorders>
              <w:top w:val="single" w:color="000000" w:sz="4" w:space="0"/>
              <w:left w:val="single" w:color="000000" w:sz="4" w:space="0"/>
              <w:bottom w:val="single" w:color="000000" w:sz="4" w:space="0"/>
              <w:right w:val="single" w:color="000000" w:sz="4" w:space="0"/>
            </w:tcBorders>
            <w:vAlign w:val="center"/>
          </w:tcPr>
          <w:p w14:paraId="2E73CFC5">
            <w:pPr>
              <w:autoSpaceDN w:val="0"/>
              <w:jc w:val="center"/>
              <w:textAlignment w:val="center"/>
              <w:rPr>
                <w:rFonts w:ascii="宋体" w:hAnsi="宋体" w:eastAsia="宋体"/>
                <w:sz w:val="24"/>
                <w:szCs w:val="18"/>
              </w:rPr>
            </w:pPr>
            <w:r>
              <w:rPr>
                <w:rFonts w:ascii="宋体" w:hAnsi="宋体" w:eastAsia="宋体"/>
                <w:sz w:val="24"/>
                <w:szCs w:val="18"/>
              </w:rPr>
              <w:t>1.70%</w:t>
            </w:r>
          </w:p>
        </w:tc>
        <w:tc>
          <w:tcPr>
            <w:tcW w:w="1711" w:type="dxa"/>
            <w:tcBorders>
              <w:top w:val="single" w:color="000000" w:sz="4" w:space="0"/>
              <w:left w:val="single" w:color="000000" w:sz="4" w:space="0"/>
              <w:bottom w:val="single" w:color="000000" w:sz="4" w:space="0"/>
              <w:right w:val="single" w:color="000000" w:sz="4" w:space="0"/>
            </w:tcBorders>
            <w:vAlign w:val="center"/>
          </w:tcPr>
          <w:p w14:paraId="631C5A7D">
            <w:pPr>
              <w:autoSpaceDN w:val="0"/>
              <w:jc w:val="center"/>
              <w:textAlignment w:val="center"/>
              <w:rPr>
                <w:rFonts w:ascii="宋体" w:hAnsi="宋体" w:eastAsia="宋体"/>
                <w:sz w:val="24"/>
                <w:szCs w:val="18"/>
              </w:rPr>
            </w:pPr>
            <w:r>
              <w:rPr>
                <w:rFonts w:ascii="宋体" w:hAnsi="宋体" w:eastAsia="宋体"/>
                <w:sz w:val="24"/>
                <w:szCs w:val="18"/>
              </w:rPr>
              <w:t>1.70%</w:t>
            </w:r>
          </w:p>
        </w:tc>
      </w:tr>
      <w:tr w14:paraId="1DC544F5">
        <w:tblPrEx>
          <w:tblCellMar>
            <w:top w:w="0" w:type="dxa"/>
            <w:left w:w="15" w:type="dxa"/>
            <w:bottom w:w="0" w:type="dxa"/>
            <w:right w:w="15" w:type="dxa"/>
          </w:tblCellMar>
        </w:tblPrEx>
        <w:trPr>
          <w:trHeight w:val="474" w:hRule="atLeast"/>
        </w:trPr>
        <w:tc>
          <w:tcPr>
            <w:tcW w:w="3994" w:type="dxa"/>
            <w:tcBorders>
              <w:top w:val="single" w:color="000000" w:sz="4" w:space="0"/>
              <w:left w:val="single" w:color="000000" w:sz="4" w:space="0"/>
              <w:bottom w:val="single" w:color="000000" w:sz="4" w:space="0"/>
              <w:right w:val="single" w:color="000000" w:sz="4" w:space="0"/>
            </w:tcBorders>
            <w:vAlign w:val="center"/>
          </w:tcPr>
          <w:p w14:paraId="346B1F83">
            <w:pPr>
              <w:autoSpaceDN w:val="0"/>
              <w:jc w:val="left"/>
              <w:textAlignment w:val="center"/>
              <w:rPr>
                <w:rFonts w:ascii="宋体" w:hAnsi="宋体" w:eastAsia="宋体"/>
                <w:sz w:val="24"/>
                <w:szCs w:val="18"/>
              </w:rPr>
            </w:pPr>
            <w:r>
              <w:rPr>
                <w:rFonts w:ascii="宋体" w:hAnsi="宋体" w:eastAsia="宋体"/>
                <w:sz w:val="24"/>
                <w:szCs w:val="18"/>
              </w:rPr>
              <w:t>100-500万元（含500万元）</w:t>
            </w:r>
          </w:p>
        </w:tc>
        <w:tc>
          <w:tcPr>
            <w:tcW w:w="1642" w:type="dxa"/>
            <w:tcBorders>
              <w:top w:val="single" w:color="000000" w:sz="4" w:space="0"/>
              <w:left w:val="single" w:color="000000" w:sz="4" w:space="0"/>
              <w:bottom w:val="single" w:color="000000" w:sz="4" w:space="0"/>
              <w:right w:val="single" w:color="000000" w:sz="4" w:space="0"/>
            </w:tcBorders>
            <w:vAlign w:val="center"/>
          </w:tcPr>
          <w:p w14:paraId="0BFFBE7A">
            <w:pPr>
              <w:autoSpaceDN w:val="0"/>
              <w:jc w:val="center"/>
              <w:textAlignment w:val="center"/>
              <w:rPr>
                <w:rFonts w:ascii="宋体" w:hAnsi="宋体" w:eastAsia="宋体"/>
                <w:sz w:val="24"/>
                <w:szCs w:val="18"/>
              </w:rPr>
            </w:pPr>
            <w:r>
              <w:rPr>
                <w:rFonts w:ascii="宋体" w:hAnsi="宋体" w:eastAsia="宋体"/>
                <w:sz w:val="24"/>
                <w:szCs w:val="18"/>
              </w:rPr>
              <w:t>1.00%</w:t>
            </w:r>
          </w:p>
        </w:tc>
        <w:tc>
          <w:tcPr>
            <w:tcW w:w="1433" w:type="dxa"/>
            <w:tcBorders>
              <w:top w:val="single" w:color="000000" w:sz="4" w:space="0"/>
              <w:left w:val="single" w:color="000000" w:sz="4" w:space="0"/>
              <w:bottom w:val="single" w:color="000000" w:sz="4" w:space="0"/>
              <w:right w:val="single" w:color="000000" w:sz="4" w:space="0"/>
            </w:tcBorders>
            <w:vAlign w:val="center"/>
          </w:tcPr>
          <w:p w14:paraId="3801C854">
            <w:pPr>
              <w:autoSpaceDN w:val="0"/>
              <w:jc w:val="center"/>
              <w:textAlignment w:val="center"/>
              <w:rPr>
                <w:rFonts w:ascii="宋体" w:hAnsi="宋体" w:eastAsia="宋体"/>
                <w:sz w:val="24"/>
                <w:szCs w:val="18"/>
              </w:rPr>
            </w:pPr>
            <w:r>
              <w:rPr>
                <w:rFonts w:ascii="宋体" w:hAnsi="宋体" w:eastAsia="宋体"/>
                <w:sz w:val="24"/>
                <w:szCs w:val="18"/>
              </w:rPr>
              <w:t>1.20%</w:t>
            </w:r>
          </w:p>
        </w:tc>
        <w:tc>
          <w:tcPr>
            <w:tcW w:w="1711" w:type="dxa"/>
            <w:tcBorders>
              <w:top w:val="single" w:color="000000" w:sz="4" w:space="0"/>
              <w:left w:val="single" w:color="000000" w:sz="4" w:space="0"/>
              <w:bottom w:val="single" w:color="000000" w:sz="4" w:space="0"/>
              <w:right w:val="single" w:color="000000" w:sz="4" w:space="0"/>
            </w:tcBorders>
            <w:vAlign w:val="center"/>
          </w:tcPr>
          <w:p w14:paraId="5B90CE0B">
            <w:pPr>
              <w:autoSpaceDN w:val="0"/>
              <w:jc w:val="center"/>
              <w:textAlignment w:val="center"/>
              <w:rPr>
                <w:rFonts w:ascii="宋体" w:hAnsi="宋体" w:eastAsia="宋体"/>
                <w:sz w:val="24"/>
                <w:szCs w:val="18"/>
              </w:rPr>
            </w:pPr>
            <w:r>
              <w:rPr>
                <w:rFonts w:ascii="宋体" w:hAnsi="宋体" w:eastAsia="宋体"/>
                <w:sz w:val="24"/>
                <w:szCs w:val="18"/>
              </w:rPr>
              <w:t>1.20%</w:t>
            </w:r>
          </w:p>
        </w:tc>
      </w:tr>
      <w:tr w14:paraId="70A156F2">
        <w:tblPrEx>
          <w:tblCellMar>
            <w:top w:w="0" w:type="dxa"/>
            <w:left w:w="15" w:type="dxa"/>
            <w:bottom w:w="0" w:type="dxa"/>
            <w:right w:w="15" w:type="dxa"/>
          </w:tblCellMar>
        </w:tblPrEx>
        <w:trPr>
          <w:trHeight w:val="459" w:hRule="atLeast"/>
        </w:trPr>
        <w:tc>
          <w:tcPr>
            <w:tcW w:w="3994" w:type="dxa"/>
            <w:tcBorders>
              <w:top w:val="single" w:color="000000" w:sz="4" w:space="0"/>
              <w:left w:val="single" w:color="000000" w:sz="4" w:space="0"/>
              <w:bottom w:val="single" w:color="000000" w:sz="4" w:space="0"/>
              <w:right w:val="single" w:color="000000" w:sz="4" w:space="0"/>
            </w:tcBorders>
            <w:vAlign w:val="center"/>
          </w:tcPr>
          <w:p w14:paraId="09B429C4">
            <w:pPr>
              <w:autoSpaceDN w:val="0"/>
              <w:jc w:val="left"/>
              <w:textAlignment w:val="center"/>
              <w:rPr>
                <w:rFonts w:ascii="宋体" w:hAnsi="宋体" w:eastAsia="宋体"/>
                <w:sz w:val="24"/>
                <w:szCs w:val="18"/>
              </w:rPr>
            </w:pPr>
            <w:r>
              <w:rPr>
                <w:rFonts w:ascii="宋体" w:hAnsi="宋体" w:eastAsia="宋体"/>
                <w:sz w:val="24"/>
                <w:szCs w:val="18"/>
              </w:rPr>
              <w:t>500-1000万元（含1000万元）</w:t>
            </w:r>
          </w:p>
        </w:tc>
        <w:tc>
          <w:tcPr>
            <w:tcW w:w="1642" w:type="dxa"/>
            <w:tcBorders>
              <w:top w:val="single" w:color="000000" w:sz="4" w:space="0"/>
              <w:left w:val="single" w:color="000000" w:sz="4" w:space="0"/>
              <w:bottom w:val="single" w:color="000000" w:sz="4" w:space="0"/>
              <w:right w:val="single" w:color="000000" w:sz="4" w:space="0"/>
            </w:tcBorders>
            <w:vAlign w:val="center"/>
          </w:tcPr>
          <w:p w14:paraId="2C962D64">
            <w:pPr>
              <w:autoSpaceDN w:val="0"/>
              <w:jc w:val="center"/>
              <w:textAlignment w:val="center"/>
              <w:rPr>
                <w:rFonts w:ascii="宋体" w:hAnsi="宋体" w:eastAsia="宋体"/>
                <w:sz w:val="24"/>
                <w:szCs w:val="18"/>
              </w:rPr>
            </w:pPr>
            <w:r>
              <w:rPr>
                <w:rFonts w:ascii="宋体" w:hAnsi="宋体" w:eastAsia="宋体"/>
                <w:sz w:val="24"/>
                <w:szCs w:val="18"/>
              </w:rPr>
              <w:t>0.70%</w:t>
            </w:r>
          </w:p>
        </w:tc>
        <w:tc>
          <w:tcPr>
            <w:tcW w:w="1433" w:type="dxa"/>
            <w:tcBorders>
              <w:top w:val="single" w:color="000000" w:sz="4" w:space="0"/>
              <w:left w:val="single" w:color="000000" w:sz="4" w:space="0"/>
              <w:bottom w:val="single" w:color="000000" w:sz="4" w:space="0"/>
              <w:right w:val="single" w:color="000000" w:sz="4" w:space="0"/>
            </w:tcBorders>
            <w:vAlign w:val="center"/>
          </w:tcPr>
          <w:p w14:paraId="5FA677F9">
            <w:pPr>
              <w:autoSpaceDN w:val="0"/>
              <w:jc w:val="center"/>
              <w:textAlignment w:val="center"/>
              <w:rPr>
                <w:rFonts w:ascii="宋体" w:hAnsi="宋体" w:eastAsia="宋体"/>
                <w:sz w:val="24"/>
                <w:szCs w:val="18"/>
              </w:rPr>
            </w:pPr>
            <w:r>
              <w:rPr>
                <w:rFonts w:ascii="宋体" w:hAnsi="宋体" w:eastAsia="宋体"/>
                <w:sz w:val="24"/>
                <w:szCs w:val="18"/>
              </w:rPr>
              <w:t>0.80%</w:t>
            </w:r>
          </w:p>
        </w:tc>
        <w:tc>
          <w:tcPr>
            <w:tcW w:w="1711" w:type="dxa"/>
            <w:tcBorders>
              <w:top w:val="single" w:color="000000" w:sz="4" w:space="0"/>
              <w:left w:val="single" w:color="000000" w:sz="4" w:space="0"/>
              <w:bottom w:val="single" w:color="000000" w:sz="4" w:space="0"/>
              <w:right w:val="single" w:color="000000" w:sz="4" w:space="0"/>
            </w:tcBorders>
            <w:vAlign w:val="center"/>
          </w:tcPr>
          <w:p w14:paraId="234FFE14">
            <w:pPr>
              <w:autoSpaceDN w:val="0"/>
              <w:jc w:val="center"/>
              <w:textAlignment w:val="center"/>
              <w:rPr>
                <w:rFonts w:ascii="宋体" w:hAnsi="宋体" w:eastAsia="宋体"/>
                <w:sz w:val="24"/>
                <w:szCs w:val="18"/>
              </w:rPr>
            </w:pPr>
            <w:r>
              <w:rPr>
                <w:rFonts w:ascii="宋体" w:hAnsi="宋体" w:eastAsia="宋体"/>
                <w:sz w:val="24"/>
                <w:szCs w:val="18"/>
              </w:rPr>
              <w:t>0.70%</w:t>
            </w:r>
          </w:p>
        </w:tc>
      </w:tr>
      <w:tr w14:paraId="70C67F3C">
        <w:tblPrEx>
          <w:tblCellMar>
            <w:top w:w="0" w:type="dxa"/>
            <w:left w:w="15" w:type="dxa"/>
            <w:bottom w:w="0" w:type="dxa"/>
            <w:right w:w="15" w:type="dxa"/>
          </w:tblCellMar>
        </w:tblPrEx>
        <w:trPr>
          <w:trHeight w:val="444" w:hRule="atLeast"/>
        </w:trPr>
        <w:tc>
          <w:tcPr>
            <w:tcW w:w="3994" w:type="dxa"/>
            <w:tcBorders>
              <w:top w:val="single" w:color="000000" w:sz="4" w:space="0"/>
              <w:left w:val="single" w:color="000000" w:sz="4" w:space="0"/>
              <w:bottom w:val="single" w:color="auto" w:sz="4" w:space="0"/>
              <w:right w:val="single" w:color="000000" w:sz="4" w:space="0"/>
            </w:tcBorders>
            <w:vAlign w:val="center"/>
          </w:tcPr>
          <w:p w14:paraId="60777275">
            <w:pPr>
              <w:autoSpaceDN w:val="0"/>
              <w:jc w:val="left"/>
              <w:textAlignment w:val="center"/>
              <w:rPr>
                <w:rFonts w:ascii="宋体" w:hAnsi="宋体" w:eastAsia="宋体"/>
                <w:sz w:val="24"/>
                <w:szCs w:val="18"/>
              </w:rPr>
            </w:pPr>
            <w:r>
              <w:rPr>
                <w:rFonts w:ascii="宋体" w:hAnsi="宋体" w:eastAsia="宋体"/>
                <w:sz w:val="24"/>
                <w:szCs w:val="18"/>
              </w:rPr>
              <w:t>1000-5000万元（含5000万元）</w:t>
            </w:r>
          </w:p>
        </w:tc>
        <w:tc>
          <w:tcPr>
            <w:tcW w:w="1642" w:type="dxa"/>
            <w:tcBorders>
              <w:top w:val="single" w:color="000000" w:sz="4" w:space="0"/>
              <w:left w:val="single" w:color="000000" w:sz="4" w:space="0"/>
              <w:bottom w:val="single" w:color="auto" w:sz="4" w:space="0"/>
              <w:right w:val="single" w:color="000000" w:sz="4" w:space="0"/>
            </w:tcBorders>
            <w:vAlign w:val="center"/>
          </w:tcPr>
          <w:p w14:paraId="29981C84">
            <w:pPr>
              <w:autoSpaceDN w:val="0"/>
              <w:jc w:val="center"/>
              <w:textAlignment w:val="center"/>
              <w:rPr>
                <w:rFonts w:ascii="宋体" w:hAnsi="宋体" w:eastAsia="宋体"/>
                <w:sz w:val="24"/>
                <w:szCs w:val="18"/>
              </w:rPr>
            </w:pPr>
            <w:r>
              <w:rPr>
                <w:rFonts w:ascii="宋体" w:hAnsi="宋体" w:eastAsia="宋体"/>
                <w:sz w:val="24"/>
                <w:szCs w:val="18"/>
              </w:rPr>
              <w:t>0.40%</w:t>
            </w:r>
          </w:p>
        </w:tc>
        <w:tc>
          <w:tcPr>
            <w:tcW w:w="1433" w:type="dxa"/>
            <w:tcBorders>
              <w:top w:val="single" w:color="000000" w:sz="4" w:space="0"/>
              <w:left w:val="single" w:color="000000" w:sz="4" w:space="0"/>
              <w:bottom w:val="single" w:color="auto" w:sz="4" w:space="0"/>
              <w:right w:val="single" w:color="000000" w:sz="4" w:space="0"/>
            </w:tcBorders>
            <w:vAlign w:val="center"/>
          </w:tcPr>
          <w:p w14:paraId="15837F64">
            <w:pPr>
              <w:autoSpaceDN w:val="0"/>
              <w:jc w:val="center"/>
              <w:textAlignment w:val="center"/>
              <w:rPr>
                <w:rFonts w:ascii="宋体" w:hAnsi="宋体" w:eastAsia="宋体"/>
                <w:sz w:val="24"/>
                <w:szCs w:val="18"/>
              </w:rPr>
            </w:pPr>
            <w:r>
              <w:rPr>
                <w:rFonts w:ascii="宋体" w:hAnsi="宋体" w:eastAsia="宋体"/>
                <w:sz w:val="24"/>
                <w:szCs w:val="18"/>
              </w:rPr>
              <w:t>0.50%</w:t>
            </w:r>
          </w:p>
        </w:tc>
        <w:tc>
          <w:tcPr>
            <w:tcW w:w="1711" w:type="dxa"/>
            <w:tcBorders>
              <w:top w:val="single" w:color="000000" w:sz="4" w:space="0"/>
              <w:left w:val="single" w:color="000000" w:sz="4" w:space="0"/>
              <w:bottom w:val="single" w:color="auto" w:sz="4" w:space="0"/>
              <w:right w:val="single" w:color="000000" w:sz="4" w:space="0"/>
            </w:tcBorders>
            <w:vAlign w:val="center"/>
          </w:tcPr>
          <w:p w14:paraId="397AD0A8">
            <w:pPr>
              <w:autoSpaceDN w:val="0"/>
              <w:jc w:val="center"/>
              <w:textAlignment w:val="center"/>
              <w:rPr>
                <w:rFonts w:ascii="宋体" w:hAnsi="宋体" w:eastAsia="宋体"/>
                <w:sz w:val="24"/>
                <w:szCs w:val="18"/>
              </w:rPr>
            </w:pPr>
            <w:r>
              <w:rPr>
                <w:rFonts w:ascii="宋体" w:hAnsi="宋体" w:eastAsia="宋体"/>
                <w:sz w:val="24"/>
                <w:szCs w:val="18"/>
              </w:rPr>
              <w:t>0.40%</w:t>
            </w:r>
          </w:p>
        </w:tc>
      </w:tr>
      <w:tr w14:paraId="108E85EA">
        <w:tblPrEx>
          <w:tblCellMar>
            <w:top w:w="0" w:type="dxa"/>
            <w:left w:w="15" w:type="dxa"/>
            <w:bottom w:w="0" w:type="dxa"/>
            <w:right w:w="15" w:type="dxa"/>
          </w:tblCellMar>
        </w:tblPrEx>
        <w:trPr>
          <w:trHeight w:val="429" w:hRule="atLeast"/>
        </w:trPr>
        <w:tc>
          <w:tcPr>
            <w:tcW w:w="3994" w:type="dxa"/>
            <w:tcBorders>
              <w:top w:val="single" w:color="auto" w:sz="4" w:space="0"/>
              <w:left w:val="single" w:color="auto" w:sz="4" w:space="0"/>
              <w:bottom w:val="single" w:color="auto" w:sz="4" w:space="0"/>
              <w:right w:val="single" w:color="auto" w:sz="4" w:space="0"/>
            </w:tcBorders>
            <w:vAlign w:val="center"/>
          </w:tcPr>
          <w:p w14:paraId="6BAC6F9F">
            <w:pPr>
              <w:autoSpaceDN w:val="0"/>
              <w:jc w:val="left"/>
              <w:textAlignment w:val="center"/>
              <w:rPr>
                <w:rFonts w:ascii="宋体" w:hAnsi="宋体" w:eastAsia="宋体"/>
                <w:sz w:val="24"/>
                <w:szCs w:val="18"/>
              </w:rPr>
            </w:pPr>
            <w:r>
              <w:rPr>
                <w:rFonts w:ascii="宋体" w:hAnsi="宋体" w:eastAsia="宋体"/>
                <w:sz w:val="24"/>
                <w:szCs w:val="18"/>
              </w:rPr>
              <w:t>5000万元--1亿元（含1亿元）</w:t>
            </w:r>
          </w:p>
        </w:tc>
        <w:tc>
          <w:tcPr>
            <w:tcW w:w="1642" w:type="dxa"/>
            <w:tcBorders>
              <w:top w:val="single" w:color="auto" w:sz="4" w:space="0"/>
              <w:left w:val="single" w:color="auto" w:sz="4" w:space="0"/>
              <w:bottom w:val="single" w:color="auto" w:sz="4" w:space="0"/>
              <w:right w:val="single" w:color="auto" w:sz="4" w:space="0"/>
            </w:tcBorders>
            <w:vAlign w:val="center"/>
          </w:tcPr>
          <w:p w14:paraId="577C7ECC">
            <w:pPr>
              <w:autoSpaceDN w:val="0"/>
              <w:jc w:val="center"/>
              <w:textAlignment w:val="center"/>
              <w:rPr>
                <w:rFonts w:ascii="宋体" w:hAnsi="宋体" w:eastAsia="宋体"/>
                <w:sz w:val="24"/>
                <w:szCs w:val="18"/>
              </w:rPr>
            </w:pPr>
            <w:r>
              <w:rPr>
                <w:rFonts w:ascii="宋体" w:hAnsi="宋体" w:eastAsia="宋体"/>
                <w:sz w:val="24"/>
                <w:szCs w:val="18"/>
              </w:rPr>
              <w:t>0.25%</w:t>
            </w:r>
          </w:p>
        </w:tc>
        <w:tc>
          <w:tcPr>
            <w:tcW w:w="1433" w:type="dxa"/>
            <w:tcBorders>
              <w:top w:val="single" w:color="auto" w:sz="4" w:space="0"/>
              <w:left w:val="single" w:color="auto" w:sz="4" w:space="0"/>
              <w:bottom w:val="single" w:color="auto" w:sz="4" w:space="0"/>
              <w:right w:val="single" w:color="auto" w:sz="4" w:space="0"/>
            </w:tcBorders>
            <w:vAlign w:val="center"/>
          </w:tcPr>
          <w:p w14:paraId="6114A0B8">
            <w:pPr>
              <w:autoSpaceDN w:val="0"/>
              <w:jc w:val="center"/>
              <w:textAlignment w:val="center"/>
              <w:rPr>
                <w:rFonts w:ascii="宋体" w:hAnsi="宋体" w:eastAsia="宋体"/>
                <w:sz w:val="24"/>
                <w:szCs w:val="18"/>
              </w:rPr>
            </w:pPr>
            <w:r>
              <w:rPr>
                <w:rFonts w:ascii="宋体" w:hAnsi="宋体" w:eastAsia="宋体"/>
                <w:sz w:val="24"/>
                <w:szCs w:val="18"/>
              </w:rPr>
              <w:t>0.30%</w:t>
            </w:r>
          </w:p>
        </w:tc>
        <w:tc>
          <w:tcPr>
            <w:tcW w:w="1711" w:type="dxa"/>
            <w:tcBorders>
              <w:top w:val="single" w:color="auto" w:sz="4" w:space="0"/>
              <w:left w:val="single" w:color="auto" w:sz="4" w:space="0"/>
              <w:bottom w:val="single" w:color="auto" w:sz="4" w:space="0"/>
              <w:right w:val="single" w:color="auto" w:sz="4" w:space="0"/>
            </w:tcBorders>
            <w:vAlign w:val="center"/>
          </w:tcPr>
          <w:p w14:paraId="55EDF82F">
            <w:pPr>
              <w:autoSpaceDN w:val="0"/>
              <w:jc w:val="center"/>
              <w:textAlignment w:val="center"/>
              <w:rPr>
                <w:rFonts w:ascii="宋体" w:hAnsi="宋体" w:eastAsia="宋体"/>
                <w:sz w:val="24"/>
                <w:szCs w:val="18"/>
              </w:rPr>
            </w:pPr>
            <w:r>
              <w:rPr>
                <w:rFonts w:ascii="宋体" w:hAnsi="宋体" w:eastAsia="宋体"/>
                <w:sz w:val="24"/>
                <w:szCs w:val="18"/>
              </w:rPr>
              <w:t>0.25%</w:t>
            </w:r>
          </w:p>
        </w:tc>
      </w:tr>
      <w:tr w14:paraId="44CC8EF0">
        <w:tblPrEx>
          <w:tblCellMar>
            <w:top w:w="0" w:type="dxa"/>
            <w:left w:w="15" w:type="dxa"/>
            <w:bottom w:w="0" w:type="dxa"/>
            <w:right w:w="15" w:type="dxa"/>
          </w:tblCellMar>
        </w:tblPrEx>
        <w:trPr>
          <w:trHeight w:val="474" w:hRule="atLeast"/>
        </w:trPr>
        <w:tc>
          <w:tcPr>
            <w:tcW w:w="3994" w:type="dxa"/>
            <w:tcBorders>
              <w:top w:val="single" w:color="auto" w:sz="4" w:space="0"/>
              <w:left w:val="single" w:color="auto" w:sz="4" w:space="0"/>
              <w:bottom w:val="single" w:color="auto" w:sz="4" w:space="0"/>
              <w:right w:val="single" w:color="auto" w:sz="4" w:space="0"/>
            </w:tcBorders>
            <w:vAlign w:val="center"/>
          </w:tcPr>
          <w:p w14:paraId="685B7DF3">
            <w:pPr>
              <w:autoSpaceDN w:val="0"/>
              <w:jc w:val="left"/>
              <w:textAlignment w:val="center"/>
              <w:rPr>
                <w:rFonts w:ascii="宋体" w:hAnsi="宋体" w:eastAsia="宋体"/>
                <w:sz w:val="24"/>
                <w:szCs w:val="18"/>
              </w:rPr>
            </w:pPr>
            <w:r>
              <w:rPr>
                <w:rFonts w:ascii="宋体" w:hAnsi="宋体" w:eastAsia="宋体"/>
                <w:sz w:val="24"/>
                <w:szCs w:val="18"/>
              </w:rPr>
              <w:t>1亿--5亿元（含5亿元）</w:t>
            </w:r>
          </w:p>
        </w:tc>
        <w:tc>
          <w:tcPr>
            <w:tcW w:w="1642" w:type="dxa"/>
            <w:tcBorders>
              <w:top w:val="single" w:color="auto" w:sz="4" w:space="0"/>
              <w:left w:val="single" w:color="auto" w:sz="4" w:space="0"/>
              <w:bottom w:val="single" w:color="auto" w:sz="4" w:space="0"/>
              <w:right w:val="single" w:color="auto" w:sz="4" w:space="0"/>
            </w:tcBorders>
            <w:vAlign w:val="center"/>
          </w:tcPr>
          <w:p w14:paraId="243B7158">
            <w:pPr>
              <w:autoSpaceDN w:val="0"/>
              <w:jc w:val="center"/>
              <w:textAlignment w:val="center"/>
              <w:rPr>
                <w:rFonts w:ascii="宋体" w:hAnsi="宋体" w:eastAsia="宋体"/>
                <w:sz w:val="24"/>
                <w:szCs w:val="18"/>
              </w:rPr>
            </w:pPr>
            <w:r>
              <w:rPr>
                <w:rFonts w:ascii="宋体" w:hAnsi="宋体" w:eastAsia="宋体"/>
                <w:sz w:val="24"/>
                <w:szCs w:val="18"/>
              </w:rPr>
              <w:t>0.10%</w:t>
            </w:r>
          </w:p>
        </w:tc>
        <w:tc>
          <w:tcPr>
            <w:tcW w:w="1433" w:type="dxa"/>
            <w:tcBorders>
              <w:top w:val="single" w:color="auto" w:sz="4" w:space="0"/>
              <w:left w:val="single" w:color="auto" w:sz="4" w:space="0"/>
              <w:bottom w:val="single" w:color="auto" w:sz="4" w:space="0"/>
              <w:right w:val="single" w:color="auto" w:sz="4" w:space="0"/>
            </w:tcBorders>
            <w:vAlign w:val="center"/>
          </w:tcPr>
          <w:p w14:paraId="2C416DD0">
            <w:pPr>
              <w:autoSpaceDN w:val="0"/>
              <w:jc w:val="center"/>
              <w:textAlignment w:val="center"/>
              <w:rPr>
                <w:rFonts w:ascii="宋体" w:hAnsi="宋体" w:eastAsia="宋体"/>
                <w:sz w:val="24"/>
                <w:szCs w:val="18"/>
              </w:rPr>
            </w:pPr>
            <w:r>
              <w:rPr>
                <w:rFonts w:ascii="宋体" w:hAnsi="宋体" w:eastAsia="宋体"/>
                <w:sz w:val="24"/>
                <w:szCs w:val="18"/>
              </w:rPr>
              <w:t>0.10%</w:t>
            </w:r>
          </w:p>
        </w:tc>
        <w:tc>
          <w:tcPr>
            <w:tcW w:w="1711" w:type="dxa"/>
            <w:tcBorders>
              <w:top w:val="single" w:color="auto" w:sz="4" w:space="0"/>
              <w:left w:val="single" w:color="auto" w:sz="4" w:space="0"/>
              <w:bottom w:val="single" w:color="auto" w:sz="4" w:space="0"/>
              <w:right w:val="single" w:color="auto" w:sz="4" w:space="0"/>
            </w:tcBorders>
            <w:vAlign w:val="center"/>
          </w:tcPr>
          <w:p w14:paraId="4603F9B9">
            <w:pPr>
              <w:autoSpaceDN w:val="0"/>
              <w:jc w:val="center"/>
              <w:textAlignment w:val="center"/>
              <w:rPr>
                <w:rFonts w:ascii="宋体" w:hAnsi="宋体" w:eastAsia="宋体"/>
                <w:sz w:val="24"/>
                <w:szCs w:val="18"/>
              </w:rPr>
            </w:pPr>
            <w:r>
              <w:rPr>
                <w:rFonts w:ascii="宋体" w:hAnsi="宋体" w:eastAsia="宋体"/>
                <w:sz w:val="24"/>
                <w:szCs w:val="18"/>
              </w:rPr>
              <w:t>0.10%</w:t>
            </w:r>
          </w:p>
        </w:tc>
      </w:tr>
      <w:tr w14:paraId="4B31A28B">
        <w:tblPrEx>
          <w:tblCellMar>
            <w:top w:w="0" w:type="dxa"/>
            <w:left w:w="15" w:type="dxa"/>
            <w:bottom w:w="0" w:type="dxa"/>
            <w:right w:w="15" w:type="dxa"/>
          </w:tblCellMar>
        </w:tblPrEx>
        <w:trPr>
          <w:trHeight w:val="444" w:hRule="atLeast"/>
        </w:trPr>
        <w:tc>
          <w:tcPr>
            <w:tcW w:w="3994" w:type="dxa"/>
            <w:tcBorders>
              <w:top w:val="single" w:color="auto" w:sz="4" w:space="0"/>
              <w:left w:val="single" w:color="auto" w:sz="4" w:space="0"/>
              <w:bottom w:val="single" w:color="auto" w:sz="4" w:space="0"/>
              <w:right w:val="single" w:color="auto" w:sz="4" w:space="0"/>
            </w:tcBorders>
            <w:vAlign w:val="center"/>
          </w:tcPr>
          <w:p w14:paraId="784EE763">
            <w:pPr>
              <w:autoSpaceDN w:val="0"/>
              <w:jc w:val="left"/>
              <w:textAlignment w:val="center"/>
              <w:rPr>
                <w:rFonts w:ascii="宋体" w:hAnsi="宋体" w:eastAsia="宋体"/>
                <w:sz w:val="24"/>
                <w:szCs w:val="18"/>
              </w:rPr>
            </w:pPr>
            <w:r>
              <w:rPr>
                <w:rFonts w:ascii="宋体" w:hAnsi="宋体" w:eastAsia="宋体"/>
                <w:sz w:val="24"/>
                <w:szCs w:val="18"/>
              </w:rPr>
              <w:t>5亿--10亿元（含10亿元）</w:t>
            </w:r>
          </w:p>
        </w:tc>
        <w:tc>
          <w:tcPr>
            <w:tcW w:w="1642" w:type="dxa"/>
            <w:tcBorders>
              <w:top w:val="single" w:color="auto" w:sz="4" w:space="0"/>
              <w:left w:val="single" w:color="auto" w:sz="4" w:space="0"/>
              <w:bottom w:val="single" w:color="auto" w:sz="4" w:space="0"/>
              <w:right w:val="single" w:color="auto" w:sz="4" w:space="0"/>
            </w:tcBorders>
            <w:vAlign w:val="center"/>
          </w:tcPr>
          <w:p w14:paraId="757FB939">
            <w:pPr>
              <w:autoSpaceDN w:val="0"/>
              <w:jc w:val="center"/>
              <w:textAlignment w:val="center"/>
              <w:rPr>
                <w:rFonts w:ascii="宋体" w:hAnsi="宋体" w:eastAsia="宋体"/>
                <w:sz w:val="24"/>
                <w:szCs w:val="18"/>
              </w:rPr>
            </w:pPr>
            <w:r>
              <w:rPr>
                <w:rFonts w:ascii="宋体" w:hAnsi="宋体" w:eastAsia="宋体"/>
                <w:sz w:val="24"/>
                <w:szCs w:val="18"/>
              </w:rPr>
              <w:t>0.045%</w:t>
            </w:r>
          </w:p>
        </w:tc>
        <w:tc>
          <w:tcPr>
            <w:tcW w:w="1433" w:type="dxa"/>
            <w:tcBorders>
              <w:top w:val="single" w:color="auto" w:sz="4" w:space="0"/>
              <w:left w:val="single" w:color="auto" w:sz="4" w:space="0"/>
              <w:bottom w:val="single" w:color="auto" w:sz="4" w:space="0"/>
              <w:right w:val="single" w:color="auto" w:sz="4" w:space="0"/>
            </w:tcBorders>
            <w:vAlign w:val="center"/>
          </w:tcPr>
          <w:p w14:paraId="133CE3B2">
            <w:pPr>
              <w:autoSpaceDN w:val="0"/>
              <w:jc w:val="center"/>
              <w:textAlignment w:val="center"/>
              <w:rPr>
                <w:rFonts w:ascii="宋体" w:hAnsi="宋体" w:eastAsia="宋体"/>
                <w:sz w:val="24"/>
                <w:szCs w:val="18"/>
              </w:rPr>
            </w:pPr>
            <w:r>
              <w:rPr>
                <w:rFonts w:ascii="宋体" w:hAnsi="宋体" w:eastAsia="宋体"/>
                <w:sz w:val="24"/>
                <w:szCs w:val="18"/>
              </w:rPr>
              <w:t>0.045%</w:t>
            </w:r>
          </w:p>
        </w:tc>
        <w:tc>
          <w:tcPr>
            <w:tcW w:w="1711" w:type="dxa"/>
            <w:tcBorders>
              <w:top w:val="single" w:color="auto" w:sz="4" w:space="0"/>
              <w:left w:val="single" w:color="auto" w:sz="4" w:space="0"/>
              <w:bottom w:val="single" w:color="auto" w:sz="4" w:space="0"/>
              <w:right w:val="single" w:color="auto" w:sz="4" w:space="0"/>
            </w:tcBorders>
            <w:vAlign w:val="center"/>
          </w:tcPr>
          <w:p w14:paraId="4D94AEA1">
            <w:pPr>
              <w:autoSpaceDN w:val="0"/>
              <w:jc w:val="center"/>
              <w:textAlignment w:val="center"/>
              <w:rPr>
                <w:rFonts w:ascii="宋体" w:hAnsi="宋体" w:eastAsia="宋体"/>
                <w:sz w:val="24"/>
                <w:szCs w:val="18"/>
              </w:rPr>
            </w:pPr>
            <w:r>
              <w:rPr>
                <w:rFonts w:ascii="宋体" w:hAnsi="宋体" w:eastAsia="宋体"/>
                <w:sz w:val="24"/>
                <w:szCs w:val="18"/>
              </w:rPr>
              <w:t>0.045%</w:t>
            </w:r>
          </w:p>
        </w:tc>
      </w:tr>
      <w:tr w14:paraId="5F403890">
        <w:tblPrEx>
          <w:tblCellMar>
            <w:top w:w="0" w:type="dxa"/>
            <w:left w:w="15" w:type="dxa"/>
            <w:bottom w:w="0" w:type="dxa"/>
            <w:right w:w="15" w:type="dxa"/>
          </w:tblCellMar>
        </w:tblPrEx>
        <w:trPr>
          <w:trHeight w:val="489" w:hRule="atLeast"/>
        </w:trPr>
        <w:tc>
          <w:tcPr>
            <w:tcW w:w="3994" w:type="dxa"/>
            <w:tcBorders>
              <w:top w:val="single" w:color="auto" w:sz="4" w:space="0"/>
              <w:left w:val="single" w:color="000000" w:sz="4" w:space="0"/>
              <w:bottom w:val="single" w:color="000000" w:sz="4" w:space="0"/>
              <w:right w:val="single" w:color="000000" w:sz="4" w:space="0"/>
            </w:tcBorders>
            <w:vAlign w:val="center"/>
          </w:tcPr>
          <w:p w14:paraId="1BF35E4B">
            <w:pPr>
              <w:autoSpaceDN w:val="0"/>
              <w:jc w:val="left"/>
              <w:textAlignment w:val="center"/>
              <w:rPr>
                <w:rFonts w:ascii="宋体" w:hAnsi="宋体" w:eastAsia="宋体"/>
                <w:sz w:val="24"/>
                <w:szCs w:val="18"/>
              </w:rPr>
            </w:pPr>
            <w:r>
              <w:rPr>
                <w:rFonts w:ascii="宋体" w:hAnsi="宋体" w:eastAsia="宋体"/>
                <w:sz w:val="24"/>
                <w:szCs w:val="18"/>
              </w:rPr>
              <w:t>10亿--50亿元（含50亿元）</w:t>
            </w:r>
          </w:p>
        </w:tc>
        <w:tc>
          <w:tcPr>
            <w:tcW w:w="1642" w:type="dxa"/>
            <w:tcBorders>
              <w:top w:val="single" w:color="auto" w:sz="4" w:space="0"/>
              <w:left w:val="single" w:color="000000" w:sz="4" w:space="0"/>
              <w:bottom w:val="single" w:color="000000" w:sz="4" w:space="0"/>
              <w:right w:val="single" w:color="000000" w:sz="4" w:space="0"/>
            </w:tcBorders>
            <w:vAlign w:val="center"/>
          </w:tcPr>
          <w:p w14:paraId="22CB0D43">
            <w:pPr>
              <w:autoSpaceDN w:val="0"/>
              <w:jc w:val="center"/>
              <w:textAlignment w:val="center"/>
              <w:rPr>
                <w:rFonts w:ascii="宋体" w:hAnsi="宋体" w:eastAsia="宋体"/>
                <w:sz w:val="24"/>
                <w:szCs w:val="18"/>
              </w:rPr>
            </w:pPr>
            <w:r>
              <w:rPr>
                <w:rFonts w:ascii="宋体" w:hAnsi="宋体" w:eastAsia="宋体"/>
                <w:sz w:val="24"/>
                <w:szCs w:val="18"/>
              </w:rPr>
              <w:t>0.010%</w:t>
            </w:r>
          </w:p>
        </w:tc>
        <w:tc>
          <w:tcPr>
            <w:tcW w:w="1433" w:type="dxa"/>
            <w:tcBorders>
              <w:top w:val="single" w:color="auto" w:sz="4" w:space="0"/>
              <w:left w:val="single" w:color="000000" w:sz="4" w:space="0"/>
              <w:bottom w:val="single" w:color="000000" w:sz="4" w:space="0"/>
              <w:right w:val="single" w:color="000000" w:sz="4" w:space="0"/>
            </w:tcBorders>
            <w:vAlign w:val="center"/>
          </w:tcPr>
          <w:p w14:paraId="29B70CD1">
            <w:pPr>
              <w:autoSpaceDN w:val="0"/>
              <w:jc w:val="center"/>
              <w:textAlignment w:val="center"/>
              <w:rPr>
                <w:rFonts w:ascii="宋体" w:hAnsi="宋体" w:eastAsia="宋体"/>
                <w:sz w:val="24"/>
                <w:szCs w:val="18"/>
              </w:rPr>
            </w:pPr>
            <w:r>
              <w:rPr>
                <w:rFonts w:ascii="宋体" w:hAnsi="宋体" w:eastAsia="宋体"/>
                <w:sz w:val="24"/>
                <w:szCs w:val="18"/>
              </w:rPr>
              <w:t>0.010%</w:t>
            </w:r>
          </w:p>
        </w:tc>
        <w:tc>
          <w:tcPr>
            <w:tcW w:w="1711" w:type="dxa"/>
            <w:tcBorders>
              <w:top w:val="single" w:color="auto" w:sz="4" w:space="0"/>
              <w:left w:val="single" w:color="000000" w:sz="4" w:space="0"/>
              <w:bottom w:val="single" w:color="000000" w:sz="4" w:space="0"/>
              <w:right w:val="single" w:color="000000" w:sz="4" w:space="0"/>
            </w:tcBorders>
            <w:vAlign w:val="center"/>
          </w:tcPr>
          <w:p w14:paraId="5E7D996D">
            <w:pPr>
              <w:autoSpaceDN w:val="0"/>
              <w:jc w:val="center"/>
              <w:textAlignment w:val="center"/>
              <w:rPr>
                <w:rFonts w:ascii="宋体" w:hAnsi="宋体" w:eastAsia="宋体"/>
                <w:sz w:val="24"/>
                <w:szCs w:val="18"/>
              </w:rPr>
            </w:pPr>
            <w:r>
              <w:rPr>
                <w:rFonts w:ascii="宋体" w:hAnsi="宋体" w:eastAsia="宋体"/>
                <w:sz w:val="24"/>
                <w:szCs w:val="18"/>
              </w:rPr>
              <w:t>0.010%</w:t>
            </w:r>
          </w:p>
        </w:tc>
      </w:tr>
      <w:tr w14:paraId="2AFE01FA">
        <w:tblPrEx>
          <w:tblCellMar>
            <w:top w:w="0" w:type="dxa"/>
            <w:left w:w="15" w:type="dxa"/>
            <w:bottom w:w="0" w:type="dxa"/>
            <w:right w:w="15" w:type="dxa"/>
          </w:tblCellMar>
        </w:tblPrEx>
        <w:trPr>
          <w:trHeight w:val="459" w:hRule="atLeast"/>
        </w:trPr>
        <w:tc>
          <w:tcPr>
            <w:tcW w:w="3994" w:type="dxa"/>
            <w:tcBorders>
              <w:top w:val="single" w:color="000000" w:sz="4" w:space="0"/>
              <w:left w:val="single" w:color="000000" w:sz="4" w:space="0"/>
              <w:bottom w:val="single" w:color="000000" w:sz="4" w:space="0"/>
              <w:right w:val="single" w:color="000000" w:sz="4" w:space="0"/>
            </w:tcBorders>
            <w:vAlign w:val="center"/>
          </w:tcPr>
          <w:p w14:paraId="651DFBA0">
            <w:pPr>
              <w:autoSpaceDN w:val="0"/>
              <w:jc w:val="left"/>
              <w:textAlignment w:val="center"/>
              <w:rPr>
                <w:rFonts w:ascii="宋体" w:hAnsi="宋体" w:eastAsia="宋体"/>
                <w:sz w:val="24"/>
                <w:szCs w:val="18"/>
              </w:rPr>
            </w:pPr>
            <w:r>
              <w:rPr>
                <w:rFonts w:ascii="宋体" w:hAnsi="宋体" w:eastAsia="宋体"/>
                <w:sz w:val="24"/>
                <w:szCs w:val="18"/>
              </w:rPr>
              <w:t>50亿--100亿元（含</w:t>
            </w:r>
            <w:r>
              <w:rPr>
                <w:rFonts w:hint="eastAsia" w:ascii="宋体" w:hAnsi="宋体"/>
                <w:sz w:val="24"/>
                <w:szCs w:val="18"/>
              </w:rPr>
              <w:t>100</w:t>
            </w:r>
            <w:r>
              <w:rPr>
                <w:rFonts w:ascii="宋体" w:hAnsi="宋体" w:eastAsia="宋体"/>
                <w:sz w:val="24"/>
                <w:szCs w:val="18"/>
              </w:rPr>
              <w:t>亿元）</w:t>
            </w:r>
          </w:p>
        </w:tc>
        <w:tc>
          <w:tcPr>
            <w:tcW w:w="1642" w:type="dxa"/>
            <w:tcBorders>
              <w:top w:val="single" w:color="000000" w:sz="4" w:space="0"/>
              <w:left w:val="single" w:color="000000" w:sz="4" w:space="0"/>
              <w:bottom w:val="single" w:color="000000" w:sz="4" w:space="0"/>
              <w:right w:val="single" w:color="000000" w:sz="4" w:space="0"/>
            </w:tcBorders>
            <w:vAlign w:val="center"/>
          </w:tcPr>
          <w:p w14:paraId="345D8195">
            <w:pPr>
              <w:autoSpaceDN w:val="0"/>
              <w:jc w:val="center"/>
              <w:textAlignment w:val="center"/>
              <w:rPr>
                <w:rFonts w:ascii="宋体" w:hAnsi="宋体" w:eastAsia="宋体"/>
                <w:sz w:val="24"/>
                <w:szCs w:val="18"/>
              </w:rPr>
            </w:pPr>
            <w:r>
              <w:rPr>
                <w:rFonts w:ascii="宋体" w:hAnsi="宋体" w:eastAsia="宋体"/>
                <w:sz w:val="24"/>
                <w:szCs w:val="18"/>
              </w:rPr>
              <w:t>0.008%</w:t>
            </w:r>
          </w:p>
        </w:tc>
        <w:tc>
          <w:tcPr>
            <w:tcW w:w="1433" w:type="dxa"/>
            <w:tcBorders>
              <w:top w:val="single" w:color="000000" w:sz="4" w:space="0"/>
              <w:left w:val="single" w:color="000000" w:sz="4" w:space="0"/>
              <w:bottom w:val="single" w:color="000000" w:sz="4" w:space="0"/>
              <w:right w:val="single" w:color="000000" w:sz="4" w:space="0"/>
            </w:tcBorders>
            <w:vAlign w:val="center"/>
          </w:tcPr>
          <w:p w14:paraId="59BBEF8D">
            <w:pPr>
              <w:autoSpaceDN w:val="0"/>
              <w:jc w:val="center"/>
              <w:textAlignment w:val="center"/>
              <w:rPr>
                <w:rFonts w:ascii="宋体" w:hAnsi="宋体" w:eastAsia="宋体"/>
                <w:sz w:val="24"/>
                <w:szCs w:val="18"/>
              </w:rPr>
            </w:pPr>
            <w:r>
              <w:rPr>
                <w:rFonts w:ascii="宋体" w:hAnsi="宋体" w:eastAsia="宋体"/>
                <w:sz w:val="24"/>
                <w:szCs w:val="18"/>
              </w:rPr>
              <w:t>0.008%</w:t>
            </w:r>
          </w:p>
        </w:tc>
        <w:tc>
          <w:tcPr>
            <w:tcW w:w="1711" w:type="dxa"/>
            <w:tcBorders>
              <w:top w:val="single" w:color="000000" w:sz="4" w:space="0"/>
              <w:left w:val="single" w:color="000000" w:sz="4" w:space="0"/>
              <w:bottom w:val="single" w:color="000000" w:sz="4" w:space="0"/>
              <w:right w:val="single" w:color="000000" w:sz="4" w:space="0"/>
            </w:tcBorders>
            <w:vAlign w:val="center"/>
          </w:tcPr>
          <w:p w14:paraId="5292B39E">
            <w:pPr>
              <w:autoSpaceDN w:val="0"/>
              <w:jc w:val="center"/>
              <w:textAlignment w:val="center"/>
              <w:rPr>
                <w:rFonts w:ascii="宋体" w:hAnsi="宋体" w:eastAsia="宋体"/>
                <w:sz w:val="24"/>
                <w:szCs w:val="18"/>
              </w:rPr>
            </w:pPr>
            <w:r>
              <w:rPr>
                <w:rFonts w:ascii="宋体" w:hAnsi="宋体" w:eastAsia="宋体"/>
                <w:sz w:val="24"/>
                <w:szCs w:val="18"/>
              </w:rPr>
              <w:t>0.008%</w:t>
            </w:r>
          </w:p>
        </w:tc>
      </w:tr>
      <w:tr w14:paraId="7A6AE9A7">
        <w:tblPrEx>
          <w:tblCellMar>
            <w:top w:w="0" w:type="dxa"/>
            <w:left w:w="15" w:type="dxa"/>
            <w:bottom w:w="0" w:type="dxa"/>
            <w:right w:w="15" w:type="dxa"/>
          </w:tblCellMar>
        </w:tblPrEx>
        <w:trPr>
          <w:trHeight w:val="399" w:hRule="atLeast"/>
        </w:trPr>
        <w:tc>
          <w:tcPr>
            <w:tcW w:w="3994" w:type="dxa"/>
            <w:tcBorders>
              <w:top w:val="single" w:color="000000" w:sz="4" w:space="0"/>
              <w:left w:val="single" w:color="000000" w:sz="4" w:space="0"/>
              <w:bottom w:val="single" w:color="000000" w:sz="4" w:space="0"/>
              <w:right w:val="single" w:color="000000" w:sz="4" w:space="0"/>
            </w:tcBorders>
            <w:vAlign w:val="center"/>
          </w:tcPr>
          <w:p w14:paraId="22AD9B51">
            <w:pPr>
              <w:autoSpaceDN w:val="0"/>
              <w:jc w:val="left"/>
              <w:textAlignment w:val="center"/>
              <w:rPr>
                <w:rFonts w:ascii="宋体" w:hAnsi="宋体" w:eastAsia="宋体"/>
                <w:sz w:val="24"/>
                <w:szCs w:val="18"/>
              </w:rPr>
            </w:pPr>
            <w:r>
              <w:rPr>
                <w:rFonts w:ascii="宋体" w:hAnsi="宋体" w:eastAsia="宋体"/>
                <w:sz w:val="24"/>
                <w:szCs w:val="18"/>
              </w:rPr>
              <w:t>100亿元以上</w:t>
            </w:r>
          </w:p>
        </w:tc>
        <w:tc>
          <w:tcPr>
            <w:tcW w:w="1642" w:type="dxa"/>
            <w:tcBorders>
              <w:top w:val="single" w:color="000000" w:sz="4" w:space="0"/>
              <w:left w:val="single" w:color="000000" w:sz="4" w:space="0"/>
              <w:bottom w:val="single" w:color="000000" w:sz="4" w:space="0"/>
              <w:right w:val="single" w:color="000000" w:sz="4" w:space="0"/>
            </w:tcBorders>
            <w:vAlign w:val="center"/>
          </w:tcPr>
          <w:p w14:paraId="28B2B390">
            <w:pPr>
              <w:autoSpaceDN w:val="0"/>
              <w:jc w:val="center"/>
              <w:textAlignment w:val="center"/>
              <w:rPr>
                <w:rFonts w:ascii="宋体" w:hAnsi="宋体" w:eastAsia="宋体"/>
                <w:sz w:val="24"/>
                <w:szCs w:val="18"/>
              </w:rPr>
            </w:pPr>
            <w:r>
              <w:rPr>
                <w:rFonts w:ascii="宋体" w:hAnsi="宋体" w:eastAsia="宋体"/>
                <w:sz w:val="24"/>
                <w:szCs w:val="18"/>
              </w:rPr>
              <w:t>0.004%</w:t>
            </w:r>
          </w:p>
        </w:tc>
        <w:tc>
          <w:tcPr>
            <w:tcW w:w="1433" w:type="dxa"/>
            <w:tcBorders>
              <w:top w:val="single" w:color="000000" w:sz="4" w:space="0"/>
              <w:left w:val="single" w:color="000000" w:sz="4" w:space="0"/>
              <w:bottom w:val="single" w:color="000000" w:sz="4" w:space="0"/>
              <w:right w:val="single" w:color="000000" w:sz="4" w:space="0"/>
            </w:tcBorders>
            <w:vAlign w:val="center"/>
          </w:tcPr>
          <w:p w14:paraId="364837BD">
            <w:pPr>
              <w:autoSpaceDN w:val="0"/>
              <w:jc w:val="center"/>
              <w:textAlignment w:val="center"/>
              <w:rPr>
                <w:rFonts w:ascii="宋体" w:hAnsi="宋体" w:eastAsia="宋体"/>
                <w:sz w:val="24"/>
                <w:szCs w:val="18"/>
              </w:rPr>
            </w:pPr>
            <w:r>
              <w:rPr>
                <w:rFonts w:ascii="宋体" w:hAnsi="宋体" w:eastAsia="宋体"/>
                <w:sz w:val="24"/>
                <w:szCs w:val="18"/>
              </w:rPr>
              <w:t>0.004%</w:t>
            </w:r>
          </w:p>
        </w:tc>
        <w:tc>
          <w:tcPr>
            <w:tcW w:w="1711" w:type="dxa"/>
            <w:tcBorders>
              <w:top w:val="single" w:color="000000" w:sz="4" w:space="0"/>
              <w:left w:val="single" w:color="000000" w:sz="4" w:space="0"/>
              <w:bottom w:val="single" w:color="000000" w:sz="4" w:space="0"/>
              <w:right w:val="single" w:color="000000" w:sz="4" w:space="0"/>
            </w:tcBorders>
            <w:vAlign w:val="center"/>
          </w:tcPr>
          <w:p w14:paraId="79B23AF1">
            <w:pPr>
              <w:autoSpaceDN w:val="0"/>
              <w:jc w:val="center"/>
              <w:textAlignment w:val="center"/>
              <w:rPr>
                <w:rFonts w:ascii="宋体" w:hAnsi="宋体" w:eastAsia="宋体"/>
                <w:sz w:val="24"/>
                <w:szCs w:val="18"/>
              </w:rPr>
            </w:pPr>
            <w:r>
              <w:rPr>
                <w:rFonts w:ascii="宋体" w:hAnsi="宋体" w:eastAsia="宋体"/>
                <w:sz w:val="24"/>
                <w:szCs w:val="18"/>
              </w:rPr>
              <w:t>0.004%</w:t>
            </w:r>
          </w:p>
        </w:tc>
      </w:tr>
      <w:tr w14:paraId="593B098D">
        <w:tblPrEx>
          <w:tblCellMar>
            <w:top w:w="0" w:type="dxa"/>
            <w:left w:w="15" w:type="dxa"/>
            <w:bottom w:w="0" w:type="dxa"/>
            <w:right w:w="15" w:type="dxa"/>
          </w:tblCellMar>
        </w:tblPrEx>
        <w:trPr>
          <w:trHeight w:val="621" w:hRule="atLeast"/>
        </w:trPr>
        <w:tc>
          <w:tcPr>
            <w:tcW w:w="8780" w:type="dxa"/>
            <w:gridSpan w:val="4"/>
            <w:vAlign w:val="center"/>
          </w:tcPr>
          <w:p w14:paraId="2EF79412">
            <w:pPr>
              <w:autoSpaceDN w:val="0"/>
              <w:spacing w:line="500" w:lineRule="exact"/>
              <w:jc w:val="left"/>
              <w:textAlignment w:val="center"/>
              <w:rPr>
                <w:rFonts w:ascii="宋体" w:hAnsi="宋体" w:eastAsia="宋体"/>
                <w:sz w:val="24"/>
              </w:rPr>
            </w:pPr>
            <w:r>
              <w:rPr>
                <w:rFonts w:ascii="宋体" w:hAnsi="宋体" w:eastAsia="宋体"/>
                <w:sz w:val="24"/>
              </w:rPr>
              <w:t>注：1.按本表费率计算的收费金额为招标代理服务费的基准价格，不含工程量清单、最高投标限价（招标控制价）或标底的编制费用。</w:t>
            </w:r>
          </w:p>
          <w:p w14:paraId="20E82C93">
            <w:pPr>
              <w:autoSpaceDN w:val="0"/>
              <w:spacing w:line="500" w:lineRule="exact"/>
              <w:jc w:val="left"/>
              <w:textAlignment w:val="center"/>
              <w:rPr>
                <w:rFonts w:ascii="宋体" w:hAnsi="宋体" w:eastAsia="宋体"/>
                <w:sz w:val="24"/>
              </w:rPr>
            </w:pPr>
            <w:r>
              <w:rPr>
                <w:rFonts w:hint="eastAsia" w:ascii="宋体" w:hAnsi="宋体" w:eastAsia="宋体"/>
                <w:sz w:val="24"/>
              </w:rPr>
              <w:t>2.招标代理服务收费按差额定率累进法计算。</w:t>
            </w:r>
          </w:p>
          <w:p w14:paraId="46199899">
            <w:pPr>
              <w:autoSpaceDN w:val="0"/>
              <w:spacing w:line="500" w:lineRule="exact"/>
              <w:jc w:val="left"/>
              <w:textAlignment w:val="center"/>
              <w:rPr>
                <w:rFonts w:ascii="宋体" w:hAnsi="宋体" w:eastAsia="宋体"/>
                <w:sz w:val="24"/>
              </w:rPr>
            </w:pPr>
            <w:r>
              <w:rPr>
                <w:rFonts w:ascii="宋体" w:hAnsi="宋体" w:eastAsia="宋体"/>
                <w:sz w:val="24"/>
              </w:rPr>
              <w:t>例如: 某工程招标代理业务，项目预算金额（招标控制价）为10000 万元，招标代理服务收费计算如下:</w:t>
            </w:r>
          </w:p>
          <w:p w14:paraId="74DAACCB">
            <w:pPr>
              <w:autoSpaceDN w:val="0"/>
              <w:spacing w:line="500" w:lineRule="exact"/>
              <w:jc w:val="left"/>
              <w:textAlignment w:val="center"/>
              <w:rPr>
                <w:rFonts w:ascii="宋体" w:hAnsi="宋体" w:eastAsia="宋体"/>
                <w:sz w:val="24"/>
              </w:rPr>
            </w:pPr>
            <w:r>
              <w:rPr>
                <w:rFonts w:hint="eastAsia" w:ascii="宋体" w:hAnsi="宋体"/>
                <w:sz w:val="24"/>
              </w:rPr>
              <w:t xml:space="preserve"> </w:t>
            </w:r>
            <w:r>
              <w:rPr>
                <w:rFonts w:ascii="宋体" w:hAnsi="宋体" w:eastAsia="宋体"/>
                <w:sz w:val="24"/>
              </w:rPr>
              <w:t>100万元×1.2%=1.2万元</w:t>
            </w:r>
          </w:p>
          <w:p w14:paraId="328222AE">
            <w:pPr>
              <w:autoSpaceDN w:val="0"/>
              <w:spacing w:line="500" w:lineRule="exact"/>
              <w:jc w:val="left"/>
              <w:textAlignment w:val="center"/>
              <w:rPr>
                <w:rFonts w:ascii="宋体" w:hAnsi="宋体" w:eastAsia="宋体"/>
                <w:sz w:val="24"/>
              </w:rPr>
            </w:pPr>
            <w:r>
              <w:rPr>
                <w:rFonts w:ascii="宋体" w:hAnsi="宋体" w:eastAsia="宋体"/>
                <w:sz w:val="24"/>
              </w:rPr>
              <w:t>（500-100）万元×1.0%=4万元</w:t>
            </w:r>
          </w:p>
          <w:p w14:paraId="1C878D4D">
            <w:pPr>
              <w:autoSpaceDN w:val="0"/>
              <w:spacing w:line="500" w:lineRule="exact"/>
              <w:jc w:val="left"/>
              <w:textAlignment w:val="center"/>
              <w:rPr>
                <w:rFonts w:ascii="宋体" w:hAnsi="宋体" w:eastAsia="宋体"/>
                <w:sz w:val="24"/>
              </w:rPr>
            </w:pPr>
            <w:r>
              <w:rPr>
                <w:rFonts w:ascii="宋体" w:hAnsi="宋体" w:eastAsia="宋体"/>
                <w:sz w:val="24"/>
              </w:rPr>
              <w:t>（1000-500）×0.7%=3.5万元</w:t>
            </w:r>
          </w:p>
          <w:p w14:paraId="45D3C743">
            <w:pPr>
              <w:autoSpaceDN w:val="0"/>
              <w:spacing w:line="500" w:lineRule="exact"/>
              <w:jc w:val="left"/>
              <w:textAlignment w:val="center"/>
              <w:rPr>
                <w:rFonts w:ascii="宋体" w:hAnsi="宋体" w:eastAsia="宋体"/>
                <w:sz w:val="24"/>
              </w:rPr>
            </w:pPr>
            <w:r>
              <w:rPr>
                <w:rFonts w:ascii="宋体" w:hAnsi="宋体" w:eastAsia="宋体"/>
                <w:sz w:val="24"/>
              </w:rPr>
              <w:t>（5000-1000）×0.4%=16万元</w:t>
            </w:r>
          </w:p>
          <w:p w14:paraId="5F147ED4">
            <w:pPr>
              <w:autoSpaceDN w:val="0"/>
              <w:spacing w:line="500" w:lineRule="exact"/>
              <w:jc w:val="left"/>
              <w:textAlignment w:val="center"/>
              <w:rPr>
                <w:rFonts w:ascii="宋体" w:hAnsi="宋体" w:eastAsia="宋体"/>
                <w:sz w:val="24"/>
              </w:rPr>
            </w:pPr>
            <w:r>
              <w:rPr>
                <w:rFonts w:ascii="宋体" w:hAnsi="宋体" w:eastAsia="宋体"/>
                <w:sz w:val="24"/>
              </w:rPr>
              <w:t>（10000-5000）×0.25%=12.5万元</w:t>
            </w:r>
          </w:p>
          <w:p w14:paraId="4EFC55A0">
            <w:pPr>
              <w:autoSpaceDN w:val="0"/>
              <w:spacing w:line="500" w:lineRule="exact"/>
              <w:jc w:val="left"/>
              <w:textAlignment w:val="center"/>
              <w:rPr>
                <w:rFonts w:ascii="宋体" w:hAnsi="宋体" w:eastAsia="宋体"/>
                <w:szCs w:val="18"/>
              </w:rPr>
            </w:pPr>
            <w:r>
              <w:rPr>
                <w:rFonts w:ascii="宋体" w:hAnsi="宋体" w:eastAsia="宋体"/>
                <w:sz w:val="24"/>
              </w:rPr>
              <w:t>合计收费=1.2+4+3.5+16+12.5=37.2万元</w:t>
            </w:r>
          </w:p>
        </w:tc>
      </w:tr>
    </w:tbl>
    <w:p w14:paraId="3393FCCD">
      <w:pPr>
        <w:pStyle w:val="13"/>
        <w:spacing w:beforeAutospacing="0" w:afterAutospacing="0" w:line="600" w:lineRule="exact"/>
        <w:ind w:firstLine="465"/>
        <w:jc w:val="both"/>
        <w:rPr>
          <w:rFonts w:ascii="宋体" w:hAnsi="宋体" w:eastAsia="宋体" w:cs="宋体"/>
        </w:rPr>
      </w:pPr>
    </w:p>
    <w:p w14:paraId="700D6C10">
      <w:pPr>
        <w:pStyle w:val="13"/>
        <w:spacing w:before="156" w:beforeAutospacing="0" w:after="156" w:afterAutospacing="0" w:line="360" w:lineRule="auto"/>
        <w:jc w:val="center"/>
        <w:rPr>
          <w:rFonts w:ascii="Calibri" w:hAnsi="Calibri" w:cs="Calibri"/>
          <w:sz w:val="28"/>
          <w:szCs w:val="28"/>
        </w:rPr>
        <w:sectPr>
          <w:footerReference r:id="rId5" w:type="default"/>
          <w:pgSz w:w="11906" w:h="16838"/>
          <w:pgMar w:top="1440" w:right="1800" w:bottom="1440" w:left="1800" w:header="0" w:footer="506" w:gutter="0"/>
          <w:pgNumType w:fmt="decimal"/>
          <w:cols w:space="720" w:num="1"/>
        </w:sectPr>
      </w:pPr>
    </w:p>
    <w:p w14:paraId="2237061B">
      <w:pPr>
        <w:adjustRightInd w:val="0"/>
        <w:snapToGrid w:val="0"/>
        <w:spacing w:line="360" w:lineRule="auto"/>
        <w:rPr>
          <w:rFonts w:ascii="宋体" w:hAnsi="宋体" w:eastAsia="宋体" w:cs="宋体"/>
          <w:sz w:val="24"/>
        </w:rPr>
      </w:pPr>
      <w:r>
        <w:rPr>
          <w:rFonts w:hint="eastAsia" w:ascii="宋体" w:hAnsi="宋体" w:eastAsia="宋体" w:cs="宋体"/>
          <w:sz w:val="24"/>
        </w:rPr>
        <w:t>附件1：河南省政府采购合同融资政策告知函</w:t>
      </w:r>
    </w:p>
    <w:p w14:paraId="0D3A81B9">
      <w:pPr>
        <w:adjustRightInd w:val="0"/>
        <w:snapToGrid w:val="0"/>
        <w:spacing w:line="360" w:lineRule="auto"/>
        <w:ind w:firstLine="482" w:firstLineChars="200"/>
        <w:jc w:val="center"/>
        <w:rPr>
          <w:rFonts w:ascii="宋体" w:hAnsi="宋体" w:eastAsia="宋体" w:cs="宋体"/>
          <w:b/>
          <w:bCs/>
          <w:sz w:val="24"/>
        </w:rPr>
      </w:pPr>
      <w:bookmarkStart w:id="60" w:name="_Toc19399"/>
      <w:bookmarkStart w:id="61" w:name="_Toc7567"/>
    </w:p>
    <w:p w14:paraId="2755D6E4">
      <w:pPr>
        <w:adjustRightInd w:val="0"/>
        <w:snapToGrid w:val="0"/>
        <w:spacing w:line="360" w:lineRule="auto"/>
        <w:ind w:firstLine="482" w:firstLineChars="200"/>
        <w:jc w:val="center"/>
        <w:rPr>
          <w:rFonts w:ascii="宋体" w:hAnsi="宋体" w:eastAsia="宋体" w:cs="宋体"/>
          <w:sz w:val="24"/>
        </w:rPr>
      </w:pPr>
      <w:r>
        <w:rPr>
          <w:rFonts w:hint="eastAsia" w:ascii="宋体" w:hAnsi="宋体" w:eastAsia="宋体" w:cs="宋体"/>
          <w:b/>
          <w:bCs/>
          <w:sz w:val="24"/>
        </w:rPr>
        <w:t>河南省政府采购合同融资政策告知函</w:t>
      </w:r>
      <w:bookmarkEnd w:id="60"/>
      <w:bookmarkEnd w:id="61"/>
    </w:p>
    <w:p w14:paraId="58706A6E">
      <w:pPr>
        <w:adjustRightInd w:val="0"/>
        <w:snapToGrid w:val="0"/>
        <w:spacing w:line="360" w:lineRule="auto"/>
        <w:ind w:firstLine="480" w:firstLineChars="200"/>
        <w:jc w:val="left"/>
        <w:rPr>
          <w:rFonts w:ascii="宋体" w:hAnsi="宋体" w:eastAsia="宋体" w:cs="宋体"/>
          <w:sz w:val="24"/>
        </w:rPr>
      </w:pPr>
    </w:p>
    <w:p w14:paraId="0EFCB07A">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各投标人：</w:t>
      </w:r>
    </w:p>
    <w:p w14:paraId="276847FB">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欢迎贵公司参与河南省政府采购活动！</w:t>
      </w:r>
    </w:p>
    <w:p w14:paraId="653463D4">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政府采购合同融资是河南省财政厅支持中小微企业发展，针对参与政府采购活动的投标人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3B21B863">
      <w:pPr>
        <w:pStyle w:val="24"/>
        <w:snapToGrid w:val="0"/>
        <w:spacing w:line="360" w:lineRule="auto"/>
        <w:ind w:firstLine="480" w:firstLineChars="200"/>
        <w:jc w:val="left"/>
        <w:outlineLvl w:val="9"/>
        <w:rPr>
          <w:rFonts w:hAnsi="宋体"/>
          <w:b w:val="0"/>
          <w:bCs w:val="0"/>
        </w:rPr>
      </w:pPr>
      <w:bookmarkStart w:id="62" w:name="_Toc15196"/>
      <w:r>
        <w:rPr>
          <w:rFonts w:hint="eastAsia" w:hAnsi="宋体"/>
          <w:b w:val="0"/>
          <w:bCs w:val="0"/>
          <w:color w:val="auto"/>
        </w:rPr>
        <w:t>贷款渠道和提供贷款的金融机构，可在河南省政府采购网“河南省政府采购合同融资平台”查询联系。</w:t>
      </w:r>
      <w:bookmarkEnd w:id="62"/>
    </w:p>
    <w:p w14:paraId="09336A7C">
      <w:pPr>
        <w:rPr>
          <w:rFonts w:ascii="宋体" w:hAnsi="宋体" w:cs="宋体"/>
          <w:sz w:val="24"/>
        </w:rPr>
      </w:pPr>
    </w:p>
    <w:p w14:paraId="657DBD51">
      <w:pPr>
        <w:rPr>
          <w:rFonts w:ascii="宋体" w:hAnsi="宋体" w:cs="宋体"/>
          <w:kern w:val="0"/>
          <w:sz w:val="24"/>
          <w:shd w:val="clear" w:color="auto" w:fill="F9F9F9"/>
        </w:rPr>
      </w:pPr>
      <w:r>
        <w:rPr>
          <w:rFonts w:hint="eastAsia" w:ascii="宋体" w:hAnsi="宋体" w:eastAsia="宋体" w:cs="宋体"/>
          <w:kern w:val="0"/>
          <w:sz w:val="24"/>
          <w:shd w:val="clear" w:color="auto" w:fill="F9F9F9"/>
        </w:rPr>
        <w:br w:type="page"/>
      </w:r>
      <w:r>
        <w:rPr>
          <w:rFonts w:hint="eastAsia" w:ascii="宋体" w:hAnsi="宋体" w:eastAsia="宋体" w:cs="宋体"/>
          <w:sz w:val="24"/>
        </w:rPr>
        <w:t>附件2：卢氏县政府采购合同融资政策告知书</w:t>
      </w:r>
    </w:p>
    <w:p w14:paraId="045FBC42">
      <w:pPr>
        <w:adjustRightInd w:val="0"/>
        <w:snapToGrid w:val="0"/>
        <w:spacing w:line="360" w:lineRule="auto"/>
        <w:ind w:firstLine="480" w:firstLineChars="200"/>
        <w:jc w:val="left"/>
        <w:rPr>
          <w:rFonts w:ascii="宋体" w:hAnsi="宋体" w:eastAsia="宋体" w:cs="宋体"/>
          <w:sz w:val="24"/>
        </w:rPr>
      </w:pPr>
    </w:p>
    <w:p w14:paraId="41E00BE0">
      <w:pPr>
        <w:adjustRightInd w:val="0"/>
        <w:snapToGrid w:val="0"/>
        <w:spacing w:line="360" w:lineRule="auto"/>
        <w:ind w:firstLine="482" w:firstLineChars="200"/>
        <w:jc w:val="center"/>
        <w:rPr>
          <w:rFonts w:ascii="宋体" w:hAnsi="宋体" w:eastAsia="宋体" w:cs="宋体"/>
          <w:b/>
          <w:bCs/>
          <w:sz w:val="24"/>
        </w:rPr>
      </w:pPr>
      <w:r>
        <w:rPr>
          <w:rFonts w:hint="eastAsia" w:ascii="宋体" w:hAnsi="宋体" w:eastAsia="宋体" w:cs="宋体"/>
          <w:b/>
          <w:bCs/>
          <w:sz w:val="24"/>
        </w:rPr>
        <w:t>卢氏县政府采购合同融资政策告知书</w:t>
      </w:r>
    </w:p>
    <w:p w14:paraId="0BD3B028">
      <w:pPr>
        <w:adjustRightInd w:val="0"/>
        <w:snapToGrid w:val="0"/>
        <w:spacing w:line="360" w:lineRule="auto"/>
        <w:ind w:firstLine="480" w:firstLineChars="200"/>
        <w:jc w:val="left"/>
        <w:rPr>
          <w:rFonts w:ascii="宋体" w:hAnsi="宋体" w:eastAsia="宋体" w:cs="宋体"/>
          <w:sz w:val="24"/>
        </w:rPr>
      </w:pPr>
    </w:p>
    <w:p w14:paraId="0C2A40A9">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各供应商:</w:t>
      </w:r>
    </w:p>
    <w:p w14:paraId="756C3CE3">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欢迎贵公司参与卢氏县政府采购活动!近年来，卢氏县积极发挥政府采购政策功能，加大对中小企业支持力度，创新运用“政采贷”信贷产品，畅通中小企业融资“绿色通道”，为企业发展提质增效注入金融活水。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6F92660F">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1F24612D">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联系电话:0398-7863556</w:t>
      </w:r>
    </w:p>
    <w:p w14:paraId="3DE30374">
      <w:pPr>
        <w:adjustRightInd w:val="0"/>
        <w:snapToGrid w:val="0"/>
        <w:spacing w:line="360" w:lineRule="auto"/>
        <w:ind w:firstLine="480" w:firstLineChars="200"/>
        <w:jc w:val="left"/>
        <w:rPr>
          <w:rFonts w:ascii="宋体" w:hAnsi="宋体" w:eastAsia="宋体" w:cs="宋体"/>
          <w:sz w:val="24"/>
        </w:rPr>
      </w:pPr>
      <w:r>
        <w:rPr>
          <w:rFonts w:hint="eastAsia" w:ascii="宋体" w:hAnsi="宋体" w:eastAsia="宋体" w:cs="宋体"/>
          <w:sz w:val="24"/>
        </w:rPr>
        <w:t>承接银行联系方式</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4"/>
        <w:gridCol w:w="2804"/>
        <w:gridCol w:w="2914"/>
      </w:tblGrid>
      <w:tr w14:paraId="1B26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14:paraId="129E23C0">
            <w:pPr>
              <w:adjustRightInd w:val="0"/>
              <w:snapToGrid w:val="0"/>
              <w:spacing w:line="360" w:lineRule="auto"/>
              <w:jc w:val="center"/>
              <w:rPr>
                <w:rFonts w:ascii="宋体" w:hAnsi="宋体" w:eastAsia="宋体" w:cs="宋体"/>
                <w:sz w:val="24"/>
              </w:rPr>
            </w:pPr>
            <w:r>
              <w:rPr>
                <w:rFonts w:hint="eastAsia" w:ascii="宋体" w:hAnsi="宋体" w:eastAsia="宋体" w:cs="宋体"/>
                <w:sz w:val="24"/>
              </w:rPr>
              <w:t>单位名称</w:t>
            </w:r>
          </w:p>
        </w:tc>
        <w:tc>
          <w:tcPr>
            <w:tcW w:w="3065" w:type="dxa"/>
            <w:vAlign w:val="center"/>
          </w:tcPr>
          <w:p w14:paraId="6920BFFB">
            <w:pPr>
              <w:adjustRightInd w:val="0"/>
              <w:snapToGrid w:val="0"/>
              <w:spacing w:line="360" w:lineRule="auto"/>
              <w:jc w:val="center"/>
              <w:rPr>
                <w:rFonts w:ascii="宋体" w:hAnsi="宋体" w:eastAsia="宋体" w:cs="宋体"/>
                <w:sz w:val="24"/>
              </w:rPr>
            </w:pPr>
            <w:r>
              <w:rPr>
                <w:rFonts w:hint="eastAsia" w:ascii="宋体" w:hAnsi="宋体" w:eastAsia="宋体" w:cs="宋体"/>
                <w:sz w:val="24"/>
              </w:rPr>
              <w:t>联系人</w:t>
            </w:r>
          </w:p>
        </w:tc>
        <w:tc>
          <w:tcPr>
            <w:tcW w:w="3066" w:type="dxa"/>
            <w:vAlign w:val="center"/>
          </w:tcPr>
          <w:p w14:paraId="5F15A5CB">
            <w:pPr>
              <w:adjustRightInd w:val="0"/>
              <w:snapToGrid w:val="0"/>
              <w:spacing w:line="360" w:lineRule="auto"/>
              <w:jc w:val="center"/>
              <w:rPr>
                <w:rFonts w:ascii="宋体" w:hAnsi="宋体" w:eastAsia="宋体" w:cs="宋体"/>
                <w:sz w:val="24"/>
              </w:rPr>
            </w:pPr>
            <w:r>
              <w:rPr>
                <w:rFonts w:hint="eastAsia" w:ascii="宋体" w:hAnsi="宋体" w:eastAsia="宋体" w:cs="宋体"/>
                <w:sz w:val="24"/>
              </w:rPr>
              <w:t>联系方式</w:t>
            </w:r>
          </w:p>
        </w:tc>
      </w:tr>
      <w:tr w14:paraId="2BF5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14:paraId="5EB66C5C">
            <w:pPr>
              <w:adjustRightInd w:val="0"/>
              <w:snapToGrid w:val="0"/>
              <w:spacing w:line="360" w:lineRule="auto"/>
              <w:jc w:val="center"/>
              <w:rPr>
                <w:rFonts w:ascii="宋体" w:hAnsi="宋体" w:eastAsia="宋体" w:cs="宋体"/>
                <w:sz w:val="24"/>
              </w:rPr>
            </w:pPr>
            <w:r>
              <w:rPr>
                <w:rFonts w:hint="eastAsia" w:ascii="宋体" w:hAnsi="宋体" w:eastAsia="宋体" w:cs="宋体"/>
                <w:sz w:val="24"/>
              </w:rPr>
              <w:t>中国建设银行股份有限公司卢氏支行</w:t>
            </w:r>
          </w:p>
        </w:tc>
        <w:tc>
          <w:tcPr>
            <w:tcW w:w="3065" w:type="dxa"/>
            <w:vAlign w:val="center"/>
          </w:tcPr>
          <w:p w14:paraId="547CBA3A">
            <w:pPr>
              <w:adjustRightInd w:val="0"/>
              <w:snapToGrid w:val="0"/>
              <w:spacing w:line="360" w:lineRule="auto"/>
              <w:jc w:val="center"/>
              <w:rPr>
                <w:rFonts w:ascii="宋体" w:hAnsi="宋体" w:eastAsia="宋体" w:cs="宋体"/>
                <w:kern w:val="0"/>
                <w:sz w:val="24"/>
                <w:shd w:val="clear" w:color="auto" w:fill="F9F9F9"/>
              </w:rPr>
            </w:pPr>
            <w:r>
              <w:rPr>
                <w:rFonts w:hint="eastAsia" w:ascii="宋体" w:hAnsi="宋体" w:eastAsia="宋体" w:cs="宋体"/>
                <w:sz w:val="24"/>
              </w:rPr>
              <w:t>张江涛</w:t>
            </w:r>
          </w:p>
        </w:tc>
        <w:tc>
          <w:tcPr>
            <w:tcW w:w="3066" w:type="dxa"/>
            <w:vAlign w:val="center"/>
          </w:tcPr>
          <w:p w14:paraId="65578A67">
            <w:pPr>
              <w:adjustRightInd w:val="0"/>
              <w:snapToGrid w:val="0"/>
              <w:spacing w:line="360" w:lineRule="auto"/>
              <w:jc w:val="center"/>
              <w:rPr>
                <w:rFonts w:ascii="宋体" w:hAnsi="宋体" w:eastAsia="宋体" w:cs="宋体"/>
                <w:kern w:val="0"/>
                <w:sz w:val="24"/>
                <w:shd w:val="clear" w:color="auto" w:fill="F9F9F9"/>
              </w:rPr>
            </w:pPr>
            <w:r>
              <w:rPr>
                <w:rFonts w:hint="eastAsia" w:ascii="宋体" w:hAnsi="宋体" w:eastAsia="宋体" w:cs="宋体"/>
                <w:sz w:val="24"/>
              </w:rPr>
              <w:t>18739850204</w:t>
            </w:r>
          </w:p>
        </w:tc>
      </w:tr>
      <w:tr w14:paraId="1445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14:paraId="4454CBFF">
            <w:pPr>
              <w:adjustRightInd w:val="0"/>
              <w:snapToGrid w:val="0"/>
              <w:spacing w:line="360" w:lineRule="auto"/>
              <w:jc w:val="center"/>
              <w:rPr>
                <w:rFonts w:ascii="宋体" w:hAnsi="宋体" w:eastAsia="宋体" w:cs="宋体"/>
                <w:sz w:val="24"/>
              </w:rPr>
            </w:pPr>
            <w:r>
              <w:rPr>
                <w:rFonts w:hint="eastAsia" w:ascii="宋体" w:hAnsi="宋体" w:eastAsia="宋体" w:cs="宋体"/>
                <w:sz w:val="24"/>
              </w:rPr>
              <w:t>中国农业银行股份有限公司卢氏县支行</w:t>
            </w:r>
          </w:p>
        </w:tc>
        <w:tc>
          <w:tcPr>
            <w:tcW w:w="3065" w:type="dxa"/>
            <w:vAlign w:val="center"/>
          </w:tcPr>
          <w:p w14:paraId="03AFE827">
            <w:pPr>
              <w:adjustRightInd w:val="0"/>
              <w:snapToGrid w:val="0"/>
              <w:spacing w:line="360" w:lineRule="auto"/>
              <w:jc w:val="center"/>
              <w:rPr>
                <w:rFonts w:ascii="宋体" w:hAnsi="宋体" w:eastAsia="宋体" w:cs="宋体"/>
                <w:kern w:val="0"/>
                <w:sz w:val="24"/>
                <w:shd w:val="clear" w:color="auto" w:fill="F9F9F9"/>
              </w:rPr>
            </w:pPr>
            <w:r>
              <w:rPr>
                <w:rFonts w:hint="eastAsia" w:ascii="宋体" w:hAnsi="宋体" w:eastAsia="宋体" w:cs="宋体"/>
                <w:sz w:val="24"/>
              </w:rPr>
              <w:t>代仁旺</w:t>
            </w:r>
          </w:p>
        </w:tc>
        <w:tc>
          <w:tcPr>
            <w:tcW w:w="3066" w:type="dxa"/>
            <w:vAlign w:val="center"/>
          </w:tcPr>
          <w:p w14:paraId="2A9630FF">
            <w:pPr>
              <w:adjustRightInd w:val="0"/>
              <w:snapToGrid w:val="0"/>
              <w:spacing w:line="360" w:lineRule="auto"/>
              <w:jc w:val="center"/>
              <w:rPr>
                <w:rFonts w:ascii="宋体" w:hAnsi="宋体" w:eastAsia="宋体" w:cs="宋体"/>
                <w:kern w:val="0"/>
                <w:sz w:val="24"/>
                <w:shd w:val="clear" w:color="auto" w:fill="F9F9F9"/>
              </w:rPr>
            </w:pPr>
            <w:r>
              <w:rPr>
                <w:rFonts w:hint="eastAsia" w:ascii="宋体" w:hAnsi="宋体" w:eastAsia="宋体" w:cs="宋体"/>
                <w:sz w:val="24"/>
              </w:rPr>
              <w:t>18939062604</w:t>
            </w:r>
          </w:p>
        </w:tc>
      </w:tr>
      <w:tr w14:paraId="08DD6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5" w:type="dxa"/>
            <w:vAlign w:val="center"/>
          </w:tcPr>
          <w:p w14:paraId="0D9FAA33">
            <w:pPr>
              <w:adjustRightInd w:val="0"/>
              <w:snapToGrid w:val="0"/>
              <w:spacing w:line="360" w:lineRule="auto"/>
              <w:jc w:val="center"/>
              <w:rPr>
                <w:rFonts w:ascii="宋体" w:hAnsi="宋体" w:eastAsia="宋体" w:cs="宋体"/>
                <w:sz w:val="24"/>
              </w:rPr>
            </w:pPr>
            <w:r>
              <w:rPr>
                <w:rFonts w:hint="eastAsia" w:ascii="宋体" w:hAnsi="宋体" w:eastAsia="宋体" w:cs="宋体"/>
                <w:sz w:val="24"/>
              </w:rPr>
              <w:t>中原银行股份有限公司</w:t>
            </w:r>
          </w:p>
          <w:p w14:paraId="4CCA0575">
            <w:pPr>
              <w:adjustRightInd w:val="0"/>
              <w:snapToGrid w:val="0"/>
              <w:spacing w:line="360" w:lineRule="auto"/>
              <w:jc w:val="center"/>
              <w:rPr>
                <w:rFonts w:ascii="宋体" w:hAnsi="宋体" w:eastAsia="宋体" w:cs="宋体"/>
                <w:sz w:val="24"/>
              </w:rPr>
            </w:pPr>
            <w:r>
              <w:rPr>
                <w:rFonts w:hint="eastAsia" w:ascii="宋体" w:hAnsi="宋体" w:eastAsia="宋体" w:cs="宋体"/>
                <w:sz w:val="24"/>
              </w:rPr>
              <w:t>卢氏支行</w:t>
            </w:r>
          </w:p>
        </w:tc>
        <w:tc>
          <w:tcPr>
            <w:tcW w:w="3065" w:type="dxa"/>
            <w:vAlign w:val="center"/>
          </w:tcPr>
          <w:p w14:paraId="26A3BBD7">
            <w:pPr>
              <w:adjustRightInd w:val="0"/>
              <w:snapToGrid w:val="0"/>
              <w:spacing w:line="360" w:lineRule="auto"/>
              <w:jc w:val="center"/>
              <w:rPr>
                <w:rFonts w:ascii="宋体" w:hAnsi="宋体" w:eastAsia="宋体" w:cs="宋体"/>
                <w:kern w:val="0"/>
                <w:sz w:val="24"/>
                <w:shd w:val="clear" w:color="auto" w:fill="F9F9F9"/>
              </w:rPr>
            </w:pPr>
            <w:r>
              <w:rPr>
                <w:rFonts w:hint="eastAsia" w:ascii="宋体" w:hAnsi="宋体" w:eastAsia="宋体" w:cs="宋体"/>
                <w:sz w:val="24"/>
              </w:rPr>
              <w:t>李 博</w:t>
            </w:r>
          </w:p>
        </w:tc>
        <w:tc>
          <w:tcPr>
            <w:tcW w:w="3066" w:type="dxa"/>
            <w:vAlign w:val="center"/>
          </w:tcPr>
          <w:p w14:paraId="0DB4A5FC">
            <w:pPr>
              <w:adjustRightInd w:val="0"/>
              <w:snapToGrid w:val="0"/>
              <w:spacing w:line="360" w:lineRule="auto"/>
              <w:jc w:val="center"/>
              <w:rPr>
                <w:rFonts w:ascii="宋体" w:hAnsi="宋体" w:eastAsia="宋体" w:cs="宋体"/>
                <w:kern w:val="0"/>
                <w:sz w:val="24"/>
                <w:shd w:val="clear" w:color="auto" w:fill="F9F9F9"/>
              </w:rPr>
            </w:pPr>
            <w:r>
              <w:rPr>
                <w:rFonts w:hint="eastAsia" w:ascii="宋体" w:hAnsi="宋体" w:eastAsia="宋体" w:cs="宋体"/>
                <w:sz w:val="24"/>
              </w:rPr>
              <w:t>15839857887</w:t>
            </w:r>
          </w:p>
        </w:tc>
      </w:tr>
    </w:tbl>
    <w:p w14:paraId="54027117">
      <w:pPr>
        <w:rPr>
          <w:rFonts w:ascii="宋体" w:hAnsi="宋体" w:cs="宋体"/>
          <w:b/>
          <w:bCs/>
          <w:sz w:val="24"/>
        </w:rPr>
      </w:pPr>
    </w:p>
    <w:p w14:paraId="3B7CA757">
      <w:pPr>
        <w:rPr>
          <w:rFonts w:ascii="宋体" w:hAnsi="宋体" w:cs="宋体"/>
          <w:b/>
          <w:bCs/>
          <w:sz w:val="24"/>
        </w:rPr>
      </w:pPr>
    </w:p>
    <w:p w14:paraId="4F2E8BFB">
      <w:pPr>
        <w:rPr>
          <w:rFonts w:ascii="Calibri" w:hAnsi="Calibri" w:cs="Calibri"/>
          <w:sz w:val="24"/>
        </w:rPr>
      </w:pPr>
      <w:r>
        <w:rPr>
          <w:rFonts w:ascii="Calibri" w:hAnsi="Calibri" w:cs="Calibri"/>
          <w:sz w:val="24"/>
        </w:rPr>
        <w:br w:type="page"/>
      </w:r>
    </w:p>
    <w:p w14:paraId="44CDBD0A">
      <w:pPr>
        <w:pStyle w:val="13"/>
        <w:spacing w:before="156" w:beforeAutospacing="0" w:after="156" w:afterAutospacing="0" w:line="600" w:lineRule="exact"/>
        <w:jc w:val="center"/>
        <w:outlineLvl w:val="0"/>
        <w:rPr>
          <w:rFonts w:ascii="宋体" w:hAnsi="宋体" w:eastAsia="宋体" w:cs="宋体"/>
          <w:b/>
          <w:bCs/>
          <w:sz w:val="32"/>
          <w:szCs w:val="32"/>
        </w:rPr>
      </w:pPr>
      <w:bookmarkStart w:id="63" w:name="_Toc15043"/>
      <w:r>
        <w:rPr>
          <w:rFonts w:ascii="宋体" w:hAnsi="宋体" w:eastAsia="宋体" w:cs="宋体"/>
          <w:b/>
          <w:bCs/>
          <w:sz w:val="32"/>
          <w:szCs w:val="32"/>
        </w:rPr>
        <w:t> </w:t>
      </w:r>
      <w:bookmarkStart w:id="64" w:name="_Toc9198"/>
      <w:r>
        <w:rPr>
          <w:rFonts w:hint="eastAsia" w:ascii="宋体" w:hAnsi="宋体" w:eastAsia="宋体" w:cs="宋体"/>
          <w:b/>
          <w:bCs/>
          <w:sz w:val="32"/>
          <w:szCs w:val="32"/>
        </w:rPr>
        <w:t>第三章  采购</w:t>
      </w:r>
      <w:bookmarkEnd w:id="64"/>
      <w:r>
        <w:rPr>
          <w:rFonts w:hint="eastAsia" w:ascii="宋体" w:hAnsi="宋体" w:eastAsia="宋体" w:cs="宋体"/>
          <w:b/>
          <w:bCs/>
          <w:sz w:val="32"/>
          <w:szCs w:val="32"/>
        </w:rPr>
        <w:t>需求</w:t>
      </w:r>
      <w:bookmarkEnd w:id="63"/>
    </w:p>
    <w:p w14:paraId="4C973F60">
      <w:pPr>
        <w:pStyle w:val="13"/>
        <w:spacing w:beforeAutospacing="0" w:afterAutospacing="0" w:line="240" w:lineRule="auto"/>
        <w:jc w:val="both"/>
        <w:rPr>
          <w:rFonts w:ascii="宋体" w:hAnsi="宋体" w:eastAsia="宋体" w:cs="宋体"/>
          <w:b/>
          <w:bCs/>
          <w:sz w:val="32"/>
          <w:szCs w:val="32"/>
        </w:rPr>
      </w:pPr>
    </w:p>
    <w:p w14:paraId="3CD79F5A">
      <w:pPr>
        <w:pStyle w:val="13"/>
        <w:numPr>
          <w:ilvl w:val="0"/>
          <w:numId w:val="0"/>
        </w:numPr>
        <w:spacing w:beforeAutospacing="0" w:afterAutospacing="0" w:line="24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一、采购内容：</w:t>
      </w:r>
    </w:p>
    <w:p w14:paraId="6DC2B6F2">
      <w:pPr>
        <w:keepNext w:val="0"/>
        <w:keepLines w:val="0"/>
        <w:pageBreakBefore w:val="0"/>
        <w:kinsoku/>
        <w:wordWrap/>
        <w:overflowPunct/>
        <w:topLinePunct w:val="0"/>
        <w:autoSpaceDE/>
        <w:autoSpaceDN/>
        <w:bidi w:val="0"/>
        <w:adjustRightInd/>
        <w:snapToGrid/>
        <w:spacing w:line="500" w:lineRule="exact"/>
        <w:ind w:left="0" w:leftChars="0" w:right="0" w:firstLine="547" w:firstLineChars="228"/>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本项目共分3个标段，共内置式生物质烤房131座。</w:t>
      </w:r>
    </w:p>
    <w:p w14:paraId="03579E71">
      <w:pPr>
        <w:pStyle w:val="13"/>
        <w:numPr>
          <w:ilvl w:val="0"/>
          <w:numId w:val="0"/>
        </w:numPr>
        <w:spacing w:beforeAutospacing="0" w:afterAutospacing="0" w:line="24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一标段：</w:t>
      </w:r>
      <w:r>
        <w:rPr>
          <w:rFonts w:hint="eastAsia" w:ascii="宋体" w:hAnsi="宋体" w:eastAsia="宋体" w:cs="宋体"/>
          <w:sz w:val="24"/>
          <w:szCs w:val="24"/>
          <w:lang w:val="en-US" w:eastAsia="zh-CN"/>
        </w:rPr>
        <w:t>采购内容</w:t>
      </w:r>
      <w:r>
        <w:rPr>
          <w:rFonts w:hint="eastAsia" w:ascii="宋体" w:hAnsi="宋体" w:eastAsia="宋体" w:cs="宋体"/>
          <w:kern w:val="2"/>
          <w:sz w:val="24"/>
          <w:szCs w:val="24"/>
          <w:lang w:val="en-US" w:eastAsia="zh-CN" w:bidi="ar-SA"/>
        </w:rPr>
        <w:t>包括官道口30座、杜关18座共48座。主要内容为内置式生物质烤房包括烤房主体和整套烘烤设备，烤房主体含装烟室、装烟室门、隔热墙、加热室、操作间遮雨蓬和烤房地基（≧C20 砼)等，整套设备含内置式燃烧机（燃烧室、点火器、清灰除焦装置、助燃风机、观火窗、防护罩等）、送料器（贮料箱、卸料口、送料螺旋、送料电机、送料电机防护罩等）、炉体（炉壁、炉顶、炉底、炉口、烟气管道、换热器支撑架等）、换热器（换热管、火箱、金属烟囱等）、温湿度控制器、循环风机、变频器、冷风进风门、主辅排湿窗及其配套使用部件等各部位连线、安装构件及内置式生物质烤房运输、安装、调试、质保期内维修保养、培训及相关服务等。</w:t>
      </w:r>
    </w:p>
    <w:p w14:paraId="504AD3E4">
      <w:pPr>
        <w:pStyle w:val="13"/>
        <w:numPr>
          <w:ilvl w:val="0"/>
          <w:numId w:val="0"/>
        </w:numPr>
        <w:spacing w:beforeAutospacing="0" w:afterAutospacing="0" w:line="24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二标段：包括范里10座、横涧19座、沙河14座共43座。主要内容为内置式生物质烤房包括烤房主体和整套烘烤设备，烤房主体含装烟室、装烟室门、隔热墙、加热室、操作间遮雨蓬和烤房地基（≧C20 砼)等，整套设备含内置式燃烧机（燃烧室、点火器、清灰除焦装置、助燃风机、观火窗、防护罩等）、送料器（贮料箱、卸料口、送料螺旋、送料电机、送料电机防护罩等）、炉体（炉壁、炉顶、炉底、炉口、烟气管道、换热器支撑架等）、换热器（换热管、火箱、金属烟囱等）、温湿度控制器、循环风机、变频器、冷风进风门、主辅排湿窗及其配套使用部件等各部位连线、安装构件及内置式生物质烤房运输、安装、调试、质保期内维修保养、培训及相关服务等。</w:t>
      </w:r>
    </w:p>
    <w:p w14:paraId="730544DB">
      <w:pPr>
        <w:pStyle w:val="13"/>
        <w:numPr>
          <w:ilvl w:val="0"/>
          <w:numId w:val="0"/>
        </w:numPr>
        <w:spacing w:beforeAutospacing="0" w:afterAutospacing="0" w:line="24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三标段：包括东明26座、木桐4座、官坡10座共40座。主要内容为内置式生物质烤房包括烤房主体和整套烘烤设备，烤房主体含装烟室、装烟室门、隔热墙、加热室、操作间遮雨蓬和烤房地基（≧C20 砼)等，整套设备含内置式燃烧机（燃烧室、点火器、清灰除焦装置、助燃风机、观火窗、防护罩等）、送料器（贮料箱、卸料口、送料螺旋、送料电机、送料电机防护罩等）、炉体（炉壁、炉顶、炉底、炉口、烟气管道、换热器支撑架等）、换热器（换热管、火箱、金属烟囱等）、温湿度控制器、循环风机、变频器、冷风进风门、主辅排湿窗及其配套使用部件等各部位连线、安装构件及内置式生物质烤房运输、安装、调试、质保期内维修保养、培训及相关服务等。</w:t>
      </w:r>
    </w:p>
    <w:p w14:paraId="26E9CE69">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bookmarkStart w:id="65" w:name="_Toc22469"/>
      <w:r>
        <w:rPr>
          <w:rFonts w:hint="eastAsia" w:ascii="宋体" w:hAnsi="宋体" w:eastAsia="宋体" w:cs="宋体"/>
          <w:b/>
          <w:bCs/>
          <w:color w:val="000000"/>
          <w:kern w:val="0"/>
          <w:sz w:val="24"/>
          <w:szCs w:val="24"/>
          <w:highlight w:val="none"/>
          <w:lang w:val="en-US" w:eastAsia="zh-CN"/>
        </w:rPr>
        <w:t>二、采购清单</w:t>
      </w:r>
    </w:p>
    <w:p w14:paraId="5CCD4753">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077D73A">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6C6C4094">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03D8390">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16CCEE2D">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sectPr>
          <w:pgSz w:w="11906" w:h="16838"/>
          <w:pgMar w:top="1440" w:right="1800" w:bottom="1440" w:left="1800" w:header="0" w:footer="506" w:gutter="0"/>
          <w:pgNumType w:fmt="decimal"/>
          <w:cols w:space="720" w:num="1"/>
        </w:sectPr>
      </w:pPr>
    </w:p>
    <w:tbl>
      <w:tblPr>
        <w:tblStyle w:val="17"/>
        <w:tblpPr w:leftFromText="180" w:rightFromText="180" w:vertAnchor="text" w:horzAnchor="page" w:tblpX="1501" w:tblpY="277"/>
        <w:tblOverlap w:val="never"/>
        <w:tblW w:w="145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778"/>
        <w:gridCol w:w="9870"/>
        <w:gridCol w:w="589"/>
        <w:gridCol w:w="496"/>
        <w:gridCol w:w="844"/>
        <w:gridCol w:w="861"/>
        <w:gridCol w:w="615"/>
      </w:tblGrid>
      <w:tr w14:paraId="3FF09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14562" w:type="dxa"/>
            <w:gridSpan w:val="8"/>
            <w:tcBorders>
              <w:top w:val="nil"/>
              <w:left w:val="nil"/>
              <w:bottom w:val="nil"/>
              <w:right w:val="nil"/>
            </w:tcBorders>
            <w:shd w:val="clear" w:color="auto" w:fill="auto"/>
            <w:vAlign w:val="center"/>
          </w:tcPr>
          <w:p w14:paraId="146192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30"/>
                <w:szCs w:val="30"/>
                <w:u w:val="none"/>
                <w:lang w:val="en-US"/>
              </w:rPr>
            </w:pPr>
            <w:r>
              <w:rPr>
                <w:rFonts w:hint="eastAsia" w:ascii="宋体" w:hAnsi="宋体" w:eastAsia="宋体" w:cs="宋体"/>
                <w:b/>
                <w:bCs/>
                <w:i w:val="0"/>
                <w:iCs w:val="0"/>
                <w:color w:val="000000"/>
                <w:kern w:val="0"/>
                <w:sz w:val="30"/>
                <w:szCs w:val="30"/>
                <w:u w:val="none"/>
                <w:lang w:val="en-US" w:eastAsia="zh-CN" w:bidi="ar"/>
              </w:rPr>
              <w:t>卢氏县2025年烟叶产业配套烤房建设项目一标段</w:t>
            </w:r>
          </w:p>
        </w:tc>
      </w:tr>
      <w:tr w14:paraId="357AD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AA8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800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9870" w:type="dxa"/>
            <w:tcBorders>
              <w:top w:val="single" w:color="000000" w:sz="4" w:space="0"/>
              <w:left w:val="nil"/>
              <w:bottom w:val="single" w:color="000000" w:sz="4" w:space="0"/>
              <w:right w:val="single" w:color="000000" w:sz="4" w:space="0"/>
            </w:tcBorders>
            <w:shd w:val="clear" w:color="auto" w:fill="auto"/>
            <w:vAlign w:val="center"/>
          </w:tcPr>
          <w:p w14:paraId="742DCA5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6B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30C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D6A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单价（元）</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667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合价（元）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D2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216DD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5"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0EA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778" w:type="dxa"/>
            <w:tcBorders>
              <w:top w:val="single" w:color="000000" w:sz="4" w:space="0"/>
              <w:left w:val="single" w:color="000000" w:sz="4" w:space="0"/>
              <w:bottom w:val="nil"/>
              <w:right w:val="single" w:color="000000" w:sz="4" w:space="0"/>
            </w:tcBorders>
            <w:shd w:val="clear" w:color="auto" w:fill="auto"/>
            <w:noWrap/>
            <w:vAlign w:val="center"/>
          </w:tcPr>
          <w:p w14:paraId="0B7071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板房</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BDF2">
            <w:pPr>
              <w:keepNext w:val="0"/>
              <w:keepLines w:val="0"/>
              <w:pageBreakBefore w:val="0"/>
              <w:widowControl/>
              <w:numPr>
                <w:ilvl w:val="0"/>
                <w:numId w:val="2"/>
              </w:numPr>
              <w:suppressLineNumbers w:val="0"/>
              <w:kinsoku/>
              <w:wordWrap/>
              <w:overflowPunct/>
              <w:topLinePunct w:val="0"/>
              <w:autoSpaceDE/>
              <w:autoSpaceDN/>
              <w:bidi w:val="0"/>
              <w:adjustRightInd/>
              <w:snapToGrid/>
              <w:spacing w:line="160" w:lineRule="exact"/>
              <w:jc w:val="left"/>
              <w:textAlignment w:val="center"/>
              <w:rPr>
                <w:rStyle w:val="27"/>
                <w:lang w:val="en-US" w:eastAsia="zh-CN" w:bidi="ar"/>
              </w:rPr>
            </w:pPr>
            <w:r>
              <w:rPr>
                <w:rStyle w:val="27"/>
                <w:lang w:val="en-US" w:eastAsia="zh-CN" w:bidi="ar"/>
              </w:rPr>
              <w:t>烤房主体                                                                                                                                              规格：8000*2780mm,装三棚烟，棚距见《密集烤房技术规范》</w:t>
            </w:r>
            <w:r>
              <w:rPr>
                <w:rStyle w:val="27"/>
                <w:lang w:val="en-US" w:eastAsia="zh-CN" w:bidi="ar"/>
              </w:rPr>
              <w:br w:type="textWrapping"/>
            </w:r>
            <w:r>
              <w:rPr>
                <w:rStyle w:val="27"/>
                <w:lang w:val="en-US" w:eastAsia="zh-CN" w:bidi="ar"/>
              </w:rPr>
              <w:t>墙体及屋面材料：</w:t>
            </w:r>
            <w:r>
              <w:rPr>
                <w:rStyle w:val="27"/>
                <w:lang w:val="en-US" w:eastAsia="zh-CN" w:bidi="ar"/>
              </w:rPr>
              <w:br w:type="textWrapping"/>
            </w:r>
            <w:r>
              <w:rPr>
                <w:rStyle w:val="27"/>
                <w:lang w:val="en-US" w:eastAsia="zh-CN" w:bidi="ar"/>
              </w:rPr>
              <w:t>1、装烟室墙面及屋顶采用聚苯乙烯金属夹芯板，聚苯乙烯密度≥18kg/m</w:t>
            </w:r>
            <w:r>
              <w:rPr>
                <w:rStyle w:val="28"/>
                <w:lang w:val="en-US" w:eastAsia="zh-CN" w:bidi="ar"/>
              </w:rPr>
              <w:t>³</w:t>
            </w:r>
            <w:r>
              <w:rPr>
                <w:rStyle w:val="27"/>
                <w:lang w:val="en-US" w:eastAsia="zh-CN" w:bidi="ar"/>
              </w:rPr>
              <w:t>，厚度≥50mm，外包彩钢板，彩钢厚度≥0.35mm。墙体及屋面采用搭扣的方式链接，保证不漏水、不漏气。屋顶另搭彩钢防雨板厚度≥0.35mm，坡度≥5%。</w:t>
            </w:r>
            <w:r>
              <w:rPr>
                <w:rStyle w:val="27"/>
                <w:lang w:val="en-US" w:eastAsia="zh-CN" w:bidi="ar"/>
              </w:rPr>
              <w:br w:type="textWrapping"/>
            </w:r>
            <w:r>
              <w:rPr>
                <w:rStyle w:val="27"/>
                <w:lang w:val="en-US" w:eastAsia="zh-CN" w:bidi="ar"/>
              </w:rPr>
              <w:t>房体主框架：</w:t>
            </w:r>
            <w:r>
              <w:rPr>
                <w:rStyle w:val="27"/>
                <w:lang w:val="en-US" w:eastAsia="zh-CN" w:bidi="ar"/>
              </w:rPr>
              <w:br w:type="textWrapping"/>
            </w:r>
            <w:r>
              <w:rPr>
                <w:rStyle w:val="27"/>
                <w:lang w:val="en-US" w:eastAsia="zh-CN" w:bidi="ar"/>
              </w:rPr>
              <w:t>1、结构：由三角梁、中立柱、侧立柱、钢桁条等攀组成，全部通过螺栓连接。</w:t>
            </w:r>
          </w:p>
          <w:p w14:paraId="51F57021">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jc w:val="left"/>
              <w:textAlignment w:val="center"/>
              <w:rPr>
                <w:rStyle w:val="27"/>
                <w:lang w:val="en-US" w:eastAsia="zh-CN" w:bidi="ar"/>
              </w:rPr>
            </w:pPr>
            <w:r>
              <w:rPr>
                <w:rStyle w:val="27"/>
                <w:lang w:val="en-US" w:eastAsia="zh-CN" w:bidi="ar"/>
              </w:rPr>
              <w:t>三角梁材料为30*50镀锌矩管，壁厚≥2mm，两侧钻有和侧立柱连接的螺栓孔。</w:t>
            </w:r>
          </w:p>
          <w:p w14:paraId="32A64BC6">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中立柱、侧立柱为30*50镀锌矩管，壁厚≥2mm，上边钻有和钢桁条、三角梁连接的螺栓孔。</w:t>
            </w:r>
          </w:p>
          <w:p w14:paraId="1379AF86">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挂烟钢桁条：40角钢，厚度3mm，其上钻有和立柱连接的螺栓孔。</w:t>
            </w:r>
          </w:p>
          <w:p w14:paraId="31116593">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房墙体主框架通过钢桁条等和大门框、隔热墙框架连接。</w:t>
            </w:r>
          </w:p>
          <w:p w14:paraId="78C4E78C">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立柱单列根数6根，间隔7档，立柱间距离≤1200mm。</w:t>
            </w:r>
          </w:p>
          <w:p w14:paraId="34483BB0">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钢桁条表面做防锈处理。同时能满足挂竿和烟夹使用要求，承载量大，其与立柱连接处无明显突起物，确保烟筐或烟夹方便放置并能顺畅滑动。</w:t>
            </w:r>
          </w:p>
          <w:p w14:paraId="5E1A96D5">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房体四角包角密封：装烟室四角用包角密封，材料为彩涂板，厚度≥0.35mm。                                                                                                 二、装烟室门                                                                                                                           1、规格：2780*3050㎜双开门。</w:t>
            </w:r>
          </w:p>
          <w:p w14:paraId="5E459565">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Fonts w:hint="eastAsia" w:ascii="仿宋" w:hAnsi="仿宋" w:eastAsia="仿宋" w:cs="仿宋"/>
                <w:color w:val="000000"/>
                <w:kern w:val="2"/>
                <w:sz w:val="18"/>
                <w:szCs w:val="18"/>
                <w:lang w:val="en-US" w:eastAsia="zh-CN" w:bidi="ar"/>
              </w:rPr>
              <w:t>2、</w:t>
            </w:r>
            <w:r>
              <w:rPr>
                <w:rStyle w:val="27"/>
                <w:lang w:val="en-US" w:eastAsia="zh-CN" w:bidi="ar"/>
              </w:rPr>
              <w:t>门框材料：Ｑ235,50镀锌方管，厚度：≥2㎜，通过螺栓或自钻丝与房体连接。</w:t>
            </w:r>
          </w:p>
          <w:p w14:paraId="73FBC410">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3、门扇边材料：门扇四边均为H型厢式货车密封条，材质为三元乙丙橡胶(EPDM)复合材料。</w:t>
            </w:r>
          </w:p>
          <w:p w14:paraId="6F24D370">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4、门扇芯：彩钢板复合保温板，厚度≥0.35mm。保温材料为聚苯乙烯泡沫板，厚度50mm，密度≥13kg/m3。</w:t>
            </w:r>
          </w:p>
          <w:p w14:paraId="7BA3BD2E">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5、观察窗：外框为铝合金专用型材（厚度≥0.5㎜）,内层为5㎜中空玻璃。</w:t>
            </w:r>
          </w:p>
          <w:p w14:paraId="3660A4D1">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 xml:space="preserve">6、附件：为厢式货车车箱专门用锁具，由大门锁扣、镀锌铰链 、镀锌螺栓、DN32镀锌钢管构构成，均经过热镀锌处理。                                                                             </w:t>
            </w:r>
            <w:r>
              <w:rPr>
                <w:rStyle w:val="27"/>
                <w:rFonts w:hint="eastAsia"/>
                <w:lang w:val="en-US" w:eastAsia="zh-CN" w:bidi="ar"/>
              </w:rPr>
              <w:t xml:space="preserve">        </w:t>
            </w:r>
            <w:r>
              <w:rPr>
                <w:rStyle w:val="27"/>
                <w:lang w:val="en-US" w:eastAsia="zh-CN" w:bidi="ar"/>
              </w:rPr>
              <w:t xml:space="preserve">             三、隔热墙                                                                                                                            隔热墙全部为彩钢岩棉板，彩钢板厚度≥0.35mm,岩棉厚度50mm，密度≥120㎏/m3。隔热墙主框架为30*50镀锌矩管，岩棉板用自钻丝固定在其上，通过螺栓或自钻丝与装烟室主体连接。                                                                                                             四、加热室                                                                                                                              1、炉门周围及回风道为砖混结构。</w:t>
            </w:r>
          </w:p>
          <w:p w14:paraId="5282C51C">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2、加热室四周保温板、顶部保温板及风机维修门、清灰门均为彩钢岩棉板结构，密度≥120kg/m</w:t>
            </w:r>
            <w:r>
              <w:rPr>
                <w:rStyle w:val="28"/>
                <w:lang w:val="en-US" w:eastAsia="zh-CN" w:bidi="ar"/>
              </w:rPr>
              <w:t>³</w:t>
            </w:r>
            <w:r>
              <w:rPr>
                <w:rStyle w:val="27"/>
                <w:lang w:val="en-US" w:eastAsia="zh-CN" w:bidi="ar"/>
              </w:rPr>
              <w:t>。厚度≥50mm，外包彩钢板，彩钢厚度≥0.35mm。板四周用专用铝合金或C型彩钢板包边，边缘用封边堵缝，不走风漏气；加热室后部进料口及出灰口采用砖砌，宽度与加热室等宽，高度高于进料口高度≥240mm。</w:t>
            </w:r>
          </w:p>
          <w:p w14:paraId="4D435E67">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3、风机台板为钢板。维修门、清灰门门框及门扇芯均为铝开型材封边，厚度≥0.5㎜。彩钢板厚度≥0.35mm, 岩棉厚度≥50mm，密度≥120kg/m3。                                                                                                  五、操作间遮雨棚                                                                                                                                                                                       1、规格：3000*3000mm（与装烟室连接为一体）；</w:t>
            </w:r>
          </w:p>
          <w:p w14:paraId="077E0185">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2、结构：立柱柱、三角形梁、檩条均为40镀锌方管，壁厚≥2mm；</w:t>
            </w:r>
          </w:p>
          <w:p w14:paraId="0991F1BD">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3、屋面：单层彩钢板，厚度≥0.35mm，顶上开直径Φ165mm烟囱孔。</w:t>
            </w:r>
          </w:p>
          <w:p w14:paraId="0980784C">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Fonts w:ascii="仿宋" w:hAnsi="仿宋" w:eastAsia="仿宋" w:cs="仿宋"/>
                <w:i w:val="0"/>
                <w:iCs w:val="0"/>
                <w:color w:val="000000"/>
                <w:sz w:val="18"/>
                <w:szCs w:val="18"/>
                <w:u w:val="none"/>
              </w:rPr>
            </w:pPr>
            <w:r>
              <w:rPr>
                <w:rStyle w:val="27"/>
                <w:lang w:val="en-US" w:eastAsia="zh-CN" w:bidi="ar"/>
              </w:rPr>
              <w:t xml:space="preserve">4、加长烟囱：和换热器烟囱对接并高出屋顶50cm以上。                                                                                                                                                                                                                  </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676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座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1BB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BC0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17250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568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828000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53C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具体详见附件1</w:t>
            </w:r>
          </w:p>
        </w:tc>
      </w:tr>
      <w:tr w14:paraId="7B814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464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6F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燃烧机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2012">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lang w:val="en-US" w:eastAsia="zh-CN" w:bidi="ar"/>
              </w:rPr>
              <w:t>1.</w:t>
            </w:r>
            <w:r>
              <w:rPr>
                <w:rFonts w:hint="eastAsia" w:ascii="仿宋" w:hAnsi="仿宋" w:eastAsia="仿宋" w:cs="仿宋"/>
                <w:i w:val="0"/>
                <w:iCs w:val="0"/>
                <w:color w:val="000000"/>
                <w:kern w:val="0"/>
                <w:sz w:val="18"/>
                <w:szCs w:val="18"/>
                <w:u w:val="none"/>
                <w:lang w:val="en-US" w:eastAsia="zh-CN" w:bidi="ar"/>
              </w:rPr>
              <w:t>整机性能 整机噪声≤65dB(A)；整机有效度≥98%；小时耗电量≤0.40 kW·h。</w:t>
            </w:r>
          </w:p>
          <w:p w14:paraId="08C1188B">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2.燃烧机：贮料箱有效容积≥0.20m3；贮料箱上沿距地面高度≤1700mm；中心高度及可调范围820±100mm；送料电机功率≥0.06kW；最大投料速度≤165.00g/min；最小投料速度≤17.00g/min；投料档位≥10 个；额定热功率≥400000kJ/h；最小稳燃热功率≤15000kJ/h；燃烧效率＞90%；点火完成所需时间≤5min；点火器额定点火次数≥2000次；点火棒功率≥0.6kW；清灰除焦器电机功率≥0.02kW；助燃风机功率≥0.12kW；密封固定板≥3.7mm；燃烧弧板挡板（09CuPCrNi） ≥7.8mm；燃烧弧板（V型）耐热铸铁(QTRSi5)≥11.5mm； 燃烧腔底板06Cr19Ni10≥2.0mm。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81C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8C4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AB1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7950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F06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381600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B97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具体详见附件2</w:t>
            </w:r>
          </w:p>
        </w:tc>
      </w:tr>
      <w:tr w14:paraId="6D417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E2B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3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99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控制器</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C50B">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lang w:val="en-US" w:eastAsia="zh-CN" w:bidi="ar"/>
              </w:rPr>
              <w:t>1.</w:t>
            </w:r>
            <w:r>
              <w:rPr>
                <w:rFonts w:hint="eastAsia" w:ascii="仿宋" w:hAnsi="仿宋" w:eastAsia="仿宋" w:cs="仿宋"/>
                <w:i w:val="0"/>
                <w:iCs w:val="0"/>
                <w:color w:val="000000"/>
                <w:kern w:val="0"/>
                <w:sz w:val="18"/>
                <w:szCs w:val="18"/>
                <w:u w:val="none"/>
                <w:lang w:val="en-US" w:eastAsia="zh-CN" w:bidi="ar"/>
              </w:rPr>
              <w:t>控制器：温度控制精度±0.5℃；输出控制响应时间≤1s ；控制器功率≤0.03kW。</w:t>
            </w:r>
          </w:p>
          <w:p w14:paraId="1A17AB5D">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2.变频器：额定电压380V；驱动功率0.75～2.2kW；输出频率0～400Hz；工作温度10～40℃；变频器效率 ≥95%；额定负载下的功率因数≥0.85；电流总谐波畸变率≤10%；输入电压波动率≤±20%；转速响应时间 s ≤0.2；转速超调≤10%；转速稳态精度≤5%。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DA3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391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218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23C0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52800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260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具体详见附件2</w:t>
            </w:r>
          </w:p>
        </w:tc>
      </w:tr>
      <w:tr w14:paraId="62690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8F7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082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E4F46">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1、规格700。2、额定电压：380V。3、额定功率2.2KW。4、转速≥1450r/min。5、风量≥18000m3/h</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B7F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063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3D9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1E2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72000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080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r>
      <w:tr w14:paraId="23543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093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5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0A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烤房地基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B515">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烤房地基≧C20砼。其中装烟室下方为条形地基，宽200mm，高300mm(地上100mm，地下200mm)，加热室下方为混凝土浇筑水平地面，浇筑厚度≥150mm。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6F4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套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542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D4D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1400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E81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67200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56E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p>
        </w:tc>
      </w:tr>
      <w:tr w14:paraId="0E51F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11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FCD680">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9B9E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68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F1F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37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1401600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39B8">
            <w:pPr>
              <w:jc w:val="center"/>
              <w:rPr>
                <w:rFonts w:hint="default" w:ascii="Arial" w:hAnsi="Arial" w:cs="Arial"/>
                <w:b/>
                <w:bCs/>
                <w:i w:val="0"/>
                <w:iCs w:val="0"/>
                <w:color w:val="000000"/>
                <w:sz w:val="22"/>
                <w:szCs w:val="22"/>
                <w:u w:val="none"/>
              </w:rPr>
            </w:pPr>
          </w:p>
        </w:tc>
      </w:tr>
    </w:tbl>
    <w:p w14:paraId="3D1AE51A">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33317AE">
      <w:pPr>
        <w:widowControl/>
        <w:wordWrap w:val="0"/>
        <w:adjustRightInd/>
        <w:snapToGrid/>
        <w:spacing w:before="0" w:after="0" w:line="360" w:lineRule="auto"/>
        <w:ind w:right="0"/>
        <w:jc w:val="left"/>
        <w:textAlignment w:val="auto"/>
        <w:outlineLvl w:val="9"/>
        <w:rPr>
          <w:rFonts w:hint="default" w:ascii="宋体" w:hAnsi="宋体" w:eastAsia="宋体" w:cs="宋体"/>
          <w:b/>
          <w:bCs/>
          <w:color w:val="000000"/>
          <w:kern w:val="0"/>
          <w:sz w:val="24"/>
          <w:szCs w:val="24"/>
          <w:highlight w:val="none"/>
          <w:lang w:val="en-US" w:eastAsia="zh-CN"/>
        </w:rPr>
      </w:pPr>
    </w:p>
    <w:p w14:paraId="50A0214F">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671174F4">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42DCB88A">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73779F4">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5A5E2733">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71882907">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6F810589">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363EA7A3">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28348E76">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4BF52A34">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E06A50E">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780B7DCF">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tbl>
      <w:tblPr>
        <w:tblStyle w:val="17"/>
        <w:tblpPr w:leftFromText="180" w:rightFromText="180" w:vertAnchor="text" w:horzAnchor="page" w:tblpX="1501" w:tblpY="277"/>
        <w:tblOverlap w:val="never"/>
        <w:tblW w:w="145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778"/>
        <w:gridCol w:w="9870"/>
        <w:gridCol w:w="589"/>
        <w:gridCol w:w="496"/>
        <w:gridCol w:w="844"/>
        <w:gridCol w:w="861"/>
        <w:gridCol w:w="615"/>
      </w:tblGrid>
      <w:tr w14:paraId="2C3BA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14562" w:type="dxa"/>
            <w:gridSpan w:val="8"/>
            <w:tcBorders>
              <w:top w:val="nil"/>
              <w:left w:val="nil"/>
              <w:bottom w:val="nil"/>
              <w:right w:val="nil"/>
            </w:tcBorders>
            <w:shd w:val="clear" w:color="auto" w:fill="auto"/>
            <w:vAlign w:val="center"/>
          </w:tcPr>
          <w:p w14:paraId="1A434FA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30"/>
                <w:szCs w:val="30"/>
                <w:u w:val="none"/>
                <w:lang w:val="en-US"/>
              </w:rPr>
            </w:pPr>
            <w:r>
              <w:rPr>
                <w:rFonts w:hint="eastAsia" w:ascii="宋体" w:hAnsi="宋体" w:eastAsia="宋体" w:cs="宋体"/>
                <w:b/>
                <w:bCs/>
                <w:i w:val="0"/>
                <w:iCs w:val="0"/>
                <w:color w:val="000000"/>
                <w:kern w:val="0"/>
                <w:sz w:val="30"/>
                <w:szCs w:val="30"/>
                <w:u w:val="none"/>
                <w:lang w:val="en-US" w:eastAsia="zh-CN" w:bidi="ar"/>
              </w:rPr>
              <w:t>卢氏县2025年烟叶产业配套烤房建设项目二标段</w:t>
            </w:r>
          </w:p>
        </w:tc>
      </w:tr>
      <w:tr w14:paraId="5EE63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FC6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A4B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9870" w:type="dxa"/>
            <w:tcBorders>
              <w:top w:val="single" w:color="000000" w:sz="4" w:space="0"/>
              <w:left w:val="nil"/>
              <w:bottom w:val="single" w:color="000000" w:sz="4" w:space="0"/>
              <w:right w:val="single" w:color="000000" w:sz="4" w:space="0"/>
            </w:tcBorders>
            <w:shd w:val="clear" w:color="auto" w:fill="auto"/>
            <w:vAlign w:val="center"/>
          </w:tcPr>
          <w:p w14:paraId="73E245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6C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AF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E6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单价（元）</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50A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合价（元）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B85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5D884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5"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BF7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778" w:type="dxa"/>
            <w:tcBorders>
              <w:top w:val="single" w:color="000000" w:sz="4" w:space="0"/>
              <w:left w:val="single" w:color="000000" w:sz="4" w:space="0"/>
              <w:bottom w:val="nil"/>
              <w:right w:val="single" w:color="000000" w:sz="4" w:space="0"/>
            </w:tcBorders>
            <w:shd w:val="clear" w:color="auto" w:fill="auto"/>
            <w:noWrap/>
            <w:vAlign w:val="center"/>
          </w:tcPr>
          <w:p w14:paraId="014E8A7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板房</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161A">
            <w:pPr>
              <w:keepNext w:val="0"/>
              <w:keepLines w:val="0"/>
              <w:pageBreakBefore w:val="0"/>
              <w:widowControl/>
              <w:numPr>
                <w:ilvl w:val="0"/>
                <w:numId w:val="2"/>
              </w:numPr>
              <w:suppressLineNumbers w:val="0"/>
              <w:kinsoku/>
              <w:wordWrap/>
              <w:overflowPunct/>
              <w:topLinePunct w:val="0"/>
              <w:autoSpaceDE/>
              <w:autoSpaceDN/>
              <w:bidi w:val="0"/>
              <w:adjustRightInd/>
              <w:snapToGrid/>
              <w:spacing w:line="160" w:lineRule="exact"/>
              <w:jc w:val="left"/>
              <w:textAlignment w:val="center"/>
              <w:rPr>
                <w:rStyle w:val="27"/>
                <w:lang w:val="en-US" w:eastAsia="zh-CN" w:bidi="ar"/>
              </w:rPr>
            </w:pPr>
            <w:r>
              <w:rPr>
                <w:rStyle w:val="27"/>
                <w:lang w:val="en-US" w:eastAsia="zh-CN" w:bidi="ar"/>
              </w:rPr>
              <w:t>烤房主体                                                                                                                                              规格：8000*2780mm,装三棚烟，棚距见《密集烤房技术规范》</w:t>
            </w:r>
            <w:r>
              <w:rPr>
                <w:rStyle w:val="27"/>
                <w:lang w:val="en-US" w:eastAsia="zh-CN" w:bidi="ar"/>
              </w:rPr>
              <w:br w:type="textWrapping"/>
            </w:r>
            <w:r>
              <w:rPr>
                <w:rStyle w:val="27"/>
                <w:lang w:val="en-US" w:eastAsia="zh-CN" w:bidi="ar"/>
              </w:rPr>
              <w:t>墙体及屋面材料：</w:t>
            </w:r>
            <w:r>
              <w:rPr>
                <w:rStyle w:val="27"/>
                <w:lang w:val="en-US" w:eastAsia="zh-CN" w:bidi="ar"/>
              </w:rPr>
              <w:br w:type="textWrapping"/>
            </w:r>
            <w:r>
              <w:rPr>
                <w:rStyle w:val="27"/>
                <w:lang w:val="en-US" w:eastAsia="zh-CN" w:bidi="ar"/>
              </w:rPr>
              <w:t>1、装烟室墙面及屋顶采用聚苯乙烯金属夹芯板，聚苯乙烯密度≥18kg/m</w:t>
            </w:r>
            <w:r>
              <w:rPr>
                <w:rStyle w:val="28"/>
                <w:lang w:val="en-US" w:eastAsia="zh-CN" w:bidi="ar"/>
              </w:rPr>
              <w:t>³</w:t>
            </w:r>
            <w:r>
              <w:rPr>
                <w:rStyle w:val="27"/>
                <w:lang w:val="en-US" w:eastAsia="zh-CN" w:bidi="ar"/>
              </w:rPr>
              <w:t>，厚度≥50mm，外包彩钢板，彩钢厚度≥0.35mm。墙体及屋面采用搭扣的方式链接，保证不漏水、不漏气。屋顶另搭彩钢防雨板厚度≥0.35mm，坡度≥5%。</w:t>
            </w:r>
            <w:r>
              <w:rPr>
                <w:rStyle w:val="27"/>
                <w:lang w:val="en-US" w:eastAsia="zh-CN" w:bidi="ar"/>
              </w:rPr>
              <w:br w:type="textWrapping"/>
            </w:r>
            <w:r>
              <w:rPr>
                <w:rStyle w:val="27"/>
                <w:lang w:val="en-US" w:eastAsia="zh-CN" w:bidi="ar"/>
              </w:rPr>
              <w:t>房体主框架：</w:t>
            </w:r>
            <w:r>
              <w:rPr>
                <w:rStyle w:val="27"/>
                <w:lang w:val="en-US" w:eastAsia="zh-CN" w:bidi="ar"/>
              </w:rPr>
              <w:br w:type="textWrapping"/>
            </w:r>
            <w:r>
              <w:rPr>
                <w:rStyle w:val="27"/>
                <w:lang w:val="en-US" w:eastAsia="zh-CN" w:bidi="ar"/>
              </w:rPr>
              <w:t>1、结构：由三角梁、中立柱、侧立柱、钢桁条等攀组成，全部通过螺栓连接。</w:t>
            </w:r>
          </w:p>
          <w:p w14:paraId="45F63BC0">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jc w:val="left"/>
              <w:textAlignment w:val="center"/>
              <w:rPr>
                <w:rStyle w:val="27"/>
                <w:lang w:val="en-US" w:eastAsia="zh-CN" w:bidi="ar"/>
              </w:rPr>
            </w:pPr>
            <w:r>
              <w:rPr>
                <w:rStyle w:val="27"/>
                <w:lang w:val="en-US" w:eastAsia="zh-CN" w:bidi="ar"/>
              </w:rPr>
              <w:t>三角梁材料为30*50镀锌矩管，壁厚≥2mm，两侧钻有和侧立柱连接的螺栓孔。</w:t>
            </w:r>
          </w:p>
          <w:p w14:paraId="203549D6">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中立柱、侧立柱为30*50镀锌矩管，壁厚≥2mm，上边钻有和钢桁条、三角梁连接的螺栓孔。</w:t>
            </w:r>
          </w:p>
          <w:p w14:paraId="39D95B15">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挂烟钢桁条：40角钢，厚度3mm，其上钻有和立柱连接的螺栓孔。</w:t>
            </w:r>
          </w:p>
          <w:p w14:paraId="1ECDA966">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房墙体主框架通过钢桁条等和大门框、隔热墙框架连接。</w:t>
            </w:r>
          </w:p>
          <w:p w14:paraId="7BAE2221">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立柱单列根数6根，间隔7档，立柱间距离≤1200mm。</w:t>
            </w:r>
          </w:p>
          <w:p w14:paraId="5501B587">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钢桁条表面做防锈处理。同时能满足挂竿和烟夹使用要求，承载量大，其与立柱连接处无明显突起物，确保烟筐或烟夹方便放置并能顺畅滑动。</w:t>
            </w:r>
          </w:p>
          <w:p w14:paraId="6D83B124">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房体四角包角密封：装烟室四角用包角密封，材料为彩涂板，厚度≥0.35mm。                                                                                                 二、装烟室门                                                                                                                           1、规格：2780*3050㎜双开门。</w:t>
            </w:r>
          </w:p>
          <w:p w14:paraId="407E20D8">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Fonts w:hint="eastAsia" w:ascii="仿宋" w:hAnsi="仿宋" w:eastAsia="仿宋" w:cs="仿宋"/>
                <w:color w:val="000000"/>
                <w:kern w:val="2"/>
                <w:sz w:val="18"/>
                <w:szCs w:val="18"/>
                <w:lang w:val="en-US" w:eastAsia="zh-CN" w:bidi="ar"/>
              </w:rPr>
              <w:t>2、</w:t>
            </w:r>
            <w:r>
              <w:rPr>
                <w:rStyle w:val="27"/>
                <w:lang w:val="en-US" w:eastAsia="zh-CN" w:bidi="ar"/>
              </w:rPr>
              <w:t>门框材料：Ｑ235,50镀锌方管，厚度：≥2㎜，通过螺栓或自钻丝与房体连接。</w:t>
            </w:r>
          </w:p>
          <w:p w14:paraId="5A44D891">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3、门扇边材料：门扇四边均为H型厢式货车密封条，材质为三元乙丙橡胶(EPDM)复合材料。</w:t>
            </w:r>
          </w:p>
          <w:p w14:paraId="20759FA4">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4、门扇芯：彩钢板复合保温板，厚度≥0.35mm。保温材料为聚苯乙烯泡沫板，厚度50mm，密度≥13kg/m3。</w:t>
            </w:r>
          </w:p>
          <w:p w14:paraId="71CBF670">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5、观察窗：外框为铝合金专用型材（厚度≥0.5㎜）,内层为5㎜中空玻璃。</w:t>
            </w:r>
          </w:p>
          <w:p w14:paraId="3E9B3DEF">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 xml:space="preserve">6、附件：为厢式货车车箱专门用锁具，由大门锁扣、镀锌铰链 、镀锌螺栓、DN32镀锌钢管构构成，均经过热镀锌处理。                                                                             </w:t>
            </w:r>
            <w:r>
              <w:rPr>
                <w:rStyle w:val="27"/>
                <w:rFonts w:hint="eastAsia"/>
                <w:lang w:val="en-US" w:eastAsia="zh-CN" w:bidi="ar"/>
              </w:rPr>
              <w:t xml:space="preserve">        </w:t>
            </w:r>
            <w:r>
              <w:rPr>
                <w:rStyle w:val="27"/>
                <w:lang w:val="en-US" w:eastAsia="zh-CN" w:bidi="ar"/>
              </w:rPr>
              <w:t xml:space="preserve">             三、隔热墙                                                                                                                            隔热墙全部为彩钢岩棉板，彩钢板厚度≥0.35mm,岩棉厚度50mm，密度≥120㎏/m3。隔热墙主框架为30*50镀锌矩管，岩棉板用自钻丝固定在其上，通过螺栓或自钻丝与装烟室主体连接。                                                                                                             四、加热室                                                                                                                              1、炉门周围及回风道为砖混结构。</w:t>
            </w:r>
          </w:p>
          <w:p w14:paraId="05D1E301">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2、加热室四周保温板、顶部保温板及风机维修门、清灰门均为彩钢岩棉板结构，密度≥120kg/m</w:t>
            </w:r>
            <w:r>
              <w:rPr>
                <w:rStyle w:val="28"/>
                <w:lang w:val="en-US" w:eastAsia="zh-CN" w:bidi="ar"/>
              </w:rPr>
              <w:t>³</w:t>
            </w:r>
            <w:r>
              <w:rPr>
                <w:rStyle w:val="27"/>
                <w:lang w:val="en-US" w:eastAsia="zh-CN" w:bidi="ar"/>
              </w:rPr>
              <w:t>。厚度≥50mm，外包彩钢板，彩钢厚度≥0.35mm。板四周用专用铝合金或C型彩钢板包边，边缘用封边堵缝，不走风漏气；加热室后部进料口及出灰口采用砖砌，宽度与加热室等宽，高度高于进料口高度≥240mm。</w:t>
            </w:r>
          </w:p>
          <w:p w14:paraId="1940CEC4">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3、风机台板为钢板。维修门、清灰门门框及门扇芯均为铝开型材封边，厚度≥0.5㎜。彩钢板厚度≥0.35mm, 岩棉厚度≥50mm，密度≥120kg/m3。                                                                                                  五、操作间遮雨棚                                                                                                                                                                                       1、规格：3000*3000mm（与装烟室连接为一体）；</w:t>
            </w:r>
          </w:p>
          <w:p w14:paraId="73D3D9CF">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2、结构：立柱柱、三角形梁、檩条均为40镀锌方管，壁厚≥2mm；</w:t>
            </w:r>
          </w:p>
          <w:p w14:paraId="67699CDB">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3、屋面：单层彩钢板，厚度≥0.35mm，顶上开直径Φ165mm烟囱孔。</w:t>
            </w:r>
          </w:p>
          <w:p w14:paraId="01F0ED12">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Fonts w:ascii="仿宋" w:hAnsi="仿宋" w:eastAsia="仿宋" w:cs="仿宋"/>
                <w:i w:val="0"/>
                <w:iCs w:val="0"/>
                <w:color w:val="000000"/>
                <w:sz w:val="18"/>
                <w:szCs w:val="18"/>
                <w:u w:val="none"/>
              </w:rPr>
            </w:pPr>
            <w:r>
              <w:rPr>
                <w:rStyle w:val="27"/>
                <w:lang w:val="en-US" w:eastAsia="zh-CN" w:bidi="ar"/>
              </w:rPr>
              <w:t xml:space="preserve">4、加长烟囱：和换热器烟囱对接并高出屋顶50cm以上。                                                                                                                                                                                                                  </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132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座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80B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43</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CB5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17250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455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741750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F5A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具体详见附件1</w:t>
            </w:r>
          </w:p>
        </w:tc>
      </w:tr>
      <w:tr w14:paraId="238BE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160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EF5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燃烧机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581F">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lang w:val="en-US" w:eastAsia="zh-CN" w:bidi="ar"/>
              </w:rPr>
              <w:t>1.</w:t>
            </w:r>
            <w:r>
              <w:rPr>
                <w:rFonts w:hint="eastAsia" w:ascii="仿宋" w:hAnsi="仿宋" w:eastAsia="仿宋" w:cs="仿宋"/>
                <w:i w:val="0"/>
                <w:iCs w:val="0"/>
                <w:color w:val="000000"/>
                <w:kern w:val="0"/>
                <w:sz w:val="18"/>
                <w:szCs w:val="18"/>
                <w:u w:val="none"/>
                <w:lang w:val="en-US" w:eastAsia="zh-CN" w:bidi="ar"/>
              </w:rPr>
              <w:t>整机性能 整机噪声≤65dB(A)；整机有效度≥98%；小时耗电量≤0.40 kW·h。</w:t>
            </w:r>
          </w:p>
          <w:p w14:paraId="5668F3FF">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2.燃烧机：贮料箱有效容积≥0.20m3；贮料箱上沿距地面高度≤1700mm；中心高度及可调范围820±100mm；送料电机功率≥0.06kW；最大投料速度≤165.00g/min；最小投料速度≤17.00g/min；投料档位≥10 个；额定热功率≥400000kJ/h；最小稳燃热功率≤15000kJ/h；燃烧效率＞90%；点火完成所需时间≤5min；点火器额定点火次数≥2000次；点火棒功率≥0.6kW；清灰除焦器电机功率≥0.02kW；助燃风机功率≥0.12kW；密封固定板≥3.7mm；燃烧弧板挡板（09CuPCrNi） ≥7.8mm；燃烧弧板（V型）耐热铸铁(QTRSi5)≥11.5mm； 燃烧腔底板06Cr19Ni10≥2.0mm。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178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342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43</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050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7950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9AD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341850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B63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具体详见附件2</w:t>
            </w:r>
          </w:p>
        </w:tc>
      </w:tr>
      <w:tr w14:paraId="1DEB2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58F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3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36B3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控制器</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263C">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lang w:val="en-US" w:eastAsia="zh-CN" w:bidi="ar"/>
              </w:rPr>
              <w:t>1.</w:t>
            </w:r>
            <w:r>
              <w:rPr>
                <w:rFonts w:hint="eastAsia" w:ascii="仿宋" w:hAnsi="仿宋" w:eastAsia="仿宋" w:cs="仿宋"/>
                <w:i w:val="0"/>
                <w:iCs w:val="0"/>
                <w:color w:val="000000"/>
                <w:kern w:val="0"/>
                <w:sz w:val="18"/>
                <w:szCs w:val="18"/>
                <w:u w:val="none"/>
                <w:lang w:val="en-US" w:eastAsia="zh-CN" w:bidi="ar"/>
              </w:rPr>
              <w:t>控制器：温度控制精度±0.5℃；输出控制响应时间≤1s ；控制器功率≤0.03kW。</w:t>
            </w:r>
          </w:p>
          <w:p w14:paraId="3E5FDD66">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2.变频器：额定电压380V；驱动功率0.75～2.2kW；输出频率0～400Hz；工作温度10～40℃；变频器效率 ≥95%；额定负载下的功率因数≥0.85；电流总谐波畸变率≤10%；输入电压波动率≤±20%；转速响应时间 s ≤0.2；转速超调≤10%；转速稳态精度≤5%。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302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CA0D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43</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73E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CE96">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47300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3640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具体详见附件2</w:t>
            </w:r>
          </w:p>
        </w:tc>
      </w:tr>
      <w:tr w14:paraId="0303D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324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395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F42C">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1、规格700。2、额定电压：380V。3、额定功率2.2KW。4、转速≥1450r/min。5、风量≥18000m3/h</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EFF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BB2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43</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D51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1F2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64500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9067">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r>
      <w:tr w14:paraId="51864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01FB">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5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707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烤房地基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9633">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烤房地基≧C20砼。其中装烟室下方为条形地基，宽200mm，高300mm(地上100mm，地下200mm)，加热室下方为混凝土浇筑水平地面，浇筑厚度≥150mm。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83D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套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C915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43</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884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1400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C5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60200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818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p>
        </w:tc>
      </w:tr>
      <w:tr w14:paraId="0218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11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967ADC">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9FD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E38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9B85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5C8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1255600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8584">
            <w:pPr>
              <w:jc w:val="center"/>
              <w:rPr>
                <w:rFonts w:hint="default" w:ascii="Arial" w:hAnsi="Arial" w:cs="Arial"/>
                <w:b/>
                <w:bCs/>
                <w:i w:val="0"/>
                <w:iCs w:val="0"/>
                <w:color w:val="000000"/>
                <w:sz w:val="22"/>
                <w:szCs w:val="22"/>
                <w:u w:val="none"/>
              </w:rPr>
            </w:pPr>
          </w:p>
        </w:tc>
      </w:tr>
    </w:tbl>
    <w:p w14:paraId="5BC44273">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41E51F40">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6F030210">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1DD16918">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259A9C10">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B667566">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5F16BA3C">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449031E5">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29589360">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3F26022E">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23427CBF">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0E6AAAA7">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4C271D19">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1285F8E9">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p w14:paraId="33B460EA">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pPr>
    </w:p>
    <w:tbl>
      <w:tblPr>
        <w:tblStyle w:val="17"/>
        <w:tblpPr w:leftFromText="180" w:rightFromText="180" w:vertAnchor="text" w:horzAnchor="page" w:tblpX="1501" w:tblpY="277"/>
        <w:tblOverlap w:val="never"/>
        <w:tblW w:w="145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9"/>
        <w:gridCol w:w="778"/>
        <w:gridCol w:w="9870"/>
        <w:gridCol w:w="589"/>
        <w:gridCol w:w="496"/>
        <w:gridCol w:w="844"/>
        <w:gridCol w:w="861"/>
        <w:gridCol w:w="615"/>
      </w:tblGrid>
      <w:tr w14:paraId="6B54D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14562" w:type="dxa"/>
            <w:gridSpan w:val="8"/>
            <w:tcBorders>
              <w:top w:val="nil"/>
              <w:left w:val="nil"/>
              <w:bottom w:val="nil"/>
              <w:right w:val="nil"/>
            </w:tcBorders>
            <w:shd w:val="clear" w:color="auto" w:fill="auto"/>
            <w:vAlign w:val="center"/>
          </w:tcPr>
          <w:p w14:paraId="05D69EA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b/>
                <w:bCs/>
                <w:i w:val="0"/>
                <w:iCs w:val="0"/>
                <w:color w:val="000000"/>
                <w:sz w:val="30"/>
                <w:szCs w:val="30"/>
                <w:u w:val="none"/>
                <w:lang w:val="en-US"/>
              </w:rPr>
            </w:pPr>
            <w:r>
              <w:rPr>
                <w:rFonts w:hint="eastAsia" w:ascii="宋体" w:hAnsi="宋体" w:eastAsia="宋体" w:cs="宋体"/>
                <w:b/>
                <w:bCs/>
                <w:i w:val="0"/>
                <w:iCs w:val="0"/>
                <w:color w:val="000000"/>
                <w:kern w:val="0"/>
                <w:sz w:val="30"/>
                <w:szCs w:val="30"/>
                <w:u w:val="none"/>
                <w:lang w:val="en-US" w:eastAsia="zh-CN" w:bidi="ar"/>
              </w:rPr>
              <w:t>卢氏县2025年烟叶产业配套烤房建设项目三标段</w:t>
            </w:r>
          </w:p>
        </w:tc>
      </w:tr>
      <w:tr w14:paraId="09F06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14A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07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9870" w:type="dxa"/>
            <w:tcBorders>
              <w:top w:val="single" w:color="000000" w:sz="4" w:space="0"/>
              <w:left w:val="nil"/>
              <w:bottom w:val="single" w:color="000000" w:sz="4" w:space="0"/>
              <w:right w:val="single" w:color="000000" w:sz="4" w:space="0"/>
            </w:tcBorders>
            <w:shd w:val="clear" w:color="auto" w:fill="auto"/>
            <w:vAlign w:val="center"/>
          </w:tcPr>
          <w:p w14:paraId="1D5D6F6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6BB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C42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7A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单价（元）</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7A3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合价（元）</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E7D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63BF8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5"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B1F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1 </w:t>
            </w:r>
          </w:p>
        </w:tc>
        <w:tc>
          <w:tcPr>
            <w:tcW w:w="778" w:type="dxa"/>
            <w:tcBorders>
              <w:top w:val="single" w:color="000000" w:sz="4" w:space="0"/>
              <w:left w:val="single" w:color="000000" w:sz="4" w:space="0"/>
              <w:bottom w:val="nil"/>
              <w:right w:val="single" w:color="000000" w:sz="4" w:space="0"/>
            </w:tcBorders>
            <w:shd w:val="clear" w:color="auto" w:fill="auto"/>
            <w:noWrap/>
            <w:vAlign w:val="center"/>
          </w:tcPr>
          <w:p w14:paraId="2D121F0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板房</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B5A9">
            <w:pPr>
              <w:keepNext w:val="0"/>
              <w:keepLines w:val="0"/>
              <w:pageBreakBefore w:val="0"/>
              <w:widowControl/>
              <w:numPr>
                <w:ilvl w:val="0"/>
                <w:numId w:val="2"/>
              </w:numPr>
              <w:suppressLineNumbers w:val="0"/>
              <w:kinsoku/>
              <w:wordWrap/>
              <w:overflowPunct/>
              <w:topLinePunct w:val="0"/>
              <w:autoSpaceDE/>
              <w:autoSpaceDN/>
              <w:bidi w:val="0"/>
              <w:adjustRightInd/>
              <w:snapToGrid/>
              <w:spacing w:line="160" w:lineRule="exact"/>
              <w:jc w:val="left"/>
              <w:textAlignment w:val="center"/>
              <w:rPr>
                <w:rStyle w:val="27"/>
                <w:lang w:val="en-US" w:eastAsia="zh-CN" w:bidi="ar"/>
              </w:rPr>
            </w:pPr>
            <w:r>
              <w:rPr>
                <w:rStyle w:val="27"/>
                <w:lang w:val="en-US" w:eastAsia="zh-CN" w:bidi="ar"/>
              </w:rPr>
              <w:t>烤房主体                                                                                                                                              规格：8000*2780mm,装三棚烟，棚距见《密集烤房技术规范》</w:t>
            </w:r>
            <w:r>
              <w:rPr>
                <w:rStyle w:val="27"/>
                <w:lang w:val="en-US" w:eastAsia="zh-CN" w:bidi="ar"/>
              </w:rPr>
              <w:br w:type="textWrapping"/>
            </w:r>
            <w:r>
              <w:rPr>
                <w:rStyle w:val="27"/>
                <w:lang w:val="en-US" w:eastAsia="zh-CN" w:bidi="ar"/>
              </w:rPr>
              <w:t>墙体及屋面材料：</w:t>
            </w:r>
            <w:r>
              <w:rPr>
                <w:rStyle w:val="27"/>
                <w:lang w:val="en-US" w:eastAsia="zh-CN" w:bidi="ar"/>
              </w:rPr>
              <w:br w:type="textWrapping"/>
            </w:r>
            <w:r>
              <w:rPr>
                <w:rStyle w:val="27"/>
                <w:lang w:val="en-US" w:eastAsia="zh-CN" w:bidi="ar"/>
              </w:rPr>
              <w:t>1、装烟室墙面及屋顶采用聚苯乙烯金属夹芯板，聚苯乙烯密度≥18kg/m</w:t>
            </w:r>
            <w:r>
              <w:rPr>
                <w:rStyle w:val="28"/>
                <w:lang w:val="en-US" w:eastAsia="zh-CN" w:bidi="ar"/>
              </w:rPr>
              <w:t>³</w:t>
            </w:r>
            <w:r>
              <w:rPr>
                <w:rStyle w:val="27"/>
                <w:lang w:val="en-US" w:eastAsia="zh-CN" w:bidi="ar"/>
              </w:rPr>
              <w:t>，厚度≥50mm，外包彩钢板，彩钢厚度≥0.35mm。墙体及屋面采用搭扣的方式链接，保证不漏水、不漏气。屋顶另搭彩钢防雨板厚度≥0.35mm，坡度≥5%。</w:t>
            </w:r>
            <w:r>
              <w:rPr>
                <w:rStyle w:val="27"/>
                <w:lang w:val="en-US" w:eastAsia="zh-CN" w:bidi="ar"/>
              </w:rPr>
              <w:br w:type="textWrapping"/>
            </w:r>
            <w:r>
              <w:rPr>
                <w:rStyle w:val="27"/>
                <w:lang w:val="en-US" w:eastAsia="zh-CN" w:bidi="ar"/>
              </w:rPr>
              <w:t>房体主框架：</w:t>
            </w:r>
            <w:r>
              <w:rPr>
                <w:rStyle w:val="27"/>
                <w:lang w:val="en-US" w:eastAsia="zh-CN" w:bidi="ar"/>
              </w:rPr>
              <w:br w:type="textWrapping"/>
            </w:r>
            <w:r>
              <w:rPr>
                <w:rStyle w:val="27"/>
                <w:lang w:val="en-US" w:eastAsia="zh-CN" w:bidi="ar"/>
              </w:rPr>
              <w:t>1、结构：由三角梁、中立柱、侧立柱、钢桁条等攀组成，全部通过螺栓连接。</w:t>
            </w:r>
          </w:p>
          <w:p w14:paraId="244DA4BD">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jc w:val="left"/>
              <w:textAlignment w:val="center"/>
              <w:rPr>
                <w:rStyle w:val="27"/>
                <w:lang w:val="en-US" w:eastAsia="zh-CN" w:bidi="ar"/>
              </w:rPr>
            </w:pPr>
            <w:r>
              <w:rPr>
                <w:rStyle w:val="27"/>
                <w:lang w:val="en-US" w:eastAsia="zh-CN" w:bidi="ar"/>
              </w:rPr>
              <w:t>三角梁材料为30*50镀锌矩管，壁厚≥2mm，两侧钻有和侧立柱连接的螺栓孔。</w:t>
            </w:r>
          </w:p>
          <w:p w14:paraId="7D891F25">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中立柱、侧立柱为30*50镀锌矩管，壁厚≥2mm，上边钻有和钢桁条、三角梁连接的螺栓孔。</w:t>
            </w:r>
          </w:p>
          <w:p w14:paraId="558636C5">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挂烟钢桁条：40角钢，厚度3mm，其上钻有和立柱连接的螺栓孔。</w:t>
            </w:r>
          </w:p>
          <w:p w14:paraId="42770C11">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房墙体主框架通过钢桁条等和大门框、隔热墙框架连接。</w:t>
            </w:r>
          </w:p>
          <w:p w14:paraId="65AF4B65">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立柱单列根数6根，间隔7档，立柱间距离≤1200mm。</w:t>
            </w:r>
          </w:p>
          <w:p w14:paraId="482A1B4F">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钢桁条表面做防锈处理。同时能满足挂竿和烟夹使用要求，承载量大，其与立柱连接处无明显突起物，确保烟筐或烟夹方便放置并能顺畅滑动。</w:t>
            </w:r>
          </w:p>
          <w:p w14:paraId="4A5DDCE7">
            <w:pPr>
              <w:keepNext w:val="0"/>
              <w:keepLines w:val="0"/>
              <w:pageBreakBefore w:val="0"/>
              <w:widowControl/>
              <w:numPr>
                <w:ilvl w:val="0"/>
                <w:numId w:val="3"/>
              </w:numPr>
              <w:suppressLineNumbers w:val="0"/>
              <w:kinsoku/>
              <w:wordWrap/>
              <w:overflowPunct/>
              <w:topLinePunct w:val="0"/>
              <w:autoSpaceDE/>
              <w:autoSpaceDN/>
              <w:bidi w:val="0"/>
              <w:adjustRightInd/>
              <w:snapToGrid/>
              <w:spacing w:line="160" w:lineRule="exact"/>
              <w:ind w:left="0" w:leftChars="0" w:firstLine="0" w:firstLineChars="0"/>
              <w:jc w:val="left"/>
              <w:textAlignment w:val="center"/>
              <w:rPr>
                <w:rStyle w:val="27"/>
                <w:lang w:val="en-US" w:eastAsia="zh-CN" w:bidi="ar"/>
              </w:rPr>
            </w:pPr>
            <w:r>
              <w:rPr>
                <w:rStyle w:val="27"/>
                <w:lang w:val="en-US" w:eastAsia="zh-CN" w:bidi="ar"/>
              </w:rPr>
              <w:t>房体四角包角密封：装烟室四角用包角密封，材料为彩涂板，厚度≥0.35mm。                                                                                                 二、装烟室门                                                                                                                           1、规格：2780*3050㎜双开门。</w:t>
            </w:r>
          </w:p>
          <w:p w14:paraId="5996BC6C">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Fonts w:hint="eastAsia" w:ascii="仿宋" w:hAnsi="仿宋" w:eastAsia="仿宋" w:cs="仿宋"/>
                <w:color w:val="000000"/>
                <w:kern w:val="2"/>
                <w:sz w:val="18"/>
                <w:szCs w:val="18"/>
                <w:lang w:val="en-US" w:eastAsia="zh-CN" w:bidi="ar"/>
              </w:rPr>
              <w:t>2、</w:t>
            </w:r>
            <w:r>
              <w:rPr>
                <w:rStyle w:val="27"/>
                <w:lang w:val="en-US" w:eastAsia="zh-CN" w:bidi="ar"/>
              </w:rPr>
              <w:t>门框材料：Ｑ235,50镀锌方管，厚度：≥2㎜，通过螺栓或自钻丝与房体连接。</w:t>
            </w:r>
          </w:p>
          <w:p w14:paraId="39E80101">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3、门扇边材料：门扇四边均为H型厢式货车密封条，材质为三元乙丙橡胶(EPDM)复合材料。</w:t>
            </w:r>
          </w:p>
          <w:p w14:paraId="3380FE34">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4、门扇芯：彩钢板复合保温板，厚度≥0.35mm。保温材料为聚苯乙烯泡沫板，厚度50mm，密度≥13kg/m3。</w:t>
            </w:r>
          </w:p>
          <w:p w14:paraId="492A333A">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5、观察窗：外框为铝合金专用型材（厚度≥0.5㎜）,内层为5㎜中空玻璃。</w:t>
            </w:r>
          </w:p>
          <w:p w14:paraId="7C1B6E27">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 xml:space="preserve">6、附件：为厢式货车车箱专门用锁具，由大门锁扣、镀锌铰链 、镀锌螺栓、DN32镀锌钢管构构成，均经过热镀锌处理。                                                                             </w:t>
            </w:r>
            <w:r>
              <w:rPr>
                <w:rStyle w:val="27"/>
                <w:rFonts w:hint="eastAsia"/>
                <w:lang w:val="en-US" w:eastAsia="zh-CN" w:bidi="ar"/>
              </w:rPr>
              <w:t xml:space="preserve">        </w:t>
            </w:r>
            <w:r>
              <w:rPr>
                <w:rStyle w:val="27"/>
                <w:lang w:val="en-US" w:eastAsia="zh-CN" w:bidi="ar"/>
              </w:rPr>
              <w:t xml:space="preserve">             三、隔热墙                                                                                                                            隔热墙全部为彩钢岩棉板，彩钢板厚度≥0.35mm,岩棉厚度50mm，密度≥120㎏/m3。隔热墙主框架为30*50镀锌矩管，岩棉板用自钻丝固定在其上，通过螺栓或自钻丝与装烟室主体连接。                                                                                                             四、加热室                                                                                                                              1、炉门周围及回风道为砖混结构。</w:t>
            </w:r>
          </w:p>
          <w:p w14:paraId="4DBB8BC3">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2、加热室四周保温板、顶部保温板及风机维修门、清灰门均为彩钢岩棉板结构，密度≥120kg/m</w:t>
            </w:r>
            <w:r>
              <w:rPr>
                <w:rStyle w:val="28"/>
                <w:lang w:val="en-US" w:eastAsia="zh-CN" w:bidi="ar"/>
              </w:rPr>
              <w:t>³</w:t>
            </w:r>
            <w:r>
              <w:rPr>
                <w:rStyle w:val="27"/>
                <w:lang w:val="en-US" w:eastAsia="zh-CN" w:bidi="ar"/>
              </w:rPr>
              <w:t>。厚度≥50mm，外包彩钢板，彩钢厚度≥0.35mm。板四周用专用铝合金或C型彩钢板包边，边缘用封边堵缝，不走风漏气；加热室后部进料口及出灰口采用砖砌，宽度与加热室等宽，高度高于进料口高度≥240mm。</w:t>
            </w:r>
          </w:p>
          <w:p w14:paraId="1452ADF1">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3、风机台板为钢板。维修门、清灰门门框及门扇芯均为铝开型材封边，厚度≥0.5㎜。彩钢板厚度≥0.35mm, 岩棉厚度≥50mm，密度≥120kg/m3。                                                                                                  五、操作间遮雨棚                                                                                                                                                                                       1、规格：3000*3000mm（与装烟室连接为一体）；</w:t>
            </w:r>
          </w:p>
          <w:p w14:paraId="7AD62E36">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2、结构：立柱柱、三角形梁、檩条均为40镀锌方管，壁厚≥2mm；</w:t>
            </w:r>
          </w:p>
          <w:p w14:paraId="46694287">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Style w:val="27"/>
                <w:lang w:val="en-US" w:eastAsia="zh-CN" w:bidi="ar"/>
              </w:rPr>
            </w:pPr>
            <w:r>
              <w:rPr>
                <w:rStyle w:val="27"/>
                <w:lang w:val="en-US" w:eastAsia="zh-CN" w:bidi="ar"/>
              </w:rPr>
              <w:t>3、屋面：单层彩钢板，厚度≥0.35mm，顶上开直径Φ165mm烟囱孔。</w:t>
            </w:r>
          </w:p>
          <w:p w14:paraId="1E3B1463">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ind w:left="0" w:leftChars="0"/>
              <w:jc w:val="left"/>
              <w:textAlignment w:val="center"/>
              <w:rPr>
                <w:rFonts w:ascii="仿宋" w:hAnsi="仿宋" w:eastAsia="仿宋" w:cs="仿宋"/>
                <w:i w:val="0"/>
                <w:iCs w:val="0"/>
                <w:color w:val="000000"/>
                <w:sz w:val="18"/>
                <w:szCs w:val="18"/>
                <w:u w:val="none"/>
              </w:rPr>
            </w:pPr>
            <w:r>
              <w:rPr>
                <w:rStyle w:val="27"/>
                <w:lang w:val="en-US" w:eastAsia="zh-CN" w:bidi="ar"/>
              </w:rPr>
              <w:t xml:space="preserve">4、加长烟囱：和换热器烟囱对接并高出屋顶50cm以上。                                                                                                                                                                                                                  </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BB19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座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907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40</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254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sz w:val="18"/>
                <w:szCs w:val="18"/>
                <w:u w:val="none"/>
                <w:lang w:val="en-US"/>
              </w:rPr>
            </w:pPr>
            <w:r>
              <w:rPr>
                <w:rFonts w:hint="eastAsia" w:ascii="仿宋" w:hAnsi="仿宋" w:eastAsia="仿宋" w:cs="仿宋"/>
                <w:i w:val="0"/>
                <w:iCs w:val="0"/>
                <w:color w:val="000000"/>
                <w:kern w:val="0"/>
                <w:sz w:val="18"/>
                <w:szCs w:val="18"/>
                <w:u w:val="none"/>
                <w:lang w:val="en-US" w:eastAsia="zh-CN" w:bidi="ar"/>
              </w:rPr>
              <w:t>17250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303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 xml:space="preserve">690000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369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具体详见附件1</w:t>
            </w:r>
          </w:p>
        </w:tc>
      </w:tr>
      <w:tr w14:paraId="19E36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F80D4">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2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85BE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燃烧机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50AB">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lang w:val="en-US" w:eastAsia="zh-CN" w:bidi="ar"/>
              </w:rPr>
              <w:t>1.</w:t>
            </w:r>
            <w:r>
              <w:rPr>
                <w:rFonts w:hint="eastAsia" w:ascii="仿宋" w:hAnsi="仿宋" w:eastAsia="仿宋" w:cs="仿宋"/>
                <w:i w:val="0"/>
                <w:iCs w:val="0"/>
                <w:color w:val="000000"/>
                <w:kern w:val="0"/>
                <w:sz w:val="18"/>
                <w:szCs w:val="18"/>
                <w:u w:val="none"/>
                <w:lang w:val="en-US" w:eastAsia="zh-CN" w:bidi="ar"/>
              </w:rPr>
              <w:t>整机性能 整机噪声≤65dB(A)；整机有效度≥98%；小时耗电量≤0.40 kW·h。</w:t>
            </w:r>
          </w:p>
          <w:p w14:paraId="0A424DEB">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2.燃烧机：贮料箱有效容积≥0.20m3；贮料箱上沿距地面高度≤1700mm；中心高度及可调范围820±100mm；送料电机功率≥0.06kW；最大投料速度≤165.00g/min；最小投料速度≤17.00g/min；投料档位≥10 个；额定热功率≥400000kJ/h；最小稳燃热功率≤15000kJ/h；燃烧效率＞90%；点火完成所需时间≤5min；点火器额定点火次数≥2000次；点火棒功率≥0.6kW；清灰除焦器电机功率≥0.02kW；助燃风机功率≥0.12kW；密封固定板≥3.7mm；燃烧弧板挡板（09CuPCrNi） ≥7.8mm；燃烧弧板（V型）耐热铸铁(QTRSi5)≥11.5mm； 燃烧腔底板06Cr19Ni10≥2.0mm。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26C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B07D">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5D1B">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7950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1EE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318000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891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具体详见附件2</w:t>
            </w:r>
          </w:p>
        </w:tc>
      </w:tr>
      <w:tr w14:paraId="149E6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67DE">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3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3FAD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控制器</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735F">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lang w:val="en-US" w:eastAsia="zh-CN" w:bidi="ar"/>
              </w:rPr>
              <w:t>1.</w:t>
            </w:r>
            <w:r>
              <w:rPr>
                <w:rFonts w:hint="eastAsia" w:ascii="仿宋" w:hAnsi="仿宋" w:eastAsia="仿宋" w:cs="仿宋"/>
                <w:i w:val="0"/>
                <w:iCs w:val="0"/>
                <w:color w:val="000000"/>
                <w:kern w:val="0"/>
                <w:sz w:val="18"/>
                <w:szCs w:val="18"/>
                <w:u w:val="none"/>
                <w:lang w:val="en-US" w:eastAsia="zh-CN" w:bidi="ar"/>
              </w:rPr>
              <w:t>控制器：温度控制精度±0.5℃；输出控制响应时间≤1s ；控制器功率≤0.03kW。</w:t>
            </w:r>
          </w:p>
          <w:p w14:paraId="1338FB30">
            <w:pPr>
              <w:keepNext w:val="0"/>
              <w:keepLines w:val="0"/>
              <w:pageBreakBefore w:val="0"/>
              <w:widowControl/>
              <w:numPr>
                <w:ilvl w:val="0"/>
                <w:numId w:val="0"/>
              </w:numPr>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2.变频器：额定电压380V；驱动功率0.75～2.2kW；输出频率0～400Hz；工作温度10～40℃；变频器效率 ≥95%；额定负载下的功率因数≥0.85；电流总谐波畸变率≤10%；输入电压波动率≤±20%；转速响应时间 s ≤0.2；转速超调≤10%；转速稳态精度≤5%。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7144">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C6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A49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5EF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44000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C083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具体详见附件2</w:t>
            </w:r>
          </w:p>
        </w:tc>
      </w:tr>
      <w:tr w14:paraId="043A3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CC01">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4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DE7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风机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1881">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1、规格700。2、额定电压：380V。3、额定功率2.2KW。4、转速≥1450r/min。5、风量≥18000m3/h</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F126E">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套</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27C3">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71F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35D1F">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60000</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C21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r>
      <w:tr w14:paraId="6AC80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33D8">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 xml:space="preserve">5 </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2B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烤房地基</w:t>
            </w:r>
          </w:p>
        </w:tc>
        <w:tc>
          <w:tcPr>
            <w:tcW w:w="9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BCB1">
            <w:pPr>
              <w:keepNext w:val="0"/>
              <w:keepLines w:val="0"/>
              <w:pageBreakBefore w:val="0"/>
              <w:widowControl/>
              <w:suppressLineNumbers w:val="0"/>
              <w:kinsoku/>
              <w:wordWrap/>
              <w:overflowPunct/>
              <w:topLinePunct w:val="0"/>
              <w:autoSpaceDE/>
              <w:autoSpaceDN/>
              <w:bidi w:val="0"/>
              <w:adjustRightInd/>
              <w:snapToGrid/>
              <w:spacing w:line="160" w:lineRule="exact"/>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烤房地基≧C20砼。其中装烟室下方为条形地基，宽200mm，高300mm(地上100mm，地下200mm)，加热室下方为混凝土浇筑水平地面，浇筑厚度≥150mm。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D830">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套 </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AA468">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40</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2441">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1400</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8AF9">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56000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402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default" w:ascii="仿宋" w:hAnsi="仿宋" w:eastAsia="仿宋" w:cs="仿宋"/>
                <w:i w:val="0"/>
                <w:iCs w:val="0"/>
                <w:color w:val="000000"/>
                <w:kern w:val="0"/>
                <w:sz w:val="18"/>
                <w:szCs w:val="18"/>
                <w:u w:val="none"/>
                <w:lang w:val="en-US" w:eastAsia="zh-CN" w:bidi="ar"/>
              </w:rPr>
            </w:pPr>
          </w:p>
        </w:tc>
      </w:tr>
      <w:tr w14:paraId="11F6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111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036B0B">
            <w:pPr>
              <w:keepNext w:val="0"/>
              <w:keepLines w:val="0"/>
              <w:widowControl/>
              <w:suppressLineNumbers w:val="0"/>
              <w:jc w:val="center"/>
              <w:textAlignment w:val="center"/>
              <w:rPr>
                <w:rFonts w:ascii="宋体" w:hAnsi="宋体" w:eastAsia="宋体" w:cs="宋体"/>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5A02">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FC55">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BA3A">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29200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283C">
            <w:pPr>
              <w:keepNext w:val="0"/>
              <w:keepLines w:val="0"/>
              <w:pageBreakBefore w:val="0"/>
              <w:widowControl/>
              <w:suppressLineNumbers w:val="0"/>
              <w:kinsoku/>
              <w:wordWrap/>
              <w:overflowPunct/>
              <w:topLinePunct w:val="0"/>
              <w:autoSpaceDE/>
              <w:autoSpaceDN/>
              <w:bidi w:val="0"/>
              <w:adjustRightInd/>
              <w:snapToGrid/>
              <w:spacing w:line="160" w:lineRule="exact"/>
              <w:jc w:val="center"/>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 xml:space="preserve">1168000 </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5850">
            <w:pPr>
              <w:jc w:val="center"/>
              <w:rPr>
                <w:rFonts w:hint="default" w:ascii="Arial" w:hAnsi="Arial" w:cs="Arial"/>
                <w:b/>
                <w:bCs/>
                <w:i w:val="0"/>
                <w:iCs w:val="0"/>
                <w:color w:val="000000"/>
                <w:sz w:val="22"/>
                <w:szCs w:val="22"/>
                <w:u w:val="none"/>
              </w:rPr>
            </w:pPr>
          </w:p>
        </w:tc>
      </w:tr>
    </w:tbl>
    <w:p w14:paraId="7CCB27E0">
      <w:pPr>
        <w:widowControl/>
        <w:wordWrap w:val="0"/>
        <w:adjustRightInd/>
        <w:snapToGrid/>
        <w:spacing w:before="0" w:after="0" w:line="360" w:lineRule="auto"/>
        <w:ind w:right="0"/>
        <w:jc w:val="left"/>
        <w:textAlignment w:val="auto"/>
        <w:outlineLvl w:val="9"/>
        <w:rPr>
          <w:rFonts w:hint="eastAsia" w:ascii="宋体" w:hAnsi="宋体" w:eastAsia="宋体" w:cs="宋体"/>
          <w:b/>
          <w:bCs/>
          <w:color w:val="000000"/>
          <w:kern w:val="0"/>
          <w:sz w:val="24"/>
          <w:szCs w:val="24"/>
          <w:highlight w:val="none"/>
          <w:lang w:val="en-US" w:eastAsia="zh-CN"/>
        </w:rPr>
        <w:sectPr>
          <w:pgSz w:w="16838" w:h="11906" w:orient="landscape"/>
          <w:pgMar w:top="1800" w:right="1440" w:bottom="1800" w:left="1440" w:header="0" w:footer="506" w:gutter="0"/>
          <w:pgNumType w:fmt="decimal"/>
          <w:cols w:space="720" w:num="1"/>
        </w:sectPr>
      </w:pPr>
    </w:p>
    <w:p w14:paraId="076449B1">
      <w:pPr>
        <w:widowControl/>
        <w:wordWrap w:val="0"/>
        <w:adjustRightInd/>
        <w:snapToGrid/>
        <w:spacing w:before="0" w:after="0" w:line="360" w:lineRule="auto"/>
        <w:ind w:right="0"/>
        <w:jc w:val="left"/>
        <w:textAlignment w:val="auto"/>
        <w:outlineLvl w:val="9"/>
        <w:rPr>
          <w:rFonts w:ascii="宋体" w:hAnsi="宋体" w:eastAsia="宋体" w:cs="宋体"/>
          <w:b/>
          <w:bCs/>
          <w:sz w:val="32"/>
          <w:szCs w:val="32"/>
        </w:rPr>
      </w:pPr>
      <w:r>
        <w:rPr>
          <w:rFonts w:hint="eastAsia" w:ascii="宋体" w:hAnsi="宋体" w:eastAsia="宋体" w:cs="宋体"/>
          <w:b/>
          <w:bCs/>
          <w:color w:val="000000"/>
          <w:kern w:val="0"/>
          <w:sz w:val="24"/>
          <w:szCs w:val="24"/>
          <w:highlight w:val="none"/>
          <w:lang w:val="en-US" w:eastAsia="zh-CN"/>
        </w:rPr>
        <w:t>三、技术要求</w:t>
      </w:r>
      <w:bookmarkEnd w:id="65"/>
    </w:p>
    <w:p w14:paraId="44DE6687">
      <w:pPr>
        <w:rPr>
          <w:rFonts w:hint="eastAsia" w:ascii="黑体" w:hAnsi="黑体" w:eastAsia="黑体" w:cs="黑体"/>
          <w:color w:val="000000"/>
          <w:sz w:val="24"/>
          <w:szCs w:val="24"/>
          <w:highlight w:val="none"/>
          <w:lang w:val="en-US" w:eastAsia="zh-CN"/>
        </w:rPr>
      </w:pPr>
      <w:r>
        <w:rPr>
          <w:rFonts w:hint="eastAsia" w:ascii="黑体" w:hAnsi="黑体" w:eastAsia="黑体" w:cs="黑体"/>
          <w:color w:val="000000"/>
          <w:sz w:val="24"/>
          <w:szCs w:val="24"/>
          <w:highlight w:val="none"/>
          <w:lang w:eastAsia="zh-CN"/>
        </w:rPr>
        <w:t>附件</w:t>
      </w:r>
      <w:r>
        <w:rPr>
          <w:rFonts w:hint="eastAsia" w:ascii="黑体" w:hAnsi="黑体" w:eastAsia="黑体" w:cs="黑体"/>
          <w:color w:val="000000"/>
          <w:sz w:val="24"/>
          <w:szCs w:val="24"/>
          <w:highlight w:val="none"/>
          <w:lang w:val="en-US" w:eastAsia="zh-CN"/>
        </w:rPr>
        <w:t>1</w:t>
      </w:r>
    </w:p>
    <w:p w14:paraId="447D37C8">
      <w:pPr>
        <w:jc w:val="center"/>
        <w:rPr>
          <w:rFonts w:hint="eastAsia" w:ascii="黑体" w:hAnsi="黑体" w:eastAsia="黑体" w:cs="黑体"/>
          <w:b/>
          <w:bCs/>
          <w:sz w:val="28"/>
          <w:szCs w:val="28"/>
          <w:highlight w:val="none"/>
          <w:lang w:val="en-US" w:eastAsia="zh-CN"/>
        </w:rPr>
      </w:pPr>
      <w:r>
        <w:rPr>
          <w:rFonts w:hint="eastAsia" w:ascii="黑体" w:hAnsi="黑体" w:eastAsia="黑体" w:cs="黑体"/>
          <w:b/>
          <w:bCs/>
          <w:sz w:val="28"/>
          <w:szCs w:val="28"/>
          <w:highlight w:val="none"/>
          <w:lang w:val="en-US" w:eastAsia="zh-CN"/>
        </w:rPr>
        <w:t>生物质密集烤房技术标准</w:t>
      </w:r>
    </w:p>
    <w:p w14:paraId="3D7E6709">
      <w:pPr>
        <w:rPr>
          <w:rFonts w:hint="eastAsia" w:ascii="仿宋_GB2312" w:hAnsi="宋体" w:cs="宋体"/>
          <w:sz w:val="24"/>
          <w:szCs w:val="24"/>
          <w:highlight w:val="none"/>
        </w:rPr>
      </w:pPr>
    </w:p>
    <w:p w14:paraId="157CB148">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宋体" w:hAnsi="宋体" w:eastAsia="宋体" w:cs="宋体"/>
          <w:sz w:val="21"/>
          <w:szCs w:val="21"/>
          <w:highlight w:val="none"/>
        </w:rPr>
      </w:pPr>
      <w:bookmarkStart w:id="66" w:name="_Toc387308008"/>
      <w:bookmarkStart w:id="67" w:name="_Toc355342532"/>
      <w:r>
        <w:rPr>
          <w:rFonts w:hint="eastAsia" w:ascii="宋体" w:hAnsi="宋体" w:eastAsia="宋体" w:cs="宋体"/>
          <w:sz w:val="21"/>
          <w:szCs w:val="21"/>
          <w:highlight w:val="none"/>
        </w:rPr>
        <w:t>（一）板式密集烤房的总体介绍</w:t>
      </w:r>
      <w:bookmarkEnd w:id="66"/>
      <w:bookmarkEnd w:id="67"/>
    </w:p>
    <w:p w14:paraId="023866B8">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整套板式密集烤房（包括装烟室主体、装烟室门、隔热墙、加热室、操作间遮雨蓬等），严格按照Q/HNYC050—2020</w:t>
      </w:r>
      <w:r>
        <w:rPr>
          <w:rFonts w:hint="eastAsia" w:ascii="宋体" w:hAnsi="宋体" w:eastAsia="宋体" w:cs="宋体"/>
          <w:sz w:val="21"/>
          <w:szCs w:val="21"/>
          <w:highlight w:val="none"/>
          <w:lang w:eastAsia="zh-CN"/>
        </w:rPr>
        <w:t>《空气源密集烤房》板房部分</w:t>
      </w:r>
      <w:r>
        <w:rPr>
          <w:rFonts w:hint="eastAsia" w:ascii="宋体" w:hAnsi="宋体" w:eastAsia="宋体" w:cs="宋体"/>
          <w:sz w:val="21"/>
          <w:szCs w:val="21"/>
          <w:highlight w:val="none"/>
        </w:rPr>
        <w:t>文件的相关要求设计和安装。</w:t>
      </w:r>
    </w:p>
    <w:p w14:paraId="509A950D">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宋体" w:hAnsi="宋体" w:eastAsia="宋体" w:cs="宋体"/>
          <w:sz w:val="21"/>
          <w:szCs w:val="21"/>
          <w:highlight w:val="none"/>
        </w:rPr>
      </w:pPr>
      <w:bookmarkStart w:id="68" w:name="_Toc387308009"/>
      <w:r>
        <w:rPr>
          <w:rFonts w:hint="eastAsia" w:ascii="宋体" w:hAnsi="宋体" w:eastAsia="宋体" w:cs="宋体"/>
          <w:sz w:val="21"/>
          <w:szCs w:val="21"/>
          <w:highlight w:val="none"/>
        </w:rPr>
        <w:t>（二）板式密集烤房的主要性能指标</w:t>
      </w:r>
      <w:bookmarkEnd w:id="68"/>
    </w:p>
    <w:p w14:paraId="1352C5F8">
      <w:pPr>
        <w:keepNext w:val="0"/>
        <w:keepLines w:val="0"/>
        <w:pageBreakBefore w:val="0"/>
        <w:widowControl w:val="0"/>
        <w:kinsoku/>
        <w:wordWrap/>
        <w:overflowPunct/>
        <w:topLinePunct w:val="0"/>
        <w:autoSpaceDE/>
        <w:autoSpaceDN/>
        <w:bidi w:val="0"/>
        <w:adjustRightInd/>
        <w:snapToGrid/>
        <w:spacing w:line="240" w:lineRule="atLeas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板式烤房的密封性能、保温性能及抗风性能良好，抗压强度高，使用的材料无毒、无异味，防火性能好。主要性能指标参数如下：</w:t>
      </w:r>
    </w:p>
    <w:tbl>
      <w:tblPr>
        <w:tblStyle w:val="17"/>
        <w:tblW w:w="8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89"/>
        <w:gridCol w:w="6293"/>
      </w:tblGrid>
      <w:tr w14:paraId="350FE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89" w:type="dxa"/>
            <w:noWrap w:val="0"/>
            <w:vAlign w:val="center"/>
          </w:tcPr>
          <w:p w14:paraId="3240E05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性能项目</w:t>
            </w:r>
          </w:p>
        </w:tc>
        <w:tc>
          <w:tcPr>
            <w:tcW w:w="6293" w:type="dxa"/>
            <w:noWrap w:val="0"/>
            <w:vAlign w:val="center"/>
          </w:tcPr>
          <w:p w14:paraId="575A156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性能指标</w:t>
            </w:r>
          </w:p>
        </w:tc>
      </w:tr>
      <w:tr w14:paraId="63F1F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9" w:type="dxa"/>
            <w:noWrap w:val="0"/>
            <w:vAlign w:val="center"/>
          </w:tcPr>
          <w:p w14:paraId="2439E03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密封性能</w:t>
            </w:r>
          </w:p>
        </w:tc>
        <w:tc>
          <w:tcPr>
            <w:tcW w:w="6293" w:type="dxa"/>
            <w:noWrap w:val="0"/>
            <w:vAlign w:val="center"/>
          </w:tcPr>
          <w:p w14:paraId="52F442C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气密5级；水密4级</w:t>
            </w:r>
          </w:p>
        </w:tc>
      </w:tr>
      <w:tr w14:paraId="0D758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9" w:type="dxa"/>
            <w:noWrap w:val="0"/>
            <w:vAlign w:val="center"/>
          </w:tcPr>
          <w:p w14:paraId="38B915B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抗风性能</w:t>
            </w:r>
          </w:p>
        </w:tc>
        <w:tc>
          <w:tcPr>
            <w:tcW w:w="6293" w:type="dxa"/>
            <w:noWrap w:val="0"/>
            <w:vAlign w:val="center"/>
          </w:tcPr>
          <w:p w14:paraId="6F5F5A5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8级</w:t>
            </w:r>
          </w:p>
        </w:tc>
      </w:tr>
      <w:tr w14:paraId="140B0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9" w:type="dxa"/>
            <w:noWrap w:val="0"/>
            <w:vAlign w:val="center"/>
          </w:tcPr>
          <w:p w14:paraId="3355D25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保温性能</w:t>
            </w:r>
          </w:p>
        </w:tc>
        <w:tc>
          <w:tcPr>
            <w:tcW w:w="6293" w:type="dxa"/>
            <w:noWrap w:val="0"/>
            <w:vAlign w:val="center"/>
          </w:tcPr>
          <w:p w14:paraId="1D464E8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5级</w:t>
            </w:r>
          </w:p>
        </w:tc>
      </w:tr>
      <w:tr w14:paraId="20C81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9" w:type="dxa"/>
            <w:noWrap w:val="0"/>
            <w:vAlign w:val="center"/>
          </w:tcPr>
          <w:p w14:paraId="605BA5C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抗压性能</w:t>
            </w:r>
          </w:p>
        </w:tc>
        <w:tc>
          <w:tcPr>
            <w:tcW w:w="6293" w:type="dxa"/>
            <w:noWrap w:val="0"/>
            <w:vAlign w:val="center"/>
          </w:tcPr>
          <w:p w14:paraId="35CCF05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400kg，撤力后无残留变形</w:t>
            </w:r>
          </w:p>
        </w:tc>
      </w:tr>
      <w:tr w14:paraId="43DB8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89" w:type="dxa"/>
            <w:noWrap w:val="0"/>
            <w:vAlign w:val="center"/>
          </w:tcPr>
          <w:p w14:paraId="7E8E6C8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使用材料</w:t>
            </w:r>
          </w:p>
        </w:tc>
        <w:tc>
          <w:tcPr>
            <w:tcW w:w="6293" w:type="dxa"/>
            <w:noWrap w:val="0"/>
            <w:vAlign w:val="center"/>
          </w:tcPr>
          <w:p w14:paraId="2009571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无毒、无异味；防火性能：在火焰轰击试样表面30s的条件下，在60s内火焰传播与着火点的垂直距离为126mm。</w:t>
            </w:r>
          </w:p>
        </w:tc>
      </w:tr>
    </w:tbl>
    <w:p w14:paraId="767B08BE">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_GB2312" w:hAnsi="宋体"/>
          <w:sz w:val="21"/>
          <w:szCs w:val="21"/>
          <w:highlight w:val="none"/>
        </w:rPr>
      </w:pPr>
      <w:bookmarkStart w:id="69" w:name="_Toc387308010"/>
      <w:r>
        <w:rPr>
          <w:rFonts w:hint="eastAsia" w:ascii="仿宋_GB2312" w:hAnsi="宋体"/>
          <w:sz w:val="21"/>
          <w:szCs w:val="21"/>
          <w:highlight w:val="none"/>
        </w:rPr>
        <w:t>（三）板式密集烤房的详细技术参数表</w:t>
      </w:r>
      <w:bookmarkEnd w:id="69"/>
    </w:p>
    <w:tbl>
      <w:tblPr>
        <w:tblStyle w:val="17"/>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422"/>
        <w:gridCol w:w="6995"/>
      </w:tblGrid>
      <w:tr w14:paraId="4D27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429343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 号</w:t>
            </w:r>
          </w:p>
        </w:tc>
        <w:tc>
          <w:tcPr>
            <w:tcW w:w="1422" w:type="dxa"/>
            <w:tcBorders>
              <w:top w:val="single" w:color="auto" w:sz="4" w:space="0"/>
              <w:left w:val="single" w:color="auto" w:sz="4" w:space="0"/>
              <w:bottom w:val="single" w:color="auto" w:sz="4" w:space="0"/>
              <w:right w:val="single" w:color="auto" w:sz="4" w:space="0"/>
            </w:tcBorders>
            <w:noWrap w:val="0"/>
            <w:vAlign w:val="center"/>
          </w:tcPr>
          <w:p w14:paraId="7D33B6D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p w14:paraId="3B4DB9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6995" w:type="dxa"/>
            <w:tcBorders>
              <w:top w:val="single" w:color="auto" w:sz="4" w:space="0"/>
              <w:left w:val="single" w:color="auto" w:sz="4" w:space="0"/>
              <w:bottom w:val="single" w:color="auto" w:sz="4" w:space="0"/>
              <w:right w:val="single" w:color="auto" w:sz="4" w:space="0"/>
            </w:tcBorders>
            <w:noWrap w:val="0"/>
            <w:vAlign w:val="center"/>
          </w:tcPr>
          <w:p w14:paraId="6DFF5D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技术标准要求</w:t>
            </w:r>
          </w:p>
        </w:tc>
      </w:tr>
      <w:tr w14:paraId="2690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15" w:type="dxa"/>
            <w:vMerge w:val="restart"/>
            <w:tcBorders>
              <w:top w:val="single" w:color="auto" w:sz="4" w:space="0"/>
              <w:left w:val="single" w:color="auto" w:sz="4" w:space="0"/>
              <w:bottom w:val="single" w:color="auto" w:sz="4" w:space="0"/>
              <w:right w:val="single" w:color="auto" w:sz="4" w:space="0"/>
            </w:tcBorders>
            <w:noWrap w:val="0"/>
            <w:vAlign w:val="center"/>
          </w:tcPr>
          <w:p w14:paraId="0412859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422" w:type="dxa"/>
            <w:vMerge w:val="restart"/>
            <w:tcBorders>
              <w:top w:val="single" w:color="auto" w:sz="4" w:space="0"/>
              <w:left w:val="single" w:color="auto" w:sz="4" w:space="0"/>
              <w:bottom w:val="single" w:color="auto" w:sz="4" w:space="0"/>
              <w:right w:val="single" w:color="auto" w:sz="4" w:space="0"/>
            </w:tcBorders>
            <w:noWrap w:val="0"/>
            <w:vAlign w:val="center"/>
          </w:tcPr>
          <w:p w14:paraId="7E76816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装烟室主体</w:t>
            </w:r>
          </w:p>
        </w:tc>
        <w:tc>
          <w:tcPr>
            <w:tcW w:w="6995" w:type="dxa"/>
            <w:tcBorders>
              <w:top w:val="single" w:color="auto" w:sz="4" w:space="0"/>
              <w:left w:val="single" w:color="auto" w:sz="4" w:space="0"/>
              <w:bottom w:val="single" w:color="auto" w:sz="4" w:space="0"/>
              <w:right w:val="single" w:color="auto" w:sz="4" w:space="0"/>
            </w:tcBorders>
            <w:noWrap w:val="0"/>
            <w:vAlign w:val="center"/>
          </w:tcPr>
          <w:p w14:paraId="29BC169B">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规格：8000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27</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0mm,装三棚烟，棚距见《密集烤房技术规范》</w:t>
            </w:r>
          </w:p>
        </w:tc>
      </w:tr>
      <w:tr w14:paraId="0557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15" w:type="dxa"/>
            <w:vMerge w:val="continue"/>
            <w:tcBorders>
              <w:top w:val="single" w:color="auto" w:sz="4" w:space="0"/>
              <w:left w:val="single" w:color="auto" w:sz="4" w:space="0"/>
              <w:bottom w:val="single" w:color="auto" w:sz="4" w:space="0"/>
              <w:right w:val="single" w:color="auto" w:sz="4" w:space="0"/>
            </w:tcBorders>
            <w:noWrap w:val="0"/>
            <w:vAlign w:val="center"/>
          </w:tcPr>
          <w:p w14:paraId="75A9A97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p>
        </w:tc>
        <w:tc>
          <w:tcPr>
            <w:tcW w:w="1422" w:type="dxa"/>
            <w:vMerge w:val="continue"/>
            <w:tcBorders>
              <w:top w:val="single" w:color="auto" w:sz="4" w:space="0"/>
              <w:left w:val="single" w:color="auto" w:sz="4" w:space="0"/>
              <w:bottom w:val="single" w:color="auto" w:sz="4" w:space="0"/>
              <w:right w:val="single" w:color="auto" w:sz="4" w:space="0"/>
            </w:tcBorders>
            <w:noWrap w:val="0"/>
            <w:vAlign w:val="center"/>
          </w:tcPr>
          <w:p w14:paraId="133E2E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p>
        </w:tc>
        <w:tc>
          <w:tcPr>
            <w:tcW w:w="6995" w:type="dxa"/>
            <w:tcBorders>
              <w:top w:val="single" w:color="auto" w:sz="4" w:space="0"/>
              <w:left w:val="single" w:color="auto" w:sz="4" w:space="0"/>
              <w:bottom w:val="single" w:color="auto" w:sz="4" w:space="0"/>
              <w:right w:val="single" w:color="auto" w:sz="4" w:space="0"/>
            </w:tcBorders>
            <w:noWrap w:val="0"/>
            <w:vAlign w:val="center"/>
          </w:tcPr>
          <w:p w14:paraId="4F541D5E">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墙体及屋面材料：</w:t>
            </w:r>
          </w:p>
          <w:p w14:paraId="375E2A4E">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1、墙体及屋面：</w:t>
            </w:r>
            <w:r>
              <w:rPr>
                <w:rFonts w:hint="eastAsia" w:ascii="宋体" w:hAnsi="宋体" w:cs="宋体"/>
                <w:sz w:val="21"/>
                <w:szCs w:val="21"/>
                <w:highlight w:val="none"/>
                <w:lang w:val="en-US" w:eastAsia="zh-CN"/>
              </w:rPr>
              <w:t>装烟室墙面及屋顶采用聚苯乙烯金属夹芯板，聚苯乙烯密度密度</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18kg/m³，厚度</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50mm，外包彩钢板，</w:t>
            </w:r>
            <w:r>
              <w:rPr>
                <w:rFonts w:hint="eastAsia" w:ascii="宋体" w:hAnsi="宋体" w:eastAsia="宋体" w:cs="宋体"/>
                <w:sz w:val="21"/>
                <w:szCs w:val="21"/>
                <w:highlight w:val="none"/>
              </w:rPr>
              <w:t>彩钢厚度≥0.35mm</w:t>
            </w:r>
            <w:r>
              <w:rPr>
                <w:rFonts w:hint="eastAsia" w:ascii="宋体" w:hAnsi="宋体" w:cs="宋体"/>
                <w:sz w:val="21"/>
                <w:szCs w:val="21"/>
                <w:highlight w:val="none"/>
                <w:lang w:val="en-US" w:eastAsia="zh-CN"/>
              </w:rPr>
              <w:t>。墙体及屋面采用搭扣的方式链接，保证不漏水、不漏气。屋顶另搭彩钢防雨板</w:t>
            </w:r>
            <w:r>
              <w:rPr>
                <w:rFonts w:hint="eastAsia" w:ascii="宋体" w:hAnsi="宋体" w:eastAsia="宋体" w:cs="宋体"/>
                <w:sz w:val="21"/>
                <w:szCs w:val="21"/>
                <w:highlight w:val="none"/>
              </w:rPr>
              <w:t>厚度≥0.35mm</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坡度</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5%。</w:t>
            </w:r>
          </w:p>
        </w:tc>
      </w:tr>
      <w:tr w14:paraId="3C6B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715" w:type="dxa"/>
            <w:vMerge w:val="continue"/>
            <w:tcBorders>
              <w:top w:val="single" w:color="auto" w:sz="4" w:space="0"/>
              <w:left w:val="single" w:color="auto" w:sz="4" w:space="0"/>
              <w:bottom w:val="single" w:color="auto" w:sz="4" w:space="0"/>
              <w:right w:val="single" w:color="auto" w:sz="4" w:space="0"/>
            </w:tcBorders>
            <w:noWrap w:val="0"/>
            <w:vAlign w:val="center"/>
          </w:tcPr>
          <w:p w14:paraId="0DB8210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p>
        </w:tc>
        <w:tc>
          <w:tcPr>
            <w:tcW w:w="1422" w:type="dxa"/>
            <w:vMerge w:val="continue"/>
            <w:tcBorders>
              <w:top w:val="single" w:color="auto" w:sz="4" w:space="0"/>
              <w:left w:val="single" w:color="auto" w:sz="4" w:space="0"/>
              <w:bottom w:val="single" w:color="auto" w:sz="4" w:space="0"/>
              <w:right w:val="single" w:color="auto" w:sz="4" w:space="0"/>
            </w:tcBorders>
            <w:noWrap w:val="0"/>
            <w:vAlign w:val="center"/>
          </w:tcPr>
          <w:p w14:paraId="339260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p>
        </w:tc>
        <w:tc>
          <w:tcPr>
            <w:tcW w:w="6995" w:type="dxa"/>
            <w:tcBorders>
              <w:top w:val="single" w:color="auto" w:sz="4" w:space="0"/>
              <w:left w:val="single" w:color="auto" w:sz="4" w:space="0"/>
              <w:bottom w:val="single" w:color="auto" w:sz="4" w:space="0"/>
              <w:right w:val="single" w:color="auto" w:sz="4" w:space="0"/>
            </w:tcBorders>
            <w:noWrap w:val="0"/>
            <w:vAlign w:val="center"/>
          </w:tcPr>
          <w:p w14:paraId="02009D7D">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房体主框架：</w:t>
            </w:r>
          </w:p>
          <w:p w14:paraId="4A9540D9">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1、结构：由三角梁、中立柱、侧立柱、钢桁条等攀组成，全部通过螺栓连接。</w:t>
            </w:r>
          </w:p>
          <w:p w14:paraId="3634A072">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2、三角梁材料为30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50镀锌矩管，壁厚≥2mm，两侧钻有和侧立柱连接的螺栓孔。</w:t>
            </w:r>
          </w:p>
          <w:p w14:paraId="1957B8A9">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3、中立柱、侧立柱为30</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rPr>
              <w:t>50镀锌矩管，壁厚≥2mm，上边钻有和钢桁条、三角梁连接的螺栓孔。</w:t>
            </w:r>
          </w:p>
          <w:p w14:paraId="549B8E7D">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4、挂烟钢桁条：40角钢，厚度3mm，其上钻有和立柱连接的螺栓孔。</w:t>
            </w:r>
          </w:p>
          <w:p w14:paraId="713DBCFB">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5、房墙体主框架通过钢桁条等和大门框、隔热墙框架连接。</w:t>
            </w:r>
          </w:p>
          <w:p w14:paraId="037CE32B">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6、立柱单列根数6根，间隔7档，立柱间距离≤1200mm。</w:t>
            </w:r>
          </w:p>
          <w:p w14:paraId="2AECD902">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7、钢桁条表面做防锈处理。同时能满足挂竿和烟夹使用要求，承载量大，其与立柱连接处无明显突起物，确保烟筐或烟夹方便放置并能顺畅滑动。</w:t>
            </w:r>
          </w:p>
          <w:p w14:paraId="5988F2A2">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8、房体四角包角密封：装烟室四角用包角密封，材料为彩涂板，厚度≥0.35mm。</w:t>
            </w:r>
          </w:p>
        </w:tc>
      </w:tr>
      <w:tr w14:paraId="6C41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5BA6B28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422" w:type="dxa"/>
            <w:tcBorders>
              <w:top w:val="single" w:color="auto" w:sz="4" w:space="0"/>
              <w:left w:val="single" w:color="auto" w:sz="4" w:space="0"/>
              <w:bottom w:val="single" w:color="auto" w:sz="4" w:space="0"/>
              <w:right w:val="single" w:color="auto" w:sz="4" w:space="0"/>
            </w:tcBorders>
            <w:noWrap w:val="0"/>
            <w:vAlign w:val="center"/>
          </w:tcPr>
          <w:p w14:paraId="177F2C3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装烟</w:t>
            </w:r>
          </w:p>
          <w:p w14:paraId="58D915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室门</w:t>
            </w:r>
          </w:p>
        </w:tc>
        <w:tc>
          <w:tcPr>
            <w:tcW w:w="6995" w:type="dxa"/>
            <w:tcBorders>
              <w:top w:val="single" w:color="auto" w:sz="4" w:space="0"/>
              <w:left w:val="single" w:color="auto" w:sz="4" w:space="0"/>
              <w:bottom w:val="single" w:color="auto" w:sz="4" w:space="0"/>
              <w:right w:val="single" w:color="auto" w:sz="4" w:space="0"/>
            </w:tcBorders>
            <w:noWrap w:val="0"/>
            <w:vAlign w:val="center"/>
          </w:tcPr>
          <w:p w14:paraId="59AB7126">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1、规格：27</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3050㎜双开门</w:t>
            </w:r>
          </w:p>
          <w:p w14:paraId="21AB7367">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2、门框材料：Ｑ235,50镀锌方管，厚度：≥2㎜，通过螺栓或自钻丝与房体连接。</w:t>
            </w:r>
          </w:p>
          <w:p w14:paraId="4C6573A1">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3、门扇边材料：门扇四边均为H型厢式货车密封条，材质为三元乙丙橡胶(EPDM)复合材料。</w:t>
            </w:r>
          </w:p>
          <w:p w14:paraId="1F8C8603">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4、门扇芯：彩钢板复合保温板，厚度≥0.3</w:t>
            </w:r>
            <w:r>
              <w:rPr>
                <w:rFonts w:hint="default" w:ascii="宋体" w:hAnsi="宋体" w:eastAsia="宋体" w:cs="宋体"/>
                <w:sz w:val="21"/>
                <w:szCs w:val="21"/>
                <w:highlight w:val="none"/>
                <w:lang w:val="en-US"/>
              </w:rPr>
              <w:t>5</w:t>
            </w:r>
            <w:r>
              <w:rPr>
                <w:rFonts w:hint="eastAsia" w:ascii="宋体" w:hAnsi="宋体" w:eastAsia="宋体" w:cs="宋体"/>
                <w:sz w:val="21"/>
                <w:szCs w:val="21"/>
                <w:highlight w:val="none"/>
              </w:rPr>
              <w:t>mm。保温材料为聚苯乙烯泡沫板，厚度50mm，密度≥13kg/m3。</w:t>
            </w:r>
          </w:p>
          <w:p w14:paraId="21C7DCF4">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5、观察窗：外框为铝合金专用型材（厚度≥0.5㎜）,内层为5㎜中空玻璃</w:t>
            </w:r>
          </w:p>
          <w:p w14:paraId="6148E7A3">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6、附件：为厢式货车车箱专门用锁具，由大门锁扣、镀锌铰链 、镀锌螺栓、DN32镀锌钢管构构成，均经过热镀锌处理。</w:t>
            </w:r>
          </w:p>
        </w:tc>
      </w:tr>
      <w:tr w14:paraId="75B4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7D134B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422" w:type="dxa"/>
            <w:tcBorders>
              <w:top w:val="single" w:color="auto" w:sz="4" w:space="0"/>
              <w:left w:val="single" w:color="auto" w:sz="4" w:space="0"/>
              <w:bottom w:val="single" w:color="auto" w:sz="4" w:space="0"/>
              <w:right w:val="single" w:color="auto" w:sz="4" w:space="0"/>
            </w:tcBorders>
            <w:noWrap w:val="0"/>
            <w:vAlign w:val="center"/>
          </w:tcPr>
          <w:p w14:paraId="476604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隔热墙</w:t>
            </w:r>
          </w:p>
        </w:tc>
        <w:tc>
          <w:tcPr>
            <w:tcW w:w="6995" w:type="dxa"/>
            <w:tcBorders>
              <w:top w:val="single" w:color="auto" w:sz="4" w:space="0"/>
              <w:left w:val="single" w:color="auto" w:sz="4" w:space="0"/>
              <w:bottom w:val="single" w:color="auto" w:sz="4" w:space="0"/>
              <w:right w:val="single" w:color="auto" w:sz="4" w:space="0"/>
            </w:tcBorders>
            <w:noWrap w:val="0"/>
            <w:vAlign w:val="center"/>
          </w:tcPr>
          <w:p w14:paraId="22AC9B87">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隔热墙全部为彩钢岩棉板，彩钢板厚度≥0.35mm,岩棉厚度50mm，密度≥120㎏/m3。隔热墙主框架为30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50镀锌矩管，岩棉板用自钻丝固定在其上，通过螺栓或自钻丝与装烟室主体连接。</w:t>
            </w:r>
          </w:p>
        </w:tc>
      </w:tr>
      <w:tr w14:paraId="42CF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2887A33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422" w:type="dxa"/>
            <w:tcBorders>
              <w:top w:val="single" w:color="auto" w:sz="4" w:space="0"/>
              <w:left w:val="single" w:color="auto" w:sz="4" w:space="0"/>
              <w:bottom w:val="single" w:color="auto" w:sz="4" w:space="0"/>
              <w:right w:val="single" w:color="auto" w:sz="4" w:space="0"/>
            </w:tcBorders>
            <w:noWrap w:val="0"/>
            <w:vAlign w:val="center"/>
          </w:tcPr>
          <w:p w14:paraId="7BF1598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加热室</w:t>
            </w:r>
          </w:p>
        </w:tc>
        <w:tc>
          <w:tcPr>
            <w:tcW w:w="6995" w:type="dxa"/>
            <w:tcBorders>
              <w:top w:val="single" w:color="auto" w:sz="4" w:space="0"/>
              <w:left w:val="single" w:color="auto" w:sz="4" w:space="0"/>
              <w:bottom w:val="single" w:color="auto" w:sz="4" w:space="0"/>
              <w:right w:val="single" w:color="auto" w:sz="4" w:space="0"/>
            </w:tcBorders>
            <w:noWrap w:val="0"/>
            <w:vAlign w:val="center"/>
          </w:tcPr>
          <w:p w14:paraId="4DADE5A7">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1、炉门周围及回风道为砖混结构；</w:t>
            </w:r>
          </w:p>
          <w:p w14:paraId="6A96E9FD">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2、加热室四周保温板、顶部保温板及风机维修门、清灰门均为彩钢岩棉板结构，</w:t>
            </w:r>
            <w:r>
              <w:rPr>
                <w:rFonts w:hint="eastAsia" w:ascii="宋体" w:hAnsi="宋体" w:cs="宋体"/>
                <w:sz w:val="21"/>
                <w:szCs w:val="21"/>
                <w:highlight w:val="none"/>
                <w:lang w:val="en-US" w:eastAsia="zh-CN"/>
              </w:rPr>
              <w:t>密度</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120kg/m³。厚度</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50mm，外包彩钢板，</w:t>
            </w:r>
            <w:r>
              <w:rPr>
                <w:rFonts w:hint="eastAsia" w:ascii="宋体" w:hAnsi="宋体" w:eastAsia="宋体" w:cs="宋体"/>
                <w:sz w:val="21"/>
                <w:szCs w:val="21"/>
                <w:highlight w:val="none"/>
              </w:rPr>
              <w:t>彩钢厚度≥0.35mm</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rPr>
              <w:t>板四周用专用铝合金或C型彩钢板包边，边缘用封边堵缝，不走风漏气；</w:t>
            </w:r>
            <w:r>
              <w:rPr>
                <w:rFonts w:hint="eastAsia" w:ascii="宋体" w:hAnsi="宋体" w:cs="宋体"/>
                <w:sz w:val="21"/>
                <w:szCs w:val="21"/>
                <w:highlight w:val="none"/>
                <w:lang w:val="en-US" w:eastAsia="zh-CN"/>
              </w:rPr>
              <w:t>加热室后部进料口及出灰口采用砖砌，宽度与加热室等宽，高度高于进料口高度</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240mm。</w:t>
            </w:r>
          </w:p>
          <w:p w14:paraId="5207DD71">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3、风机台板为钢板。维修门、清灰门门框及门扇芯均为铝开型材封边，厚度≥0.5㎜。彩钢板厚度≥0.35mm, 岩棉厚度≥50mm，密度≥120</w:t>
            </w:r>
            <w:r>
              <w:rPr>
                <w:rFonts w:hint="eastAsia" w:ascii="宋体" w:hAnsi="宋体" w:cs="宋体"/>
                <w:sz w:val="21"/>
                <w:szCs w:val="21"/>
                <w:highlight w:val="none"/>
                <w:lang w:val="en-US" w:eastAsia="zh-CN"/>
              </w:rPr>
              <w:t>kg/</w:t>
            </w:r>
            <w:r>
              <w:rPr>
                <w:rFonts w:hint="eastAsia" w:ascii="宋体" w:hAnsi="宋体" w:eastAsia="宋体" w:cs="宋体"/>
                <w:sz w:val="21"/>
                <w:szCs w:val="21"/>
                <w:highlight w:val="none"/>
              </w:rPr>
              <w:t>m3。</w:t>
            </w:r>
          </w:p>
        </w:tc>
      </w:tr>
      <w:tr w14:paraId="1953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715" w:type="dxa"/>
            <w:tcBorders>
              <w:top w:val="single" w:color="auto" w:sz="4" w:space="0"/>
              <w:left w:val="single" w:color="auto" w:sz="4" w:space="0"/>
              <w:bottom w:val="single" w:color="auto" w:sz="4" w:space="0"/>
              <w:right w:val="single" w:color="auto" w:sz="4" w:space="0"/>
            </w:tcBorders>
            <w:noWrap w:val="0"/>
            <w:vAlign w:val="center"/>
          </w:tcPr>
          <w:p w14:paraId="489F436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422" w:type="dxa"/>
            <w:tcBorders>
              <w:top w:val="single" w:color="auto" w:sz="4" w:space="0"/>
              <w:left w:val="single" w:color="auto" w:sz="4" w:space="0"/>
              <w:bottom w:val="single" w:color="auto" w:sz="4" w:space="0"/>
              <w:right w:val="single" w:color="auto" w:sz="4" w:space="0"/>
            </w:tcBorders>
            <w:noWrap w:val="0"/>
            <w:vAlign w:val="center"/>
          </w:tcPr>
          <w:p w14:paraId="1DF85E2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操作间遮雨蓬</w:t>
            </w:r>
          </w:p>
        </w:tc>
        <w:tc>
          <w:tcPr>
            <w:tcW w:w="6995" w:type="dxa"/>
            <w:tcBorders>
              <w:top w:val="single" w:color="auto" w:sz="4" w:space="0"/>
              <w:left w:val="single" w:color="auto" w:sz="4" w:space="0"/>
              <w:bottom w:val="single" w:color="auto" w:sz="4" w:space="0"/>
              <w:right w:val="single" w:color="auto" w:sz="4" w:space="0"/>
            </w:tcBorders>
            <w:noWrap w:val="0"/>
            <w:vAlign w:val="center"/>
          </w:tcPr>
          <w:p w14:paraId="705306DF">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1、规格：3000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3000mm（与装烟室连接为一体）；</w:t>
            </w:r>
          </w:p>
          <w:p w14:paraId="47405755">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2、结构：立柱柱、三角形梁、檩条均为40镀锌方管，壁厚≥2mm；</w:t>
            </w:r>
          </w:p>
          <w:p w14:paraId="69547135">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3、屋面：单层彩钢板，厚度≥0.35mm，顶上开直径Φ165mm烟囱孔。</w:t>
            </w:r>
          </w:p>
          <w:p w14:paraId="756E6FAC">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4、加长烟囱：和换热器烟囱对接并高出屋顶50cm以上。</w:t>
            </w:r>
          </w:p>
        </w:tc>
      </w:tr>
    </w:tbl>
    <w:p w14:paraId="1FC0EB70">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 </w:t>
      </w:r>
      <w:r>
        <w:rPr>
          <w:rFonts w:hint="eastAsia" w:ascii="宋体" w:hAnsi="宋体" w:eastAsia="宋体" w:cs="宋体"/>
          <w:sz w:val="21"/>
          <w:szCs w:val="21"/>
          <w:highlight w:val="none"/>
          <w:lang w:val="en-US" w:eastAsia="zh-CN"/>
        </w:rPr>
        <w:t>烤房</w:t>
      </w:r>
      <w:r>
        <w:rPr>
          <w:rFonts w:hint="eastAsia" w:ascii="宋体" w:hAnsi="宋体" w:eastAsia="宋体" w:cs="宋体"/>
          <w:sz w:val="21"/>
          <w:szCs w:val="21"/>
          <w:highlight w:val="none"/>
        </w:rPr>
        <w:t>结构与技术参数</w:t>
      </w:r>
    </w:p>
    <w:p w14:paraId="003927AE">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5.1装烟室</w:t>
      </w:r>
    </w:p>
    <w:p w14:paraId="2401CFA8">
      <w:pPr>
        <w:keepNext w:val="0"/>
        <w:keepLines w:val="0"/>
        <w:pageBreakBefore w:val="0"/>
        <w:widowControl w:val="0"/>
        <w:kinsoku/>
        <w:wordWrap/>
        <w:overflowPunct/>
        <w:topLinePunct w:val="0"/>
        <w:autoSpaceDE/>
        <w:autoSpaceDN/>
        <w:bidi w:val="0"/>
        <w:adjustRightInd w:val="0"/>
        <w:snapToGrid w:val="0"/>
        <w:spacing w:line="240" w:lineRule="atLeast"/>
        <w:ind w:firstLine="411" w:firstLineChars="196"/>
        <w:jc w:val="left"/>
        <w:textAlignment w:val="auto"/>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内室长8000mm、宽27</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0mm、高3500mm，满足鲜烟装烟量4500kg以上，烘烤干烟500kg以上。</w:t>
      </w:r>
      <w:r>
        <w:rPr>
          <w:rFonts w:hint="eastAsia" w:ascii="宋体" w:hAnsi="宋体" w:eastAsia="宋体" w:cs="宋体"/>
          <w:color w:val="000000"/>
          <w:sz w:val="21"/>
          <w:szCs w:val="21"/>
          <w:highlight w:val="none"/>
        </w:rPr>
        <w:t>主要包含地面、墙体、屋顶、挂（装）烟架、导流板、装烟室门、观察窗、热风进（回）风口、排湿口及</w:t>
      </w:r>
      <w:r>
        <w:rPr>
          <w:rFonts w:hint="eastAsia" w:ascii="宋体" w:hAnsi="宋体" w:eastAsia="宋体" w:cs="宋体"/>
          <w:sz w:val="21"/>
          <w:szCs w:val="21"/>
          <w:highlight w:val="none"/>
        </w:rPr>
        <w:t>排湿窗、辅助排湿口及辅助排湿门</w:t>
      </w:r>
      <w:r>
        <w:rPr>
          <w:rFonts w:hint="eastAsia" w:ascii="宋体" w:hAnsi="宋体" w:eastAsia="宋体" w:cs="宋体"/>
          <w:color w:val="000000"/>
          <w:sz w:val="21"/>
          <w:szCs w:val="21"/>
          <w:highlight w:val="none"/>
        </w:rPr>
        <w:t>等结构。装烟室剖面结构如图5—1所示。</w:t>
      </w:r>
    </w:p>
    <w:p w14:paraId="3F8DB754">
      <w:pPr>
        <w:adjustRightInd w:val="0"/>
        <w:snapToGrid w:val="0"/>
        <w:spacing w:line="240" w:lineRule="auto"/>
        <w:ind w:firstLine="560" w:firstLineChars="200"/>
        <w:jc w:val="center"/>
        <w:rPr>
          <w:rFonts w:hint="eastAsia" w:ascii="仿宋_GB2312" w:hAnsi="宋体"/>
          <w:sz w:val="28"/>
          <w:szCs w:val="28"/>
          <w:highlight w:val="none"/>
        </w:rPr>
      </w:pPr>
      <w:r>
        <w:rPr>
          <w:rFonts w:hint="eastAsia" w:ascii="仿宋_GB2312" w:hAnsi="宋体" w:eastAsia="宋体"/>
          <w:sz w:val="28"/>
          <w:szCs w:val="28"/>
          <w:highlight w:val="none"/>
          <w:lang w:eastAsia="zh-CN"/>
        </w:rPr>
        <w:drawing>
          <wp:inline distT="0" distB="0" distL="114300" distR="114300">
            <wp:extent cx="5266690" cy="2491105"/>
            <wp:effectExtent l="0" t="0" r="10160" b="4445"/>
            <wp:docPr id="2" name="图片 1" descr="微信图片_2023120114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231201145730"/>
                    <pic:cNvPicPr>
                      <a:picLocks noChangeAspect="1"/>
                    </pic:cNvPicPr>
                  </pic:nvPicPr>
                  <pic:blipFill>
                    <a:blip r:embed="rId10"/>
                    <a:stretch>
                      <a:fillRect/>
                    </a:stretch>
                  </pic:blipFill>
                  <pic:spPr>
                    <a:xfrm>
                      <a:off x="0" y="0"/>
                      <a:ext cx="5266690" cy="2491105"/>
                    </a:xfrm>
                    <a:prstGeom prst="rect">
                      <a:avLst/>
                    </a:prstGeom>
                    <a:noFill/>
                    <a:ln>
                      <a:noFill/>
                    </a:ln>
                  </pic:spPr>
                </pic:pic>
              </a:graphicData>
            </a:graphic>
          </wp:inline>
        </w:drawing>
      </w:r>
    </w:p>
    <w:p w14:paraId="4B82F7FA">
      <w:pPr>
        <w:adjustRightInd w:val="0"/>
        <w:snapToGrid w:val="0"/>
        <w:spacing w:line="580" w:lineRule="exact"/>
        <w:ind w:firstLine="420" w:firstLineChars="2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图5—1装烟室剖面结构示意图（气流</w:t>
      </w:r>
      <w:r>
        <w:rPr>
          <w:rFonts w:hint="eastAsia" w:ascii="宋体" w:hAnsi="宋体" w:eastAsia="宋体" w:cs="宋体"/>
          <w:sz w:val="21"/>
          <w:szCs w:val="21"/>
          <w:highlight w:val="none"/>
          <w:lang w:eastAsia="zh-CN"/>
        </w:rPr>
        <w:t>下</w:t>
      </w:r>
      <w:r>
        <w:rPr>
          <w:rFonts w:hint="eastAsia" w:ascii="宋体" w:hAnsi="宋体" w:eastAsia="宋体" w:cs="宋体"/>
          <w:sz w:val="21"/>
          <w:szCs w:val="21"/>
          <w:highlight w:val="none"/>
        </w:rPr>
        <w:t>升式）</w:t>
      </w:r>
    </w:p>
    <w:p w14:paraId="13F180FC">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5.1.1地面</w:t>
      </w:r>
    </w:p>
    <w:p w14:paraId="73BE1DC4">
      <w:pPr>
        <w:keepNext w:val="0"/>
        <w:keepLines w:val="0"/>
        <w:pageBreakBefore w:val="0"/>
        <w:widowControl w:val="0"/>
        <w:kinsoku/>
        <w:wordWrap/>
        <w:overflowPunct/>
        <w:topLinePunct w:val="0"/>
        <w:autoSpaceDE/>
        <w:autoSpaceDN/>
        <w:bidi w:val="0"/>
        <w:spacing w:line="240" w:lineRule="atLeas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找水平，不设坡度，地面加设防水塑料布或其它防水措施。</w:t>
      </w:r>
    </w:p>
    <w:p w14:paraId="67C19E32">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5.1.2墙体</w:t>
      </w:r>
    </w:p>
    <w:p w14:paraId="78E41B85">
      <w:pPr>
        <w:keepNext w:val="0"/>
        <w:keepLines w:val="0"/>
        <w:pageBreakBefore w:val="0"/>
        <w:widowControl w:val="0"/>
        <w:kinsoku/>
        <w:wordWrap/>
        <w:overflowPunct/>
        <w:topLinePunct w:val="0"/>
        <w:autoSpaceDE/>
        <w:autoSpaceDN/>
        <w:bidi w:val="0"/>
        <w:spacing w:line="240" w:lineRule="atLeast"/>
        <w:ind w:firstLine="411" w:firstLineChars="196"/>
        <w:textAlignment w:val="auto"/>
        <w:rPr>
          <w:rFonts w:hint="eastAsia" w:ascii="宋体" w:hAnsi="宋体" w:eastAsia="宋体" w:cs="宋体"/>
          <w:color w:val="0000FF"/>
          <w:sz w:val="21"/>
          <w:szCs w:val="21"/>
          <w:highlight w:val="none"/>
        </w:rPr>
      </w:pPr>
      <w:r>
        <w:rPr>
          <w:rFonts w:hint="eastAsia" w:ascii="宋体" w:hAnsi="宋体" w:eastAsia="宋体" w:cs="宋体"/>
          <w:sz w:val="21"/>
          <w:szCs w:val="21"/>
          <w:highlight w:val="none"/>
        </w:rPr>
        <w:t>保温材料结构墙体。</w:t>
      </w:r>
    </w:p>
    <w:p w14:paraId="08DE89BE">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5.1.3屋顶</w:t>
      </w:r>
    </w:p>
    <w:p w14:paraId="5DCB5F82">
      <w:pPr>
        <w:keepNext w:val="0"/>
        <w:keepLines w:val="0"/>
        <w:pageBreakBefore w:val="0"/>
        <w:widowControl w:val="0"/>
        <w:kinsoku/>
        <w:wordWrap/>
        <w:overflowPunct/>
        <w:topLinePunct w:val="0"/>
        <w:autoSpaceDE/>
        <w:autoSpaceDN/>
        <w:bidi w:val="0"/>
        <w:adjustRightInd w:val="0"/>
        <w:snapToGrid w:val="0"/>
        <w:spacing w:line="240" w:lineRule="atLeast"/>
        <w:ind w:firstLine="411" w:firstLineChars="196"/>
        <w:textAlignment w:val="auto"/>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与地面平行，不设坡度。加设防水薄膜或采取其它防水措施。</w:t>
      </w:r>
    </w:p>
    <w:p w14:paraId="3898D894">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5.1.4挂（装）烟架</w:t>
      </w:r>
    </w:p>
    <w:p w14:paraId="0B111001">
      <w:pPr>
        <w:keepNext w:val="0"/>
        <w:keepLines w:val="0"/>
        <w:pageBreakBefore w:val="0"/>
        <w:widowControl w:val="0"/>
        <w:kinsoku/>
        <w:wordWrap/>
        <w:overflowPunct/>
        <w:topLinePunct w:val="0"/>
        <w:autoSpaceDE/>
        <w:autoSpaceDN/>
        <w:bidi w:val="0"/>
        <w:adjustRightInd w:val="0"/>
        <w:snapToGrid w:val="0"/>
        <w:spacing w:line="240" w:lineRule="atLeas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烟架立柱及顶梁材料采用矩管（50mm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mm，壁厚2mm），装烟室两侧立柱5根，中间立柱6根，等距排列，立柱矩管50mm方向与墙面板平行，烟梁采用2mm热镀锌冷轧钢板钣金制作成型（图7），矩管和烟梁预开10mm圆孔，烟梁与立柱套接后由M8*50螺栓组装固定（图8），立柱与顶梁采用构件连接。挂烟架底棚高1300mm，顶棚距离屋顶高度600mm，其它棚距依据棚数平均分配。两侧立柱内侧相距＞2700mm，可以挂烟竿及1330mm烟夹，可承重≥6000Kg。</w:t>
      </w:r>
    </w:p>
    <w:p w14:paraId="0BB9056D">
      <w:pPr>
        <w:rPr>
          <w:rFonts w:ascii="宋体" w:hAnsi="宋体" w:eastAsia="宋体" w:cs="宋体"/>
          <w:color w:val="000000"/>
          <w:szCs w:val="21"/>
          <w:highlight w:val="none"/>
        </w:rPr>
      </w:pPr>
    </w:p>
    <w:p w14:paraId="0FA1573A">
      <w:pPr>
        <w:jc w:val="center"/>
        <w:rPr>
          <w:rFonts w:ascii="宋体" w:hAnsi="宋体" w:eastAsia="宋体" w:cs="宋体"/>
          <w:color w:val="000000"/>
          <w:szCs w:val="21"/>
          <w:highlight w:val="none"/>
        </w:rPr>
      </w:pPr>
      <w:r>
        <w:rPr>
          <w:rFonts w:hint="eastAsia" w:ascii="宋体" w:hAnsi="宋体" w:eastAsia="宋体" w:cs="宋体"/>
          <w:color w:val="000000"/>
          <w:szCs w:val="21"/>
          <w:highlight w:val="none"/>
        </w:rPr>
        <w:drawing>
          <wp:inline distT="0" distB="0" distL="114300" distR="114300">
            <wp:extent cx="4468495" cy="1312545"/>
            <wp:effectExtent l="0" t="0" r="825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rcRect t="23132" b="17189"/>
                    <a:stretch>
                      <a:fillRect/>
                    </a:stretch>
                  </pic:blipFill>
                  <pic:spPr>
                    <a:xfrm>
                      <a:off x="0" y="0"/>
                      <a:ext cx="4468495" cy="1312545"/>
                    </a:xfrm>
                    <a:prstGeom prst="rect">
                      <a:avLst/>
                    </a:prstGeom>
                    <a:noFill/>
                    <a:ln>
                      <a:noFill/>
                    </a:ln>
                  </pic:spPr>
                </pic:pic>
              </a:graphicData>
            </a:graphic>
          </wp:inline>
        </w:drawing>
      </w:r>
    </w:p>
    <w:p w14:paraId="6CA9FB55">
      <w:pPr>
        <w:adjustRightInd w:val="0"/>
        <w:snapToGrid w:val="0"/>
        <w:spacing w:line="580" w:lineRule="exact"/>
        <w:ind w:firstLine="420" w:firstLineChars="200"/>
        <w:jc w:val="center"/>
        <w:rPr>
          <w:rFonts w:hint="eastAsia" w:ascii="仿宋_GB2312" w:hAnsi="宋体"/>
          <w:sz w:val="28"/>
          <w:szCs w:val="28"/>
          <w:highlight w:val="none"/>
        </w:rPr>
      </w:pPr>
      <w:r>
        <w:rPr>
          <w:rFonts w:hint="eastAsia" w:ascii="宋体" w:hAnsi="宋体" w:eastAsia="宋体" w:cs="宋体"/>
          <w:sz w:val="21"/>
          <w:szCs w:val="21"/>
          <w:highlight w:val="none"/>
        </w:rPr>
        <w:t>图</w:t>
      </w:r>
      <w:r>
        <w:rPr>
          <w:rFonts w:hint="eastAsia" w:ascii="宋体" w:hAnsi="宋体" w:eastAsia="宋体" w:cs="宋体"/>
          <w:sz w:val="21"/>
          <w:szCs w:val="21"/>
          <w:highlight w:val="none"/>
          <w:lang w:val="en-US" w:eastAsia="zh-CN"/>
        </w:rPr>
        <w:t>5-2</w:t>
      </w:r>
      <w:r>
        <w:rPr>
          <w:rFonts w:hint="eastAsia" w:ascii="宋体" w:hAnsi="宋体" w:eastAsia="宋体" w:cs="宋体"/>
          <w:sz w:val="21"/>
          <w:szCs w:val="21"/>
          <w:highlight w:val="none"/>
        </w:rPr>
        <w:t xml:space="preserve"> 烟梁结构图</w:t>
      </w:r>
    </w:p>
    <w:p w14:paraId="748D83B4">
      <w:pPr>
        <w:ind w:firstLine="420"/>
        <w:jc w:val="center"/>
        <w:rPr>
          <w:rFonts w:ascii="宋体" w:hAnsi="宋体" w:eastAsia="宋体" w:cs="宋体"/>
          <w:color w:val="000000"/>
          <w:szCs w:val="21"/>
          <w:highlight w:val="none"/>
        </w:rPr>
      </w:pPr>
    </w:p>
    <w:p w14:paraId="28AB81AF">
      <w:pPr>
        <w:ind w:firstLine="420"/>
        <w:jc w:val="center"/>
        <w:rPr>
          <w:rFonts w:ascii="宋体" w:hAnsi="宋体" w:eastAsia="宋体" w:cs="宋体"/>
          <w:color w:val="000000"/>
          <w:szCs w:val="21"/>
          <w:highlight w:val="none"/>
        </w:rPr>
      </w:pPr>
    </w:p>
    <w:p w14:paraId="4E31136E">
      <w:pPr>
        <w:jc w:val="center"/>
        <w:rPr>
          <w:rFonts w:ascii="宋体" w:hAnsi="宋体" w:eastAsia="宋体" w:cs="宋体"/>
          <w:color w:val="000000"/>
          <w:szCs w:val="21"/>
          <w:highlight w:val="none"/>
        </w:rPr>
      </w:pPr>
      <w:r>
        <w:rPr>
          <w:rFonts w:ascii="宋体" w:hAnsi="宋体" w:eastAsia="宋体" w:cs="宋体"/>
          <w:color w:val="000000"/>
          <w:szCs w:val="21"/>
          <w:highlight w:val="none"/>
        </w:rPr>
        <w:drawing>
          <wp:inline distT="0" distB="0" distL="114300" distR="114300">
            <wp:extent cx="3968115" cy="1876425"/>
            <wp:effectExtent l="0" t="0" r="0" b="889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rcRect l="17519" t="15993" r="12595" b="21733"/>
                    <a:stretch>
                      <a:fillRect/>
                    </a:stretch>
                  </pic:blipFill>
                  <pic:spPr>
                    <a:xfrm>
                      <a:off x="0" y="0"/>
                      <a:ext cx="3968115" cy="1876425"/>
                    </a:xfrm>
                    <a:prstGeom prst="rect">
                      <a:avLst/>
                    </a:prstGeom>
                    <a:noFill/>
                    <a:ln>
                      <a:noFill/>
                    </a:ln>
                  </pic:spPr>
                </pic:pic>
              </a:graphicData>
            </a:graphic>
          </wp:inline>
        </w:drawing>
      </w:r>
    </w:p>
    <w:p w14:paraId="3D7ADFE1">
      <w:pPr>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图</w:t>
      </w:r>
      <w:r>
        <w:rPr>
          <w:rFonts w:hint="eastAsia" w:ascii="宋体" w:hAnsi="宋体" w:eastAsia="宋体" w:cs="宋体"/>
          <w:sz w:val="21"/>
          <w:szCs w:val="21"/>
          <w:highlight w:val="none"/>
          <w:lang w:val="en-US" w:eastAsia="zh-CN"/>
        </w:rPr>
        <w:t>5-3</w:t>
      </w:r>
      <w:r>
        <w:rPr>
          <w:rFonts w:hint="eastAsia" w:ascii="宋体" w:hAnsi="宋体" w:eastAsia="宋体" w:cs="宋体"/>
          <w:sz w:val="21"/>
          <w:szCs w:val="21"/>
          <w:highlight w:val="none"/>
        </w:rPr>
        <w:t xml:space="preserve"> </w:t>
      </w:r>
      <w:r>
        <w:rPr>
          <w:rFonts w:hint="eastAsia" w:ascii="宋体" w:hAnsi="宋体" w:eastAsia="宋体" w:cs="宋体"/>
          <w:color w:val="000000"/>
          <w:sz w:val="21"/>
          <w:szCs w:val="21"/>
          <w:highlight w:val="none"/>
        </w:rPr>
        <w:t xml:space="preserve"> </w:t>
      </w:r>
      <w:r>
        <w:rPr>
          <w:rFonts w:hint="eastAsia" w:ascii="宋体" w:hAnsi="宋体" w:eastAsia="宋体" w:cs="宋体"/>
          <w:sz w:val="21"/>
          <w:szCs w:val="21"/>
          <w:highlight w:val="none"/>
        </w:rPr>
        <w:t>立柱与烟梁连接图</w:t>
      </w:r>
    </w:p>
    <w:p w14:paraId="68294737">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5.1.5导流板</w:t>
      </w:r>
    </w:p>
    <w:p w14:paraId="2D8D310F">
      <w:pPr>
        <w:keepNext w:val="0"/>
        <w:keepLines w:val="0"/>
        <w:pageBreakBefore w:val="0"/>
        <w:widowControl w:val="0"/>
        <w:kinsoku/>
        <w:wordWrap/>
        <w:overflowPunct/>
        <w:topLinePunct w:val="0"/>
        <w:autoSpaceDE/>
        <w:autoSpaceDN/>
        <w:bidi w:val="0"/>
        <w:adjustRightInd/>
        <w:snapToGrid/>
        <w:spacing w:line="240" w:lineRule="atLeast"/>
        <w:ind w:firstLine="411" w:firstLineChars="196"/>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根据实际需要可以屋顶适当位置设置导流板。</w:t>
      </w:r>
    </w:p>
    <w:p w14:paraId="1FCF452A">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5.1.6装烟室门</w:t>
      </w:r>
    </w:p>
    <w:p w14:paraId="4A279240">
      <w:pPr>
        <w:keepNext w:val="0"/>
        <w:keepLines w:val="0"/>
        <w:pageBreakBefore w:val="0"/>
        <w:widowControl w:val="0"/>
        <w:kinsoku/>
        <w:wordWrap/>
        <w:overflowPunct/>
        <w:topLinePunct w:val="0"/>
        <w:autoSpaceDE/>
        <w:autoSpaceDN/>
        <w:bidi w:val="0"/>
        <w:adjustRightInd/>
        <w:snapToGrid/>
        <w:spacing w:line="240" w:lineRule="atLeast"/>
        <w:ind w:firstLine="411" w:firstLineChars="196"/>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在端墙上装设装烟室门，门的厚度≥50mm，采用彩钢复合保温板门，彩钢板厚度≥0.375mm，聚苯乙烯内衬密度≥13kg/m</w:t>
      </w:r>
      <w:r>
        <w:rPr>
          <w:rFonts w:hint="eastAsia" w:ascii="宋体" w:hAnsi="宋体" w:eastAsia="宋体" w:cs="宋体"/>
          <w:sz w:val="21"/>
          <w:szCs w:val="21"/>
          <w:highlight w:val="none"/>
          <w:vertAlign w:val="superscript"/>
        </w:rPr>
        <w:t>3</w:t>
      </w:r>
      <w:r>
        <w:rPr>
          <w:rFonts w:hint="eastAsia" w:ascii="宋体" w:hAnsi="宋体" w:eastAsia="宋体" w:cs="宋体"/>
          <w:sz w:val="21"/>
          <w:szCs w:val="21"/>
          <w:highlight w:val="none"/>
        </w:rPr>
        <w:t>。采用两扇对开大门，保证装烟室全开，适应各种装烟方式（如装烟车方便推进推出），规格如图5—</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所示。</w:t>
      </w:r>
    </w:p>
    <w:p w14:paraId="30D9D83D">
      <w:pPr>
        <w:spacing w:line="240" w:lineRule="auto"/>
        <w:jc w:val="center"/>
        <w:rPr>
          <w:rFonts w:hint="eastAsia" w:ascii="仿宋_GB2312" w:hAnsi="宋体"/>
          <w:sz w:val="28"/>
          <w:szCs w:val="28"/>
          <w:highlight w:val="none"/>
        </w:rPr>
      </w:pPr>
      <w:r>
        <w:rPr>
          <w:rFonts w:hint="eastAsia" w:ascii="仿宋_GB2312" w:hAnsi="宋体" w:eastAsia="宋体"/>
          <w:sz w:val="28"/>
          <w:szCs w:val="28"/>
          <w:highlight w:val="none"/>
          <w:lang w:eastAsia="zh-CN"/>
        </w:rPr>
        <w:drawing>
          <wp:inline distT="0" distB="0" distL="114300" distR="114300">
            <wp:extent cx="3095625" cy="3429000"/>
            <wp:effectExtent l="0" t="0" r="9525" b="0"/>
            <wp:docPr id="7"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图片1"/>
                    <pic:cNvPicPr>
                      <a:picLocks noChangeAspect="1"/>
                    </pic:cNvPicPr>
                  </pic:nvPicPr>
                  <pic:blipFill>
                    <a:blip r:embed="rId13"/>
                    <a:stretch>
                      <a:fillRect/>
                    </a:stretch>
                  </pic:blipFill>
                  <pic:spPr>
                    <a:xfrm>
                      <a:off x="0" y="0"/>
                      <a:ext cx="3095625" cy="3429000"/>
                    </a:xfrm>
                    <a:prstGeom prst="rect">
                      <a:avLst/>
                    </a:prstGeom>
                    <a:noFill/>
                    <a:ln>
                      <a:noFill/>
                    </a:ln>
                  </pic:spPr>
                </pic:pic>
              </a:graphicData>
            </a:graphic>
          </wp:inline>
        </w:drawing>
      </w:r>
    </w:p>
    <w:p w14:paraId="4350C831">
      <w:pPr>
        <w:spacing w:line="580" w:lineRule="exact"/>
        <w:ind w:firstLine="420" w:firstLineChars="2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两扇对开大门平面结构示意图</w:t>
      </w:r>
    </w:p>
    <w:p w14:paraId="07208A87">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5.1.7观察窗</w:t>
      </w:r>
    </w:p>
    <w:p w14:paraId="16ADD03C">
      <w:pPr>
        <w:keepNext w:val="0"/>
        <w:keepLines w:val="0"/>
        <w:pageBreakBefore w:val="0"/>
        <w:widowControl w:val="0"/>
        <w:kinsoku/>
        <w:wordWrap/>
        <w:overflowPunct/>
        <w:topLinePunct w:val="0"/>
        <w:autoSpaceDE/>
        <w:autoSpaceDN/>
        <w:bidi w:val="0"/>
        <w:adjustRightInd w:val="0"/>
        <w:snapToGrid w:val="0"/>
        <w:spacing w:line="240" w:lineRule="atLeast"/>
        <w:ind w:firstLine="411" w:firstLineChars="196"/>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在装烟室门和隔热墙上各设置一个竖向观察窗。门上的观察窗设置在左门、距下沿900mm中间位置，规格800 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300mm，如图5—2所示。隔热墙上的观察窗设置在左侧距边墙320mm、距地面700mm位置，规格1800mm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300mm，如图5—3位置A所示。观察窗采用中空保温玻璃或内层玻璃外层保温板结构。</w:t>
      </w:r>
    </w:p>
    <w:p w14:paraId="5F28680B">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5.1.8热风进（回）风口</w:t>
      </w:r>
    </w:p>
    <w:p w14:paraId="21EC8F70">
      <w:pPr>
        <w:keepNext w:val="0"/>
        <w:keepLines w:val="0"/>
        <w:pageBreakBefore w:val="0"/>
        <w:widowControl w:val="0"/>
        <w:kinsoku/>
        <w:wordWrap/>
        <w:overflowPunct/>
        <w:topLinePunct w:val="0"/>
        <w:autoSpaceDE/>
        <w:autoSpaceDN/>
        <w:bidi w:val="0"/>
        <w:spacing w:line="240" w:lineRule="atLeas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热风进风口</w:t>
      </w:r>
      <w:r>
        <w:rPr>
          <w:rFonts w:hint="eastAsia" w:ascii="宋体" w:hAnsi="宋体" w:eastAsia="宋体" w:cs="宋体"/>
          <w:sz w:val="21"/>
          <w:szCs w:val="21"/>
          <w:highlight w:val="none"/>
        </w:rPr>
        <w:t>开设在隔热墙顶端，规格2700mm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400mm</w:t>
      </w:r>
      <w:r>
        <w:rPr>
          <w:rFonts w:hint="eastAsia" w:ascii="宋体" w:hAnsi="宋体" w:eastAsia="宋体" w:cs="宋体"/>
          <w:color w:val="000000"/>
          <w:sz w:val="21"/>
          <w:szCs w:val="21"/>
          <w:highlight w:val="none"/>
        </w:rPr>
        <w:t>，</w:t>
      </w:r>
      <w:r>
        <w:rPr>
          <w:rFonts w:hint="eastAsia" w:ascii="宋体" w:hAnsi="宋体" w:eastAsia="宋体" w:cs="宋体"/>
          <w:sz w:val="21"/>
          <w:szCs w:val="21"/>
          <w:highlight w:val="none"/>
        </w:rPr>
        <w:t>热风回风底端，规格1400mm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400mm，。气流下降式回风口应加设铁丝网（网孔小于30mm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30mm），防止掉落在地面上的烟叶吸入加热室后被引燃，引起火灾。</w:t>
      </w:r>
    </w:p>
    <w:p w14:paraId="34B9FBC5">
      <w:pPr>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5.1.9排湿口及排湿窗</w:t>
      </w:r>
    </w:p>
    <w:p w14:paraId="36CE63F1">
      <w:pPr>
        <w:keepNext w:val="0"/>
        <w:keepLines w:val="0"/>
        <w:pageBreakBefore w:val="0"/>
        <w:widowControl w:val="0"/>
        <w:kinsoku/>
        <w:wordWrap/>
        <w:overflowPunct/>
        <w:topLinePunct w:val="0"/>
        <w:autoSpaceDE/>
        <w:autoSpaceDN/>
        <w:bidi w:val="0"/>
        <w:adjustRightInd w:val="0"/>
        <w:snapToGrid w:val="0"/>
        <w:spacing w:line="240" w:lineRule="atLeast"/>
        <w:ind w:firstLine="411" w:firstLineChars="196"/>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在隔热墙底端两侧对称位置紧贴装烟室边墙各开设一个排湿口，规格400mm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400mm。在排湿口安装排湿窗，排湿窗采用铝合金百叶窗结构，规格如图5—4所示。气流下降式的排湿口可以根据需要向上引出屋顶，以防排出的湿热空气对现场人员造成伤害。</w:t>
      </w:r>
    </w:p>
    <w:p w14:paraId="1F4363AF">
      <w:pPr>
        <w:adjustRightInd w:val="0"/>
        <w:snapToGrid w:val="0"/>
        <w:spacing w:line="580" w:lineRule="exact"/>
        <w:jc w:val="left"/>
        <w:rPr>
          <w:rFonts w:hint="eastAsia" w:ascii="仿宋_GB2312" w:hAnsi="宋体"/>
          <w:sz w:val="28"/>
          <w:szCs w:val="28"/>
          <w:highlight w:val="none"/>
        </w:rPr>
      </w:pPr>
      <w:r>
        <w:rPr>
          <w:highlight w:val="none"/>
        </w:rPr>
        <w:pict>
          <v:shape id="Object 9" o:spid="_x0000_s1026" o:spt="75" type="#_x0000_t75" style="position:absolute;left:0pt;margin-left:95.2pt;margin-top:26.4pt;height:165.25pt;width:252pt;mso-wrap-distance-left:9pt;mso-wrap-distance-right:9pt;z-index:251660288;mso-width-relative:page;mso-height-relative:page;" o:ole="t" filled="f" o:preferrelative="t" stroked="f" coordsize="21600,21600" wrapcoords="21592 -2 0 0 0 21600 21592 21602 8 21602 21600 21600 21600 0 8 -2 21592 -2">
            <v:path/>
            <v:fill on="f" focussize="0,0"/>
            <v:stroke on="f"/>
            <v:imagedata r:id="rId15" cropleft="29342f" croptop="17493f" cropright="23517f" cropbottom="28307f" o:title=""/>
            <o:lock v:ext="edit" aspectratio="t"/>
            <w10:wrap type="tight"/>
          </v:shape>
          <o:OLEObject Type="Embed" ProgID="" ShapeID="Object 9" DrawAspect="Content" ObjectID="_1468075725" r:id="rId14">
            <o:LockedField>false</o:LockedField>
          </o:OLEObject>
        </w:pict>
      </w:r>
    </w:p>
    <w:p w14:paraId="27D4B92C">
      <w:pPr>
        <w:adjustRightInd w:val="0"/>
        <w:snapToGrid w:val="0"/>
        <w:spacing w:line="580" w:lineRule="exact"/>
        <w:ind w:firstLine="560" w:firstLineChars="200"/>
        <w:jc w:val="left"/>
        <w:rPr>
          <w:rFonts w:hint="eastAsia" w:ascii="仿宋_GB2312" w:hAnsi="宋体"/>
          <w:sz w:val="28"/>
          <w:szCs w:val="28"/>
          <w:highlight w:val="none"/>
        </w:rPr>
      </w:pPr>
    </w:p>
    <w:p w14:paraId="05A8F376">
      <w:pPr>
        <w:adjustRightInd w:val="0"/>
        <w:snapToGrid w:val="0"/>
        <w:spacing w:line="580" w:lineRule="exact"/>
        <w:ind w:firstLine="560" w:firstLineChars="200"/>
        <w:jc w:val="left"/>
        <w:rPr>
          <w:rFonts w:hint="eastAsia" w:ascii="仿宋_GB2312" w:hAnsi="宋体"/>
          <w:sz w:val="28"/>
          <w:szCs w:val="28"/>
          <w:highlight w:val="none"/>
        </w:rPr>
      </w:pPr>
    </w:p>
    <w:p w14:paraId="242A57E6">
      <w:pPr>
        <w:adjustRightInd w:val="0"/>
        <w:snapToGrid w:val="0"/>
        <w:spacing w:line="580" w:lineRule="exact"/>
        <w:ind w:firstLine="560" w:firstLineChars="200"/>
        <w:jc w:val="left"/>
        <w:rPr>
          <w:rFonts w:hint="eastAsia" w:ascii="仿宋_GB2312" w:hAnsi="宋体"/>
          <w:sz w:val="28"/>
          <w:szCs w:val="28"/>
          <w:highlight w:val="none"/>
        </w:rPr>
      </w:pPr>
    </w:p>
    <w:p w14:paraId="31EC88A7">
      <w:pPr>
        <w:adjustRightInd w:val="0"/>
        <w:snapToGrid w:val="0"/>
        <w:spacing w:line="580" w:lineRule="exact"/>
        <w:ind w:firstLine="560" w:firstLineChars="200"/>
        <w:jc w:val="left"/>
        <w:rPr>
          <w:rFonts w:hint="eastAsia" w:ascii="仿宋_GB2312" w:hAnsi="宋体"/>
          <w:sz w:val="28"/>
          <w:szCs w:val="28"/>
          <w:highlight w:val="none"/>
        </w:rPr>
      </w:pPr>
    </w:p>
    <w:p w14:paraId="507C3D52">
      <w:pPr>
        <w:spacing w:line="580" w:lineRule="exact"/>
        <w:jc w:val="both"/>
        <w:rPr>
          <w:rFonts w:hint="eastAsia" w:ascii="仿宋_GB2312" w:hAnsi="宋体"/>
          <w:sz w:val="28"/>
          <w:szCs w:val="28"/>
          <w:highlight w:val="none"/>
        </w:rPr>
      </w:pPr>
    </w:p>
    <w:p w14:paraId="47CDFC5C">
      <w:pPr>
        <w:spacing w:line="580" w:lineRule="exact"/>
        <w:ind w:firstLine="560" w:firstLineChars="200"/>
        <w:jc w:val="center"/>
        <w:rPr>
          <w:rFonts w:hint="eastAsia" w:ascii="仿宋_GB2312" w:hAnsi="宋体"/>
          <w:sz w:val="28"/>
          <w:szCs w:val="28"/>
          <w:highlight w:val="none"/>
        </w:rPr>
      </w:pPr>
    </w:p>
    <w:p w14:paraId="604FE279">
      <w:pPr>
        <w:spacing w:line="58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铝合金百叶排湿窗结构示意图</w:t>
      </w:r>
    </w:p>
    <w:p w14:paraId="003EC8FD">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5.1.11余热共享通道</w:t>
      </w:r>
    </w:p>
    <w:p w14:paraId="1A7ACE80">
      <w:pPr>
        <w:keepNext w:val="0"/>
        <w:keepLines w:val="0"/>
        <w:pageBreakBefore w:val="0"/>
        <w:widowControl w:val="0"/>
        <w:kinsoku/>
        <w:wordWrap/>
        <w:overflowPunct/>
        <w:topLinePunct w:val="0"/>
        <w:autoSpaceDE/>
        <w:autoSpaceDN/>
        <w:bidi w:val="0"/>
        <w:spacing w:line="240" w:lineRule="atLeas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推荐使用余热共享设计。气流下降式在距离隔热墙2800mm～3000mm处的装烟室中线上，预留400mm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300mm开口为余热共享通风口，在该开口位置横向下挖深500mm，宽400mm砖砌沟槽与隔壁烤房相同位置的开口连通，作为余热共享通道。</w:t>
      </w:r>
    </w:p>
    <w:p w14:paraId="679C8818">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5.2加热室</w:t>
      </w:r>
    </w:p>
    <w:p w14:paraId="3F1806DD">
      <w:pPr>
        <w:keepNext w:val="0"/>
        <w:keepLines w:val="0"/>
        <w:pageBreakBefore w:val="0"/>
        <w:widowControl w:val="0"/>
        <w:kinsoku/>
        <w:wordWrap/>
        <w:overflowPunct/>
        <w:topLinePunct w:val="0"/>
        <w:autoSpaceDE/>
        <w:autoSpaceDN/>
        <w:bidi w:val="0"/>
        <w:adjustRightInd w:val="0"/>
        <w:snapToGrid w:val="0"/>
        <w:spacing w:line="240" w:lineRule="atLeast"/>
        <w:ind w:firstLine="420" w:firstLineChars="200"/>
        <w:textAlignment w:val="auto"/>
        <w:rPr>
          <w:rFonts w:hint="eastAsia" w:ascii="仿宋_GB2312" w:hAnsi="宋体"/>
          <w:sz w:val="28"/>
          <w:szCs w:val="28"/>
          <w:highlight w:val="none"/>
        </w:rPr>
      </w:pPr>
      <w:r>
        <w:rPr>
          <w:rFonts w:hint="eastAsia" w:ascii="宋体" w:hAnsi="宋体" w:eastAsia="宋体" w:cs="宋体"/>
          <w:sz w:val="21"/>
          <w:szCs w:val="21"/>
          <w:highlight w:val="none"/>
        </w:rPr>
        <w:t>主要包含墙体、房顶、循环风机台板、循环风机维修口、清灰口、加煤口、灰坑口、助燃风口、烟囱出口、冷风进风口和热风风道等结构。内室长1400mm、宽1400mm、高3500mm，屋顶加设防水薄膜或采取其它防水措施。如图、5—6、5—7、5—8、5—9所示。</w:t>
      </w:r>
    </w:p>
    <w:p w14:paraId="399FBACC">
      <w:pPr>
        <w:spacing w:line="580" w:lineRule="exact"/>
        <w:jc w:val="left"/>
        <w:rPr>
          <w:rFonts w:hint="eastAsia" w:ascii="仿宋_GB2312" w:hAnsi="宋体"/>
          <w:sz w:val="28"/>
          <w:szCs w:val="28"/>
          <w:highlight w:val="none"/>
        </w:rPr>
      </w:pPr>
      <w:r>
        <w:rPr>
          <w:highlight w:val="none"/>
        </w:rPr>
        <w:pict>
          <v:shape id="Object 10" o:spid="_x0000_s1027" o:spt="75" type="#_x0000_t75" style="position:absolute;left:0pt;margin-left:74.3pt;margin-top:19.7pt;height:222.2pt;width:279pt;mso-wrap-distance-left:9pt;mso-wrap-distance-right:9pt;z-index:251663360;mso-width-relative:page;mso-height-relative:page;" o:ole="t" filled="f" o:preferrelative="t" stroked="f" coordsize="21600,21600" wrapcoords="21592 -2 0 0 0 21600 21592 21602 8 21602 21600 21600 21600 0 8 -2 21592 -2">
            <v:path/>
            <v:fill on="f" focussize="0,0"/>
            <v:stroke on="f"/>
            <v:imagedata r:id="rId17" cropleft="14752f" croptop="11351f" cropright="37232f" cropbottom="28566f" o:title=""/>
            <o:lock v:ext="edit" aspectratio="t"/>
            <w10:wrap type="tight"/>
          </v:shape>
          <o:OLEObject Type="Embed" ProgID="" ShapeID="Object 10" DrawAspect="Content" ObjectID="_1468075726" r:id="rId16">
            <o:LockedField>false</o:LockedField>
          </o:OLEObject>
        </w:pict>
      </w:r>
    </w:p>
    <w:p w14:paraId="21627B7C">
      <w:pPr>
        <w:spacing w:line="580" w:lineRule="exact"/>
        <w:jc w:val="left"/>
        <w:rPr>
          <w:rFonts w:hint="eastAsia" w:ascii="仿宋_GB2312" w:hAnsi="宋体"/>
          <w:sz w:val="28"/>
          <w:szCs w:val="28"/>
          <w:highlight w:val="none"/>
        </w:rPr>
      </w:pPr>
    </w:p>
    <w:p w14:paraId="0A6A6594">
      <w:pPr>
        <w:spacing w:line="580" w:lineRule="exact"/>
        <w:jc w:val="left"/>
        <w:rPr>
          <w:rFonts w:hint="eastAsia" w:ascii="仿宋_GB2312" w:hAnsi="宋体"/>
          <w:sz w:val="28"/>
          <w:szCs w:val="28"/>
          <w:highlight w:val="none"/>
        </w:rPr>
      </w:pPr>
    </w:p>
    <w:p w14:paraId="6E279A15">
      <w:pPr>
        <w:spacing w:line="580" w:lineRule="exact"/>
        <w:jc w:val="left"/>
        <w:rPr>
          <w:rFonts w:hint="eastAsia" w:ascii="仿宋_GB2312" w:hAnsi="宋体"/>
          <w:sz w:val="28"/>
          <w:szCs w:val="28"/>
          <w:highlight w:val="none"/>
        </w:rPr>
      </w:pPr>
    </w:p>
    <w:p w14:paraId="768DCB03">
      <w:pPr>
        <w:spacing w:line="580" w:lineRule="exact"/>
        <w:jc w:val="both"/>
        <w:rPr>
          <w:rFonts w:hint="eastAsia" w:ascii="仿宋_GB2312" w:hAnsi="宋体"/>
          <w:sz w:val="28"/>
          <w:szCs w:val="28"/>
          <w:highlight w:val="none"/>
        </w:rPr>
      </w:pPr>
    </w:p>
    <w:p w14:paraId="602C060B">
      <w:pPr>
        <w:spacing w:line="580" w:lineRule="exact"/>
        <w:jc w:val="center"/>
        <w:rPr>
          <w:rFonts w:hint="eastAsia" w:ascii="仿宋_GB2312" w:hAnsi="宋体"/>
          <w:sz w:val="28"/>
          <w:szCs w:val="28"/>
          <w:highlight w:val="none"/>
        </w:rPr>
      </w:pPr>
    </w:p>
    <w:p w14:paraId="652F7B22">
      <w:pPr>
        <w:spacing w:line="580" w:lineRule="exact"/>
        <w:jc w:val="center"/>
        <w:rPr>
          <w:rFonts w:hint="eastAsia" w:ascii="宋体" w:hAnsi="宋体" w:eastAsia="宋体" w:cs="宋体"/>
          <w:sz w:val="21"/>
          <w:szCs w:val="21"/>
          <w:highlight w:val="none"/>
        </w:rPr>
      </w:pPr>
    </w:p>
    <w:p w14:paraId="3ECE372E">
      <w:pPr>
        <w:spacing w:line="580" w:lineRule="exact"/>
        <w:jc w:val="center"/>
        <w:rPr>
          <w:rFonts w:hint="eastAsia" w:ascii="宋体" w:hAnsi="宋体" w:eastAsia="宋体" w:cs="宋体"/>
          <w:sz w:val="21"/>
          <w:szCs w:val="21"/>
          <w:highlight w:val="none"/>
        </w:rPr>
      </w:pPr>
    </w:p>
    <w:p w14:paraId="03E60426">
      <w:pPr>
        <w:spacing w:line="58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加热室地面俯视图</w:t>
      </w:r>
    </w:p>
    <w:p w14:paraId="5092C64E">
      <w:pPr>
        <w:spacing w:line="580" w:lineRule="exact"/>
        <w:jc w:val="center"/>
        <w:rPr>
          <w:rFonts w:hint="eastAsia" w:ascii="仿宋_GB2312" w:hAnsi="宋体"/>
          <w:sz w:val="28"/>
          <w:szCs w:val="28"/>
          <w:highlight w:val="none"/>
        </w:rPr>
      </w:pPr>
      <w:r>
        <w:rPr>
          <w:highlight w:val="none"/>
        </w:rPr>
        <w:drawing>
          <wp:anchor distT="0" distB="0" distL="114300" distR="114300" simplePos="0" relativeHeight="251662336" behindDoc="1" locked="0" layoutInCell="1" allowOverlap="1">
            <wp:simplePos x="0" y="0"/>
            <wp:positionH relativeFrom="column">
              <wp:posOffset>360680</wp:posOffset>
            </wp:positionH>
            <wp:positionV relativeFrom="paragraph">
              <wp:posOffset>152400</wp:posOffset>
            </wp:positionV>
            <wp:extent cx="4486910" cy="2439670"/>
            <wp:effectExtent l="0" t="0" r="8890" b="17780"/>
            <wp:wrapTight wrapText="bothSides">
              <wp:wrapPolygon>
                <wp:start x="0" y="0"/>
                <wp:lineTo x="0" y="21420"/>
                <wp:lineTo x="21551" y="21420"/>
                <wp:lineTo x="21551" y="0"/>
                <wp:lineTo x="0" y="0"/>
              </wp:wrapPolygon>
            </wp:wrapTight>
            <wp:docPr id="8" name="图片 9"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未标题-2 拷贝"/>
                    <pic:cNvPicPr>
                      <a:picLocks noChangeAspect="1"/>
                    </pic:cNvPicPr>
                  </pic:nvPicPr>
                  <pic:blipFill>
                    <a:blip r:embed="rId18">
                      <a:grayscl/>
                    </a:blip>
                    <a:srcRect t="4402" b="1387"/>
                    <a:stretch>
                      <a:fillRect/>
                    </a:stretch>
                  </pic:blipFill>
                  <pic:spPr>
                    <a:xfrm>
                      <a:off x="0" y="0"/>
                      <a:ext cx="4486910" cy="2439670"/>
                    </a:xfrm>
                    <a:prstGeom prst="rect">
                      <a:avLst/>
                    </a:prstGeom>
                    <a:noFill/>
                    <a:ln>
                      <a:noFill/>
                    </a:ln>
                  </pic:spPr>
                </pic:pic>
              </a:graphicData>
            </a:graphic>
          </wp:anchor>
        </w:drawing>
      </w:r>
    </w:p>
    <w:p w14:paraId="781910CF">
      <w:pPr>
        <w:spacing w:line="580" w:lineRule="exact"/>
        <w:jc w:val="center"/>
        <w:rPr>
          <w:rFonts w:hint="eastAsia" w:ascii="仿宋_GB2312" w:hAnsi="宋体"/>
          <w:sz w:val="28"/>
          <w:szCs w:val="28"/>
          <w:highlight w:val="none"/>
        </w:rPr>
      </w:pPr>
    </w:p>
    <w:p w14:paraId="02DFAE44">
      <w:pPr>
        <w:spacing w:line="580" w:lineRule="exact"/>
        <w:jc w:val="center"/>
        <w:rPr>
          <w:rFonts w:hint="eastAsia" w:ascii="仿宋_GB2312" w:hAnsi="宋体"/>
          <w:sz w:val="28"/>
          <w:szCs w:val="28"/>
          <w:highlight w:val="none"/>
        </w:rPr>
      </w:pPr>
    </w:p>
    <w:p w14:paraId="4981DF46">
      <w:pPr>
        <w:spacing w:line="580" w:lineRule="exact"/>
        <w:jc w:val="center"/>
        <w:rPr>
          <w:rFonts w:hint="eastAsia" w:ascii="仿宋_GB2312" w:hAnsi="宋体"/>
          <w:sz w:val="28"/>
          <w:szCs w:val="28"/>
          <w:highlight w:val="none"/>
        </w:rPr>
      </w:pPr>
    </w:p>
    <w:p w14:paraId="3F31E3CA">
      <w:pPr>
        <w:spacing w:line="580" w:lineRule="exact"/>
        <w:jc w:val="center"/>
        <w:rPr>
          <w:rFonts w:hint="eastAsia" w:ascii="仿宋_GB2312" w:hAnsi="宋体"/>
          <w:sz w:val="28"/>
          <w:szCs w:val="28"/>
          <w:highlight w:val="none"/>
        </w:rPr>
      </w:pPr>
    </w:p>
    <w:p w14:paraId="0E37CB8E">
      <w:pPr>
        <w:spacing w:line="580" w:lineRule="exact"/>
        <w:jc w:val="center"/>
        <w:rPr>
          <w:rFonts w:hint="eastAsia" w:ascii="仿宋_GB2312" w:hAnsi="宋体"/>
          <w:sz w:val="28"/>
          <w:szCs w:val="28"/>
          <w:highlight w:val="none"/>
        </w:rPr>
      </w:pPr>
    </w:p>
    <w:p w14:paraId="15630319">
      <w:pPr>
        <w:spacing w:line="580" w:lineRule="exact"/>
        <w:jc w:val="center"/>
        <w:rPr>
          <w:rFonts w:hint="eastAsia" w:ascii="仿宋_GB2312" w:hAnsi="宋体"/>
          <w:sz w:val="28"/>
          <w:szCs w:val="28"/>
          <w:highlight w:val="none"/>
        </w:rPr>
      </w:pPr>
    </w:p>
    <w:p w14:paraId="7195120E">
      <w:pPr>
        <w:spacing w:line="580" w:lineRule="exact"/>
        <w:jc w:val="center"/>
        <w:rPr>
          <w:rFonts w:hint="eastAsia" w:ascii="仿宋_GB2312" w:hAnsi="宋体"/>
          <w:sz w:val="28"/>
          <w:szCs w:val="28"/>
          <w:highlight w:val="none"/>
        </w:rPr>
      </w:pPr>
    </w:p>
    <w:p w14:paraId="6B71EAB6">
      <w:pPr>
        <w:spacing w:line="58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加热室立体结构示意图</w:t>
      </w:r>
    </w:p>
    <w:p w14:paraId="79F3C640">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5.2.1喇叭状热风风道</w:t>
      </w:r>
    </w:p>
    <w:p w14:paraId="08844AEE">
      <w:pPr>
        <w:keepNext w:val="0"/>
        <w:keepLines w:val="0"/>
        <w:pageBreakBefore w:val="0"/>
        <w:widowControl w:val="0"/>
        <w:kinsoku/>
        <w:wordWrap/>
        <w:overflowPunct/>
        <w:topLinePunct w:val="0"/>
        <w:autoSpaceDE/>
        <w:autoSpaceDN/>
        <w:bidi w:val="0"/>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为了促进均匀分风顶部设置热风风道，风道截面为梯形，上底是长度为1400mm的加热室前墙，下底是与装烟室等宽的2700mm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400mm的循环风通道，形似喇叭状。</w:t>
      </w:r>
    </w:p>
    <w:p w14:paraId="673DF9A9">
      <w:pPr>
        <w:keepNext w:val="0"/>
        <w:keepLines w:val="0"/>
        <w:pageBreakBefore w:val="0"/>
        <w:widowControl w:val="0"/>
        <w:kinsoku/>
        <w:wordWrap/>
        <w:overflowPunct/>
        <w:topLinePunct w:val="0"/>
        <w:autoSpaceDE/>
        <w:autoSpaceDN/>
        <w:bidi w:val="0"/>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气流下降式循环风机台板向上（2600mm处）至屋顶部分，两边侧墙从距离加热室前墙内墙870mm处向外对折与装烟室边墙连接，形成梯形柱体结构，与热风进风口构成喇叭形风道。循环风机台板以下为1400mm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1400mm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2500mm的立方柱形。</w:t>
      </w:r>
    </w:p>
    <w:p w14:paraId="23B037AC">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5.2.2墙体开口及冷风进风门、循环风机维修门和清灰门</w:t>
      </w:r>
    </w:p>
    <w:p w14:paraId="3404D503">
      <w:pPr>
        <w:keepNext w:val="0"/>
        <w:keepLines w:val="0"/>
        <w:pageBreakBefore w:val="0"/>
        <w:widowControl w:val="0"/>
        <w:kinsoku/>
        <w:wordWrap/>
        <w:overflowPunct/>
        <w:topLinePunct w:val="0"/>
        <w:autoSpaceDE/>
        <w:autoSpaceDN/>
        <w:bidi w:val="0"/>
        <w:adjustRightInd w:val="0"/>
        <w:snapToGrid w:val="0"/>
        <w:spacing w:line="240" w:lineRule="atLeast"/>
        <w:ind w:firstLine="403" w:firstLineChars="192"/>
        <w:jc w:val="left"/>
        <w:textAlignment w:val="auto"/>
        <w:rPr>
          <w:rFonts w:hint="eastAsia" w:ascii="仿宋_GB2312" w:hAnsi="宋体"/>
          <w:sz w:val="28"/>
          <w:szCs w:val="28"/>
          <w:highlight w:val="none"/>
        </w:rPr>
      </w:pPr>
      <w:r>
        <w:rPr>
          <w:rFonts w:hint="eastAsia" w:ascii="宋体" w:hAnsi="宋体" w:eastAsia="宋体" w:cs="宋体"/>
          <w:sz w:val="21"/>
          <w:szCs w:val="21"/>
          <w:highlight w:val="none"/>
        </w:rPr>
        <w:t>在加热室三面墙体上开设冷风进风口、循环风机维修口、炉门口、灰坑口、助燃风口、清灰口及烟囱出口，并在冷风进风口、循环风机维修口及清灰口安装不同要求的门。如图5—</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所示。</w:t>
      </w:r>
    </w:p>
    <w:p w14:paraId="20631403">
      <w:pPr>
        <w:adjustRightInd w:val="0"/>
        <w:snapToGrid w:val="0"/>
        <w:spacing w:line="580" w:lineRule="exact"/>
        <w:jc w:val="left"/>
        <w:rPr>
          <w:rFonts w:hint="eastAsia" w:ascii="仿宋_GB2312" w:hAnsi="宋体"/>
          <w:sz w:val="28"/>
          <w:szCs w:val="28"/>
          <w:highlight w:val="none"/>
        </w:rPr>
      </w:pPr>
      <w:r>
        <w:rPr>
          <w:rFonts w:hint="eastAsia" w:ascii="仿宋_GB2312"/>
          <w:sz w:val="28"/>
          <w:szCs w:val="28"/>
          <w:highlight w:val="none"/>
        </w:rPr>
        <w:drawing>
          <wp:anchor distT="0" distB="0" distL="114300" distR="114300" simplePos="0" relativeHeight="251661312" behindDoc="1" locked="0" layoutInCell="1" allowOverlap="1">
            <wp:simplePos x="0" y="0"/>
            <wp:positionH relativeFrom="column">
              <wp:posOffset>1256030</wp:posOffset>
            </wp:positionH>
            <wp:positionV relativeFrom="paragraph">
              <wp:posOffset>165100</wp:posOffset>
            </wp:positionV>
            <wp:extent cx="2781935" cy="2693670"/>
            <wp:effectExtent l="0" t="0" r="18415" b="11430"/>
            <wp:wrapTight wrapText="bothSides">
              <wp:wrapPolygon>
                <wp:start x="1627" y="458"/>
                <wp:lineTo x="1479" y="19400"/>
                <wp:lineTo x="2958" y="20011"/>
                <wp:lineTo x="7248" y="20011"/>
                <wp:lineTo x="7100" y="21386"/>
                <wp:lineTo x="12277" y="21386"/>
                <wp:lineTo x="16122" y="21233"/>
                <wp:lineTo x="17601" y="20928"/>
                <wp:lineTo x="17454" y="20011"/>
                <wp:lineTo x="20560" y="20011"/>
                <wp:lineTo x="21447" y="19400"/>
                <wp:lineTo x="21447" y="5958"/>
                <wp:lineTo x="20708" y="5347"/>
                <wp:lineTo x="18193" y="5347"/>
                <wp:lineTo x="18193" y="458"/>
                <wp:lineTo x="1627" y="458"/>
              </wp:wrapPolygon>
            </wp:wrapTight>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rcRect l="42882" t="31808" r="39961" b="31342"/>
                    <a:stretch>
                      <a:fillRect/>
                    </a:stretch>
                  </pic:blipFill>
                  <pic:spPr>
                    <a:xfrm>
                      <a:off x="0" y="0"/>
                      <a:ext cx="2781935" cy="2693670"/>
                    </a:xfrm>
                    <a:prstGeom prst="rect">
                      <a:avLst/>
                    </a:prstGeom>
                    <a:noFill/>
                    <a:ln>
                      <a:noFill/>
                    </a:ln>
                  </pic:spPr>
                </pic:pic>
              </a:graphicData>
            </a:graphic>
          </wp:anchor>
        </w:drawing>
      </w:r>
    </w:p>
    <w:p w14:paraId="6905B093">
      <w:pPr>
        <w:spacing w:line="580" w:lineRule="exact"/>
        <w:ind w:firstLine="537" w:firstLineChars="192"/>
        <w:rPr>
          <w:rFonts w:hint="eastAsia" w:ascii="仿宋_GB2312"/>
          <w:sz w:val="28"/>
          <w:szCs w:val="28"/>
          <w:highlight w:val="none"/>
        </w:rPr>
      </w:pPr>
    </w:p>
    <w:p w14:paraId="4F78D616">
      <w:pPr>
        <w:spacing w:line="580" w:lineRule="exact"/>
        <w:ind w:firstLine="537" w:firstLineChars="192"/>
        <w:rPr>
          <w:rFonts w:hint="eastAsia" w:ascii="仿宋_GB2312"/>
          <w:sz w:val="28"/>
          <w:szCs w:val="28"/>
          <w:highlight w:val="none"/>
        </w:rPr>
      </w:pPr>
    </w:p>
    <w:p w14:paraId="06957FD7">
      <w:pPr>
        <w:spacing w:line="580" w:lineRule="exact"/>
        <w:ind w:firstLine="537" w:firstLineChars="192"/>
        <w:rPr>
          <w:rFonts w:hint="eastAsia" w:ascii="仿宋_GB2312"/>
          <w:sz w:val="28"/>
          <w:szCs w:val="28"/>
          <w:highlight w:val="none"/>
        </w:rPr>
      </w:pPr>
    </w:p>
    <w:p w14:paraId="2919A6D5">
      <w:pPr>
        <w:spacing w:line="580" w:lineRule="exact"/>
        <w:ind w:firstLine="537" w:firstLineChars="192"/>
        <w:rPr>
          <w:rFonts w:hint="eastAsia" w:ascii="仿宋_GB2312"/>
          <w:sz w:val="28"/>
          <w:szCs w:val="28"/>
          <w:highlight w:val="none"/>
        </w:rPr>
      </w:pPr>
    </w:p>
    <w:p w14:paraId="0F3364B1">
      <w:pPr>
        <w:spacing w:line="580" w:lineRule="exact"/>
        <w:ind w:firstLine="537" w:firstLineChars="192"/>
        <w:rPr>
          <w:rFonts w:hint="eastAsia" w:ascii="仿宋_GB2312"/>
          <w:sz w:val="28"/>
          <w:szCs w:val="28"/>
          <w:highlight w:val="none"/>
        </w:rPr>
      </w:pPr>
    </w:p>
    <w:p w14:paraId="29096F37">
      <w:pPr>
        <w:spacing w:line="580" w:lineRule="exact"/>
        <w:ind w:firstLine="537" w:firstLineChars="192"/>
        <w:rPr>
          <w:rFonts w:hint="eastAsia" w:ascii="仿宋_GB2312"/>
          <w:sz w:val="28"/>
          <w:szCs w:val="28"/>
          <w:highlight w:val="none"/>
        </w:rPr>
      </w:pPr>
    </w:p>
    <w:p w14:paraId="4E6D806D">
      <w:pPr>
        <w:spacing w:line="580" w:lineRule="exact"/>
        <w:ind w:firstLine="537" w:firstLineChars="192"/>
        <w:rPr>
          <w:rFonts w:hint="eastAsia" w:ascii="仿宋_GB2312"/>
          <w:sz w:val="28"/>
          <w:szCs w:val="28"/>
          <w:highlight w:val="none"/>
        </w:rPr>
      </w:pPr>
    </w:p>
    <w:p w14:paraId="1144A663">
      <w:pPr>
        <w:ind w:firstLine="403" w:firstLineChars="192"/>
        <w:jc w:val="center"/>
        <w:rPr>
          <w:rFonts w:hint="eastAsia" w:ascii="仿宋_GB2312" w:hAnsi="宋体"/>
          <w:szCs w:val="28"/>
          <w:highlight w:val="none"/>
        </w:rPr>
      </w:pPr>
    </w:p>
    <w:p w14:paraId="3F30908B">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气流下降式前墙</w:t>
      </w:r>
    </w:p>
    <w:p w14:paraId="5722A6AD">
      <w:pPr>
        <w:spacing w:line="240" w:lineRule="auto"/>
        <w:ind w:firstLine="537" w:firstLineChars="192"/>
        <w:rPr>
          <w:rFonts w:hint="eastAsia" w:ascii="仿宋_GB2312" w:hAnsi="宋体"/>
          <w:sz w:val="28"/>
          <w:szCs w:val="28"/>
          <w:highlight w:val="none"/>
        </w:rPr>
      </w:pPr>
      <w:r>
        <w:rPr>
          <w:rFonts w:hint="eastAsia" w:ascii="仿宋_GB2312" w:eastAsia="宋体"/>
          <w:sz w:val="28"/>
          <w:szCs w:val="28"/>
          <w:highlight w:val="none"/>
          <w:lang w:eastAsia="zh-CN"/>
        </w:rPr>
        <w:drawing>
          <wp:inline distT="0" distB="0" distL="114300" distR="114300">
            <wp:extent cx="4667250" cy="2733675"/>
            <wp:effectExtent l="0" t="0" r="0" b="9525"/>
            <wp:docPr id="12" name="图片 5" descr="微信图片_2023120115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微信图片_20231201152905"/>
                    <pic:cNvPicPr>
                      <a:picLocks noChangeAspect="1"/>
                    </pic:cNvPicPr>
                  </pic:nvPicPr>
                  <pic:blipFill>
                    <a:blip r:embed="rId20"/>
                    <a:stretch>
                      <a:fillRect/>
                    </a:stretch>
                  </pic:blipFill>
                  <pic:spPr>
                    <a:xfrm>
                      <a:off x="0" y="0"/>
                      <a:ext cx="4667250" cy="2733675"/>
                    </a:xfrm>
                    <a:prstGeom prst="rect">
                      <a:avLst/>
                    </a:prstGeom>
                    <a:noFill/>
                    <a:ln>
                      <a:noFill/>
                    </a:ln>
                  </pic:spPr>
                </pic:pic>
              </a:graphicData>
            </a:graphic>
          </wp:inline>
        </w:drawing>
      </w:r>
    </w:p>
    <w:p w14:paraId="1031BA15">
      <w:pPr>
        <w:spacing w:line="580" w:lineRule="exact"/>
        <w:ind w:firstLine="1050" w:firstLineChars="5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左侧墙                   下降式右侧墙</w:t>
      </w:r>
    </w:p>
    <w:p w14:paraId="3578159F">
      <w:pPr>
        <w:spacing w:line="580" w:lineRule="exact"/>
        <w:ind w:firstLine="420" w:firstLineChars="20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图5—9加热室墙体开口设置平面示意图</w:t>
      </w:r>
    </w:p>
    <w:p w14:paraId="70AD8FF2">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仿宋_GB2312"/>
          <w:sz w:val="28"/>
          <w:szCs w:val="28"/>
          <w:highlight w:val="none"/>
        </w:rPr>
        <w:t xml:space="preserve">  </w:t>
      </w:r>
      <w:r>
        <w:rPr>
          <w:rFonts w:hint="eastAsia" w:ascii="宋体" w:hAnsi="宋体" w:eastAsia="宋体" w:cs="宋体"/>
          <w:sz w:val="21"/>
          <w:szCs w:val="21"/>
          <w:highlight w:val="none"/>
        </w:rPr>
        <w:t xml:space="preserve"> （1）冷风进风口及冷风进风门</w:t>
      </w:r>
    </w:p>
    <w:p w14:paraId="4E5233A9">
      <w:pPr>
        <w:keepNext w:val="0"/>
        <w:keepLines w:val="0"/>
        <w:pageBreakBefore w:val="0"/>
        <w:widowControl w:val="0"/>
        <w:kinsoku/>
        <w:wordWrap/>
        <w:overflowPunct/>
        <w:topLinePunct w:val="0"/>
        <w:autoSpaceDE/>
        <w:autoSpaceDN/>
        <w:bidi w:val="0"/>
        <w:spacing w:line="240" w:lineRule="atLeas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气流上升式在加热室前墙、风机台板上方300mm墙体居中位置开设，气流下降式在加热室右侧墙、距离地面650mm墙体居中位置开设，冷风进风口规格885mm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385mm。冷风进风门达到下列技术指标要求：</w:t>
      </w:r>
    </w:p>
    <w:p w14:paraId="73C85FB3">
      <w:pPr>
        <w:keepNext w:val="0"/>
        <w:keepLines w:val="0"/>
        <w:pageBreakBefore w:val="0"/>
        <w:widowControl w:val="0"/>
        <w:kinsoku/>
        <w:wordWrap/>
        <w:overflowPunct/>
        <w:topLinePunct w:val="0"/>
        <w:autoSpaceDE/>
        <w:autoSpaceDN/>
        <w:bidi w:val="0"/>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Ⅰ.冷风进风门内尺寸800mm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300mm；边框使用25mm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70mm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1.5mm方管，不得使用负差板；长方形框架的四边为直线，四个角均为90°，框架两个内对角线相差≤2mm；转动风叶采用厚度1.5mm冷轧钢标准板并设冲压加强筋。</w:t>
      </w:r>
    </w:p>
    <w:p w14:paraId="7D4C519A">
      <w:pPr>
        <w:keepNext w:val="0"/>
        <w:keepLines w:val="0"/>
        <w:pageBreakBefore w:val="0"/>
        <w:widowControl w:val="0"/>
        <w:kinsoku/>
        <w:wordWrap/>
        <w:overflowPunct/>
        <w:topLinePunct w:val="0"/>
        <w:autoSpaceDE/>
        <w:autoSpaceDN/>
        <w:bidi w:val="0"/>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Ⅱ.风门关闭严密。所有的面为平面，风叶能够在0～90°开启，并在任意角度保持稳定。转动风叶的面与边框的面搭接≥5mm，不能有缝隙，在不通电条件下转动风叶自由转动＜3°；轴向与边框缝隙1～2mm，轴向旷动＜1mm，两轴同轴度偏差＜1.5mm。</w:t>
      </w:r>
    </w:p>
    <w:p w14:paraId="4D686B07">
      <w:pPr>
        <w:keepNext w:val="0"/>
        <w:keepLines w:val="0"/>
        <w:pageBreakBefore w:val="0"/>
        <w:widowControl w:val="0"/>
        <w:kinsoku/>
        <w:wordWrap/>
        <w:overflowPunct/>
        <w:topLinePunct w:val="0"/>
        <w:autoSpaceDE/>
        <w:autoSpaceDN/>
        <w:bidi w:val="0"/>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Ⅲ.转动风叶和边框表面采用镀锌或喷塑处理，颜色纯正，不得有气泡、麻点、划痕和皱褶，所有边角都光滑，无毛刺，焊缝平整，无虚焊。镀锌或喷塑厚度不小于20μm，能满足长期户外使用。</w:t>
      </w:r>
    </w:p>
    <w:p w14:paraId="6E8D89E3">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（2）循环风机维修口及维修门</w:t>
      </w:r>
    </w:p>
    <w:p w14:paraId="3C0D3C3C">
      <w:pPr>
        <w:keepNext w:val="0"/>
        <w:keepLines w:val="0"/>
        <w:pageBreakBefore w:val="0"/>
        <w:widowControl w:val="0"/>
        <w:kinsoku/>
        <w:wordWrap/>
        <w:overflowPunct/>
        <w:topLinePunct w:val="0"/>
        <w:autoSpaceDE/>
        <w:autoSpaceDN/>
        <w:bidi w:val="0"/>
        <w:adjustRightInd w:val="0"/>
        <w:snapToGrid w:val="0"/>
        <w:spacing w:line="240" w:lineRule="atLeast"/>
        <w:ind w:firstLine="403" w:firstLineChars="192"/>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气流上升式在加热室右侧墙、循环风机台板上方墙体居中位置，气流下降式在加热室前墙、循环风机台板上方墙体居中位置开设，循环风机维修口规格1020mm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720mm。在循环风机维修口安装维修门，维修门采用钢制门或木制门，门框内尺寸不小于900mm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600mm，门板加设耐高温≥400℃保温材料。</w:t>
      </w:r>
    </w:p>
    <w:p w14:paraId="427F9EA3">
      <w:pPr>
        <w:keepNext w:val="0"/>
        <w:keepLines w:val="0"/>
        <w:pageBreakBefore w:val="0"/>
        <w:widowControl w:val="0"/>
        <w:kinsoku/>
        <w:wordWrap/>
        <w:overflowPunct/>
        <w:topLinePunct w:val="0"/>
        <w:autoSpaceDE/>
        <w:autoSpaceDN/>
        <w:bidi w:val="0"/>
        <w:spacing w:line="240" w:lineRule="atLeas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（3）炉门口、灰坑口和助燃风口</w:t>
      </w:r>
    </w:p>
    <w:p w14:paraId="3B26661F">
      <w:pPr>
        <w:keepNext w:val="0"/>
        <w:keepLines w:val="0"/>
        <w:pageBreakBefore w:val="0"/>
        <w:widowControl w:val="0"/>
        <w:kinsoku/>
        <w:wordWrap/>
        <w:overflowPunct/>
        <w:topLinePunct w:val="0"/>
        <w:autoSpaceDE/>
        <w:autoSpaceDN/>
        <w:bidi w:val="0"/>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在距离地平面高度为240mm和680mm的前墙居中位置开设灰坑口和炉门口，规格均为400mm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280mm。在灰坑口右侧开设φ60mm的助燃风口，中心点距灰坑口竖向中线260mm、距地面450 mm。在开设灰坑口和炉门口的前墙下部1040mm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900mm空间内，砌120mm墙，保证炉门和灰坑门开关顺畅。</w:t>
      </w:r>
    </w:p>
    <w:p w14:paraId="12850F49">
      <w:pPr>
        <w:keepNext w:val="0"/>
        <w:keepLines w:val="0"/>
        <w:pageBreakBefore w:val="0"/>
        <w:widowControl w:val="0"/>
        <w:kinsoku/>
        <w:wordWrap/>
        <w:overflowPunct/>
        <w:topLinePunct w:val="0"/>
        <w:autoSpaceDE/>
        <w:autoSpaceDN/>
        <w:bidi w:val="0"/>
        <w:spacing w:line="240" w:lineRule="atLeas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（4）清灰口、烟囱出口及清灰门</w:t>
      </w:r>
    </w:p>
    <w:p w14:paraId="14786812">
      <w:pPr>
        <w:keepNext w:val="0"/>
        <w:keepLines w:val="0"/>
        <w:pageBreakBefore w:val="0"/>
        <w:widowControl w:val="0"/>
        <w:kinsoku/>
        <w:wordWrap/>
        <w:overflowPunct/>
        <w:topLinePunct w:val="0"/>
        <w:autoSpaceDE/>
        <w:autoSpaceDN/>
        <w:bidi w:val="0"/>
        <w:adjustRightInd w:val="0"/>
        <w:snapToGrid w:val="0"/>
        <w:spacing w:line="240" w:lineRule="atLeast"/>
        <w:ind w:firstLine="403" w:firstLineChars="192"/>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在加热室左右侧墙上各开设一个清灰口，左清灰口下沿距离地面1300mm、规格920mm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520mm，右清灰口下沿距离地面1300mm、规格920mm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720mm。在清灰口安装清灰门，清灰门采用钢制门或木制门，门板加设耐高温≥400℃保温材料，密闭严密。在左侧墙上开设200mm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150mm的烟囱出口，中心距隔热墙820mm、距地面1975mm。</w:t>
      </w:r>
    </w:p>
    <w:p w14:paraId="386E9B9B">
      <w:pPr>
        <w:rPr>
          <w:rFonts w:hint="eastAsia" w:ascii="黑体" w:hAnsi="黑体" w:eastAsia="黑体" w:cs="黑体"/>
          <w:color w:val="000000"/>
          <w:sz w:val="32"/>
          <w:szCs w:val="32"/>
          <w:highlight w:val="none"/>
          <w:lang w:val="en-US" w:eastAsia="zh-CN"/>
        </w:rPr>
      </w:pPr>
      <w:r>
        <w:rPr>
          <w:rFonts w:hint="eastAsia" w:ascii="仿宋_GB2312" w:hAnsi="宋体" w:cs="宋体"/>
          <w:sz w:val="24"/>
          <w:szCs w:val="24"/>
          <w:highlight w:val="none"/>
          <w:lang w:val="en-US" w:eastAsia="zh-CN"/>
        </w:rPr>
        <w:br w:type="page"/>
      </w:r>
      <w:r>
        <w:rPr>
          <w:rFonts w:hint="eastAsia" w:ascii="黑体" w:hAnsi="黑体" w:eastAsia="黑体" w:cs="黑体"/>
          <w:color w:val="000000"/>
          <w:sz w:val="32"/>
          <w:szCs w:val="32"/>
          <w:highlight w:val="none"/>
          <w:lang w:eastAsia="zh-CN"/>
        </w:rPr>
        <w:t>附件</w:t>
      </w:r>
      <w:r>
        <w:rPr>
          <w:rFonts w:hint="eastAsia" w:ascii="黑体" w:hAnsi="黑体" w:eastAsia="黑体" w:cs="黑体"/>
          <w:color w:val="000000"/>
          <w:sz w:val="32"/>
          <w:szCs w:val="32"/>
          <w:highlight w:val="none"/>
          <w:lang w:val="en-US" w:eastAsia="zh-CN"/>
        </w:rPr>
        <w:t>2</w:t>
      </w:r>
    </w:p>
    <w:p w14:paraId="29E0C718">
      <w:pPr>
        <w:keepNext w:val="0"/>
        <w:keepLines w:val="0"/>
        <w:pageBreakBefore w:val="0"/>
        <w:widowControl w:val="0"/>
        <w:kinsoku/>
        <w:wordWrap/>
        <w:overflowPunct/>
        <w:topLinePunct w:val="0"/>
        <w:autoSpaceDE/>
        <w:autoSpaceDN/>
        <w:bidi w:val="0"/>
        <w:spacing w:line="240" w:lineRule="atLeast"/>
        <w:textAlignment w:val="auto"/>
        <w:rPr>
          <w:rFonts w:hint="eastAsia" w:ascii="仿宋_GB2312" w:hAnsi="宋体" w:cs="宋体"/>
          <w:sz w:val="24"/>
          <w:szCs w:val="24"/>
          <w:highlight w:val="none"/>
          <w:lang w:val="en-US" w:eastAsia="zh-CN"/>
        </w:rPr>
      </w:pPr>
    </w:p>
    <w:p w14:paraId="75910D83">
      <w:pPr>
        <w:jc w:val="center"/>
        <w:rPr>
          <w:rFonts w:hint="eastAsia" w:ascii="仿宋_GB2312"/>
          <w:sz w:val="48"/>
          <w:szCs w:val="48"/>
          <w:highlight w:val="none"/>
        </w:rPr>
      </w:pPr>
      <w:bookmarkStart w:id="70" w:name="_Toc129092910"/>
      <w:r>
        <w:rPr>
          <w:rFonts w:hint="eastAsia" w:ascii="黑体" w:hAnsi="黑体" w:eastAsia="黑体" w:cs="黑体"/>
          <w:sz w:val="28"/>
          <w:szCs w:val="28"/>
          <w:highlight w:val="none"/>
        </w:rPr>
        <w:t>密集烤房生物质燃烧供热装置技术规范</w:t>
      </w:r>
      <w:bookmarkEnd w:id="70"/>
    </w:p>
    <w:p w14:paraId="273B1497">
      <w:pPr>
        <w:rPr>
          <w:rFonts w:hint="eastAsia" w:ascii="宋体" w:hAnsi="宋体" w:eastAsia="宋体" w:cs="宋体"/>
          <w:sz w:val="21"/>
          <w:szCs w:val="21"/>
          <w:highlight w:val="none"/>
        </w:rPr>
      </w:pPr>
    </w:p>
    <w:p w14:paraId="07AC19CE">
      <w:pPr>
        <w:ind w:firstLine="403" w:firstLineChars="192"/>
        <w:rPr>
          <w:rFonts w:hint="eastAsia" w:ascii="宋体" w:hAnsi="宋体" w:eastAsia="宋体" w:cs="宋体"/>
          <w:sz w:val="21"/>
          <w:szCs w:val="21"/>
          <w:highlight w:val="none"/>
        </w:rPr>
      </w:pPr>
      <w:bookmarkStart w:id="71" w:name="_Toc129092911"/>
      <w:r>
        <w:rPr>
          <w:rFonts w:hint="eastAsia" w:ascii="宋体" w:hAnsi="宋体" w:eastAsia="宋体" w:cs="宋体"/>
          <w:sz w:val="21"/>
          <w:szCs w:val="21"/>
          <w:highlight w:val="none"/>
        </w:rPr>
        <w:t>1  范围</w:t>
      </w:r>
      <w:bookmarkEnd w:id="71"/>
    </w:p>
    <w:p w14:paraId="6FC9FE7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为推进烟叶烘烤节能减排、提质增效、减工降本，保证燃烧机产品质量及使用性能，特制定本技术规范。</w:t>
      </w:r>
    </w:p>
    <w:p w14:paraId="4FEE5EA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本技术规范规定了密集烤房生物质燃烧供热装置（以下简称供热装置）的产品结构和功能、技术参数、制造质量要求、安装要求、安全规定、检验、标志、包装、运输、储存以及维修保养等技术。</w:t>
      </w:r>
    </w:p>
    <w:p w14:paraId="680D927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本技术规范适用于《密集烤房技术规范（试行）修订版》（国烟办综[2009]418号）规定的密集烤房生物质能改造。</w:t>
      </w:r>
    </w:p>
    <w:p w14:paraId="4A37BBF3">
      <w:pPr>
        <w:ind w:firstLine="403" w:firstLineChars="192"/>
        <w:rPr>
          <w:rFonts w:hint="eastAsia" w:ascii="宋体" w:hAnsi="宋体" w:eastAsia="宋体" w:cs="宋体"/>
          <w:sz w:val="21"/>
          <w:szCs w:val="21"/>
          <w:highlight w:val="none"/>
        </w:rPr>
      </w:pPr>
      <w:bookmarkStart w:id="72" w:name="_Toc129092912"/>
      <w:r>
        <w:rPr>
          <w:rFonts w:hint="eastAsia" w:ascii="宋体" w:hAnsi="宋体" w:eastAsia="宋体" w:cs="宋体"/>
          <w:sz w:val="21"/>
          <w:szCs w:val="21"/>
          <w:highlight w:val="none"/>
        </w:rPr>
        <w:t>2  规范性引用文件</w:t>
      </w:r>
      <w:bookmarkEnd w:id="72"/>
    </w:p>
    <w:p w14:paraId="7E92101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国烟办综〔2009〕418号 密集烤房技术规范（试行）修订版</w:t>
      </w:r>
    </w:p>
    <w:p w14:paraId="153B341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中烟办〔2018〕30号 密集烤房生物质颗粒燃烧机技术规范（试行）</w:t>
      </w:r>
    </w:p>
    <w:p w14:paraId="52F62918">
      <w:pPr>
        <w:ind w:firstLine="403" w:firstLineChars="192"/>
        <w:rPr>
          <w:rFonts w:hint="eastAsia" w:ascii="宋体" w:hAnsi="宋体" w:eastAsia="宋体" w:cs="宋体"/>
          <w:sz w:val="21"/>
          <w:szCs w:val="21"/>
          <w:highlight w:val="none"/>
        </w:rPr>
      </w:pPr>
      <w:bookmarkStart w:id="73" w:name="_Toc129092913"/>
      <w:r>
        <w:rPr>
          <w:rFonts w:hint="eastAsia" w:ascii="宋体" w:hAnsi="宋体" w:eastAsia="宋体" w:cs="宋体"/>
          <w:sz w:val="21"/>
          <w:szCs w:val="21"/>
          <w:highlight w:val="none"/>
        </w:rPr>
        <w:t>3  术语和定义</w:t>
      </w:r>
      <w:bookmarkEnd w:id="73"/>
    </w:p>
    <w:p w14:paraId="3D9BBE00">
      <w:pPr>
        <w:ind w:firstLine="403" w:firstLineChars="192"/>
        <w:rPr>
          <w:rFonts w:hint="eastAsia" w:ascii="宋体" w:hAnsi="宋体" w:eastAsia="宋体" w:cs="宋体"/>
          <w:sz w:val="21"/>
          <w:szCs w:val="21"/>
          <w:highlight w:val="none"/>
        </w:rPr>
      </w:pPr>
      <w:bookmarkStart w:id="74" w:name="_Toc129092914"/>
      <w:r>
        <w:rPr>
          <w:rFonts w:hint="eastAsia" w:ascii="宋体" w:hAnsi="宋体" w:eastAsia="宋体" w:cs="宋体"/>
          <w:sz w:val="21"/>
          <w:szCs w:val="21"/>
          <w:highlight w:val="none"/>
        </w:rPr>
        <w:t>3.1  供热装置：</w:t>
      </w:r>
      <w:bookmarkEnd w:id="74"/>
    </w:p>
    <w:p w14:paraId="5438B6F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在密集烤房加热室结构的基础上，采用生物质颗粒成型燃料作为能源，用于烟叶烘烤的供热设备，主要由燃烧机、控制器组成。</w:t>
      </w:r>
    </w:p>
    <w:p w14:paraId="1DB66CCB">
      <w:pPr>
        <w:ind w:firstLine="403" w:firstLineChars="192"/>
        <w:rPr>
          <w:rFonts w:hint="eastAsia" w:ascii="宋体" w:hAnsi="宋体" w:eastAsia="宋体" w:cs="宋体"/>
          <w:sz w:val="21"/>
          <w:szCs w:val="21"/>
          <w:highlight w:val="none"/>
        </w:rPr>
      </w:pPr>
      <w:bookmarkStart w:id="75" w:name="_Toc129092915"/>
      <w:r>
        <w:rPr>
          <w:rFonts w:hint="eastAsia" w:ascii="宋体" w:hAnsi="宋体" w:eastAsia="宋体" w:cs="宋体"/>
          <w:sz w:val="21"/>
          <w:szCs w:val="21"/>
          <w:highlight w:val="none"/>
        </w:rPr>
        <w:t>3.2  燃烧机：</w:t>
      </w:r>
      <w:bookmarkEnd w:id="75"/>
    </w:p>
    <w:p w14:paraId="72FE9D4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将燃料储存并运送到喷火管燃烧的机器，主要由贮料箱、撤料口、送料螺旋、点火棒、观火窗、清灰除焦推杆或推板、助燃风机、燃烧弧板、密封固定板构成。</w:t>
      </w:r>
    </w:p>
    <w:p w14:paraId="6BE102D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3.2.1  贮料箱：放置燃料的容器。</w:t>
      </w:r>
    </w:p>
    <w:p w14:paraId="24FB984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3.2.2  撤料口：清理未使用燃料的部件。</w:t>
      </w:r>
    </w:p>
    <w:p w14:paraId="54C5FD2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3.2.3  螺旋送料器：燃料送入喷火管的供料部件。</w:t>
      </w:r>
    </w:p>
    <w:p w14:paraId="49AC410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3.2.4  点火棒：点燃燃料的部件。</w:t>
      </w:r>
    </w:p>
    <w:p w14:paraId="647DAE0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3.2.5  观火器：观察喷火管内燃料燃烧状态的部件。</w:t>
      </w:r>
    </w:p>
    <w:p w14:paraId="16CB3B9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3.2.6  清灰除焦器：清除喷火管内燃料燃烧后产生的灰渣的部件。</w:t>
      </w:r>
    </w:p>
    <w:p w14:paraId="69E3CBB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3.2.7  助燃风机：通过风机强制将助燃空气集中或分配至点火器与助燃风管的部件。</w:t>
      </w:r>
    </w:p>
    <w:p w14:paraId="7576474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3.2.8  密封板：燃烧室与炉体进口之间连接的固定密封部件。</w:t>
      </w:r>
    </w:p>
    <w:p w14:paraId="40C29EF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3.2.9  燃烧弧板：燃料燃烧产生火焰及高温气体的部件，具有承载燃料能力及通风孔。</w:t>
      </w:r>
    </w:p>
    <w:p w14:paraId="03692A8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3.2.10  移动支架：安装在燃烧机底部方便移动燃烧机的有轮支架。</w:t>
      </w:r>
    </w:p>
    <w:p w14:paraId="424400BE">
      <w:pPr>
        <w:ind w:firstLine="403" w:firstLineChars="192"/>
        <w:rPr>
          <w:rFonts w:hint="eastAsia" w:ascii="宋体" w:hAnsi="宋体" w:eastAsia="宋体" w:cs="宋体"/>
          <w:sz w:val="21"/>
          <w:szCs w:val="21"/>
          <w:highlight w:val="none"/>
        </w:rPr>
      </w:pPr>
      <w:bookmarkStart w:id="76" w:name="_Toc129092916"/>
      <w:r>
        <w:rPr>
          <w:rFonts w:hint="eastAsia" w:ascii="宋体" w:hAnsi="宋体" w:eastAsia="宋体" w:cs="宋体"/>
          <w:sz w:val="21"/>
          <w:szCs w:val="21"/>
          <w:highlight w:val="none"/>
        </w:rPr>
        <w:t>3.3  控制器</w:t>
      </w:r>
      <w:bookmarkEnd w:id="76"/>
    </w:p>
    <w:p w14:paraId="00B39C1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按照预定程序或规则，根据装烟室（温湿度）、加热室（燃烧温度或状态）采集回来的数据，结合烟叶烘烤进程（时间），对烘烤过程温湿度进行自动调节的组合件。主要由机箱、控制面板、主控板、驱动板、变频器构成。</w:t>
      </w:r>
    </w:p>
    <w:p w14:paraId="79D6E2F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3.3.1  机箱：安装、保护电器元件的部件。</w:t>
      </w:r>
    </w:p>
    <w:p w14:paraId="749F01C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3.3.2  控制面板：显示及操作控制器的部件。</w:t>
      </w:r>
    </w:p>
    <w:p w14:paraId="6DE6632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3.3.3  主控板：接收处理传感器信号，并按照预定程序或规则，对驱动板发出控制信号的部件。</w:t>
      </w:r>
    </w:p>
    <w:p w14:paraId="2B5DBA8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3.3.4  驱动板：接收主控板的信号，驱动燃烧机和烤房设备的部件。</w:t>
      </w:r>
    </w:p>
    <w:p w14:paraId="4612951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3.3.5  变频器：应用变频技术与微电子技术，通过改变电机工作电源频率方式，控制密集烤房循环风机的电机转速的电力控制组合件。主要由整流、滤波、逆变、制动单元、驱动单元、检测单元、微处理单元构成。</w:t>
      </w:r>
    </w:p>
    <w:p w14:paraId="5C1251D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3.3.6  物联网模块：控制价加装定位器和无线传输模块，实现设备自动定位、烘烤数据定时采集和无线传输、温湿度异常报警提醒和远程控制等功能。</w:t>
      </w:r>
    </w:p>
    <w:p w14:paraId="7EB33C93">
      <w:pPr>
        <w:ind w:firstLine="403" w:firstLineChars="192"/>
        <w:rPr>
          <w:rFonts w:hint="eastAsia" w:ascii="宋体" w:hAnsi="宋体" w:eastAsia="宋体" w:cs="宋体"/>
          <w:sz w:val="21"/>
          <w:szCs w:val="21"/>
          <w:highlight w:val="none"/>
        </w:rPr>
      </w:pPr>
      <w:bookmarkStart w:id="77" w:name="_Toc129092917"/>
      <w:r>
        <w:rPr>
          <w:rFonts w:hint="eastAsia" w:ascii="宋体" w:hAnsi="宋体" w:eastAsia="宋体" w:cs="宋体"/>
          <w:sz w:val="21"/>
          <w:szCs w:val="21"/>
          <w:highlight w:val="none"/>
        </w:rPr>
        <w:t>4  技术参数</w:t>
      </w:r>
      <w:bookmarkEnd w:id="77"/>
    </w:p>
    <w:p w14:paraId="7B8E1B58">
      <w:pPr>
        <w:ind w:firstLine="403" w:firstLineChars="192"/>
        <w:rPr>
          <w:rFonts w:hint="eastAsia" w:ascii="宋体" w:hAnsi="宋体" w:eastAsia="宋体" w:cs="宋体"/>
          <w:sz w:val="21"/>
          <w:szCs w:val="21"/>
          <w:highlight w:val="none"/>
        </w:rPr>
      </w:pPr>
      <w:bookmarkStart w:id="78" w:name="_Toc129092918"/>
      <w:r>
        <w:rPr>
          <w:rFonts w:hint="eastAsia" w:ascii="宋体" w:hAnsi="宋体" w:eastAsia="宋体" w:cs="宋体"/>
          <w:sz w:val="21"/>
          <w:szCs w:val="21"/>
          <w:highlight w:val="none"/>
        </w:rPr>
        <w:t>4.1  供热装置主要参数</w:t>
      </w:r>
      <w:bookmarkEnd w:id="78"/>
    </w:p>
    <w:p w14:paraId="4CEFF736">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表1  燃烧机主要参数</w:t>
      </w:r>
    </w:p>
    <w:tbl>
      <w:tblPr>
        <w:tblStyle w:val="17"/>
        <w:tblW w:w="90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1725"/>
        <w:gridCol w:w="1185"/>
        <w:gridCol w:w="2313"/>
        <w:gridCol w:w="1226"/>
        <w:gridCol w:w="1740"/>
      </w:tblGrid>
      <w:tr w14:paraId="65F02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noWrap w:val="0"/>
            <w:vAlign w:val="center"/>
          </w:tcPr>
          <w:p w14:paraId="2CC051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725" w:type="dxa"/>
            <w:noWrap w:val="0"/>
            <w:vAlign w:val="center"/>
          </w:tcPr>
          <w:p w14:paraId="0618C35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3498" w:type="dxa"/>
            <w:gridSpan w:val="2"/>
            <w:noWrap w:val="0"/>
            <w:vAlign w:val="center"/>
          </w:tcPr>
          <w:p w14:paraId="27D48C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内容</w:t>
            </w:r>
          </w:p>
        </w:tc>
        <w:tc>
          <w:tcPr>
            <w:tcW w:w="1226" w:type="dxa"/>
            <w:noWrap w:val="0"/>
            <w:vAlign w:val="center"/>
          </w:tcPr>
          <w:p w14:paraId="0E48303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1740" w:type="dxa"/>
            <w:noWrap w:val="0"/>
            <w:vAlign w:val="center"/>
          </w:tcPr>
          <w:p w14:paraId="48FEC83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r>
      <w:tr w14:paraId="3E646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restart"/>
            <w:noWrap w:val="0"/>
            <w:vAlign w:val="center"/>
          </w:tcPr>
          <w:p w14:paraId="132B408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725" w:type="dxa"/>
            <w:vMerge w:val="restart"/>
            <w:noWrap w:val="0"/>
            <w:vAlign w:val="center"/>
          </w:tcPr>
          <w:p w14:paraId="536C420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整机性能</w:t>
            </w:r>
          </w:p>
        </w:tc>
        <w:tc>
          <w:tcPr>
            <w:tcW w:w="3498" w:type="dxa"/>
            <w:gridSpan w:val="2"/>
            <w:noWrap w:val="0"/>
            <w:vAlign w:val="center"/>
          </w:tcPr>
          <w:p w14:paraId="1082AB8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整机噪声</w:t>
            </w:r>
          </w:p>
        </w:tc>
        <w:tc>
          <w:tcPr>
            <w:tcW w:w="1226" w:type="dxa"/>
            <w:noWrap w:val="0"/>
            <w:vAlign w:val="center"/>
          </w:tcPr>
          <w:p w14:paraId="7847DF8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dB(A)</w:t>
            </w:r>
          </w:p>
        </w:tc>
        <w:tc>
          <w:tcPr>
            <w:tcW w:w="1740" w:type="dxa"/>
            <w:noWrap w:val="0"/>
            <w:vAlign w:val="center"/>
          </w:tcPr>
          <w:p w14:paraId="559F71D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≤65</w:t>
            </w:r>
          </w:p>
        </w:tc>
      </w:tr>
      <w:tr w14:paraId="19D7C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73BD4B1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CE7E94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7AD2914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整机有效度</w:t>
            </w:r>
          </w:p>
        </w:tc>
        <w:tc>
          <w:tcPr>
            <w:tcW w:w="1226" w:type="dxa"/>
            <w:noWrap w:val="0"/>
            <w:vAlign w:val="center"/>
          </w:tcPr>
          <w:p w14:paraId="69721E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3582EE55">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≥98%</w:t>
            </w:r>
          </w:p>
        </w:tc>
      </w:tr>
      <w:tr w14:paraId="22BD5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50F7972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68F719A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35E0190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小时耗电量</w:t>
            </w:r>
          </w:p>
        </w:tc>
        <w:tc>
          <w:tcPr>
            <w:tcW w:w="1226" w:type="dxa"/>
            <w:noWrap w:val="0"/>
            <w:vAlign w:val="center"/>
          </w:tcPr>
          <w:p w14:paraId="2C3DE6E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kW·h</w:t>
            </w:r>
          </w:p>
        </w:tc>
        <w:tc>
          <w:tcPr>
            <w:tcW w:w="1740" w:type="dxa"/>
            <w:noWrap w:val="0"/>
            <w:vAlign w:val="center"/>
          </w:tcPr>
          <w:p w14:paraId="3F5D0C08">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≤0.40</w:t>
            </w:r>
          </w:p>
        </w:tc>
      </w:tr>
      <w:tr w14:paraId="3ED2F5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restart"/>
            <w:noWrap w:val="0"/>
            <w:vAlign w:val="center"/>
          </w:tcPr>
          <w:p w14:paraId="2BF52BF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2</w:t>
            </w:r>
          </w:p>
        </w:tc>
        <w:tc>
          <w:tcPr>
            <w:tcW w:w="1725" w:type="dxa"/>
            <w:vMerge w:val="restart"/>
            <w:noWrap w:val="0"/>
            <w:vAlign w:val="center"/>
          </w:tcPr>
          <w:p w14:paraId="439728B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燃烧机</w:t>
            </w:r>
          </w:p>
        </w:tc>
        <w:tc>
          <w:tcPr>
            <w:tcW w:w="3498" w:type="dxa"/>
            <w:gridSpan w:val="2"/>
            <w:noWrap w:val="0"/>
            <w:vAlign w:val="center"/>
          </w:tcPr>
          <w:p w14:paraId="7E4125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贮料箱有效容积</w:t>
            </w:r>
          </w:p>
        </w:tc>
        <w:tc>
          <w:tcPr>
            <w:tcW w:w="1226" w:type="dxa"/>
            <w:noWrap w:val="0"/>
            <w:vAlign w:val="center"/>
          </w:tcPr>
          <w:p w14:paraId="35CD7C8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m3</w:t>
            </w:r>
          </w:p>
        </w:tc>
        <w:tc>
          <w:tcPr>
            <w:tcW w:w="1740" w:type="dxa"/>
            <w:noWrap w:val="0"/>
            <w:vAlign w:val="center"/>
          </w:tcPr>
          <w:p w14:paraId="00EE96A7">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≥0.20</w:t>
            </w:r>
          </w:p>
        </w:tc>
      </w:tr>
      <w:tr w14:paraId="594A3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79F9612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3520D7B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222BAE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贮料箱上沿距地面高度</w:t>
            </w:r>
          </w:p>
        </w:tc>
        <w:tc>
          <w:tcPr>
            <w:tcW w:w="1226" w:type="dxa"/>
            <w:noWrap w:val="0"/>
            <w:vAlign w:val="center"/>
          </w:tcPr>
          <w:p w14:paraId="59051C6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1740" w:type="dxa"/>
            <w:noWrap w:val="0"/>
            <w:vAlign w:val="center"/>
          </w:tcPr>
          <w:p w14:paraId="348B898C">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≤1700</w:t>
            </w:r>
          </w:p>
        </w:tc>
      </w:tr>
      <w:tr w14:paraId="451CD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4B392B2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277381E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182D37E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中心高度及可调范围</w:t>
            </w:r>
          </w:p>
        </w:tc>
        <w:tc>
          <w:tcPr>
            <w:tcW w:w="1226" w:type="dxa"/>
            <w:noWrap w:val="0"/>
            <w:vAlign w:val="center"/>
          </w:tcPr>
          <w:p w14:paraId="6B4294C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1740" w:type="dxa"/>
            <w:noWrap w:val="0"/>
            <w:vAlign w:val="center"/>
          </w:tcPr>
          <w:p w14:paraId="2E8B15C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820±100</w:t>
            </w:r>
          </w:p>
        </w:tc>
      </w:tr>
      <w:tr w14:paraId="78B0C5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346DD98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1B9A59FA">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D682F2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送料电机功率</w:t>
            </w:r>
          </w:p>
        </w:tc>
        <w:tc>
          <w:tcPr>
            <w:tcW w:w="1226" w:type="dxa"/>
            <w:noWrap w:val="0"/>
            <w:vAlign w:val="center"/>
          </w:tcPr>
          <w:p w14:paraId="5D80979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w:t>
            </w:r>
          </w:p>
        </w:tc>
        <w:tc>
          <w:tcPr>
            <w:tcW w:w="1740" w:type="dxa"/>
            <w:noWrap w:val="0"/>
            <w:vAlign w:val="center"/>
          </w:tcPr>
          <w:p w14:paraId="56E96418">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≥0.06</w:t>
            </w:r>
          </w:p>
        </w:tc>
      </w:tr>
      <w:tr w14:paraId="09D38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4C20B13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2539D97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17A84FC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最大投料速度</w:t>
            </w:r>
          </w:p>
        </w:tc>
        <w:tc>
          <w:tcPr>
            <w:tcW w:w="1226" w:type="dxa"/>
            <w:noWrap w:val="0"/>
            <w:vAlign w:val="center"/>
          </w:tcPr>
          <w:p w14:paraId="63FE7DC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g/min</w:t>
            </w:r>
          </w:p>
        </w:tc>
        <w:tc>
          <w:tcPr>
            <w:tcW w:w="1740" w:type="dxa"/>
            <w:noWrap w:val="0"/>
            <w:vAlign w:val="center"/>
          </w:tcPr>
          <w:p w14:paraId="5BE1275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≤165.00</w:t>
            </w:r>
          </w:p>
        </w:tc>
      </w:tr>
      <w:tr w14:paraId="46480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7AA69468">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7495CF67">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243695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最小投料速度</w:t>
            </w:r>
          </w:p>
        </w:tc>
        <w:tc>
          <w:tcPr>
            <w:tcW w:w="1226" w:type="dxa"/>
            <w:noWrap w:val="0"/>
            <w:vAlign w:val="center"/>
          </w:tcPr>
          <w:p w14:paraId="5BC997F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g/min</w:t>
            </w:r>
          </w:p>
        </w:tc>
        <w:tc>
          <w:tcPr>
            <w:tcW w:w="1740" w:type="dxa"/>
            <w:noWrap w:val="0"/>
            <w:vAlign w:val="center"/>
          </w:tcPr>
          <w:p w14:paraId="2ACC817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≤17.00</w:t>
            </w:r>
          </w:p>
        </w:tc>
      </w:tr>
      <w:tr w14:paraId="69ABE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748E031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6EFC36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08B8685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投料档位</w:t>
            </w:r>
          </w:p>
        </w:tc>
        <w:tc>
          <w:tcPr>
            <w:tcW w:w="1226" w:type="dxa"/>
            <w:noWrap w:val="0"/>
            <w:vAlign w:val="center"/>
          </w:tcPr>
          <w:p w14:paraId="254D5A9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个</w:t>
            </w:r>
          </w:p>
        </w:tc>
        <w:tc>
          <w:tcPr>
            <w:tcW w:w="1740" w:type="dxa"/>
            <w:noWrap w:val="0"/>
            <w:vAlign w:val="center"/>
          </w:tcPr>
          <w:p w14:paraId="75B19AD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r>
      <w:tr w14:paraId="2825F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4626A13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EADF8E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2A691A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额定热功率</w:t>
            </w:r>
          </w:p>
        </w:tc>
        <w:tc>
          <w:tcPr>
            <w:tcW w:w="1226" w:type="dxa"/>
            <w:noWrap w:val="0"/>
            <w:vAlign w:val="center"/>
          </w:tcPr>
          <w:p w14:paraId="6FFF030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kJ/h</w:t>
            </w:r>
          </w:p>
        </w:tc>
        <w:tc>
          <w:tcPr>
            <w:tcW w:w="1740" w:type="dxa"/>
            <w:noWrap w:val="0"/>
            <w:vAlign w:val="center"/>
          </w:tcPr>
          <w:p w14:paraId="7A506DF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≥400000</w:t>
            </w:r>
          </w:p>
        </w:tc>
      </w:tr>
      <w:tr w14:paraId="0AAE0F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515652D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7F88F4EA">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1BE4087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最小稳燃热功率</w:t>
            </w:r>
          </w:p>
        </w:tc>
        <w:tc>
          <w:tcPr>
            <w:tcW w:w="1226" w:type="dxa"/>
            <w:noWrap w:val="0"/>
            <w:vAlign w:val="center"/>
          </w:tcPr>
          <w:p w14:paraId="29EF87E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kJ/h</w:t>
            </w:r>
          </w:p>
        </w:tc>
        <w:tc>
          <w:tcPr>
            <w:tcW w:w="1740" w:type="dxa"/>
            <w:noWrap w:val="0"/>
            <w:vAlign w:val="center"/>
          </w:tcPr>
          <w:p w14:paraId="5EEA083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≤15000</w:t>
            </w:r>
          </w:p>
        </w:tc>
      </w:tr>
      <w:tr w14:paraId="23951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0E46D7E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C73374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121186B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燃烧效率</w:t>
            </w:r>
          </w:p>
        </w:tc>
        <w:tc>
          <w:tcPr>
            <w:tcW w:w="1226" w:type="dxa"/>
            <w:noWrap w:val="0"/>
            <w:vAlign w:val="center"/>
          </w:tcPr>
          <w:p w14:paraId="5AD613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0135CAA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＞90%</w:t>
            </w:r>
          </w:p>
        </w:tc>
      </w:tr>
      <w:tr w14:paraId="0BC39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887855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4635863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483E60C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点火完成所需时间</w:t>
            </w:r>
          </w:p>
        </w:tc>
        <w:tc>
          <w:tcPr>
            <w:tcW w:w="1226" w:type="dxa"/>
            <w:noWrap w:val="0"/>
            <w:vAlign w:val="center"/>
          </w:tcPr>
          <w:p w14:paraId="683E936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min</w:t>
            </w:r>
          </w:p>
        </w:tc>
        <w:tc>
          <w:tcPr>
            <w:tcW w:w="1740" w:type="dxa"/>
            <w:noWrap w:val="0"/>
            <w:vAlign w:val="center"/>
          </w:tcPr>
          <w:p w14:paraId="011780B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r>
      <w:tr w14:paraId="2D55D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1BA6315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p>
        </w:tc>
        <w:tc>
          <w:tcPr>
            <w:tcW w:w="1725" w:type="dxa"/>
            <w:vMerge w:val="continue"/>
            <w:noWrap w:val="0"/>
            <w:vAlign w:val="center"/>
          </w:tcPr>
          <w:p w14:paraId="3E31EB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p>
        </w:tc>
        <w:tc>
          <w:tcPr>
            <w:tcW w:w="3498" w:type="dxa"/>
            <w:gridSpan w:val="2"/>
            <w:noWrap w:val="0"/>
            <w:vAlign w:val="center"/>
          </w:tcPr>
          <w:p w14:paraId="5EC592F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点火器额定点火次数</w:t>
            </w:r>
          </w:p>
        </w:tc>
        <w:tc>
          <w:tcPr>
            <w:tcW w:w="1226" w:type="dxa"/>
            <w:noWrap w:val="0"/>
            <w:vAlign w:val="center"/>
          </w:tcPr>
          <w:p w14:paraId="02B4CAA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次</w:t>
            </w:r>
          </w:p>
        </w:tc>
        <w:tc>
          <w:tcPr>
            <w:tcW w:w="1740" w:type="dxa"/>
            <w:noWrap w:val="0"/>
            <w:vAlign w:val="center"/>
          </w:tcPr>
          <w:p w14:paraId="209BC75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≥2000</w:t>
            </w:r>
          </w:p>
        </w:tc>
      </w:tr>
      <w:tr w14:paraId="20175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E66B375">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62B9087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75FED15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点火棒功率</w:t>
            </w:r>
          </w:p>
        </w:tc>
        <w:tc>
          <w:tcPr>
            <w:tcW w:w="1226" w:type="dxa"/>
            <w:noWrap w:val="0"/>
            <w:vAlign w:val="center"/>
          </w:tcPr>
          <w:p w14:paraId="59080AF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w:t>
            </w:r>
          </w:p>
        </w:tc>
        <w:tc>
          <w:tcPr>
            <w:tcW w:w="1740" w:type="dxa"/>
            <w:noWrap w:val="0"/>
            <w:vAlign w:val="center"/>
          </w:tcPr>
          <w:p w14:paraId="20AE0C4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≥0.6</w:t>
            </w:r>
          </w:p>
        </w:tc>
      </w:tr>
      <w:tr w14:paraId="586C1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42075CD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4E417849">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6FAD6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清灰除焦器电机功率</w:t>
            </w:r>
          </w:p>
        </w:tc>
        <w:tc>
          <w:tcPr>
            <w:tcW w:w="1226" w:type="dxa"/>
            <w:noWrap w:val="0"/>
            <w:vAlign w:val="center"/>
          </w:tcPr>
          <w:p w14:paraId="0FDC2C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w:t>
            </w:r>
          </w:p>
        </w:tc>
        <w:tc>
          <w:tcPr>
            <w:tcW w:w="1740" w:type="dxa"/>
            <w:noWrap w:val="0"/>
            <w:vAlign w:val="center"/>
          </w:tcPr>
          <w:p w14:paraId="573BF60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≥0.02</w:t>
            </w:r>
          </w:p>
        </w:tc>
      </w:tr>
      <w:tr w14:paraId="15F98B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7B617B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EE6D85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786C300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助燃风机功率</w:t>
            </w:r>
          </w:p>
        </w:tc>
        <w:tc>
          <w:tcPr>
            <w:tcW w:w="1226" w:type="dxa"/>
            <w:noWrap w:val="0"/>
            <w:vAlign w:val="center"/>
          </w:tcPr>
          <w:p w14:paraId="2D85AAB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w:t>
            </w:r>
          </w:p>
        </w:tc>
        <w:tc>
          <w:tcPr>
            <w:tcW w:w="1740" w:type="dxa"/>
            <w:noWrap w:val="0"/>
            <w:vAlign w:val="center"/>
          </w:tcPr>
          <w:p w14:paraId="1EC62BE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≥0.12</w:t>
            </w:r>
          </w:p>
        </w:tc>
      </w:tr>
      <w:tr w14:paraId="5400F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1E149DE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7250FED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381791E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密封固定板</w:t>
            </w:r>
          </w:p>
        </w:tc>
        <w:tc>
          <w:tcPr>
            <w:tcW w:w="1226" w:type="dxa"/>
            <w:noWrap w:val="0"/>
            <w:vAlign w:val="center"/>
          </w:tcPr>
          <w:p w14:paraId="38CDF21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1740" w:type="dxa"/>
            <w:noWrap w:val="0"/>
            <w:vAlign w:val="center"/>
          </w:tcPr>
          <w:p w14:paraId="6C6B3BD7">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≥3.7</w:t>
            </w:r>
          </w:p>
        </w:tc>
      </w:tr>
      <w:tr w14:paraId="52514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6CB8E8C7">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25F2BBF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36C50F4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燃烧弧板挡板（09CuPCrNi）</w:t>
            </w:r>
          </w:p>
        </w:tc>
        <w:tc>
          <w:tcPr>
            <w:tcW w:w="1226" w:type="dxa"/>
            <w:noWrap w:val="0"/>
            <w:vAlign w:val="center"/>
          </w:tcPr>
          <w:p w14:paraId="681562A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1740" w:type="dxa"/>
            <w:noWrap w:val="0"/>
            <w:vAlign w:val="center"/>
          </w:tcPr>
          <w:p w14:paraId="16E3383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≥7.8</w:t>
            </w:r>
          </w:p>
        </w:tc>
      </w:tr>
      <w:tr w14:paraId="6DA9F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51D2CA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34B0CF37">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1185" w:type="dxa"/>
            <w:vMerge w:val="restart"/>
            <w:tcBorders>
              <w:right w:val="single" w:color="auto" w:sz="4" w:space="0"/>
            </w:tcBorders>
            <w:noWrap w:val="0"/>
            <w:vAlign w:val="center"/>
          </w:tcPr>
          <w:p w14:paraId="7F5510AC">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燃烧弧板</w:t>
            </w:r>
          </w:p>
          <w:p w14:paraId="7F6F2E0A">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（V型）</w:t>
            </w:r>
          </w:p>
        </w:tc>
        <w:tc>
          <w:tcPr>
            <w:tcW w:w="2313" w:type="dxa"/>
            <w:tcBorders>
              <w:left w:val="single" w:color="auto" w:sz="4" w:space="0"/>
            </w:tcBorders>
            <w:noWrap w:val="0"/>
            <w:vAlign w:val="center"/>
          </w:tcPr>
          <w:p w14:paraId="266F7C3F">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耐热铸铁(QTRSi5)</w:t>
            </w:r>
          </w:p>
        </w:tc>
        <w:tc>
          <w:tcPr>
            <w:tcW w:w="1226" w:type="dxa"/>
            <w:noWrap w:val="0"/>
            <w:vAlign w:val="center"/>
          </w:tcPr>
          <w:p w14:paraId="75D8748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1740" w:type="dxa"/>
            <w:noWrap w:val="0"/>
            <w:vAlign w:val="center"/>
          </w:tcPr>
          <w:p w14:paraId="6EFA7611">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≥11.5</w:t>
            </w:r>
          </w:p>
        </w:tc>
      </w:tr>
      <w:tr w14:paraId="67D7D9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50272BA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5E7E0589">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1185" w:type="dxa"/>
            <w:vMerge w:val="continue"/>
            <w:tcBorders>
              <w:right w:val="single" w:color="auto" w:sz="4" w:space="0"/>
            </w:tcBorders>
            <w:noWrap w:val="0"/>
            <w:vAlign w:val="center"/>
          </w:tcPr>
          <w:p w14:paraId="6E10D00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2313" w:type="dxa"/>
            <w:tcBorders>
              <w:left w:val="single" w:color="auto" w:sz="4" w:space="0"/>
            </w:tcBorders>
            <w:noWrap w:val="0"/>
            <w:vAlign w:val="center"/>
          </w:tcPr>
          <w:p w14:paraId="6A7E58C7">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燃烧腔底板06Cr19Ni10</w:t>
            </w:r>
          </w:p>
        </w:tc>
        <w:tc>
          <w:tcPr>
            <w:tcW w:w="1226" w:type="dxa"/>
            <w:noWrap w:val="0"/>
            <w:vAlign w:val="center"/>
          </w:tcPr>
          <w:p w14:paraId="57171D5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1740" w:type="dxa"/>
            <w:noWrap w:val="0"/>
            <w:vAlign w:val="center"/>
          </w:tcPr>
          <w:p w14:paraId="25B07F3C">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r>
      <w:tr w14:paraId="6E3FFD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restart"/>
            <w:noWrap w:val="0"/>
            <w:vAlign w:val="center"/>
          </w:tcPr>
          <w:p w14:paraId="14C4A70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725" w:type="dxa"/>
            <w:vMerge w:val="restart"/>
            <w:noWrap w:val="0"/>
            <w:vAlign w:val="center"/>
          </w:tcPr>
          <w:p w14:paraId="38CFB3E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控制器</w:t>
            </w:r>
          </w:p>
        </w:tc>
        <w:tc>
          <w:tcPr>
            <w:tcW w:w="3498" w:type="dxa"/>
            <w:gridSpan w:val="2"/>
            <w:noWrap w:val="0"/>
            <w:vAlign w:val="center"/>
          </w:tcPr>
          <w:p w14:paraId="672B3C6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温度控制精度</w:t>
            </w:r>
          </w:p>
        </w:tc>
        <w:tc>
          <w:tcPr>
            <w:tcW w:w="1226" w:type="dxa"/>
            <w:noWrap w:val="0"/>
            <w:vAlign w:val="center"/>
          </w:tcPr>
          <w:p w14:paraId="3C0D46A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6DBFFF0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±0.5</w:t>
            </w:r>
          </w:p>
        </w:tc>
      </w:tr>
      <w:tr w14:paraId="5857C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667DC6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3B93F3F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40E24E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输出控制响应时间</w:t>
            </w:r>
          </w:p>
        </w:tc>
        <w:tc>
          <w:tcPr>
            <w:tcW w:w="1226" w:type="dxa"/>
            <w:noWrap w:val="0"/>
            <w:vAlign w:val="center"/>
          </w:tcPr>
          <w:p w14:paraId="011BD27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s</w:t>
            </w:r>
          </w:p>
        </w:tc>
        <w:tc>
          <w:tcPr>
            <w:tcW w:w="1740" w:type="dxa"/>
            <w:noWrap w:val="0"/>
            <w:vAlign w:val="center"/>
          </w:tcPr>
          <w:p w14:paraId="2C4806C1">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r>
      <w:tr w14:paraId="1D207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70B4F689">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37FD3D6A">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55F12DF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控制器功率</w:t>
            </w:r>
          </w:p>
        </w:tc>
        <w:tc>
          <w:tcPr>
            <w:tcW w:w="1226" w:type="dxa"/>
            <w:noWrap w:val="0"/>
            <w:vAlign w:val="center"/>
          </w:tcPr>
          <w:p w14:paraId="6FFED42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w:t>
            </w:r>
          </w:p>
        </w:tc>
        <w:tc>
          <w:tcPr>
            <w:tcW w:w="1740" w:type="dxa"/>
            <w:noWrap w:val="0"/>
            <w:vAlign w:val="center"/>
          </w:tcPr>
          <w:p w14:paraId="42A05166">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≤0.03</w:t>
            </w:r>
          </w:p>
        </w:tc>
      </w:tr>
      <w:tr w14:paraId="66BFF2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restart"/>
            <w:noWrap w:val="0"/>
            <w:vAlign w:val="center"/>
          </w:tcPr>
          <w:p w14:paraId="77527E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725" w:type="dxa"/>
            <w:vMerge w:val="restart"/>
            <w:noWrap w:val="0"/>
            <w:vAlign w:val="center"/>
          </w:tcPr>
          <w:p w14:paraId="11B044C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变频器</w:t>
            </w:r>
          </w:p>
        </w:tc>
        <w:tc>
          <w:tcPr>
            <w:tcW w:w="3498" w:type="dxa"/>
            <w:gridSpan w:val="2"/>
            <w:noWrap w:val="0"/>
            <w:vAlign w:val="center"/>
          </w:tcPr>
          <w:p w14:paraId="65C726B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额定电压</w:t>
            </w:r>
          </w:p>
        </w:tc>
        <w:tc>
          <w:tcPr>
            <w:tcW w:w="1226" w:type="dxa"/>
            <w:noWrap w:val="0"/>
            <w:vAlign w:val="center"/>
          </w:tcPr>
          <w:p w14:paraId="3D8F0E6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V</w:t>
            </w:r>
          </w:p>
        </w:tc>
        <w:tc>
          <w:tcPr>
            <w:tcW w:w="1740" w:type="dxa"/>
            <w:noWrap w:val="0"/>
            <w:vAlign w:val="center"/>
          </w:tcPr>
          <w:p w14:paraId="2F97AF1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380</w:t>
            </w:r>
          </w:p>
        </w:tc>
      </w:tr>
      <w:tr w14:paraId="0A072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3148EBE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365AB92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623BDD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驱动功率</w:t>
            </w:r>
          </w:p>
        </w:tc>
        <w:tc>
          <w:tcPr>
            <w:tcW w:w="1226" w:type="dxa"/>
            <w:noWrap w:val="0"/>
            <w:vAlign w:val="center"/>
          </w:tcPr>
          <w:p w14:paraId="5DA40EC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kW</w:t>
            </w:r>
          </w:p>
        </w:tc>
        <w:tc>
          <w:tcPr>
            <w:tcW w:w="1740" w:type="dxa"/>
            <w:noWrap w:val="0"/>
            <w:vAlign w:val="center"/>
          </w:tcPr>
          <w:p w14:paraId="6EDA6E5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0.75～2.2</w:t>
            </w:r>
          </w:p>
        </w:tc>
      </w:tr>
      <w:tr w14:paraId="61A174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0F923C5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487E445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227CA68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输出频率</w:t>
            </w:r>
          </w:p>
        </w:tc>
        <w:tc>
          <w:tcPr>
            <w:tcW w:w="1226" w:type="dxa"/>
            <w:noWrap w:val="0"/>
            <w:vAlign w:val="center"/>
          </w:tcPr>
          <w:p w14:paraId="04F04EA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Hz</w:t>
            </w:r>
          </w:p>
        </w:tc>
        <w:tc>
          <w:tcPr>
            <w:tcW w:w="1740" w:type="dxa"/>
            <w:noWrap w:val="0"/>
            <w:vAlign w:val="center"/>
          </w:tcPr>
          <w:p w14:paraId="69D38811">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0～400</w:t>
            </w:r>
          </w:p>
        </w:tc>
      </w:tr>
      <w:tr w14:paraId="1FF66C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333E85D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57D989C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7932187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工作温度</w:t>
            </w:r>
          </w:p>
        </w:tc>
        <w:tc>
          <w:tcPr>
            <w:tcW w:w="1226" w:type="dxa"/>
            <w:noWrap w:val="0"/>
            <w:vAlign w:val="center"/>
          </w:tcPr>
          <w:p w14:paraId="65F4E2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26185745">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-10～40</w:t>
            </w:r>
          </w:p>
        </w:tc>
      </w:tr>
      <w:tr w14:paraId="5EE4B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FF61F91">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46C0B53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02C024B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变频器效率</w:t>
            </w:r>
          </w:p>
        </w:tc>
        <w:tc>
          <w:tcPr>
            <w:tcW w:w="1226" w:type="dxa"/>
            <w:noWrap w:val="0"/>
            <w:vAlign w:val="center"/>
          </w:tcPr>
          <w:p w14:paraId="40B3B43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5B17E302">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≥95%</w:t>
            </w:r>
          </w:p>
        </w:tc>
      </w:tr>
      <w:tr w14:paraId="24B9F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669053A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7F8C5771">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670460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额定负载下的功率因数</w:t>
            </w:r>
          </w:p>
        </w:tc>
        <w:tc>
          <w:tcPr>
            <w:tcW w:w="1226" w:type="dxa"/>
            <w:noWrap w:val="0"/>
            <w:vAlign w:val="center"/>
          </w:tcPr>
          <w:p w14:paraId="0E18611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7CA081A3">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≥0.85</w:t>
            </w:r>
          </w:p>
        </w:tc>
      </w:tr>
      <w:tr w14:paraId="4D78E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5EDD310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1B74D43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21FF914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电流总谐波畸变率</w:t>
            </w:r>
          </w:p>
        </w:tc>
        <w:tc>
          <w:tcPr>
            <w:tcW w:w="1226" w:type="dxa"/>
            <w:noWrap w:val="0"/>
            <w:vAlign w:val="center"/>
          </w:tcPr>
          <w:p w14:paraId="785C057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543C92C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r>
      <w:tr w14:paraId="1D065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2D43B939">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59EBE75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3155610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输入电压波动率</w:t>
            </w:r>
          </w:p>
        </w:tc>
        <w:tc>
          <w:tcPr>
            <w:tcW w:w="1226" w:type="dxa"/>
            <w:noWrap w:val="0"/>
            <w:vAlign w:val="center"/>
          </w:tcPr>
          <w:p w14:paraId="1C630C5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4AFDF0E7">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r>
      <w:tr w14:paraId="3E6E8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624EE8B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5C4EB8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789167D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转速响应时间</w:t>
            </w:r>
          </w:p>
        </w:tc>
        <w:tc>
          <w:tcPr>
            <w:tcW w:w="1226" w:type="dxa"/>
            <w:noWrap w:val="0"/>
            <w:vAlign w:val="center"/>
          </w:tcPr>
          <w:p w14:paraId="26462F4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s</w:t>
            </w:r>
          </w:p>
        </w:tc>
        <w:tc>
          <w:tcPr>
            <w:tcW w:w="1740" w:type="dxa"/>
            <w:noWrap w:val="0"/>
            <w:vAlign w:val="center"/>
          </w:tcPr>
          <w:p w14:paraId="49785C65">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≤0.2</w:t>
            </w:r>
          </w:p>
        </w:tc>
      </w:tr>
      <w:tr w14:paraId="0F2EC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70CDC87E">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296AAB7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4B1A95B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转速超调</w:t>
            </w:r>
          </w:p>
        </w:tc>
        <w:tc>
          <w:tcPr>
            <w:tcW w:w="1226" w:type="dxa"/>
            <w:noWrap w:val="0"/>
            <w:vAlign w:val="center"/>
          </w:tcPr>
          <w:p w14:paraId="1D9CBF5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75580A1D">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r>
      <w:tr w14:paraId="48299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856" w:type="dxa"/>
            <w:vMerge w:val="continue"/>
            <w:noWrap w:val="0"/>
            <w:vAlign w:val="center"/>
          </w:tcPr>
          <w:p w14:paraId="5353D99F">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left"/>
              <w:textAlignment w:val="auto"/>
              <w:rPr>
                <w:rFonts w:hint="eastAsia" w:ascii="宋体" w:hAnsi="宋体" w:eastAsia="宋体" w:cs="宋体"/>
                <w:sz w:val="21"/>
                <w:szCs w:val="21"/>
                <w:highlight w:val="none"/>
              </w:rPr>
            </w:pPr>
          </w:p>
        </w:tc>
        <w:tc>
          <w:tcPr>
            <w:tcW w:w="1725" w:type="dxa"/>
            <w:vMerge w:val="continue"/>
            <w:noWrap w:val="0"/>
            <w:vAlign w:val="center"/>
          </w:tcPr>
          <w:p w14:paraId="02F0A56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p>
        </w:tc>
        <w:tc>
          <w:tcPr>
            <w:tcW w:w="3498" w:type="dxa"/>
            <w:gridSpan w:val="2"/>
            <w:noWrap w:val="0"/>
            <w:vAlign w:val="center"/>
          </w:tcPr>
          <w:p w14:paraId="60ADA42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转速稳态精度</w:t>
            </w:r>
          </w:p>
        </w:tc>
        <w:tc>
          <w:tcPr>
            <w:tcW w:w="1226" w:type="dxa"/>
            <w:noWrap w:val="0"/>
            <w:vAlign w:val="center"/>
          </w:tcPr>
          <w:p w14:paraId="008DFF1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740" w:type="dxa"/>
            <w:noWrap w:val="0"/>
            <w:vAlign w:val="center"/>
          </w:tcPr>
          <w:p w14:paraId="4ECF60E4">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r>
    </w:tbl>
    <w:p w14:paraId="28D41F3A">
      <w:pPr>
        <w:keepNext w:val="0"/>
        <w:keepLines w:val="0"/>
        <w:pageBreakBefore w:val="0"/>
        <w:widowControl w:val="0"/>
        <w:kinsoku/>
        <w:wordWrap/>
        <w:overflowPunct/>
        <w:topLinePunct w:val="0"/>
        <w:autoSpaceDE/>
        <w:autoSpaceDN/>
        <w:bidi w:val="0"/>
        <w:adjustRightInd/>
        <w:snapToGrid/>
        <w:spacing w:line="240" w:lineRule="atLeast"/>
        <w:ind w:firstLine="403" w:firstLineChars="192"/>
        <w:textAlignment w:val="auto"/>
        <w:rPr>
          <w:rFonts w:hint="eastAsia" w:ascii="宋体" w:hAnsi="宋体" w:eastAsia="宋体" w:cs="宋体"/>
          <w:sz w:val="21"/>
          <w:szCs w:val="21"/>
          <w:highlight w:val="none"/>
        </w:rPr>
      </w:pPr>
      <w:bookmarkStart w:id="79" w:name="_Toc129092919"/>
      <w:r>
        <w:rPr>
          <w:rFonts w:hint="eastAsia" w:ascii="宋体" w:hAnsi="宋体" w:eastAsia="宋体" w:cs="宋体"/>
          <w:sz w:val="21"/>
          <w:szCs w:val="21"/>
          <w:highlight w:val="none"/>
        </w:rPr>
        <w:t>4.2  工作环境参数</w:t>
      </w:r>
      <w:bookmarkEnd w:id="79"/>
    </w:p>
    <w:p w14:paraId="61EDE21B">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表2  工作环境参数</w:t>
      </w:r>
    </w:p>
    <w:tbl>
      <w:tblPr>
        <w:tblStyle w:val="17"/>
        <w:tblW w:w="85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97"/>
        <w:gridCol w:w="1886"/>
        <w:gridCol w:w="3289"/>
      </w:tblGrid>
      <w:tr w14:paraId="6C44E0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3FFA904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内容</w:t>
            </w:r>
          </w:p>
        </w:tc>
        <w:tc>
          <w:tcPr>
            <w:tcW w:w="1886" w:type="dxa"/>
            <w:noWrap w:val="0"/>
            <w:vAlign w:val="center"/>
          </w:tcPr>
          <w:p w14:paraId="5503D5D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3289" w:type="dxa"/>
            <w:noWrap w:val="0"/>
            <w:vAlign w:val="center"/>
          </w:tcPr>
          <w:p w14:paraId="4DB8D73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r>
      <w:tr w14:paraId="29195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7A5FF52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环境温度</w:t>
            </w:r>
          </w:p>
        </w:tc>
        <w:tc>
          <w:tcPr>
            <w:tcW w:w="1886" w:type="dxa"/>
            <w:noWrap w:val="0"/>
            <w:vAlign w:val="center"/>
          </w:tcPr>
          <w:p w14:paraId="4A67701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289" w:type="dxa"/>
            <w:noWrap w:val="0"/>
            <w:vAlign w:val="center"/>
          </w:tcPr>
          <w:p w14:paraId="1970FBC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0～45</w:t>
            </w:r>
          </w:p>
        </w:tc>
      </w:tr>
      <w:tr w14:paraId="7E98E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5C65C74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相对湿度</w:t>
            </w:r>
          </w:p>
        </w:tc>
        <w:tc>
          <w:tcPr>
            <w:tcW w:w="1886" w:type="dxa"/>
            <w:noWrap w:val="0"/>
            <w:vAlign w:val="center"/>
          </w:tcPr>
          <w:p w14:paraId="22F97F5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289" w:type="dxa"/>
            <w:noWrap w:val="0"/>
            <w:vAlign w:val="center"/>
          </w:tcPr>
          <w:p w14:paraId="603F274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≤85%</w:t>
            </w:r>
          </w:p>
        </w:tc>
      </w:tr>
      <w:tr w14:paraId="6BFBD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5864E76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海拔高度</w:t>
            </w:r>
          </w:p>
        </w:tc>
        <w:tc>
          <w:tcPr>
            <w:tcW w:w="1886" w:type="dxa"/>
            <w:noWrap w:val="0"/>
            <w:vAlign w:val="center"/>
          </w:tcPr>
          <w:p w14:paraId="0CD4A48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w:t>
            </w:r>
          </w:p>
        </w:tc>
        <w:tc>
          <w:tcPr>
            <w:tcW w:w="3289" w:type="dxa"/>
            <w:noWrap w:val="0"/>
            <w:vAlign w:val="center"/>
          </w:tcPr>
          <w:p w14:paraId="0E61954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≤3000</w:t>
            </w:r>
          </w:p>
        </w:tc>
      </w:tr>
      <w:tr w14:paraId="3E551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3BDB40C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工作电压（交流）</w:t>
            </w:r>
          </w:p>
        </w:tc>
        <w:tc>
          <w:tcPr>
            <w:tcW w:w="1886" w:type="dxa"/>
            <w:noWrap w:val="0"/>
            <w:vAlign w:val="center"/>
          </w:tcPr>
          <w:p w14:paraId="4DA8D1E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V</w:t>
            </w:r>
          </w:p>
        </w:tc>
        <w:tc>
          <w:tcPr>
            <w:tcW w:w="3289" w:type="dxa"/>
            <w:noWrap w:val="0"/>
            <w:vAlign w:val="center"/>
          </w:tcPr>
          <w:p w14:paraId="393B2DD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220±20%或380±20%</w:t>
            </w:r>
          </w:p>
        </w:tc>
      </w:tr>
    </w:tbl>
    <w:p w14:paraId="6AD3C659">
      <w:pPr>
        <w:keepNext w:val="0"/>
        <w:keepLines w:val="0"/>
        <w:pageBreakBefore w:val="0"/>
        <w:widowControl w:val="0"/>
        <w:kinsoku/>
        <w:wordWrap/>
        <w:overflowPunct/>
        <w:topLinePunct w:val="0"/>
        <w:autoSpaceDE/>
        <w:autoSpaceDN/>
        <w:bidi w:val="0"/>
        <w:adjustRightInd/>
        <w:snapToGrid/>
        <w:spacing w:line="240" w:lineRule="atLeast"/>
        <w:ind w:firstLine="403" w:firstLineChars="192"/>
        <w:textAlignment w:val="auto"/>
        <w:rPr>
          <w:rFonts w:hint="eastAsia" w:ascii="宋体" w:hAnsi="宋体" w:eastAsia="宋体" w:cs="宋体"/>
          <w:sz w:val="21"/>
          <w:szCs w:val="21"/>
          <w:highlight w:val="none"/>
        </w:rPr>
      </w:pPr>
      <w:bookmarkStart w:id="80" w:name="_Toc129092920"/>
      <w:r>
        <w:rPr>
          <w:rFonts w:hint="eastAsia" w:ascii="宋体" w:hAnsi="宋体" w:eastAsia="宋体" w:cs="宋体"/>
          <w:sz w:val="21"/>
          <w:szCs w:val="21"/>
          <w:highlight w:val="none"/>
        </w:rPr>
        <w:t>4.3  大气污染物排放控制参数</w:t>
      </w:r>
      <w:bookmarkEnd w:id="80"/>
    </w:p>
    <w:p w14:paraId="64276CE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表3  大气污染物排放控制参数</w:t>
      </w:r>
    </w:p>
    <w:tbl>
      <w:tblPr>
        <w:tblStyle w:val="17"/>
        <w:tblW w:w="85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97"/>
        <w:gridCol w:w="1886"/>
        <w:gridCol w:w="3316"/>
      </w:tblGrid>
      <w:tr w14:paraId="04D88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2218A62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内容</w:t>
            </w:r>
          </w:p>
        </w:tc>
        <w:tc>
          <w:tcPr>
            <w:tcW w:w="1886" w:type="dxa"/>
            <w:noWrap w:val="0"/>
            <w:vAlign w:val="center"/>
          </w:tcPr>
          <w:p w14:paraId="52AF95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3316" w:type="dxa"/>
            <w:noWrap w:val="0"/>
            <w:vAlign w:val="center"/>
          </w:tcPr>
          <w:p w14:paraId="0D631B0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r>
      <w:tr w14:paraId="71420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2238821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一氧化碳（CO）平均浓度</w:t>
            </w:r>
          </w:p>
        </w:tc>
        <w:tc>
          <w:tcPr>
            <w:tcW w:w="1886" w:type="dxa"/>
            <w:noWrap w:val="0"/>
            <w:vAlign w:val="center"/>
          </w:tcPr>
          <w:p w14:paraId="41766AA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316" w:type="dxa"/>
            <w:noWrap w:val="0"/>
            <w:vAlign w:val="center"/>
          </w:tcPr>
          <w:p w14:paraId="2ABE4B0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≤0.20%</w:t>
            </w:r>
          </w:p>
        </w:tc>
      </w:tr>
      <w:tr w14:paraId="54FBD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118FD2D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二氧化硫（SO2）平均浓度</w:t>
            </w:r>
          </w:p>
        </w:tc>
        <w:tc>
          <w:tcPr>
            <w:tcW w:w="1886" w:type="dxa"/>
            <w:noWrap w:val="0"/>
            <w:vAlign w:val="center"/>
          </w:tcPr>
          <w:p w14:paraId="23B9DEF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mg/Nm³</w:t>
            </w:r>
          </w:p>
        </w:tc>
        <w:tc>
          <w:tcPr>
            <w:tcW w:w="3316" w:type="dxa"/>
            <w:noWrap w:val="0"/>
            <w:vAlign w:val="center"/>
          </w:tcPr>
          <w:p w14:paraId="72E5A37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r>
      <w:tr w14:paraId="7B6FA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02EA6F1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氮氧化合物（NOX）平均浓度</w:t>
            </w:r>
          </w:p>
        </w:tc>
        <w:tc>
          <w:tcPr>
            <w:tcW w:w="1886" w:type="dxa"/>
            <w:noWrap w:val="0"/>
            <w:vAlign w:val="center"/>
          </w:tcPr>
          <w:p w14:paraId="12D690F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mg/Nm³</w:t>
            </w:r>
          </w:p>
        </w:tc>
        <w:tc>
          <w:tcPr>
            <w:tcW w:w="3316" w:type="dxa"/>
            <w:noWrap w:val="0"/>
            <w:vAlign w:val="center"/>
          </w:tcPr>
          <w:p w14:paraId="591EEB9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≤300</w:t>
            </w:r>
          </w:p>
        </w:tc>
      </w:tr>
      <w:tr w14:paraId="423DB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211D4AC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颗粒物（PM）排放平均浓度</w:t>
            </w:r>
          </w:p>
        </w:tc>
        <w:tc>
          <w:tcPr>
            <w:tcW w:w="1886" w:type="dxa"/>
            <w:noWrap w:val="0"/>
            <w:vAlign w:val="center"/>
          </w:tcPr>
          <w:p w14:paraId="26BB49E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mg/Nm³</w:t>
            </w:r>
          </w:p>
        </w:tc>
        <w:tc>
          <w:tcPr>
            <w:tcW w:w="3316" w:type="dxa"/>
            <w:noWrap w:val="0"/>
            <w:vAlign w:val="center"/>
          </w:tcPr>
          <w:p w14:paraId="3370CE7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≤50</w:t>
            </w:r>
          </w:p>
        </w:tc>
      </w:tr>
      <w:tr w14:paraId="1799FE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04B3E0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烟气黑度（林格曼）</w:t>
            </w:r>
          </w:p>
        </w:tc>
        <w:tc>
          <w:tcPr>
            <w:tcW w:w="1886" w:type="dxa"/>
            <w:noWrap w:val="0"/>
            <w:vAlign w:val="center"/>
          </w:tcPr>
          <w:p w14:paraId="69179A1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级</w:t>
            </w:r>
          </w:p>
        </w:tc>
        <w:tc>
          <w:tcPr>
            <w:tcW w:w="3316" w:type="dxa"/>
            <w:noWrap w:val="0"/>
            <w:vAlign w:val="center"/>
          </w:tcPr>
          <w:p w14:paraId="65DB9F8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r>
    </w:tbl>
    <w:p w14:paraId="40B2500D">
      <w:pPr>
        <w:keepNext w:val="0"/>
        <w:keepLines w:val="0"/>
        <w:pageBreakBefore w:val="0"/>
        <w:widowControl w:val="0"/>
        <w:kinsoku/>
        <w:wordWrap/>
        <w:overflowPunct/>
        <w:topLinePunct w:val="0"/>
        <w:autoSpaceDE/>
        <w:autoSpaceDN/>
        <w:bidi w:val="0"/>
        <w:adjustRightInd/>
        <w:snapToGrid/>
        <w:spacing w:line="240" w:lineRule="atLeast"/>
        <w:ind w:firstLine="403" w:firstLineChars="192"/>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注：大气污染物排放最终应符合当地环保法规。</w:t>
      </w:r>
    </w:p>
    <w:p w14:paraId="5454BA4B">
      <w:pPr>
        <w:keepNext w:val="0"/>
        <w:keepLines w:val="0"/>
        <w:pageBreakBefore w:val="0"/>
        <w:widowControl w:val="0"/>
        <w:kinsoku/>
        <w:wordWrap/>
        <w:overflowPunct/>
        <w:topLinePunct w:val="0"/>
        <w:autoSpaceDE/>
        <w:autoSpaceDN/>
        <w:bidi w:val="0"/>
        <w:adjustRightInd/>
        <w:snapToGrid/>
        <w:spacing w:line="240" w:lineRule="atLeast"/>
        <w:ind w:firstLine="403" w:firstLineChars="192"/>
        <w:textAlignment w:val="auto"/>
        <w:rPr>
          <w:rFonts w:hint="eastAsia" w:ascii="宋体" w:hAnsi="宋体" w:eastAsia="宋体" w:cs="宋体"/>
          <w:sz w:val="21"/>
          <w:szCs w:val="21"/>
          <w:highlight w:val="none"/>
        </w:rPr>
      </w:pPr>
      <w:bookmarkStart w:id="81" w:name="_Toc129092921"/>
      <w:r>
        <w:rPr>
          <w:rFonts w:hint="eastAsia" w:ascii="宋体" w:hAnsi="宋体" w:eastAsia="宋体" w:cs="宋体"/>
          <w:sz w:val="21"/>
          <w:szCs w:val="21"/>
          <w:highlight w:val="none"/>
        </w:rPr>
        <w:t>4.4  燃料条件参数</w:t>
      </w:r>
      <w:bookmarkEnd w:id="81"/>
    </w:p>
    <w:p w14:paraId="6ED648F0">
      <w:pPr>
        <w:keepNext w:val="0"/>
        <w:keepLines w:val="0"/>
        <w:pageBreakBefore w:val="0"/>
        <w:widowControl w:val="0"/>
        <w:kinsoku/>
        <w:wordWrap/>
        <w:overflowPunct/>
        <w:topLinePunct w:val="0"/>
        <w:autoSpaceDE/>
        <w:autoSpaceDN/>
        <w:bidi w:val="0"/>
        <w:adjustRightInd/>
        <w:snapToGrid/>
        <w:spacing w:line="240" w:lineRule="atLeast"/>
        <w:ind w:firstLine="403" w:firstLineChars="192"/>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表4  燃料条件参数</w:t>
      </w:r>
    </w:p>
    <w:tbl>
      <w:tblPr>
        <w:tblStyle w:val="17"/>
        <w:tblW w:w="858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397"/>
        <w:gridCol w:w="1886"/>
        <w:gridCol w:w="3299"/>
      </w:tblGrid>
      <w:tr w14:paraId="465DA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459C77E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内容</w:t>
            </w:r>
          </w:p>
        </w:tc>
        <w:tc>
          <w:tcPr>
            <w:tcW w:w="1886" w:type="dxa"/>
            <w:noWrap w:val="0"/>
            <w:vAlign w:val="center"/>
          </w:tcPr>
          <w:p w14:paraId="36998E2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w:t>
            </w:r>
          </w:p>
        </w:tc>
        <w:tc>
          <w:tcPr>
            <w:tcW w:w="3299" w:type="dxa"/>
            <w:noWrap w:val="0"/>
            <w:vAlign w:val="center"/>
          </w:tcPr>
          <w:p w14:paraId="3F21974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指标</w:t>
            </w:r>
          </w:p>
        </w:tc>
      </w:tr>
      <w:tr w14:paraId="546E4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1FEC99F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直径</w:t>
            </w:r>
          </w:p>
        </w:tc>
        <w:tc>
          <w:tcPr>
            <w:tcW w:w="1886" w:type="dxa"/>
            <w:noWrap w:val="0"/>
            <w:vAlign w:val="center"/>
          </w:tcPr>
          <w:p w14:paraId="48C652F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3299" w:type="dxa"/>
            <w:noWrap w:val="0"/>
            <w:vAlign w:val="center"/>
          </w:tcPr>
          <w:p w14:paraId="364AC8A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6/8/10</w:t>
            </w:r>
          </w:p>
        </w:tc>
      </w:tr>
      <w:tr w14:paraId="1770C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1DC6D75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成型燃料堆积密度</w:t>
            </w:r>
          </w:p>
        </w:tc>
        <w:tc>
          <w:tcPr>
            <w:tcW w:w="1886" w:type="dxa"/>
            <w:noWrap w:val="0"/>
            <w:vAlign w:val="center"/>
          </w:tcPr>
          <w:p w14:paraId="3FC0A8A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kg/m³</w:t>
            </w:r>
          </w:p>
        </w:tc>
        <w:tc>
          <w:tcPr>
            <w:tcW w:w="3299" w:type="dxa"/>
            <w:noWrap w:val="0"/>
            <w:vAlign w:val="center"/>
          </w:tcPr>
          <w:p w14:paraId="248598C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≥600</w:t>
            </w:r>
          </w:p>
        </w:tc>
      </w:tr>
      <w:tr w14:paraId="42E56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535E5E7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低位热值</w:t>
            </w:r>
          </w:p>
        </w:tc>
        <w:tc>
          <w:tcPr>
            <w:tcW w:w="1886" w:type="dxa"/>
            <w:noWrap w:val="0"/>
            <w:vAlign w:val="center"/>
          </w:tcPr>
          <w:p w14:paraId="3CFC65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kJ/kg</w:t>
            </w:r>
          </w:p>
        </w:tc>
        <w:tc>
          <w:tcPr>
            <w:tcW w:w="3299" w:type="dxa"/>
            <w:noWrap w:val="0"/>
            <w:vAlign w:val="center"/>
          </w:tcPr>
          <w:p w14:paraId="66706AE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≥12000</w:t>
            </w:r>
          </w:p>
        </w:tc>
      </w:tr>
      <w:tr w14:paraId="1F0E5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48C68EA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水分</w:t>
            </w:r>
          </w:p>
        </w:tc>
        <w:tc>
          <w:tcPr>
            <w:tcW w:w="1886" w:type="dxa"/>
            <w:noWrap w:val="0"/>
            <w:vAlign w:val="center"/>
          </w:tcPr>
          <w:p w14:paraId="243908A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299" w:type="dxa"/>
            <w:noWrap w:val="0"/>
            <w:vAlign w:val="center"/>
          </w:tcPr>
          <w:p w14:paraId="4F1B500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r>
      <w:tr w14:paraId="4C317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6B5D7CA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灰分</w:t>
            </w:r>
          </w:p>
        </w:tc>
        <w:tc>
          <w:tcPr>
            <w:tcW w:w="1886" w:type="dxa"/>
            <w:noWrap w:val="0"/>
            <w:vAlign w:val="center"/>
          </w:tcPr>
          <w:p w14:paraId="56F63AC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299" w:type="dxa"/>
            <w:noWrap w:val="0"/>
            <w:vAlign w:val="center"/>
          </w:tcPr>
          <w:p w14:paraId="2A5C620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r>
      <w:tr w14:paraId="5598E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5B0164B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灰熔点</w:t>
            </w:r>
          </w:p>
        </w:tc>
        <w:tc>
          <w:tcPr>
            <w:tcW w:w="1886" w:type="dxa"/>
            <w:noWrap w:val="0"/>
            <w:vAlign w:val="center"/>
          </w:tcPr>
          <w:p w14:paraId="3C7D97A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299" w:type="dxa"/>
            <w:noWrap w:val="0"/>
            <w:vAlign w:val="center"/>
          </w:tcPr>
          <w:p w14:paraId="335EA7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≥1100</w:t>
            </w:r>
          </w:p>
        </w:tc>
      </w:tr>
      <w:tr w14:paraId="75B6D2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4F1E9F0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长度</w:t>
            </w:r>
          </w:p>
        </w:tc>
        <w:tc>
          <w:tcPr>
            <w:tcW w:w="1886" w:type="dxa"/>
            <w:noWrap w:val="0"/>
            <w:vAlign w:val="center"/>
          </w:tcPr>
          <w:p w14:paraId="7C53BA4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mm</w:t>
            </w:r>
          </w:p>
        </w:tc>
        <w:tc>
          <w:tcPr>
            <w:tcW w:w="3299" w:type="dxa"/>
            <w:noWrap w:val="0"/>
            <w:vAlign w:val="center"/>
          </w:tcPr>
          <w:p w14:paraId="356B48C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≤4倍直径</w:t>
            </w:r>
          </w:p>
        </w:tc>
      </w:tr>
      <w:tr w14:paraId="3875F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5" w:hRule="atLeast"/>
          <w:tblHeader/>
          <w:jc w:val="center"/>
        </w:trPr>
        <w:tc>
          <w:tcPr>
            <w:tcW w:w="3397" w:type="dxa"/>
            <w:noWrap w:val="0"/>
            <w:vAlign w:val="center"/>
          </w:tcPr>
          <w:p w14:paraId="45EE99B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破碎率</w:t>
            </w:r>
          </w:p>
        </w:tc>
        <w:tc>
          <w:tcPr>
            <w:tcW w:w="1886" w:type="dxa"/>
            <w:noWrap w:val="0"/>
            <w:vAlign w:val="center"/>
          </w:tcPr>
          <w:p w14:paraId="346C1CC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3299" w:type="dxa"/>
            <w:noWrap w:val="0"/>
            <w:vAlign w:val="center"/>
          </w:tcPr>
          <w:p w14:paraId="171ADD3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r>
    </w:tbl>
    <w:p w14:paraId="5AD50B3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注：成型燃料质量应符合NB/T 34024的有关规定。</w:t>
      </w:r>
    </w:p>
    <w:p w14:paraId="2A34BD6B">
      <w:pPr>
        <w:ind w:firstLine="403" w:firstLineChars="192"/>
        <w:rPr>
          <w:rFonts w:hint="eastAsia" w:ascii="宋体" w:hAnsi="宋体" w:eastAsia="宋体" w:cs="宋体"/>
          <w:sz w:val="21"/>
          <w:szCs w:val="21"/>
          <w:highlight w:val="none"/>
        </w:rPr>
      </w:pPr>
      <w:bookmarkStart w:id="82" w:name="_Toc129092922"/>
      <w:r>
        <w:rPr>
          <w:rFonts w:hint="eastAsia" w:ascii="宋体" w:hAnsi="宋体" w:eastAsia="宋体" w:cs="宋体"/>
          <w:sz w:val="21"/>
          <w:szCs w:val="21"/>
          <w:highlight w:val="none"/>
        </w:rPr>
        <w:t>5.5  供热装置结构参数</w:t>
      </w:r>
      <w:bookmarkEnd w:id="82"/>
    </w:p>
    <w:p w14:paraId="10D9DAE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  燃烧机</w:t>
      </w:r>
    </w:p>
    <w:p w14:paraId="7E3D680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主体结构包括贮料箱、撤料口、送料螺旋、点火棒、观火窗、清灰除焦推杆、助燃风机、密封固定板、燃烧弧板（图XX）。</w:t>
      </w:r>
    </w:p>
    <w:p w14:paraId="123680DA">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4055745" cy="2534920"/>
            <wp:effectExtent l="0" t="0" r="1905" b="17780"/>
            <wp:docPr id="14" name="图片 6" descr="D:\福建标准文件修改20211028\图5.png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D:\福建标准文件修改20211028\图5.png图5"/>
                    <pic:cNvPicPr>
                      <a:picLocks noChangeAspect="1"/>
                    </pic:cNvPicPr>
                  </pic:nvPicPr>
                  <pic:blipFill>
                    <a:blip r:embed="rId21"/>
                    <a:stretch>
                      <a:fillRect/>
                    </a:stretch>
                  </pic:blipFill>
                  <pic:spPr>
                    <a:xfrm>
                      <a:off x="0" y="0"/>
                      <a:ext cx="4055745" cy="2534920"/>
                    </a:xfrm>
                    <a:prstGeom prst="rect">
                      <a:avLst/>
                    </a:prstGeom>
                    <a:noFill/>
                    <a:ln>
                      <a:noFill/>
                    </a:ln>
                  </pic:spPr>
                </pic:pic>
              </a:graphicData>
            </a:graphic>
          </wp:inline>
        </w:drawing>
      </w:r>
    </w:p>
    <w:p w14:paraId="47823C8F">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图1 燃烧机结构图</w:t>
      </w:r>
    </w:p>
    <w:p w14:paraId="2DC8F70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5.5.1.1  贮料箱</w:t>
      </w:r>
    </w:p>
    <w:p w14:paraId="3C914B9E">
      <w:pPr>
        <w:ind w:firstLine="403" w:firstLineChars="192"/>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放置燃料的容器。箱体内壁光滑，材质采用Q235，厚度≥1.2mm，下斜面与水平夹角≥40°，有效容积≥0.2m3，上沿口距离地面高度≤1700mm。箱体设有料位观察窗和箱盖，料位观察窗能有效观察存料情况，材质采用有机玻璃，高度≥150mm，宽度≥30mm；箱盖能覆盖整个贮料箱顶部，具有防雨功能，设有拉手或锁扣。</w:t>
      </w:r>
    </w:p>
    <w:p w14:paraId="0DE6E5A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5.5.1.2  撤料口</w:t>
      </w:r>
    </w:p>
    <w:p w14:paraId="6BB21AFC">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排除未使用燃料的部件。使用插板式结构，插板方便卸料并满足快速装配的要求，撤料口位于贮料箱底部的左侧或右侧。撤料口采用Q235钢板制作，厚度≥1.2 mm，撤料口截面积≥10000 mm2。</w:t>
      </w:r>
    </w:p>
    <w:p w14:paraId="75E37A5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5.5.1.3  螺旋送料器</w:t>
      </w:r>
    </w:p>
    <w:p w14:paraId="1F29008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将燃料送到燃烧室的部件。采用单级或者双级螺旋送料，叶片及壳体采用Q235钢板制作，厚度≥3.0mm；设有防回火结构；螺旋轴采用45钢或40Cr；螺旋叶片外径≥70mm，叶片实际厚度≥3.0mm，叶片与外壳内壁底部间距≤4mm；螺旋轴端，采用减速器或者链轮链条驱动方式，设置火力控制档位≥10个，满足控火精度要求。</w:t>
      </w:r>
    </w:p>
    <w:p w14:paraId="6477670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 .4  点火棒</w:t>
      </w:r>
    </w:p>
    <w:p w14:paraId="1667D7C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材质采用氮化硅，电子式自动点火，带防灰和防触电功能，功率≥0.60kW，点火时间≤4min，使用次数≥2000次，能正常点燃各种生物质燃料；实现智能识别燃烧状态，自动点火。</w:t>
      </w:r>
    </w:p>
    <w:p w14:paraId="0E7D263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5.5.1.5  观火窗</w:t>
      </w:r>
    </w:p>
    <w:p w14:paraId="175DA1B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观察燃料的燃烧状态。观火窗，圆形，有效面直径≥Φ30mm，采用Q235钢制成。一端与燃烧室连通，一端设有透片，透片材质采用有机玻璃。</w:t>
      </w:r>
    </w:p>
    <w:p w14:paraId="0C3EFF5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5.5.1.6  清灰除焦器</w:t>
      </w:r>
    </w:p>
    <w:p w14:paraId="7ED8EE5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正常工作状态下能自动将燃料燃烧产生的灰渣、焦渣排除，设计时选用推杆清灰除焦方式，满足设备维修、更换方便，故障排除时间短等要求。</w:t>
      </w:r>
    </w:p>
    <w:p w14:paraId="56F122C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推杆方式材质采用06Cr25Ni20或耐热性能更优材质制作的，厚度≥5.0mm，推杆外径≥Φ30mm，且方便更换，推荐选用交流减速电机驱动推杆。</w:t>
      </w:r>
    </w:p>
    <w:p w14:paraId="624DB9D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5.5.1.7  助燃风机</w:t>
      </w:r>
    </w:p>
    <w:p w14:paraId="181DB20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采用可调速风机（推荐选用直流无刷风机），可变风量、风压，基本型式、尺寸参数及性能曲线，符合GB/T3235的规定。风量≥400m3/h，风压≥190Pa。风机电机绝缘等级F级，防护等级IP54，并配有防护罩。</w:t>
      </w:r>
    </w:p>
    <w:p w14:paraId="330D53B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5.5.1.8  密封固定板</w:t>
      </w:r>
    </w:p>
    <w:p w14:paraId="3BD8124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与原密集烤房供热设备加煤口对接平齐牢固并密封。密封板采用Q235材质制作，实际厚度 ≥ 3.7 mm。密封固定板两侧与送料燃烧装置框放置40mm</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10mm耐高温石棉条，采用快速扣接或T型螺杆连接紧固，密封良好。</w:t>
      </w:r>
    </w:p>
    <w:p w14:paraId="4947902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5.5.1.9  燃烧弧板</w:t>
      </w:r>
    </w:p>
    <w:p w14:paraId="769608A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采用耐热铸铁制成，V型设计，垂直燃烧，确保燃烧火焰在燃烧室水平面的中心位置，材质为 QTRSi5 耐热球墨铸铁，厚度 ≥ 11 .5mm；燃烧狐板底部封板采用 06Cr19Ni10 或耐热性能更优材质制作，厚度 ≥ 2.0 mm。燃烧狐板底板设计有与耐热铸铁燃烧狐板相对应的6个螺丝口，采用螺丝将耐热铸铁燃烧狐板固定于燃烧狐板底板</w:t>
      </w:r>
    </w:p>
    <w:p w14:paraId="4CD3D59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密封固定板至燃烧弧板最前端距离≥950 mm， 其中密封固定板至燃烧弧板上切口端面≥570mm，燃烧弧板长度≥380mm，弧内半径≥120mm。</w:t>
      </w:r>
    </w:p>
    <w:p w14:paraId="7935E12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燃烧机配风装置与燃烧狐板底板焊接成一体，配风箱正面挡板材质为09CuPCrNi，厚度≥7.8mm，可隔开配风箱与燃烧弧板的火焰。</w:t>
      </w:r>
    </w:p>
    <w:p w14:paraId="46B81AF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燃烧弧板结构技术参数，见图8</w:t>
      </w:r>
    </w:p>
    <w:p w14:paraId="772AF96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燃烧狐板底板与燃烧弧板挡板结构技术参数，见图9</w:t>
      </w:r>
    </w:p>
    <w:p w14:paraId="6F1CEC0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燃烧弧板与燃烧弧板挡板的连接方式，见图10</w:t>
      </w:r>
    </w:p>
    <w:p w14:paraId="68046A71">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3284855" cy="2933065"/>
            <wp:effectExtent l="0" t="0" r="1079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3284855" cy="2933065"/>
                    </a:xfrm>
                    <a:prstGeom prst="rect">
                      <a:avLst/>
                    </a:prstGeom>
                    <a:noFill/>
                    <a:ln>
                      <a:noFill/>
                    </a:ln>
                  </pic:spPr>
                </pic:pic>
              </a:graphicData>
            </a:graphic>
          </wp:inline>
        </w:drawing>
      </w:r>
    </w:p>
    <w:p w14:paraId="33A3C38F">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图8  V型耐热球墨铸铁燃烧弧板</w:t>
      </w:r>
    </w:p>
    <w:p w14:paraId="7B49E7C8">
      <w:pPr>
        <w:ind w:firstLine="403" w:firstLineChars="192"/>
        <w:rPr>
          <w:rFonts w:hint="eastAsia" w:ascii="宋体" w:hAnsi="宋体" w:eastAsia="宋体" w:cs="宋体"/>
          <w:sz w:val="21"/>
          <w:szCs w:val="21"/>
          <w:highlight w:val="none"/>
        </w:rPr>
      </w:pPr>
    </w:p>
    <w:p w14:paraId="7821E764">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2532380" cy="2792730"/>
            <wp:effectExtent l="0" t="0" r="127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3"/>
                    <a:stretch>
                      <a:fillRect/>
                    </a:stretch>
                  </pic:blipFill>
                  <pic:spPr>
                    <a:xfrm>
                      <a:off x="0" y="0"/>
                      <a:ext cx="2532380" cy="2792730"/>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1723390" cy="2764155"/>
            <wp:effectExtent l="0" t="0" r="10160" b="171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4"/>
                    <a:stretch>
                      <a:fillRect/>
                    </a:stretch>
                  </pic:blipFill>
                  <pic:spPr>
                    <a:xfrm>
                      <a:off x="0" y="0"/>
                      <a:ext cx="1723390" cy="2764155"/>
                    </a:xfrm>
                    <a:prstGeom prst="rect">
                      <a:avLst/>
                    </a:prstGeom>
                    <a:noFill/>
                    <a:ln>
                      <a:noFill/>
                    </a:ln>
                  </pic:spPr>
                </pic:pic>
              </a:graphicData>
            </a:graphic>
          </wp:inline>
        </w:drawing>
      </w:r>
    </w:p>
    <w:p w14:paraId="549D3C9F">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图9  燃烧狐板底板与燃烧弧板挡板</w:t>
      </w:r>
    </w:p>
    <w:p w14:paraId="6E645FE8">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4578985" cy="2258060"/>
            <wp:effectExtent l="0" t="0" r="12065" b="889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5"/>
                    <a:stretch>
                      <a:fillRect/>
                    </a:stretch>
                  </pic:blipFill>
                  <pic:spPr>
                    <a:xfrm>
                      <a:off x="0" y="0"/>
                      <a:ext cx="4578985" cy="2258060"/>
                    </a:xfrm>
                    <a:prstGeom prst="rect">
                      <a:avLst/>
                    </a:prstGeom>
                    <a:noFill/>
                    <a:ln>
                      <a:noFill/>
                    </a:ln>
                  </pic:spPr>
                </pic:pic>
              </a:graphicData>
            </a:graphic>
          </wp:inline>
        </w:drawing>
      </w:r>
    </w:p>
    <w:p w14:paraId="4ACC7518">
      <w:pPr>
        <w:ind w:firstLine="403" w:firstLineChars="192"/>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图10  燃烧弧板与燃烧弧板挡板的连接方式</w:t>
      </w:r>
    </w:p>
    <w:p w14:paraId="4C41BC4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5.5.1.10   燃烧机移动支架</w:t>
      </w:r>
    </w:p>
    <w:p w14:paraId="794D1B9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支撑柱，采用 Q235 型材或热轧板制作，壁厚≥ 2 mm；底部安装4个 360°旋转万向脚轮，轮子材质 HT200，轮子直径≥100 mm，单轮承重≥100 kg，整机推动灵活，后轮带刹车功能；脚轮座与机架承重立柱，通过螺杆连接，可通过调节螺杆调整机架高度，螺杆直径≥24 mm，螺杆调节高度范围±100mm。方便燃烧机的安装与拆卸。外置颗粒燃烧机要提供移动支架，内置颗粒燃烧机不提供移动支架。</w:t>
      </w:r>
    </w:p>
    <w:p w14:paraId="4558957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  控制器</w:t>
      </w:r>
    </w:p>
    <w:p w14:paraId="788AC67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基于国烟办综〔2009〕418号文件中自动化控制器技术的基础上，新增生物质颗粒燃烧机控制功能。控制器须对燃烧机、烤房和烤房循环风机三个方面实现集成控制。对于燃烧机能够实现自动送料、自动点火、自动配风助燃、自动调节热负荷、自动清灰除焦、中途断电自动恢复、反转退料控制；对于烤房能够实现自动控温控湿；对于循环风机能够与变频器结合实现对风机电机的变频调速控制且可实现手动控制切换，并可对循环风机实现过电压、过电流、短路、缺相保护和相序保护。</w:t>
      </w:r>
    </w:p>
    <w:p w14:paraId="223ABD8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控制器的基本结构、主要设备和技术参数、安装要求、LCD屏显示、操作方法及注意事项等，在执行国烟办综〔2009〕418号文件规定的基础上，根据需要优化调整。</w:t>
      </w:r>
    </w:p>
    <w:p w14:paraId="74E98B5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除下述内容外，控制器的基本结构、主要设备和技术参数、安装要求、操作方法及注意事项等，在执行国烟办综〔2009〕418号文件规定的基础上，根据需要优化调整。</w:t>
      </w:r>
    </w:p>
    <w:p w14:paraId="40BD61E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若采用触摸屏控制面板，应满足以下技术要求：面板采用彩色触摸屏液晶屏作为人机交换界面。屏幕规格：屏幕尺寸≥7英寸；屏幕比例：16：9；视角：左右≤140，上下≥120；分辨率：640</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480；亮度：300cd/m2；对比度：300：1；响应时间：≤20；显示颜色：262K(6bit)。触摸屏：类型：电阻式、电容式；操作力度＜80g；反应时间：≤10ms；使用寿命：&gt;100万次；表面硬度：≥3H（pencil）。</w:t>
      </w:r>
    </w:p>
    <w:p w14:paraId="4F01FAD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5.5.2.1 箱盖和箱底。采用阻燃ABS塑料模具成型，全新颗粒料注塑。要求坚固，防尘，美观。阻燃达到民用V—1级，符合GB 20286和UL94规定。防护等级达到IP54，符合GB 4208外壳防护等级规定。要有接地端子。</w:t>
      </w:r>
    </w:p>
    <w:p w14:paraId="55F71A7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5.5.2.2 主机电压。主机工作电压按不同电源要求分别设计，允许在额定电压波动±20%。主体模块间连接可靠、方便，强弱电分离，符合GB/T 4588.3规定。可在环境温度0 ℃～45 ℃，相对湿度≤85%条件下正常工作。</w:t>
      </w:r>
    </w:p>
    <w:p w14:paraId="17BF3DD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5.5.2.3  燃烧机电源引线。控制电源引线使用铜线。动力电缆符合GB 5013.1规定。导线截面积≥0.75 mm2。</w:t>
      </w:r>
    </w:p>
    <w:p w14:paraId="08BDFA5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5.5.2.4  设计要求。电容、可控硅、继电器和接触器等器件具有一定冗余量，输出驱动负载和受电冲击较强的器件具有保护措施。功率器件选用3C认证产品。易损器件采用插接方便的安装方式，固定牢固，正常工作温度范围0 ℃～70 ℃。关键芯片具有静电放电保护措施，发热量较大的器件采取散热措施。符合GB 5226.1规定。</w:t>
      </w:r>
    </w:p>
    <w:p w14:paraId="699619E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5.5.2.5  插座连线。控制器和燃烧机连接采用带航空头接口电缆，插座标志明显，具有防插错功能。接口设置在机箱内部，插座连接。符合GB/T 11918.1规定。</w:t>
      </w:r>
    </w:p>
    <w:p w14:paraId="5235C45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5.5.2.6  其他要求。控制器安装方便，易损件可拆卸、可更换；工作电压AC220V±20%；整机通过GB/T 3482-2008/4级，防雷要求。</w:t>
      </w:r>
    </w:p>
    <w:p w14:paraId="65F4B90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5.5.2.7  符合电器规范。工作时不对其它电器设备产生干扰，符合GB/T 17626.6-2008电磁兼容+试验和测量技术+射频场感应的传导骚扰抗扰度，GB/T 17626.4-2008电磁兼容+实验和测量技术电快速瞬变脉冲群抗扰度试验，GB/T 17626.11-2008电磁兼容+试验和测量技术+电压暂降、短时中断和电压变化的抗扰度，GB/T 17626.5-2008电磁兼容+试验和测量技术+浪涌（冲击）抗扰度试验。EMC特性必须符合IEC/EN 61800-3: 2004 (Adjustable speed electrical power drive systems part 3:EMC requirements and specific test methods)标准。</w:t>
      </w:r>
    </w:p>
    <w:p w14:paraId="76B0F6F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5.5.2.8  变频器主要技术参数（选配）。</w:t>
      </w:r>
    </w:p>
    <w:p w14:paraId="6C6D01A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a）变频器功率范围：0.75 kW ～2.2 kW；</w:t>
      </w:r>
    </w:p>
    <w:p w14:paraId="23D8BA0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b）输入电压范围：三相380 V等级满足380 V～480 V，波动范围-20%～+10%；</w:t>
      </w:r>
    </w:p>
    <w:p w14:paraId="65FBC0C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c）变频器参数具备锁定功能；</w:t>
      </w:r>
    </w:p>
    <w:p w14:paraId="4118CEB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d）变频器输出频率0～400 Hz；</w:t>
      </w:r>
    </w:p>
    <w:p w14:paraId="1FA18BE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e）变频器必须内置满足C3等级输入滤波器；</w:t>
      </w:r>
    </w:p>
    <w:p w14:paraId="45F1CE0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f）过载能力：120%额定负载，工作60 s；150%额定负载，工作10 s；180%额定负载，工作1s。</w:t>
      </w:r>
    </w:p>
    <w:p w14:paraId="548F5AF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g）具有过流、过压、欠压、缺相、过载保护和相序保护。</w:t>
      </w:r>
    </w:p>
    <w:p w14:paraId="587AA79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h）变频器的EMC特性必须符合IEC/EN 61800-3: 2004 (Adjustable speed electrical power drive systems part 3:EMC requirements and specific test methods)标准。</w:t>
      </w:r>
    </w:p>
    <w:p w14:paraId="6299C10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i) 电器绝缘。</w:t>
      </w:r>
    </w:p>
    <w:p w14:paraId="64B1987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控制器的介电强度和绝缘电阻符合GB/T 7251.1的相关规定，在承受介电强度电压后的绝缘电阻≥2 MΩ。</w:t>
      </w:r>
    </w:p>
    <w:p w14:paraId="33E3E8C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j) 可靠性要求。</w:t>
      </w:r>
    </w:p>
    <w:p w14:paraId="1BE40B7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有效度≥98%。</w:t>
      </w:r>
    </w:p>
    <w:p w14:paraId="32224B3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k) 配线连接头定义。</w:t>
      </w:r>
    </w:p>
    <w:p w14:paraId="20CB0F3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控制器与生物质燃烧机连接线采用12孔配线连接头，管脚1～12依次定义为：送料L、送料N、点火L、点火N、鼓风L、鼓风N，反转退料L、直流清渣输出1、交流清渣反转L、交流清渣N、交流清渣正转L、直流清渣输出2；控制器电路板上插座型号：HX63080-12A（42002），配线连接头型号：HX63080-12P（42021）。</w:t>
      </w:r>
    </w:p>
    <w:p w14:paraId="09DB7A9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1983105" cy="1520825"/>
            <wp:effectExtent l="0" t="0" r="17145" b="3175"/>
            <wp:docPr id="17" name="图片 17" descr="file:///D:\My%20Documents\Tencent%20Files\241911507\Image\C2C\BRFX%7bR07%604%7b~N8XN3_FVM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ile:///D:\My%20Documents\Tencent%20Files\241911507\Image\C2C\BRFX%7bR07%604%7b~N8XN3_FVMNT.png"/>
                    <pic:cNvPicPr>
                      <a:picLocks noChangeAspect="1"/>
                    </pic:cNvPicPr>
                  </pic:nvPicPr>
                  <pic:blipFill>
                    <a:blip r:embed="rId26"/>
                    <a:stretch>
                      <a:fillRect/>
                    </a:stretch>
                  </pic:blipFill>
                  <pic:spPr>
                    <a:xfrm>
                      <a:off x="0" y="0"/>
                      <a:ext cx="1983105" cy="1520825"/>
                    </a:xfrm>
                    <a:prstGeom prst="rect">
                      <a:avLst/>
                    </a:prstGeom>
                    <a:noFill/>
                    <a:ln>
                      <a:noFill/>
                    </a:ln>
                  </pic:spPr>
                </pic:pic>
              </a:graphicData>
            </a:graphic>
          </wp:inline>
        </w:drawing>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rPr>
        <w:drawing>
          <wp:inline distT="0" distB="0" distL="114300" distR="114300">
            <wp:extent cx="2552700" cy="1414780"/>
            <wp:effectExtent l="0" t="0" r="0" b="13970"/>
            <wp:docPr id="18" name="图片 12" descr="file:///D:\My%20Documents\Tencent%20Files\241911507\Image\C2C\%25(AH5JYBD%5d37%25T%25XF1JD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file:///D:\My%20Documents\Tencent%20Files\241911507\Image\C2C\%25(AH5JYBD%5d37%25T%25XF1JD6(Q.png"/>
                    <pic:cNvPicPr>
                      <a:picLocks noChangeAspect="1"/>
                    </pic:cNvPicPr>
                  </pic:nvPicPr>
                  <pic:blipFill>
                    <a:blip r:embed="rId27"/>
                    <a:stretch>
                      <a:fillRect/>
                    </a:stretch>
                  </pic:blipFill>
                  <pic:spPr>
                    <a:xfrm>
                      <a:off x="0" y="0"/>
                      <a:ext cx="2552700" cy="1414780"/>
                    </a:xfrm>
                    <a:prstGeom prst="rect">
                      <a:avLst/>
                    </a:prstGeom>
                    <a:noFill/>
                    <a:ln>
                      <a:noFill/>
                    </a:ln>
                  </pic:spPr>
                </pic:pic>
              </a:graphicData>
            </a:graphic>
          </wp:inline>
        </w:drawing>
      </w:r>
    </w:p>
    <w:p w14:paraId="5DCA3FAD">
      <w:pPr>
        <w:ind w:firstLine="823" w:firstLineChars="392"/>
        <w:rPr>
          <w:rFonts w:hint="eastAsia" w:ascii="宋体" w:hAnsi="宋体" w:eastAsia="宋体" w:cs="宋体"/>
          <w:sz w:val="21"/>
          <w:szCs w:val="21"/>
          <w:highlight w:val="none"/>
        </w:rPr>
      </w:pPr>
      <w:r>
        <w:rPr>
          <w:rFonts w:hint="eastAsia" w:ascii="宋体" w:hAnsi="宋体" w:eastAsia="宋体" w:cs="宋体"/>
          <w:sz w:val="21"/>
          <w:szCs w:val="21"/>
          <w:highlight w:val="none"/>
        </w:rPr>
        <w:t>图1  12孔配线连接头示意图     图2  12孔航空接头配线示意图</w:t>
      </w:r>
    </w:p>
    <w:p w14:paraId="64167AB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与燃烧机连接时，采用12芯WS28-12芯 TQ/KZ航空插头插座。管脚1～12依次定义为：送料L、送料N、点火L、点火N、鼓风L、鼓风N，反转退料L、直流清渣输出1、交流清渣反转L、交流清渣N、交流清渣正转L、直流清渣输出2。</w:t>
      </w:r>
    </w:p>
    <w:p w14:paraId="59C645A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l) 变频器通信接口。</w:t>
      </w:r>
    </w:p>
    <w:p w14:paraId="171ACDE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RS485接口，支持Modbus(RTU)协议，与外部循环风机变频连接。</w:t>
      </w:r>
    </w:p>
    <w:p w14:paraId="4D1086C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m) 物联网通信接口。</w:t>
      </w:r>
    </w:p>
    <w:p w14:paraId="65B24EF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RS485接口，支持Modbus(RTU)协议，提供电气特性，包括电源引脚电压及最大允许供电电流、通信引脚电平RS485或TTL、波特率、起始位、停止位、校验位，提供所有寄存器说明，包括地址、名称、数据格式、初始值、数值范围、读写特性、参数说明，符合通信接口的物联网模块可以正确读取控制器运行数据。可通过485接口和外部wifi/2g/3g/4g模块连接，实现物联网通讯。在烤房设备较分散区域，采用一机一卡，通过电信、移动、联通网络，使用2g/3g/4g模式通信；在烤房设备较集中区域，采用有线网络，同时配合现场wifi网络覆盖，使用wifi模式通信。为将烘烤实时进程参数和图像等信息传输到管理人员手机或计算机上预留接口。</w:t>
      </w:r>
    </w:p>
    <w:p w14:paraId="7A19C5E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支持MQTT协议，作为烘烤自控仪接口规范和传输协议，实现遥测数据采集、传输、状态查询、异常报警和远程控制等功能，详见《烟叶烘烤自控仪接口规范》。</w:t>
      </w:r>
    </w:p>
    <w:p w14:paraId="433869F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物联网烘烤功能作为选配装置，具备设备自动定位、人员考勤打卡、烘烤数据无线传输和历史数据查询、温湿度异常报警等功能，具备远程控制功能升级。</w:t>
      </w:r>
    </w:p>
    <w:p w14:paraId="689EF08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 原烤房助燃鼓风机控制接口。</w:t>
      </w:r>
    </w:p>
    <w:p w14:paraId="1666FE4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控制器具备国烟办综〔2009〕418号文件规定的燃煤炉助燃鼓风机的控制接口，采用标准AC两孔插头。</w:t>
      </w:r>
    </w:p>
    <w:p w14:paraId="11CA762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o) 熄火检测温度传感器接口。</w:t>
      </w:r>
    </w:p>
    <w:p w14:paraId="50DD11A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预留K型热电偶温度传感器检测接口，用于生物质颗粒成型燃料燃烧装置炉壁温度检测，当出现熄火的情况时，实现自动点火功能。</w:t>
      </w:r>
    </w:p>
    <w:p w14:paraId="1346DE33">
      <w:pPr>
        <w:ind w:firstLine="403" w:firstLineChars="192"/>
        <w:rPr>
          <w:rFonts w:hint="eastAsia" w:ascii="宋体" w:hAnsi="宋体" w:eastAsia="宋体" w:cs="宋体"/>
          <w:sz w:val="21"/>
          <w:szCs w:val="21"/>
          <w:highlight w:val="none"/>
        </w:rPr>
      </w:pPr>
      <w:bookmarkStart w:id="83" w:name="_Toc129092923"/>
      <w:r>
        <w:rPr>
          <w:rFonts w:hint="eastAsia" w:ascii="宋体" w:hAnsi="宋体" w:eastAsia="宋体" w:cs="宋体"/>
          <w:sz w:val="21"/>
          <w:szCs w:val="21"/>
          <w:highlight w:val="none"/>
        </w:rPr>
        <w:t>6.  制造质量及要求</w:t>
      </w:r>
      <w:bookmarkEnd w:id="83"/>
    </w:p>
    <w:p w14:paraId="557CE118">
      <w:pPr>
        <w:ind w:firstLine="403" w:firstLineChars="192"/>
        <w:rPr>
          <w:rFonts w:hint="eastAsia" w:ascii="宋体" w:hAnsi="宋体" w:eastAsia="宋体" w:cs="宋体"/>
          <w:sz w:val="21"/>
          <w:szCs w:val="21"/>
          <w:highlight w:val="none"/>
        </w:rPr>
      </w:pPr>
      <w:bookmarkStart w:id="84" w:name="_Toc129092924"/>
      <w:r>
        <w:rPr>
          <w:rFonts w:hint="eastAsia" w:ascii="宋体" w:hAnsi="宋体" w:eastAsia="宋体" w:cs="宋体"/>
          <w:sz w:val="21"/>
          <w:szCs w:val="21"/>
          <w:highlight w:val="none"/>
        </w:rPr>
        <w:t>6.1  加工件质量要求</w:t>
      </w:r>
      <w:bookmarkEnd w:id="84"/>
    </w:p>
    <w:p w14:paraId="6BE3C31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铸造加工件：灰铸铁符合GB/T 9439-2010要求，耐热铸铁符合GB/T 9437-2009要求。铸件不得有裂纹、气孔、夹渣、缩松、沙眼等缺陷。</w:t>
      </w:r>
    </w:p>
    <w:p w14:paraId="5A09218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钣金件表面平整，不得有裂纹、皱折、凹凸、锈蚀等缺陷。</w:t>
      </w:r>
    </w:p>
    <w:p w14:paraId="28A9A1F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焊接件符合GB/T 12467.1～12467.4-1998要求。焊接部位须选用与母材一致的焊材，当高等级母材与低等级母材焊接时，须选用与高等级母材一致的焊材；焊缝要严密平整，无气孔，无夹渣，不漏气；焊接件要求焊接牢固、平整、均匀，无烧穿、未焊透等缺陷。</w:t>
      </w:r>
    </w:p>
    <w:p w14:paraId="377A3D8C">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 机械加工件表面无磕、碰、划伤、锈蚀等缺陷；轴、链轮、齿轮等机械加工零件须按强度和硬度需求进行热处理加工。</w:t>
      </w:r>
    </w:p>
    <w:p w14:paraId="56E40B5C">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e) 铆接件、螺栓连接件要求牢固，铆钉、螺栓不得松动、歪斜。</w:t>
      </w:r>
    </w:p>
    <w:p w14:paraId="4C89AE6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f) 隔热和保温件材料符合国家相关标准。</w:t>
      </w:r>
    </w:p>
    <w:p w14:paraId="6DF3B1BA">
      <w:pPr>
        <w:ind w:firstLine="403" w:firstLineChars="192"/>
        <w:rPr>
          <w:rFonts w:hint="eastAsia" w:ascii="宋体" w:hAnsi="宋体" w:eastAsia="宋体" w:cs="宋体"/>
          <w:sz w:val="21"/>
          <w:szCs w:val="21"/>
          <w:highlight w:val="none"/>
        </w:rPr>
      </w:pPr>
      <w:bookmarkStart w:id="85" w:name="_Toc129092925"/>
      <w:r>
        <w:rPr>
          <w:rFonts w:hint="eastAsia" w:ascii="宋体" w:hAnsi="宋体" w:eastAsia="宋体" w:cs="宋体"/>
          <w:sz w:val="21"/>
          <w:szCs w:val="21"/>
          <w:highlight w:val="none"/>
        </w:rPr>
        <w:t>6.2  外观和防护</w:t>
      </w:r>
      <w:bookmarkEnd w:id="85"/>
    </w:p>
    <w:p w14:paraId="26BB363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整机外表须采用喷涂处理，要求色泽均匀，色彩搭配美观，防尘、防水、防锈，外表面应采用附着力强的环保材料，内表面应喷涂防锈漆，其中不锈钢表面不喷涂（外表面可采用抛光、拉丝处理）。</w:t>
      </w:r>
    </w:p>
    <w:p w14:paraId="36986F2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燃烧系统外形整体要求美观、协调。其外表面须采用静电喷涂防腐处理，相同部件表面涂层颜色一致，无明显色差，表面光滑清洁，无毛刺和飞边，无磕、碰、划伤、锈蚀及脱漆现象。</w:t>
      </w:r>
    </w:p>
    <w:p w14:paraId="7ED9812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外露高温和转动部件须安装防护罩并按规定设置警示标志。</w:t>
      </w:r>
    </w:p>
    <w:p w14:paraId="424D1BDA">
      <w:pPr>
        <w:ind w:firstLine="403" w:firstLineChars="192"/>
        <w:rPr>
          <w:rFonts w:hint="eastAsia" w:ascii="宋体" w:hAnsi="宋体" w:eastAsia="宋体" w:cs="宋体"/>
          <w:sz w:val="21"/>
          <w:szCs w:val="21"/>
          <w:highlight w:val="none"/>
        </w:rPr>
      </w:pPr>
      <w:bookmarkStart w:id="86" w:name="_Toc129092926"/>
      <w:r>
        <w:rPr>
          <w:rFonts w:hint="eastAsia" w:ascii="宋体" w:hAnsi="宋体" w:eastAsia="宋体" w:cs="宋体"/>
          <w:sz w:val="21"/>
          <w:szCs w:val="21"/>
          <w:highlight w:val="none"/>
        </w:rPr>
        <w:t>6.3  电器安装要求</w:t>
      </w:r>
      <w:bookmarkEnd w:id="86"/>
    </w:p>
    <w:p w14:paraId="1115946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机体内部各用电部件之间的布线合理，并远离高温区域。</w:t>
      </w:r>
    </w:p>
    <w:p w14:paraId="30E199C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线缆与机体固定，不得悬空，必要时设置桥架或加装套管。</w:t>
      </w:r>
    </w:p>
    <w:p w14:paraId="454A531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驱动导线与控制线应尽量远离，以避免干扰。</w:t>
      </w:r>
    </w:p>
    <w:p w14:paraId="386DA30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 每一根电缆都必须有对应的标示，端头固定后必须采用保护措施，防止发生意外触电。</w:t>
      </w:r>
    </w:p>
    <w:p w14:paraId="07F2A9D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e) 电缆的导体平方数必须大于其最大载流量的平方数，并留适当的余量。</w:t>
      </w:r>
    </w:p>
    <w:p w14:paraId="70A1351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f) 必须有可靠保护接地，地线采用绿黄色外保护层的专用线。</w:t>
      </w:r>
    </w:p>
    <w:p w14:paraId="70FFB0C3">
      <w:pPr>
        <w:ind w:firstLine="403" w:firstLineChars="192"/>
        <w:rPr>
          <w:rFonts w:hint="eastAsia" w:ascii="宋体" w:hAnsi="宋体" w:eastAsia="宋体" w:cs="宋体"/>
          <w:sz w:val="21"/>
          <w:szCs w:val="21"/>
          <w:highlight w:val="none"/>
        </w:rPr>
      </w:pPr>
      <w:bookmarkStart w:id="87" w:name="_Toc129092927"/>
      <w:r>
        <w:rPr>
          <w:rFonts w:hint="eastAsia" w:ascii="宋体" w:hAnsi="宋体" w:eastAsia="宋体" w:cs="宋体"/>
          <w:sz w:val="21"/>
          <w:szCs w:val="21"/>
          <w:highlight w:val="none"/>
        </w:rPr>
        <w:t>6.4  整机性能要求</w:t>
      </w:r>
      <w:bookmarkEnd w:id="87"/>
    </w:p>
    <w:p w14:paraId="5CBCD1E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6.4.1  使用年限</w:t>
      </w:r>
    </w:p>
    <w:p w14:paraId="1E42EA3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整机使用年限不少于10年，主要电气元件使用年限不少于3年且可更换。</w:t>
      </w:r>
    </w:p>
    <w:p w14:paraId="6F94E2D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6.4.2  空载性能要求</w:t>
      </w:r>
    </w:p>
    <w:p w14:paraId="66729D2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进料装置，除渣除焦装置，空运转12 h后，轴承与减速器的温升不大于20 ℃；风机、进料装置、除渣除焦装置、点火器应运转平稳，无异常现象和噪音；检查各机架，应无明显变形和较大的振动，各管道连接处不得有松动、漏气等现象。</w:t>
      </w:r>
    </w:p>
    <w:p w14:paraId="6D03E54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6.4.3  负载性能要求</w:t>
      </w:r>
    </w:p>
    <w:p w14:paraId="4F2D590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燃烧机在使用规定范围内的燃料，应能满足要求；当按标准规范检验时，供热参数应符合表1规定；进料装置、除渣除焦装置，运转72 h后，轴承与减速器的温升不大于20 ℃；风机、进料装置、除渣除焦装置、点火器运转平稳，无异常现象和噪音；检查各机架，无明显变形和较大的振动，各管道连接处无松动、漏气等现象。各部件外观涂层无变色或脱落。</w:t>
      </w:r>
    </w:p>
    <w:p w14:paraId="3951010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6.4.4  可靠性要求</w:t>
      </w:r>
    </w:p>
    <w:p w14:paraId="4A347B6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在按照燃烧机的保养、维护要求和正确操作规则下使用，燃烧机主机连续可靠工作时间不少于300 h，整机有效度符合表1要求。</w:t>
      </w:r>
    </w:p>
    <w:p w14:paraId="28167DAC">
      <w:pPr>
        <w:ind w:firstLine="403" w:firstLineChars="192"/>
        <w:rPr>
          <w:rFonts w:hint="eastAsia" w:ascii="宋体" w:hAnsi="宋体" w:eastAsia="宋体" w:cs="宋体"/>
          <w:sz w:val="21"/>
          <w:szCs w:val="21"/>
          <w:highlight w:val="none"/>
        </w:rPr>
      </w:pPr>
      <w:bookmarkStart w:id="88" w:name="_Toc129092928"/>
      <w:r>
        <w:rPr>
          <w:rFonts w:hint="eastAsia" w:ascii="宋体" w:hAnsi="宋体" w:eastAsia="宋体" w:cs="宋体"/>
          <w:sz w:val="21"/>
          <w:szCs w:val="21"/>
          <w:highlight w:val="none"/>
        </w:rPr>
        <w:t>6.5  安装要求</w:t>
      </w:r>
      <w:bookmarkEnd w:id="88"/>
    </w:p>
    <w:p w14:paraId="7C9491E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6.5.1  安装关键技术参数</w:t>
      </w:r>
    </w:p>
    <w:p w14:paraId="38B1A0B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燃烧机与密集烤房供热设备加煤口对接，通过调节支撑架螺杆，保证喷火管水平，出火管中心与炉口中心一致，密封板应与炉口平齐并密封。安装完成后锁紧脚轮，机体牢实稳固。</w:t>
      </w:r>
    </w:p>
    <w:p w14:paraId="3B9B87B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控制器采用便于拆装的壁挂式安装，挂置在加热室右侧隔热墙上便于观察和操作的位置。</w:t>
      </w:r>
    </w:p>
    <w:p w14:paraId="0E14966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电缆布置合理，导向及其接头用绝缘套管保护，强电插头及电缆铜线不得裸露，导线、电缆绑扎牢固、不易脱落。</w:t>
      </w:r>
    </w:p>
    <w:p w14:paraId="1230B31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 烟囱。金属烟囱为φ165mm、厚度4mm、高度不少于3000mm的圆形钢管，材质为耐酸钢。烟囱从屋顶防雨设施后侧伸出，与防雨设施骨架焊接固定，顶部加设烟囱帽，防止雨水从烟囱流进换热器。</w:t>
      </w:r>
      <w:bookmarkStart w:id="89" w:name="_Toc13332_WPSOffice_Level2"/>
    </w:p>
    <w:p w14:paraId="7B10A97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6.5.2 运行调试</w:t>
      </w:r>
      <w:bookmarkEnd w:id="89"/>
    </w:p>
    <w:p w14:paraId="43C1668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供热装置，燃烧机、炉体、换热器、控制器依序安装完毕，应进行烧火调试。燃烧运行 3～4 h，发现故障，及时整改。调试完毕，施工队内部签字验收。调试过程中发现土建工程问题，填写附件 E 表，移交当地县（区、市）烟草公司烘烤负责人。</w:t>
      </w:r>
    </w:p>
    <w:p w14:paraId="104C0833">
      <w:pPr>
        <w:ind w:firstLine="403" w:firstLineChars="192"/>
        <w:rPr>
          <w:rFonts w:hint="eastAsia" w:ascii="宋体" w:hAnsi="宋体" w:eastAsia="宋体" w:cs="宋体"/>
          <w:sz w:val="21"/>
          <w:szCs w:val="21"/>
          <w:highlight w:val="none"/>
        </w:rPr>
      </w:pPr>
      <w:bookmarkStart w:id="90" w:name="_Toc129092929"/>
      <w:r>
        <w:rPr>
          <w:rFonts w:hint="eastAsia" w:ascii="宋体" w:hAnsi="宋体" w:eastAsia="宋体" w:cs="宋体"/>
          <w:sz w:val="21"/>
          <w:szCs w:val="21"/>
          <w:highlight w:val="none"/>
        </w:rPr>
        <w:t>6  安全规定</w:t>
      </w:r>
      <w:bookmarkEnd w:id="90"/>
    </w:p>
    <w:p w14:paraId="180C687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凡对人员存在安全风险的高温、带电或其他部位、部件，须按照《GB 10396 农林拖拉机和机械、草坪和园艺动力机械安全标志和危险图形 总则》的规定，在明显位置设置相应的安全警示标志。</w:t>
      </w:r>
    </w:p>
    <w:p w14:paraId="200E861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燃烧机主机及控制器、开关等部件的外壳防护等级符合GB 4208的规定。</w:t>
      </w:r>
    </w:p>
    <w:p w14:paraId="3E178D4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燃烧机应接地可靠，接地电阻≤8 Ω。</w:t>
      </w:r>
    </w:p>
    <w:p w14:paraId="3E8E046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 除燃烧系统部位以外，易接触位置的表面温度≤50 ℃。</w:t>
      </w:r>
    </w:p>
    <w:p w14:paraId="5557B3C6">
      <w:pPr>
        <w:ind w:firstLine="403" w:firstLineChars="192"/>
        <w:rPr>
          <w:rFonts w:hint="eastAsia" w:ascii="宋体" w:hAnsi="宋体" w:eastAsia="宋体" w:cs="宋体"/>
          <w:sz w:val="21"/>
          <w:szCs w:val="21"/>
          <w:highlight w:val="none"/>
        </w:rPr>
      </w:pPr>
      <w:bookmarkStart w:id="91" w:name="_Toc129092930"/>
      <w:r>
        <w:rPr>
          <w:rFonts w:hint="eastAsia" w:ascii="宋体" w:hAnsi="宋体" w:eastAsia="宋体" w:cs="宋体"/>
          <w:sz w:val="21"/>
          <w:szCs w:val="21"/>
          <w:highlight w:val="none"/>
        </w:rPr>
        <w:t>7  检验</w:t>
      </w:r>
      <w:bookmarkEnd w:id="91"/>
    </w:p>
    <w:p w14:paraId="61C71819">
      <w:pPr>
        <w:ind w:firstLine="403" w:firstLineChars="192"/>
        <w:rPr>
          <w:rFonts w:hint="eastAsia" w:ascii="宋体" w:hAnsi="宋体" w:eastAsia="宋体" w:cs="宋体"/>
          <w:sz w:val="21"/>
          <w:szCs w:val="21"/>
          <w:highlight w:val="none"/>
        </w:rPr>
      </w:pPr>
      <w:bookmarkStart w:id="92" w:name="_Toc129092931"/>
      <w:bookmarkStart w:id="93" w:name="_Toc439314433"/>
      <w:bookmarkStart w:id="94" w:name="_Toc459630007"/>
      <w:bookmarkStart w:id="95" w:name="_Toc439313533"/>
      <w:r>
        <w:rPr>
          <w:rFonts w:hint="eastAsia" w:ascii="宋体" w:hAnsi="宋体" w:eastAsia="宋体" w:cs="宋体"/>
          <w:sz w:val="21"/>
          <w:szCs w:val="21"/>
          <w:highlight w:val="none"/>
        </w:rPr>
        <w:t>7.1  检验条件</w:t>
      </w:r>
      <w:bookmarkEnd w:id="92"/>
    </w:p>
    <w:p w14:paraId="06D51AF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检验条件应满足下列要求：</w:t>
      </w:r>
    </w:p>
    <w:p w14:paraId="7C43B05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气候条件：温度为20 ℃～30 ℃，相对湿度为40%～60%，大气压力为86 kPa～106 kPa；</w:t>
      </w:r>
    </w:p>
    <w:p w14:paraId="40BD37BC">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工作电压等级为使用AC220V电源，允许电压波动±20%，率偏差为额定值的±5%；</w:t>
      </w:r>
    </w:p>
    <w:p w14:paraId="5F1865A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检验场所通风良好；</w:t>
      </w:r>
    </w:p>
    <w:p w14:paraId="504ECC1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 检验用生物质颗粒燃料为直径6 mm～10 mm，长度不大于其直径的4倍，基低位发热值应不低于14630 kJ/kg，性能符合NB/T 34024的要求。</w:t>
      </w:r>
    </w:p>
    <w:p w14:paraId="7B9D84A4">
      <w:pPr>
        <w:ind w:firstLine="403" w:firstLineChars="192"/>
        <w:rPr>
          <w:rFonts w:hint="eastAsia" w:ascii="宋体" w:hAnsi="宋体" w:eastAsia="宋体" w:cs="宋体"/>
          <w:sz w:val="21"/>
          <w:szCs w:val="21"/>
          <w:highlight w:val="none"/>
        </w:rPr>
      </w:pPr>
      <w:bookmarkStart w:id="96" w:name="_Toc129092932"/>
      <w:r>
        <w:rPr>
          <w:rFonts w:hint="eastAsia" w:ascii="宋体" w:hAnsi="宋体" w:eastAsia="宋体" w:cs="宋体"/>
          <w:sz w:val="21"/>
          <w:szCs w:val="21"/>
          <w:highlight w:val="none"/>
        </w:rPr>
        <w:t>7.2  检验方法</w:t>
      </w:r>
      <w:bookmarkEnd w:id="96"/>
    </w:p>
    <w:p w14:paraId="5BEFD65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7.2.1  额定热功率和燃烧效率测定</w:t>
      </w:r>
    </w:p>
    <w:p w14:paraId="346ED38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依照《GB/T 10180-2017 工业锅炉热工性能试验规程》。</w:t>
      </w:r>
    </w:p>
    <w:p w14:paraId="25928A4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7.2.2  带变频功能的自控仪的测定</w:t>
      </w:r>
    </w:p>
    <w:p w14:paraId="0A2843A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分别依据下列标准：</w:t>
      </w:r>
    </w:p>
    <w:p w14:paraId="35106FE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GB/T 12668.1-2002 调速电气传动系统 第1部分：一般要求 低压直流调速电气传动系统 额定值的规定；</w:t>
      </w:r>
    </w:p>
    <w:p w14:paraId="109089CC">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GB/T 12668.2-2002 调速电气传动系统 第2部分：一般要求 低压交流变频电气传动系统额定值的规定；</w:t>
      </w:r>
    </w:p>
    <w:p w14:paraId="46B8EDF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GB 12668.3-2012 调速电气传动系统 第3部分 电磁兼容性要求及其特定的试验方法；</w:t>
      </w:r>
    </w:p>
    <w:p w14:paraId="502E1D2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GB/T 12668.4-2006 调速电气传动系统 第4部分：一般要求 交流电压1000V以上但不超过35kV的交流调速电气传动系统额定值的规定；</w:t>
      </w:r>
    </w:p>
    <w:p w14:paraId="2DB7587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GB 12668.501-2013 调速电气传动系统 第5-1部分：安全要求、电气、热和能量和GB/T 12668.502-2013 调速电气传动系统 第5-2部分：安全要求、功能；</w:t>
      </w:r>
    </w:p>
    <w:p w14:paraId="21C149B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GB/T 12668.6-2011 调速电气传动系统 第6部分：确定负载工作制类型和相应电流额定值的导则；</w:t>
      </w:r>
    </w:p>
    <w:p w14:paraId="2BEBEEB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IEC 60050(131)：1978 国际电工词典(IEV) 第131章：电路和磁路；</w:t>
      </w:r>
    </w:p>
    <w:p w14:paraId="5B592DF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IEC 60050(151)：1978 国际电工词典(IEV) 第151章：电气器件和磁性器件；</w:t>
      </w:r>
    </w:p>
    <w:p w14:paraId="34FA0AD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IEC 60364-3：1993 建筑物的电气安装 第3部分：一般特性的评估；</w:t>
      </w:r>
    </w:p>
    <w:p w14:paraId="0C50E83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IEC 61000-2-1：1990 电磁兼容性（EMC) 第2部分：环境 第1章：环境介绍一公共供电系统中的低频传导性骚扰和信号传输的电磁环境；</w:t>
      </w:r>
    </w:p>
    <w:p w14:paraId="39B7194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IEC 61000-2-2：1990 电磁兼容性（EMC) 第2部分：环境 第2章：公共低压供电系统中的低频传导性骚扰和信号传输的兼容性等级；</w:t>
      </w:r>
    </w:p>
    <w:p w14:paraId="737BD0B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IEC 61000-2-4：1994 电磁兼容性（EMC) 第2部分：环境 第4章：工业设备中对低频传导性骚扰的兼容性等级；</w:t>
      </w:r>
    </w:p>
    <w:p w14:paraId="3C493E7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b/>
      </w:r>
      <w:r>
        <w:rPr>
          <w:rFonts w:hint="eastAsia" w:ascii="宋体" w:hAnsi="宋体" w:eastAsia="宋体" w:cs="宋体"/>
          <w:sz w:val="21"/>
          <w:szCs w:val="21"/>
          <w:highlight w:val="none"/>
        </w:rPr>
        <w:t>IEC 61000-3-2：1995 电磁兼容性（EMC) 第3部分：极限 第2章：谐波电流发射的限值（装置的输入电流&lt;16 A／每相）。</w:t>
      </w:r>
    </w:p>
    <w:p w14:paraId="4CB0BC2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7.2.3  烟气中CO、SO2、NOx、PM和烟气黑度（林格曼）的采样和测定</w:t>
      </w:r>
    </w:p>
    <w:p w14:paraId="4269AF4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分别依据下列标准：</w:t>
      </w:r>
    </w:p>
    <w:p w14:paraId="3CCD1FF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《GB/T 16157 固定污染源排气中颗粒物测定与气态污染物采样方法》；</w:t>
      </w:r>
    </w:p>
    <w:p w14:paraId="33D1B32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《HJ/T 44-1999 固定污染源排气中一氧化碳的测定 非色散红外吸收法》；</w:t>
      </w:r>
    </w:p>
    <w:p w14:paraId="7B43E58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 629-2011 固定污染源废气 二氧化硫的测定 非分散红外吸收法》；</w:t>
      </w:r>
    </w:p>
    <w:p w14:paraId="2C9B56E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《HJ/T 57-2000 固定污染源排气中二氧化硫的测定 定电位电解法》；</w:t>
      </w:r>
    </w:p>
    <w:p w14:paraId="2F7608B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《HJ/T 56-2000 固定污染源排气中二氧化硫的测定 碘量法》；</w:t>
      </w:r>
    </w:p>
    <w:p w14:paraId="6C409E8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 692-2014 固定污染源废气 氮氧化物的测定 非分散红外吸收法》；</w:t>
      </w:r>
    </w:p>
    <w:p w14:paraId="2283415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 693-2014 固定污染源废气 氮氧化物的测定 定电位电解法》；</w:t>
      </w:r>
    </w:p>
    <w:p w14:paraId="0B9001D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《HJ/T 43-1999 固定污染源排气中氮氧化物的测定 盐酸萘乙二胺分光光度法》；</w:t>
      </w:r>
    </w:p>
    <w:p w14:paraId="1BBD167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《HJ/T 42-1999 固定污染源排放中氮氧化物的测定 紫外分光光度法》；</w:t>
      </w:r>
    </w:p>
    <w:p w14:paraId="49E50DA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《GB 5468 锅炉烟尘测试方法》；</w:t>
      </w:r>
    </w:p>
    <w:p w14:paraId="6A8D7A5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《GB/T 9079-1988 工业炉窑烟尘测试方法》；</w:t>
      </w:r>
    </w:p>
    <w:p w14:paraId="5F5FECD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《HJ/T 398-2007 固定污染源排放 烟气黑度的测定 林格曼烟气黑度图法》。</w:t>
      </w:r>
    </w:p>
    <w:p w14:paraId="7E70DBB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7.2.4  生物质成型燃料的堆积密度、热值、水分、灰分、灰熔点、破碎率的测定</w:t>
      </w:r>
    </w:p>
    <w:p w14:paraId="7012BFE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分别依据下列标准：</w:t>
      </w:r>
    </w:p>
    <w:p w14:paraId="2403A28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《NY/T 1881.8-2010 生物质固体成型燃料试验方法第6部分：堆积密度》；</w:t>
      </w:r>
    </w:p>
    <w:p w14:paraId="4D53022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《GB/T 30727-2014 固体生物质燃料发热量测定方法》；</w:t>
      </w:r>
    </w:p>
    <w:p w14:paraId="4CAAF09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《NY/T 12-1985 生物质燃料发热量测试方法》；</w:t>
      </w:r>
    </w:p>
    <w:p w14:paraId="28FF2AA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《NY/T 1881.3-2010 生物质固体成型燃料试验方法第3部分：一般分析样品水分》；</w:t>
      </w:r>
    </w:p>
    <w:p w14:paraId="1B489DC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《NY/T 1881.2-2010 生物质固体成型燃料试验方法第2部分：全水分》；</w:t>
      </w:r>
    </w:p>
    <w:p w14:paraId="4186436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《NY/T 1881.5-2010 生物质固体成型燃料试验方法第5部分：灰分》；</w:t>
      </w:r>
    </w:p>
    <w:p w14:paraId="54D2C05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《GB/T 30726-2014 固体生物质燃料灰熔融性的测定方法》；</w:t>
      </w:r>
    </w:p>
    <w:p w14:paraId="1308A89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《NY/T 1881.8-2010 生物质固体成型燃料试验方法第8部分：机械耐久性》。</w:t>
      </w:r>
    </w:p>
    <w:bookmarkEnd w:id="93"/>
    <w:bookmarkEnd w:id="94"/>
    <w:bookmarkEnd w:id="95"/>
    <w:p w14:paraId="34998BC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7.2.5  外观检验</w:t>
      </w:r>
    </w:p>
    <w:p w14:paraId="1A19EC3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采用目测的方法进行检查，有尺寸要求的部位用通用的量具检查。</w:t>
      </w:r>
    </w:p>
    <w:p w14:paraId="6176F64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7.2.6  结构检验</w:t>
      </w:r>
    </w:p>
    <w:p w14:paraId="13F4137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采用视检、观察等方法进行检查。</w:t>
      </w:r>
    </w:p>
    <w:p w14:paraId="6AC03E8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7.2.7  制造质量检验</w:t>
      </w:r>
    </w:p>
    <w:p w14:paraId="5E9EBC3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采用目测各零、部件进行检查。</w:t>
      </w:r>
    </w:p>
    <w:p w14:paraId="129AD13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7.2.8  主要部件检验</w:t>
      </w:r>
    </w:p>
    <w:p w14:paraId="7D4F1F3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采用视检方法进行检查。</w:t>
      </w:r>
    </w:p>
    <w:p w14:paraId="0FA4C892">
      <w:pPr>
        <w:ind w:firstLine="403" w:firstLineChars="192"/>
        <w:rPr>
          <w:rFonts w:hint="eastAsia" w:ascii="宋体" w:hAnsi="宋体" w:eastAsia="宋体" w:cs="宋体"/>
          <w:sz w:val="21"/>
          <w:szCs w:val="21"/>
          <w:highlight w:val="none"/>
        </w:rPr>
      </w:pPr>
      <w:bookmarkStart w:id="97" w:name="_Toc439314435"/>
      <w:bookmarkStart w:id="98" w:name="_Toc439313535"/>
      <w:bookmarkStart w:id="99" w:name="_Toc459630009"/>
      <w:r>
        <w:rPr>
          <w:rFonts w:hint="eastAsia" w:ascii="宋体" w:hAnsi="宋体" w:eastAsia="宋体" w:cs="宋体"/>
          <w:sz w:val="21"/>
          <w:szCs w:val="21"/>
          <w:highlight w:val="none"/>
        </w:rPr>
        <w:t>7.2.9  安全检验</w:t>
      </w:r>
      <w:bookmarkEnd w:id="97"/>
      <w:bookmarkEnd w:id="98"/>
      <w:bookmarkEnd w:id="99"/>
    </w:p>
    <w:p w14:paraId="550C9A6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7.2.9.1  防触电保护检查</w:t>
      </w:r>
    </w:p>
    <w:p w14:paraId="5D7DC76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控制箱、接线盒、开关等装置的防触电保护使用标准试验指和标准试验销进行测试，检查标准试验指和标准试验销是否触及带电部件。</w:t>
      </w:r>
    </w:p>
    <w:p w14:paraId="0D5EC2E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7.2.9.2  绝缘电阻测量</w:t>
      </w:r>
    </w:p>
    <w:p w14:paraId="358FBB4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采用绝缘电阻测试仪测量。</w:t>
      </w:r>
    </w:p>
    <w:p w14:paraId="0D65844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7.2.9.3  安全防护装置和安全警示标志检查</w:t>
      </w:r>
    </w:p>
    <w:p w14:paraId="6830532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采用目测方法进行检查。</w:t>
      </w:r>
    </w:p>
    <w:p w14:paraId="3E5E73B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7.2.9.4  表面温度检查</w:t>
      </w:r>
    </w:p>
    <w:p w14:paraId="745D831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采用红外线测温仪测量检查，在设备正常运行时测试可触部件的表面温度。燃烧机外表面温度测点按250 mm间距布置，测定3次，取其算术平均值。</w:t>
      </w:r>
    </w:p>
    <w:p w14:paraId="7F84370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7.2.10  点火时间测定</w:t>
      </w:r>
    </w:p>
    <w:p w14:paraId="6836AB6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将燃烧机调整好，启动点火装置，观察是否建立起稳定的点火火焰，并用秒表记录所耗用时间。</w:t>
      </w:r>
    </w:p>
    <w:p w14:paraId="4C457AE1">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7.2.11  小时耗电量测定</w:t>
      </w:r>
    </w:p>
    <w:p w14:paraId="7DDE55DC">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与测定最大燃料消耗量同时进行，将电量测试仪器接入电路中，从点火开始至料仓物料消耗完结束，记录耗电量及时间，按下列公式计算：</w:t>
      </w:r>
    </w:p>
    <w:p w14:paraId="2493F377">
      <w:pPr>
        <w:ind w:firstLine="403" w:firstLineChars="192"/>
        <w:rPr>
          <w:rFonts w:hint="eastAsia" w:ascii="宋体" w:hAnsi="宋体" w:eastAsia="宋体" w:cs="宋体"/>
          <w:sz w:val="21"/>
          <w:szCs w:val="21"/>
          <w:highlight w:val="none"/>
        </w:rPr>
      </w:pPr>
    </w:p>
    <w:p w14:paraId="6465F9A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object>
          <v:shape id="_x0000_i1025" o:spt="75" type="#_x0000_t75" style="height:30.1pt;width:37.6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7" r:id="rId28">
            <o:LockedField>false</o:LockedField>
          </o:OLEObject>
        </w:object>
      </w:r>
    </w:p>
    <w:p w14:paraId="5FA7F8E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式中：</w:t>
      </w:r>
    </w:p>
    <w:p w14:paraId="4B5BAAF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P ——小时耗电量，单位为千瓦时（kW·h）；</w:t>
      </w:r>
    </w:p>
    <w:p w14:paraId="4F9A810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T ——测定时间，单位为小时（h）；</w:t>
      </w:r>
    </w:p>
    <w:p w14:paraId="724E65E0">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M ——耗电量，单位为千瓦时（kW·h）。</w:t>
      </w:r>
    </w:p>
    <w:p w14:paraId="0F1D88F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7.2.12  噪声测量</w:t>
      </w:r>
    </w:p>
    <w:p w14:paraId="14F2B4C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燃烧机空负荷和全负荷运行时的噪声按GB/T 3768的规定进行测量。</w:t>
      </w:r>
    </w:p>
    <w:p w14:paraId="694251D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7.2.13  整机</w:t>
      </w:r>
      <w:bookmarkStart w:id="100" w:name="_Toc459630012"/>
      <w:bookmarkStart w:id="101" w:name="_Toc439313538"/>
      <w:bookmarkStart w:id="102" w:name="_Toc439314438"/>
      <w:r>
        <w:rPr>
          <w:rFonts w:hint="eastAsia" w:ascii="宋体" w:hAnsi="宋体" w:eastAsia="宋体" w:cs="宋体"/>
          <w:sz w:val="21"/>
          <w:szCs w:val="21"/>
          <w:highlight w:val="none"/>
        </w:rPr>
        <w:t>有效度（使用可靠性）</w:t>
      </w:r>
      <w:bookmarkEnd w:id="100"/>
      <w:bookmarkEnd w:id="101"/>
      <w:bookmarkEnd w:id="102"/>
    </w:p>
    <w:p w14:paraId="7FE25B2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燃烧机应对接模拟工作环境连续运行不少于100 h，在试验运行期间记录班次作业时间、故障次数、故障时间及使用情况，按下列公式计算。</w:t>
      </w:r>
    </w:p>
    <w:p w14:paraId="60C358B3">
      <w:pPr>
        <w:ind w:firstLine="403" w:firstLineChars="192"/>
        <w:rPr>
          <w:rFonts w:hint="eastAsia" w:ascii="宋体" w:hAnsi="宋体" w:eastAsia="宋体" w:cs="宋体"/>
          <w:sz w:val="21"/>
          <w:szCs w:val="21"/>
          <w:highlight w:val="none"/>
        </w:rPr>
      </w:pPr>
    </w:p>
    <w:p w14:paraId="61D3AC2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object>
          <v:shape id="_x0000_i1026" o:spt="75" type="#_x0000_t75" style="height:30.1pt;width:102.1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8" r:id="rId30">
            <o:LockedField>false</o:LockedField>
          </o:OLEObject>
        </w:object>
      </w:r>
    </w:p>
    <w:p w14:paraId="3BF0CA4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式中：</w:t>
      </w:r>
    </w:p>
    <w:p w14:paraId="6B56250A">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K ——有效度(使用可靠性)；</w:t>
      </w:r>
    </w:p>
    <w:p w14:paraId="046A4B5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TZ ——生产考核期间的班次作业时间，单位为小时（h）；</w:t>
      </w:r>
    </w:p>
    <w:p w14:paraId="02227FC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Tg ——生产考核期间的每班次的故障时间，单位为小时（h）。</w:t>
      </w:r>
    </w:p>
    <w:p w14:paraId="4EEFE5F6">
      <w:pPr>
        <w:ind w:firstLine="403" w:firstLineChars="192"/>
        <w:rPr>
          <w:rFonts w:hint="eastAsia" w:ascii="宋体" w:hAnsi="宋体" w:eastAsia="宋体" w:cs="宋体"/>
          <w:sz w:val="21"/>
          <w:szCs w:val="21"/>
          <w:highlight w:val="none"/>
        </w:rPr>
      </w:pPr>
      <w:bookmarkStart w:id="103" w:name="_Toc129092933"/>
      <w:r>
        <w:rPr>
          <w:rFonts w:hint="eastAsia" w:ascii="宋体" w:hAnsi="宋体" w:eastAsia="宋体" w:cs="宋体"/>
          <w:sz w:val="21"/>
          <w:szCs w:val="21"/>
          <w:highlight w:val="none"/>
        </w:rPr>
        <w:t>7.3  检验规则</w:t>
      </w:r>
      <w:bookmarkEnd w:id="103"/>
    </w:p>
    <w:p w14:paraId="2785841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7.3.1  出厂检验</w:t>
      </w:r>
    </w:p>
    <w:p w14:paraId="7127145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产品出厂检验按本规范要求对外观、结构、制造质量、主要部件和安全性进行检验。</w:t>
      </w:r>
    </w:p>
    <w:p w14:paraId="3A7B186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7.3.2  型式检验</w:t>
      </w:r>
    </w:p>
    <w:p w14:paraId="15E95DF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型式检验应在经出厂检验合格的产品中随机抽取，采购量小于50台(含50)抽样数为1台，51至200台(含200)抽样数为2台，大于200台时，抽样数为3台。</w:t>
      </w:r>
    </w:p>
    <w:p w14:paraId="0B871E72">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在规定的项目中，若有任何一项不符合要求，可采取措施处理后重新进行检验，检验合格则认定整批合格；若重新检验时该项目仍不符合要求，则重新加倍抽样检验；若加倍取样后检验合格，则认定整批产品型式检验合格，若加倍取样检验该项目仍不符合要求，则认定整批产品型式检验不合格。</w:t>
      </w:r>
    </w:p>
    <w:p w14:paraId="206D0794">
      <w:pPr>
        <w:ind w:firstLine="403" w:firstLineChars="192"/>
        <w:rPr>
          <w:rFonts w:hint="eastAsia" w:ascii="宋体" w:hAnsi="宋体" w:eastAsia="宋体" w:cs="宋体"/>
          <w:sz w:val="21"/>
          <w:szCs w:val="21"/>
          <w:highlight w:val="none"/>
        </w:rPr>
      </w:pPr>
      <w:bookmarkStart w:id="104" w:name="_Toc129092934"/>
      <w:r>
        <w:rPr>
          <w:rFonts w:hint="eastAsia" w:ascii="宋体" w:hAnsi="宋体" w:eastAsia="宋体" w:cs="宋体"/>
          <w:sz w:val="21"/>
          <w:szCs w:val="21"/>
          <w:highlight w:val="none"/>
        </w:rPr>
        <w:t>8  标志、包装、运输、贮存</w:t>
      </w:r>
      <w:bookmarkEnd w:id="104"/>
    </w:p>
    <w:p w14:paraId="6CDC90CA">
      <w:pPr>
        <w:ind w:firstLine="403" w:firstLineChars="192"/>
        <w:rPr>
          <w:rFonts w:hint="eastAsia" w:ascii="宋体" w:hAnsi="宋体" w:eastAsia="宋体" w:cs="宋体"/>
          <w:sz w:val="21"/>
          <w:szCs w:val="21"/>
          <w:highlight w:val="none"/>
        </w:rPr>
      </w:pPr>
      <w:bookmarkStart w:id="105" w:name="_Toc129092935"/>
      <w:r>
        <w:rPr>
          <w:rFonts w:hint="eastAsia" w:ascii="宋体" w:hAnsi="宋体" w:eastAsia="宋体" w:cs="宋体"/>
          <w:sz w:val="21"/>
          <w:szCs w:val="21"/>
          <w:highlight w:val="none"/>
        </w:rPr>
        <w:t>8.1  标志</w:t>
      </w:r>
      <w:bookmarkEnd w:id="105"/>
    </w:p>
    <w:p w14:paraId="2CBAD9F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燃烧机应在明显位置设置标牌，标牌应符合GB/T 13306的规定，燃烧机标牌至少应包括以下内容：产品名称、型号、编号、贮料箱有效容积、送料电机功率、执行标准、最大投料速度、最小投料速度、投料档位、净重、燃烧机有效度；生产日期、出厂日期；生产商、地址、联系电话；供应商、地址、联系电话。见附录B。</w:t>
      </w:r>
    </w:p>
    <w:p w14:paraId="31609C38">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控制器标牌至少应包括以下内容：产品名称、型号、编号、传感器型号、测量范围、干球温度控制精度、防护等级、测量精度、工艺曲线存储量、湿球温度控制精度、防雷措施、有效度、电功率；生产日期、出厂日期；生产商、地址、联系电话；供应商、地址、联系电话。见附录C。</w:t>
      </w:r>
    </w:p>
    <w:p w14:paraId="2BC4FF39">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电机标牌至少应包括以下内容：产品名称、型号、编号、额定功率、额定电压、绝缘等级、外壳材料、额定转速、电容耐温、防护等级、有效度；生产日期、出厂日期；生产商、地址、联系电话；供应商、地址、联系电话。见附录D。</w:t>
      </w:r>
    </w:p>
    <w:p w14:paraId="112D95D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包装贮运标志应符合GB/T 13384规定。</w:t>
      </w:r>
    </w:p>
    <w:p w14:paraId="0F5ADAC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在危险设备醒目位置上，标注“当心触电”、“当心烫伤”等安全警示标识。</w:t>
      </w:r>
    </w:p>
    <w:p w14:paraId="38CEFB8C">
      <w:pPr>
        <w:ind w:firstLine="403" w:firstLineChars="192"/>
        <w:rPr>
          <w:rFonts w:hint="eastAsia" w:ascii="宋体" w:hAnsi="宋体" w:eastAsia="宋体" w:cs="宋体"/>
          <w:sz w:val="21"/>
          <w:szCs w:val="21"/>
          <w:highlight w:val="none"/>
        </w:rPr>
      </w:pPr>
      <w:bookmarkStart w:id="106" w:name="_Toc129092936"/>
      <w:r>
        <w:rPr>
          <w:rFonts w:hint="eastAsia" w:ascii="宋体" w:hAnsi="宋体" w:eastAsia="宋体" w:cs="宋体"/>
          <w:sz w:val="21"/>
          <w:szCs w:val="21"/>
          <w:highlight w:val="none"/>
        </w:rPr>
        <w:t>8.2  包装</w:t>
      </w:r>
      <w:bookmarkEnd w:id="106"/>
    </w:p>
    <w:p w14:paraId="7E8B97D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产品的包装应符合GB/T 13384中的有关规定。</w:t>
      </w:r>
    </w:p>
    <w:p w14:paraId="746361B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产品的包装应保证产品在运输和贮存过程中不受损坏，包装箱外壁的文字和标示应工整、清晰。</w:t>
      </w:r>
    </w:p>
    <w:p w14:paraId="7288A08C">
      <w:pPr>
        <w:ind w:firstLine="403" w:firstLineChars="192"/>
        <w:rPr>
          <w:rFonts w:hint="eastAsia" w:ascii="宋体" w:hAnsi="宋体" w:eastAsia="宋体" w:cs="宋体"/>
          <w:sz w:val="21"/>
          <w:szCs w:val="21"/>
          <w:highlight w:val="none"/>
        </w:rPr>
      </w:pPr>
      <w:bookmarkStart w:id="107" w:name="_Toc129092937"/>
      <w:r>
        <w:rPr>
          <w:rFonts w:hint="eastAsia" w:ascii="宋体" w:hAnsi="宋体" w:eastAsia="宋体" w:cs="宋体"/>
          <w:sz w:val="21"/>
          <w:szCs w:val="21"/>
          <w:highlight w:val="none"/>
        </w:rPr>
        <w:t>8.3  随机文件</w:t>
      </w:r>
      <w:bookmarkEnd w:id="107"/>
    </w:p>
    <w:p w14:paraId="5A21714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燃烧机整机出厂时应随机附有以下文件：</w:t>
      </w:r>
    </w:p>
    <w:p w14:paraId="3558288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a) 产品使用说明书，说明书的编写应符合GB/T 9480的规定；</w:t>
      </w:r>
    </w:p>
    <w:p w14:paraId="1404D52E">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b) 三包手册；</w:t>
      </w:r>
    </w:p>
    <w:p w14:paraId="31CEF6F5">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c) 产品检验合格证；</w:t>
      </w:r>
    </w:p>
    <w:p w14:paraId="4FFF987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d) 装箱单。</w:t>
      </w:r>
    </w:p>
    <w:p w14:paraId="182B7CDF">
      <w:pPr>
        <w:ind w:firstLine="403" w:firstLineChars="192"/>
        <w:rPr>
          <w:rFonts w:hint="eastAsia" w:ascii="宋体" w:hAnsi="宋体" w:eastAsia="宋体" w:cs="宋体"/>
          <w:sz w:val="21"/>
          <w:szCs w:val="21"/>
          <w:highlight w:val="none"/>
        </w:rPr>
      </w:pPr>
      <w:bookmarkStart w:id="108" w:name="_Toc129092938"/>
      <w:r>
        <w:rPr>
          <w:rFonts w:hint="eastAsia" w:ascii="宋体" w:hAnsi="宋体" w:eastAsia="宋体" w:cs="宋体"/>
          <w:sz w:val="21"/>
          <w:szCs w:val="21"/>
          <w:highlight w:val="none"/>
        </w:rPr>
        <w:t>8.4  运输</w:t>
      </w:r>
      <w:bookmarkEnd w:id="108"/>
    </w:p>
    <w:p w14:paraId="6584E57F">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燃烧机在运输过程中，应避免碰撞，防止损坏。</w:t>
      </w:r>
    </w:p>
    <w:p w14:paraId="5BC62EB9">
      <w:pPr>
        <w:ind w:firstLine="403" w:firstLineChars="192"/>
        <w:rPr>
          <w:rFonts w:hint="eastAsia" w:ascii="宋体" w:hAnsi="宋体" w:eastAsia="宋体" w:cs="宋体"/>
          <w:sz w:val="21"/>
          <w:szCs w:val="21"/>
          <w:highlight w:val="none"/>
        </w:rPr>
      </w:pPr>
      <w:bookmarkStart w:id="109" w:name="_Toc129092939"/>
      <w:r>
        <w:rPr>
          <w:rFonts w:hint="eastAsia" w:ascii="宋体" w:hAnsi="宋体" w:eastAsia="宋体" w:cs="宋体"/>
          <w:sz w:val="21"/>
          <w:szCs w:val="21"/>
          <w:highlight w:val="none"/>
        </w:rPr>
        <w:t>8.5  贮存</w:t>
      </w:r>
      <w:bookmarkEnd w:id="109"/>
    </w:p>
    <w:p w14:paraId="4C37DFA4">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燃烧机应存放在干燥、通风和防雨的场所，避免与酸碱等腐蚀性物质接触。</w:t>
      </w:r>
    </w:p>
    <w:p w14:paraId="340B8AC8">
      <w:pPr>
        <w:ind w:firstLine="403" w:firstLineChars="192"/>
        <w:rPr>
          <w:rFonts w:hint="eastAsia" w:ascii="宋体" w:hAnsi="宋体" w:eastAsia="宋体" w:cs="宋体"/>
          <w:sz w:val="21"/>
          <w:szCs w:val="21"/>
          <w:highlight w:val="none"/>
        </w:rPr>
      </w:pPr>
      <w:bookmarkStart w:id="110" w:name="_Toc9033_WPSOffice_Level1"/>
      <w:r>
        <w:rPr>
          <w:rFonts w:hint="eastAsia" w:ascii="宋体" w:hAnsi="宋体" w:eastAsia="宋体" w:cs="宋体"/>
          <w:sz w:val="21"/>
          <w:szCs w:val="21"/>
          <w:highlight w:val="none"/>
        </w:rPr>
        <w:t>9  维修与保养</w:t>
      </w:r>
      <w:bookmarkEnd w:id="110"/>
    </w:p>
    <w:p w14:paraId="67F3774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密集烤房生物质颗粒燃烧供热装置，是密集烤房的核心组成部份，应建立严格的维修保养制度，维修保养活动过程记入维修保养手册。做到有章可循、有据可查，确保维修保养工作，落实到位，产生实效。</w:t>
      </w:r>
    </w:p>
    <w:p w14:paraId="351DA133">
      <w:pPr>
        <w:ind w:firstLine="403" w:firstLineChars="192"/>
        <w:rPr>
          <w:rFonts w:hint="eastAsia" w:ascii="宋体" w:hAnsi="宋体" w:eastAsia="宋体" w:cs="宋体"/>
          <w:sz w:val="21"/>
          <w:szCs w:val="21"/>
          <w:highlight w:val="none"/>
        </w:rPr>
      </w:pPr>
      <w:bookmarkStart w:id="111" w:name="_Toc18170_WPSOffice_Level2"/>
      <w:r>
        <w:rPr>
          <w:rFonts w:hint="eastAsia" w:ascii="宋体" w:hAnsi="宋体" w:eastAsia="宋体" w:cs="宋体"/>
          <w:sz w:val="21"/>
          <w:szCs w:val="21"/>
          <w:highlight w:val="none"/>
        </w:rPr>
        <w:t>9.1 烤前检修调试</w:t>
      </w:r>
      <w:bookmarkEnd w:id="111"/>
    </w:p>
    <w:p w14:paraId="3C77827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每年烟叶烘烤之前，业主或者生产厂家，应对每座供热装置，进行全面检查，发现损坏部件，及时修理，之后进行起火调试。正常运行，记录在维修保养手册中。运行不正常，再次修理，再次起火调试；结果正常，记录在维修保养手册中；不正常，将故障原因记录在维修保养手册中，并将该座烤房的地址、户主姓名、编号、故障原因、处理方案，集中申报当烟草部门。 </w:t>
      </w:r>
    </w:p>
    <w:p w14:paraId="5E3BB082">
      <w:pPr>
        <w:ind w:firstLine="403" w:firstLineChars="192"/>
        <w:rPr>
          <w:rFonts w:hint="eastAsia" w:ascii="宋体" w:hAnsi="宋体" w:eastAsia="宋体" w:cs="宋体"/>
          <w:sz w:val="21"/>
          <w:szCs w:val="21"/>
          <w:highlight w:val="none"/>
        </w:rPr>
      </w:pPr>
      <w:bookmarkStart w:id="112" w:name="_Toc10398_WPSOffice_Level2"/>
      <w:r>
        <w:rPr>
          <w:rFonts w:hint="eastAsia" w:ascii="宋体" w:hAnsi="宋体" w:eastAsia="宋体" w:cs="宋体"/>
          <w:sz w:val="21"/>
          <w:szCs w:val="21"/>
          <w:highlight w:val="none"/>
        </w:rPr>
        <w:t>9.2 烤中解决故障</w:t>
      </w:r>
      <w:bookmarkEnd w:id="112"/>
    </w:p>
    <w:p w14:paraId="159C5393">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烘烤过程中，发现故障及时检查修理，并记录在维修保养手册中。不能及时修理更换的部件，烤完当炉烟叶后，必须更换修理完毕，才能烘烤烟叶。每烘烤一炉烟叶，清灰一次。相关情况记录在维修保养手册中。 </w:t>
      </w:r>
    </w:p>
    <w:p w14:paraId="2431404F">
      <w:pPr>
        <w:ind w:firstLine="403" w:firstLineChars="192"/>
        <w:rPr>
          <w:rFonts w:hint="eastAsia" w:ascii="宋体" w:hAnsi="宋体" w:eastAsia="宋体" w:cs="宋体"/>
          <w:sz w:val="21"/>
          <w:szCs w:val="21"/>
          <w:highlight w:val="none"/>
        </w:rPr>
      </w:pPr>
      <w:bookmarkStart w:id="113" w:name="_Toc10230_WPSOffice_Level2"/>
      <w:r>
        <w:rPr>
          <w:rFonts w:hint="eastAsia" w:ascii="宋体" w:hAnsi="宋体" w:eastAsia="宋体" w:cs="宋体"/>
          <w:sz w:val="21"/>
          <w:szCs w:val="21"/>
          <w:highlight w:val="none"/>
        </w:rPr>
        <w:t>9.3 烤后保养维护</w:t>
      </w:r>
      <w:bookmarkEnd w:id="113"/>
    </w:p>
    <w:p w14:paraId="553E20E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每年烟叶烘烤完毕，业主或者生产厂家，应对每座密集烤房生物质颗粒燃烧供热装置，进行全面检查、修理、维护。主要内容：清灰、除料、修理、上油、安全保管。</w:t>
      </w:r>
    </w:p>
    <w:p w14:paraId="2D271E36">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清灰：燃烧机中贮料箱、螺旋、轴承、电机、风机等部件，控制器中的机箱、控制面板、主控板、驱动板、变频器，护着的灰尘，要彻底清洗干净；喷火管内灰渣要彻底清除。相关情况记录在维修保养手册中。</w:t>
      </w:r>
    </w:p>
    <w:p w14:paraId="27E82A1D">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除料：燃烧机中未使用剩余的燃料，必须从贮料箱、螺旋、轴承、电机、风机等部件的缝隙中，全部清理回收归库。相关情况记录在维修保养手册中。</w:t>
      </w:r>
    </w:p>
    <w:p w14:paraId="24201AB7">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修理：对燃烧机中的贮料箱、撤料口、送料螺旋、移动车，点火棒、观火窗、清灰除焦推杆(板)、助燃风机、燃烧室，控制器中的机箱、控制面板、主控板、驱动板、变频器等进行全面检查，发现损坏部件，修理完善。相关情况记录在维修保养手册中。</w:t>
      </w:r>
    </w:p>
    <w:p w14:paraId="3D8C8A8B">
      <w:pPr>
        <w:ind w:firstLine="403" w:firstLineChars="192"/>
        <w:rPr>
          <w:rFonts w:hint="eastAsia" w:ascii="宋体" w:hAnsi="宋体" w:eastAsia="宋体" w:cs="宋体"/>
          <w:sz w:val="21"/>
          <w:szCs w:val="21"/>
          <w:highlight w:val="none"/>
        </w:rPr>
      </w:pPr>
      <w:r>
        <w:rPr>
          <w:rFonts w:hint="eastAsia" w:ascii="宋体" w:hAnsi="宋体" w:eastAsia="宋体" w:cs="宋体"/>
          <w:sz w:val="21"/>
          <w:szCs w:val="21"/>
          <w:highlight w:val="none"/>
        </w:rPr>
        <w:t>上油：对燃烧机中的送料螺旋（电机、螺旋、轴承、移动车的万向脚轮、螺杆等部件），清灰除焦推杆(板)（电机、轴承、推杆或推板等部件）、助燃风机（电机、送风管等部件），进行上油保护。相关情况记录在维修保养手册中。</w:t>
      </w:r>
    </w:p>
    <w:p w14:paraId="23E110DA">
      <w:pPr>
        <w:ind w:firstLine="403" w:firstLineChars="192"/>
        <w:rPr>
          <w:rFonts w:hint="eastAsia" w:ascii="宋体" w:hAnsi="宋体" w:eastAsia="宋体" w:cs="宋体"/>
          <w:sz w:val="21"/>
          <w:szCs w:val="21"/>
          <w:highlight w:val="none"/>
        </w:rPr>
      </w:pPr>
      <w:bookmarkStart w:id="114" w:name="_Toc25411_WPSOffice_Level1"/>
      <w:r>
        <w:rPr>
          <w:rFonts w:hint="eastAsia" w:ascii="宋体" w:hAnsi="宋体" w:eastAsia="宋体" w:cs="宋体"/>
          <w:sz w:val="21"/>
          <w:szCs w:val="21"/>
          <w:highlight w:val="none"/>
        </w:rPr>
        <w:t>安全保管：</w:t>
      </w:r>
      <w:bookmarkEnd w:id="114"/>
      <w:r>
        <w:rPr>
          <w:rFonts w:hint="eastAsia" w:ascii="宋体" w:hAnsi="宋体" w:eastAsia="宋体" w:cs="宋体"/>
          <w:sz w:val="21"/>
          <w:szCs w:val="21"/>
          <w:highlight w:val="none"/>
        </w:rPr>
        <w:t xml:space="preserve"> </w:t>
      </w:r>
    </w:p>
    <w:p w14:paraId="3432CF35">
      <w:pPr>
        <w:ind w:firstLine="403" w:firstLineChars="192"/>
      </w:pPr>
      <w:r>
        <w:rPr>
          <w:rFonts w:hint="eastAsia" w:ascii="宋体" w:hAnsi="宋体" w:eastAsia="宋体" w:cs="宋体"/>
          <w:sz w:val="21"/>
          <w:szCs w:val="21"/>
          <w:highlight w:val="none"/>
        </w:rPr>
        <w:t>对燃烧机中的燃烧弧板、点火棒、观火窗、清灰除焦推杆(板)、助燃风机，控制器，搬运到干燥、安全的仓库中存放。相关情况记录在维修保养手册中</w:t>
      </w:r>
      <w:r>
        <w:rPr>
          <w:rFonts w:hint="eastAsia" w:ascii="宋体" w:hAnsi="宋体" w:cs="宋体"/>
          <w:sz w:val="21"/>
          <w:szCs w:val="21"/>
          <w:highlight w:val="none"/>
          <w:lang w:eastAsia="zh-CN"/>
        </w:rPr>
        <w:t>。</w:t>
      </w:r>
    </w:p>
    <w:p w14:paraId="795FE15A">
      <w:pPr>
        <w:pStyle w:val="13"/>
        <w:numPr>
          <w:ilvl w:val="0"/>
          <w:numId w:val="0"/>
        </w:numPr>
        <w:spacing w:beforeAutospacing="0" w:afterAutospacing="0" w:line="240" w:lineRule="auto"/>
        <w:jc w:val="both"/>
        <w:rPr>
          <w:rFonts w:ascii="宋体" w:hAnsi="宋体" w:eastAsia="宋体" w:cs="宋体"/>
          <w:b/>
          <w:bCs/>
          <w:sz w:val="32"/>
          <w:szCs w:val="32"/>
        </w:rPr>
        <w:sectPr>
          <w:pgSz w:w="11906" w:h="16838"/>
          <w:pgMar w:top="1440" w:right="1800" w:bottom="1440" w:left="1800" w:header="0" w:footer="506" w:gutter="0"/>
          <w:pgNumType w:fmt="decimal"/>
          <w:cols w:space="720" w:num="1"/>
        </w:sectPr>
      </w:pPr>
    </w:p>
    <w:p w14:paraId="02F6DE64">
      <w:pPr>
        <w:pStyle w:val="13"/>
        <w:spacing w:before="156" w:beforeAutospacing="0" w:after="156" w:afterAutospacing="0" w:line="600" w:lineRule="exact"/>
        <w:jc w:val="center"/>
        <w:outlineLvl w:val="0"/>
        <w:rPr>
          <w:rFonts w:ascii="宋体" w:hAnsi="宋体" w:eastAsia="宋体" w:cs="宋体"/>
          <w:b/>
          <w:bCs/>
          <w:sz w:val="32"/>
          <w:szCs w:val="32"/>
        </w:rPr>
      </w:pPr>
      <w:bookmarkStart w:id="115" w:name="_Toc9123"/>
      <w:bookmarkStart w:id="116" w:name="_Toc21319"/>
      <w:r>
        <w:rPr>
          <w:rFonts w:hint="eastAsia" w:ascii="宋体" w:hAnsi="宋体" w:eastAsia="宋体" w:cs="宋体"/>
          <w:b/>
          <w:bCs/>
          <w:sz w:val="32"/>
          <w:szCs w:val="32"/>
        </w:rPr>
        <w:t>第四章  评标办法</w:t>
      </w:r>
      <w:bookmarkEnd w:id="115"/>
      <w:bookmarkEnd w:id="116"/>
    </w:p>
    <w:p w14:paraId="698DF61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1. 投标文件的评审、比较和否决</w:t>
      </w:r>
    </w:p>
    <w:p w14:paraId="00840F4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1.1评标委员会将按照招标文件的规定，仅对在实质上响应招标文件要求的投标文件进行评估和比较。</w:t>
      </w:r>
    </w:p>
    <w:p w14:paraId="54656D2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1.2根据相关法律法规及有关招投标文件规定，结合本项目具体情况，制定本次招标评标办法。并按照“公平、公正、科学、择优”的原则进行评标。采用百分制综合评估法进行评比。</w:t>
      </w:r>
    </w:p>
    <w:p w14:paraId="4AAADE2B">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1.3在评审过程中，评标委员会可以以书面形式要求投标供应商就投标文件中含义不明确的内容进行书面说明并提供相关材料；凡遇到招标文件中无界定或界定不清、前后不一致使评委会成员意见有分歧且又难于协商一致的问题，均由评委会予以表决，获半数以上同意的即为通过，未获半数同意的即为否决。</w:t>
      </w:r>
    </w:p>
    <w:p w14:paraId="572E2906">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1.4评标时，投标报价是评标的重要依据，但不是唯一依据，采购人不承诺将合同授予报价最低或最高的投标供应商。</w:t>
      </w:r>
    </w:p>
    <w:p w14:paraId="6961BB8D">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1.5评标委员会依据招标文件中规定的评标标准和方法，对投标文件进行评审和比较，向采购人提出书面评标报告，并推荐合格的中标候选人。采购人根据评标委员会提出的书面评标报告和推荐的中标候选人按序确定中标人。</w:t>
      </w:r>
    </w:p>
    <w:p w14:paraId="2977937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2. 评审程序</w:t>
      </w:r>
    </w:p>
    <w:p w14:paraId="3D6E42DA">
      <w:pPr>
        <w:widowControl/>
        <w:spacing w:line="400" w:lineRule="exact"/>
        <w:ind w:firstLine="420"/>
        <w:rPr>
          <w:rFonts w:hint="eastAsia" w:ascii="宋体" w:hAnsi="宋体" w:eastAsia="宋体" w:cs="Calibri"/>
          <w:b/>
          <w:bCs/>
          <w:kern w:val="0"/>
          <w:sz w:val="24"/>
        </w:rPr>
      </w:pPr>
      <w:r>
        <w:rPr>
          <w:rFonts w:hint="eastAsia" w:ascii="宋体" w:hAnsi="宋体" w:eastAsia="宋体" w:cs="Calibri"/>
          <w:b/>
          <w:bCs/>
          <w:kern w:val="0"/>
          <w:sz w:val="24"/>
        </w:rPr>
        <w:t>公开招标采购项目开标结束后，采购人或者采购代理机构应当依法对供应商的资格进行审查，合格供应商不足3家的，不得评标。有一项不符合的，视为未通过资格审查，按废标处理，符合的进入下一评标程序。</w:t>
      </w:r>
    </w:p>
    <w:p w14:paraId="215C2FEA">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lang w:val="en-US" w:eastAsia="zh-CN"/>
        </w:rPr>
        <w:t>3.</w:t>
      </w:r>
      <w:r>
        <w:rPr>
          <w:rFonts w:hint="eastAsia" w:ascii="宋体" w:hAnsi="宋体" w:eastAsia="宋体" w:cs="Calibri"/>
          <w:b w:val="0"/>
          <w:bCs w:val="0"/>
          <w:kern w:val="0"/>
          <w:sz w:val="24"/>
        </w:rPr>
        <w:t>评标具体方法和标准</w:t>
      </w:r>
    </w:p>
    <w:p w14:paraId="73AE656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本次评标采用综合评分法。评标委员会对满足招标文件实质性要求的投标文件，按照本章规定的评分标准进行打分，并按得分由高到低顺序推荐中标候选人，但投标报价低于其成本的除外。综合评分相等时，以投标报价低的优先； 投标报价也相等的，以技术得分高的优先；如果技术得分也相等，采购人自行确定。</w:t>
      </w:r>
    </w:p>
    <w:p w14:paraId="5E62E65E">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4</w:t>
      </w:r>
      <w:r>
        <w:rPr>
          <w:rFonts w:hint="eastAsia" w:ascii="宋体" w:hAnsi="宋体" w:eastAsia="宋体" w:cs="Calibri"/>
          <w:b w:val="0"/>
          <w:bCs w:val="0"/>
          <w:kern w:val="0"/>
          <w:sz w:val="24"/>
          <w:lang w:val="en-US" w:eastAsia="zh-CN"/>
        </w:rPr>
        <w:t>.</w:t>
      </w:r>
      <w:r>
        <w:rPr>
          <w:rFonts w:hint="eastAsia" w:ascii="宋体" w:hAnsi="宋体" w:eastAsia="宋体" w:cs="Calibri"/>
          <w:b w:val="0"/>
          <w:bCs w:val="0"/>
          <w:kern w:val="0"/>
          <w:sz w:val="24"/>
        </w:rPr>
        <w:t>评标委员会认为</w:t>
      </w:r>
      <w:r>
        <w:rPr>
          <w:rFonts w:hint="eastAsia" w:ascii="宋体" w:hAnsi="宋体" w:eastAsia="宋体" w:cs="Calibri"/>
          <w:b w:val="0"/>
          <w:bCs w:val="0"/>
          <w:kern w:val="0"/>
          <w:sz w:val="24"/>
          <w:lang w:eastAsia="zh-CN"/>
        </w:rPr>
        <w:t>供应商</w:t>
      </w:r>
      <w:r>
        <w:rPr>
          <w:rFonts w:hint="eastAsia" w:ascii="宋体" w:hAnsi="宋体" w:eastAsia="宋体" w:cs="Calibri"/>
          <w:b w:val="0"/>
          <w:bCs w:val="0"/>
          <w:kern w:val="0"/>
          <w:sz w:val="24"/>
        </w:rPr>
        <w:t>的报价明显低于其他通过符合性审查</w:t>
      </w:r>
      <w:r>
        <w:rPr>
          <w:rFonts w:hint="eastAsia" w:ascii="宋体" w:hAnsi="宋体" w:eastAsia="宋体" w:cs="Calibri"/>
          <w:b w:val="0"/>
          <w:bCs w:val="0"/>
          <w:kern w:val="0"/>
          <w:sz w:val="24"/>
          <w:lang w:eastAsia="zh-CN"/>
        </w:rPr>
        <w:t>供应商</w:t>
      </w:r>
      <w:r>
        <w:rPr>
          <w:rFonts w:hint="eastAsia" w:ascii="宋体" w:hAnsi="宋体" w:eastAsia="宋体" w:cs="Calibri"/>
          <w:b w:val="0"/>
          <w:bCs w:val="0"/>
          <w:kern w:val="0"/>
          <w:sz w:val="24"/>
        </w:rPr>
        <w:t>的报价，有可能影响产品质量或者不能诚信履约的，应当要求其在评标现场合理的时间内提供书面说明，必要时提交相关证明材料；</w:t>
      </w:r>
      <w:r>
        <w:rPr>
          <w:rFonts w:hint="eastAsia" w:ascii="宋体" w:hAnsi="宋体" w:eastAsia="宋体" w:cs="Calibri"/>
          <w:b w:val="0"/>
          <w:bCs w:val="0"/>
          <w:kern w:val="0"/>
          <w:sz w:val="24"/>
          <w:lang w:eastAsia="zh-CN"/>
        </w:rPr>
        <w:t>供应商</w:t>
      </w:r>
      <w:r>
        <w:rPr>
          <w:rFonts w:hint="eastAsia" w:ascii="宋体" w:hAnsi="宋体" w:eastAsia="宋体" w:cs="Calibri"/>
          <w:b w:val="0"/>
          <w:bCs w:val="0"/>
          <w:kern w:val="0"/>
          <w:sz w:val="24"/>
        </w:rPr>
        <w:t>不能证明其报价合理性的，评标委员会应当将其作为无效投标处理。</w:t>
      </w:r>
    </w:p>
    <w:p w14:paraId="6B64DFC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5.计分办法</w:t>
      </w:r>
    </w:p>
    <w:p w14:paraId="5F6A5EA1">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14:paraId="7E3CB5E7">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 xml:space="preserve"> 6.定标</w:t>
      </w:r>
    </w:p>
    <w:p w14:paraId="1697CD0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 xml:space="preserve"> 按评委计分结果,评标委员会按照得分由高到低的顺序推荐3名中标候选人，并向采购人提供书面评标报告，并经采购人授权，直接确定排名第一的中标候选人为中标人。</w:t>
      </w:r>
    </w:p>
    <w:p w14:paraId="70F44550">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lang w:val="en-US" w:eastAsia="zh-CN"/>
        </w:rPr>
        <w:t>7</w:t>
      </w:r>
      <w:r>
        <w:rPr>
          <w:rFonts w:hint="eastAsia" w:ascii="宋体" w:hAnsi="宋体" w:eastAsia="宋体" w:cs="Calibri"/>
          <w:b w:val="0"/>
          <w:bCs w:val="0"/>
          <w:kern w:val="0"/>
          <w:sz w:val="24"/>
        </w:rPr>
        <w:t xml:space="preserve">.其他事项 </w:t>
      </w:r>
    </w:p>
    <w:p w14:paraId="66DA1208">
      <w:pPr>
        <w:widowControl/>
        <w:spacing w:line="400" w:lineRule="exact"/>
        <w:ind w:firstLine="420"/>
        <w:rPr>
          <w:rFonts w:hint="eastAsia" w:ascii="宋体" w:hAnsi="宋体" w:eastAsia="宋体" w:cs="Calibri"/>
          <w:b w:val="0"/>
          <w:bCs w:val="0"/>
          <w:kern w:val="0"/>
          <w:sz w:val="24"/>
        </w:rPr>
      </w:pPr>
      <w:r>
        <w:rPr>
          <w:rFonts w:hint="eastAsia" w:ascii="宋体" w:hAnsi="宋体" w:eastAsia="宋体" w:cs="Calibri"/>
          <w:b w:val="0"/>
          <w:bCs w:val="0"/>
          <w:kern w:val="0"/>
          <w:sz w:val="24"/>
        </w:rPr>
        <w:t>评标委员会认为投标人的报价明显低于其他通过资格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6F137F4">
      <w:pPr>
        <w:widowControl/>
        <w:spacing w:line="400" w:lineRule="exact"/>
        <w:ind w:firstLine="420"/>
        <w:rPr>
          <w:rFonts w:ascii="宋体" w:hAnsi="宋体" w:eastAsia="宋体" w:cs="Calibri"/>
          <w:b/>
          <w:bCs/>
          <w:kern w:val="0"/>
          <w:sz w:val="24"/>
        </w:rPr>
      </w:pPr>
      <w:r>
        <w:rPr>
          <w:rFonts w:hint="eastAsia" w:ascii="宋体" w:hAnsi="宋体" w:eastAsia="宋体" w:cs="Calibri"/>
          <w:b/>
          <w:bCs/>
          <w:kern w:val="0"/>
          <w:sz w:val="24"/>
        </w:rPr>
        <w:t>初步审查评标办法前附表</w:t>
      </w:r>
    </w:p>
    <w:tbl>
      <w:tblPr>
        <w:tblStyle w:val="17"/>
        <w:tblpPr w:leftFromText="180" w:rightFromText="180" w:vertAnchor="text" w:horzAnchor="page" w:tblpX="1720" w:tblpY="737"/>
        <w:tblOverlap w:val="never"/>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285"/>
        <w:gridCol w:w="5824"/>
      </w:tblGrid>
      <w:tr w14:paraId="3B56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noWrap w:val="0"/>
            <w:vAlign w:val="center"/>
          </w:tcPr>
          <w:p w14:paraId="3426B921">
            <w:pPr>
              <w:widowControl/>
              <w:spacing w:before="0" w:beforeLines="0" w:beforeAutospacing="0" w:afterAutospacing="0"/>
              <w:ind w:left="0" w:right="0"/>
              <w:jc w:val="center"/>
              <w:rPr>
                <w:rFonts w:ascii="宋体" w:hAnsi="宋体" w:eastAsia="宋体" w:cs="Calibri"/>
                <w:color w:val="auto"/>
                <w:kern w:val="2"/>
                <w:sz w:val="24"/>
                <w:szCs w:val="24"/>
              </w:rPr>
            </w:pPr>
            <w:r>
              <w:rPr>
                <w:rFonts w:hint="eastAsia" w:ascii="宋体" w:hAnsi="宋体" w:eastAsia="宋体" w:cs="Calibri"/>
                <w:color w:val="auto"/>
                <w:kern w:val="2"/>
                <w:sz w:val="24"/>
                <w:szCs w:val="24"/>
              </w:rPr>
              <w:t>条款</w:t>
            </w:r>
          </w:p>
        </w:tc>
        <w:tc>
          <w:tcPr>
            <w:tcW w:w="2285" w:type="dxa"/>
            <w:noWrap w:val="0"/>
            <w:vAlign w:val="center"/>
          </w:tcPr>
          <w:p w14:paraId="14DD1FD6">
            <w:pPr>
              <w:widowControl/>
              <w:spacing w:before="0" w:beforeLines="0" w:beforeAutospacing="0" w:afterAutospacing="0"/>
              <w:ind w:left="0" w:right="0"/>
              <w:jc w:val="center"/>
              <w:rPr>
                <w:rFonts w:ascii="宋体" w:hAnsi="宋体" w:eastAsia="宋体" w:cs="Calibri"/>
                <w:color w:val="auto"/>
                <w:kern w:val="2"/>
                <w:sz w:val="24"/>
                <w:szCs w:val="24"/>
              </w:rPr>
            </w:pPr>
            <w:r>
              <w:rPr>
                <w:rFonts w:hint="eastAsia" w:ascii="宋体" w:hAnsi="宋体" w:eastAsia="宋体" w:cs="Calibri"/>
                <w:color w:val="auto"/>
                <w:kern w:val="2"/>
                <w:sz w:val="24"/>
                <w:szCs w:val="24"/>
              </w:rPr>
              <w:t>审查因素</w:t>
            </w:r>
          </w:p>
        </w:tc>
        <w:tc>
          <w:tcPr>
            <w:tcW w:w="5824" w:type="dxa"/>
            <w:noWrap w:val="0"/>
            <w:vAlign w:val="center"/>
          </w:tcPr>
          <w:p w14:paraId="4065766A">
            <w:pPr>
              <w:widowControl/>
              <w:spacing w:before="0" w:beforeLines="0" w:beforeAutospacing="0" w:afterAutospacing="0"/>
              <w:ind w:left="0" w:right="0"/>
              <w:jc w:val="center"/>
              <w:rPr>
                <w:rFonts w:ascii="宋体" w:hAnsi="宋体" w:eastAsia="宋体" w:cs="Calibri"/>
                <w:color w:val="auto"/>
                <w:kern w:val="2"/>
                <w:sz w:val="24"/>
                <w:szCs w:val="24"/>
              </w:rPr>
            </w:pPr>
            <w:r>
              <w:rPr>
                <w:rFonts w:hint="eastAsia" w:ascii="宋体" w:hAnsi="宋体" w:eastAsia="宋体" w:cs="Calibri"/>
                <w:color w:val="auto"/>
                <w:kern w:val="2"/>
                <w:sz w:val="24"/>
                <w:szCs w:val="24"/>
              </w:rPr>
              <w:t>审查标准</w:t>
            </w:r>
          </w:p>
        </w:tc>
      </w:tr>
      <w:tr w14:paraId="2722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985" w:type="dxa"/>
            <w:vMerge w:val="restart"/>
            <w:noWrap w:val="0"/>
            <w:vAlign w:val="center"/>
          </w:tcPr>
          <w:p w14:paraId="504BA864">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形式评审标准</w:t>
            </w:r>
          </w:p>
        </w:tc>
        <w:tc>
          <w:tcPr>
            <w:tcW w:w="2285" w:type="dxa"/>
            <w:noWrap w:val="0"/>
            <w:vAlign w:val="center"/>
          </w:tcPr>
          <w:p w14:paraId="362A82DD">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供应商名称</w:t>
            </w:r>
          </w:p>
        </w:tc>
        <w:tc>
          <w:tcPr>
            <w:tcW w:w="5824" w:type="dxa"/>
            <w:noWrap w:val="0"/>
            <w:vAlign w:val="center"/>
          </w:tcPr>
          <w:p w14:paraId="2F858DB6">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与营业执照一致</w:t>
            </w:r>
          </w:p>
        </w:tc>
      </w:tr>
      <w:tr w14:paraId="2FC5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1F794D6A">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581E393B">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投标文件签字盖章</w:t>
            </w:r>
          </w:p>
        </w:tc>
        <w:tc>
          <w:tcPr>
            <w:tcW w:w="5824" w:type="dxa"/>
            <w:noWrap w:val="0"/>
            <w:vAlign w:val="center"/>
          </w:tcPr>
          <w:p w14:paraId="684D9A10">
            <w:pPr>
              <w:widowControl/>
              <w:autoSpaceDE w:val="0"/>
              <w:autoSpaceDN w:val="0"/>
              <w:spacing w:before="0" w:beforeLines="0" w:beforeAutospacing="0" w:afterAutospacing="0" w:line="360" w:lineRule="auto"/>
              <w:ind w:left="0" w:right="0"/>
              <w:rPr>
                <w:rFonts w:hint="eastAsia" w:ascii="宋体" w:hAnsi="宋体" w:eastAsia="宋体" w:cs="Calibri"/>
                <w:color w:val="auto"/>
                <w:kern w:val="2"/>
                <w:sz w:val="24"/>
                <w:szCs w:val="24"/>
                <w:lang w:eastAsia="zh-CN"/>
              </w:rPr>
            </w:pPr>
            <w:r>
              <w:rPr>
                <w:rFonts w:hint="eastAsia" w:ascii="宋体" w:hAnsi="宋体" w:eastAsia="宋体" w:cs="Calibri"/>
                <w:color w:val="auto"/>
                <w:kern w:val="2"/>
                <w:sz w:val="24"/>
                <w:szCs w:val="24"/>
              </w:rPr>
              <w:t>符合招标文件要求</w:t>
            </w:r>
            <w:r>
              <w:rPr>
                <w:rFonts w:hint="eastAsia" w:ascii="宋体" w:hAnsi="宋体" w:eastAsia="宋体" w:cs="Calibri"/>
                <w:color w:val="auto"/>
                <w:kern w:val="2"/>
                <w:sz w:val="24"/>
                <w:szCs w:val="24"/>
                <w:lang w:eastAsia="zh-CN"/>
              </w:rPr>
              <w:t>，</w:t>
            </w:r>
            <w:r>
              <w:rPr>
                <w:rFonts w:hint="eastAsia" w:ascii="宋体" w:hAnsi="宋体" w:eastAsia="宋体" w:cs="宋体"/>
                <w:color w:val="auto"/>
                <w:kern w:val="2"/>
                <w:sz w:val="24"/>
                <w:szCs w:val="24"/>
                <w:lang w:val="en-US" w:eastAsia="zh-CN"/>
              </w:rPr>
              <w:t>响应文件须有法定代表人或其委托代理人签章并加盖单位公章</w:t>
            </w:r>
          </w:p>
        </w:tc>
      </w:tr>
      <w:tr w14:paraId="3412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20BD67A4">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07C40027">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投标文件格式</w:t>
            </w:r>
          </w:p>
        </w:tc>
        <w:tc>
          <w:tcPr>
            <w:tcW w:w="5824" w:type="dxa"/>
            <w:noWrap w:val="0"/>
            <w:vAlign w:val="center"/>
          </w:tcPr>
          <w:p w14:paraId="0624EAE3">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符合招标文件要求</w:t>
            </w:r>
          </w:p>
        </w:tc>
      </w:tr>
      <w:tr w14:paraId="6065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2C1995F5">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74B9C921">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报价唯一</w:t>
            </w:r>
          </w:p>
        </w:tc>
        <w:tc>
          <w:tcPr>
            <w:tcW w:w="5824" w:type="dxa"/>
            <w:noWrap w:val="0"/>
            <w:vAlign w:val="center"/>
          </w:tcPr>
          <w:p w14:paraId="5A669953">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只能有一个有效报价</w:t>
            </w:r>
          </w:p>
        </w:tc>
      </w:tr>
      <w:tr w14:paraId="65D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restart"/>
            <w:noWrap w:val="0"/>
            <w:vAlign w:val="center"/>
          </w:tcPr>
          <w:p w14:paraId="18F11DCC">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p>
          <w:p w14:paraId="1FE6234E">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p>
          <w:p w14:paraId="27814221">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p>
          <w:p w14:paraId="7740633E">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p>
          <w:p w14:paraId="29B2A163">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p>
          <w:p w14:paraId="4ADE6E13">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p>
          <w:p w14:paraId="02317EDD">
            <w:pPr>
              <w:widowControl/>
              <w:autoSpaceDE w:val="0"/>
              <w:autoSpaceDN w:val="0"/>
              <w:spacing w:before="0" w:beforeLines="0" w:beforeAutospacing="0" w:afterAutospacing="0" w:line="360" w:lineRule="auto"/>
              <w:ind w:left="0" w:right="0"/>
              <w:jc w:val="center"/>
              <w:rPr>
                <w:rFonts w:ascii="宋体" w:hAnsi="宋体" w:eastAsia="宋体" w:cs="Calibri"/>
                <w:color w:val="auto"/>
                <w:kern w:val="2"/>
                <w:sz w:val="24"/>
                <w:szCs w:val="24"/>
              </w:rPr>
            </w:pPr>
            <w:r>
              <w:rPr>
                <w:rFonts w:hint="eastAsia" w:ascii="宋体" w:hAnsi="宋体" w:eastAsia="宋体" w:cs="Calibri"/>
                <w:color w:val="auto"/>
                <w:kern w:val="2"/>
                <w:sz w:val="24"/>
                <w:szCs w:val="24"/>
              </w:rPr>
              <w:t>资格性审查标准</w:t>
            </w:r>
          </w:p>
        </w:tc>
        <w:tc>
          <w:tcPr>
            <w:tcW w:w="2285" w:type="dxa"/>
            <w:noWrap w:val="0"/>
            <w:vAlign w:val="center"/>
          </w:tcPr>
          <w:p w14:paraId="501ED55A">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营业执照</w:t>
            </w:r>
          </w:p>
        </w:tc>
        <w:tc>
          <w:tcPr>
            <w:tcW w:w="5824" w:type="dxa"/>
            <w:noWrap w:val="0"/>
            <w:vAlign w:val="center"/>
          </w:tcPr>
          <w:p w14:paraId="76ECA850">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具备有效的营业执照</w:t>
            </w:r>
          </w:p>
        </w:tc>
      </w:tr>
      <w:tr w14:paraId="6FA9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26B0BCC3">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6F3043E7">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宋体"/>
                <w:sz w:val="24"/>
                <w:szCs w:val="24"/>
              </w:rPr>
              <w:t>具有履行本项目采购内容所必须的设备和专业技术服务能力</w:t>
            </w:r>
          </w:p>
        </w:tc>
        <w:tc>
          <w:tcPr>
            <w:tcW w:w="5824" w:type="dxa"/>
            <w:noWrap w:val="0"/>
            <w:vAlign w:val="center"/>
          </w:tcPr>
          <w:p w14:paraId="0E23A32D">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宋体"/>
                <w:sz w:val="24"/>
                <w:szCs w:val="24"/>
              </w:rPr>
              <w:t>具有履行本项目采购内容所必须的设备和专业技术服务能力；(提供证明材料或承诺书)</w:t>
            </w:r>
          </w:p>
        </w:tc>
      </w:tr>
      <w:tr w14:paraId="4909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30418D2C">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36336B53">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宋体"/>
                <w:sz w:val="24"/>
                <w:szCs w:val="24"/>
                <w:lang w:val="en-US" w:eastAsia="zh-CN"/>
              </w:rPr>
              <w:t>具有良好的财务状况</w:t>
            </w:r>
          </w:p>
        </w:tc>
        <w:tc>
          <w:tcPr>
            <w:tcW w:w="5824" w:type="dxa"/>
            <w:noWrap w:val="0"/>
            <w:vAlign w:val="center"/>
          </w:tcPr>
          <w:p w14:paraId="2A302834">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宋体"/>
                <w:sz w:val="24"/>
                <w:szCs w:val="24"/>
                <w:lang w:val="en-US" w:eastAsia="zh-CN"/>
              </w:rPr>
              <w:t>具有良好的财务状况，提供(2022-2024年任意一年)财务审计报告或自行承诺；（新成立的企业从成立之日起计算）</w:t>
            </w:r>
          </w:p>
        </w:tc>
      </w:tr>
      <w:tr w14:paraId="48D2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63868621">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4879E031">
            <w:pPr>
              <w:widowControl/>
              <w:autoSpaceDE w:val="0"/>
              <w:autoSpaceDN w:val="0"/>
              <w:spacing w:before="0" w:beforeLines="0" w:beforeAutospacing="0" w:afterAutospacing="0" w:line="360" w:lineRule="auto"/>
              <w:ind w:left="0" w:right="0"/>
              <w:rPr>
                <w:rFonts w:hint="default" w:ascii="宋体" w:hAnsi="宋体" w:eastAsia="宋体" w:cs="Calibri"/>
                <w:color w:val="auto"/>
                <w:kern w:val="2"/>
                <w:sz w:val="24"/>
                <w:szCs w:val="24"/>
                <w:lang w:val="en-US"/>
              </w:rPr>
            </w:pPr>
            <w:r>
              <w:rPr>
                <w:rFonts w:hint="eastAsia" w:ascii="宋体" w:hAnsi="宋体" w:eastAsia="宋体" w:cs="宋体"/>
                <w:bCs/>
                <w:color w:val="000000"/>
                <w:sz w:val="24"/>
                <w:szCs w:val="28"/>
                <w:highlight w:val="none"/>
                <w:lang w:val="en-US" w:eastAsia="zh-CN"/>
              </w:rPr>
              <w:t>供应商具有依法缴纳税收和社会保障资金及项目负责人</w:t>
            </w:r>
          </w:p>
        </w:tc>
        <w:tc>
          <w:tcPr>
            <w:tcW w:w="5824" w:type="dxa"/>
            <w:noWrap w:val="0"/>
            <w:vAlign w:val="center"/>
          </w:tcPr>
          <w:p w14:paraId="1320A877">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宋体"/>
                <w:bCs/>
                <w:color w:val="000000"/>
                <w:sz w:val="24"/>
                <w:szCs w:val="28"/>
                <w:highlight w:val="none"/>
                <w:lang w:val="en-US" w:eastAsia="zh-CN"/>
              </w:rPr>
              <w:t>供应商具有依法缴纳税收和社会保障资金的良好记录证明材料或承诺书；</w:t>
            </w:r>
            <w:r>
              <w:rPr>
                <w:rFonts w:hint="eastAsia" w:ascii="宋体" w:hAnsi="宋体" w:eastAsia="宋体" w:cs="宋体"/>
                <w:sz w:val="24"/>
                <w:szCs w:val="24"/>
                <w:lang w:val="en-US" w:eastAsia="zh-CN"/>
              </w:rPr>
              <w:t>拟派项目负责人提供2025年以来任意一个月社保证明</w:t>
            </w:r>
            <w:r>
              <w:rPr>
                <w:rFonts w:hint="eastAsia" w:ascii="宋体" w:hAnsi="宋体" w:eastAsia="宋体" w:cs="宋体"/>
                <w:sz w:val="24"/>
                <w:szCs w:val="24"/>
              </w:rPr>
              <w:t>； </w:t>
            </w:r>
          </w:p>
        </w:tc>
      </w:tr>
      <w:tr w14:paraId="70ED2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5FA88D49">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79036410">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宋体"/>
                <w:bCs/>
                <w:color w:val="000000"/>
                <w:sz w:val="24"/>
                <w:szCs w:val="28"/>
                <w:highlight w:val="none"/>
                <w:lang w:val="en-US" w:eastAsia="zh-CN"/>
              </w:rPr>
              <w:t>参加政府采购活动前3年内无行贿犯罪记录</w:t>
            </w:r>
          </w:p>
        </w:tc>
        <w:tc>
          <w:tcPr>
            <w:tcW w:w="5824" w:type="dxa"/>
            <w:noWrap w:val="0"/>
            <w:vAlign w:val="center"/>
          </w:tcPr>
          <w:p w14:paraId="19942D23">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宋体"/>
                <w:bCs/>
                <w:color w:val="000000"/>
                <w:sz w:val="24"/>
                <w:szCs w:val="28"/>
                <w:highlight w:val="none"/>
                <w:lang w:val="en-US" w:eastAsia="zh-CN"/>
              </w:rPr>
              <w:t>参加政府采购活动前3年内无行贿犯罪记录，（开标时提供《中国裁判文书网》</w:t>
            </w:r>
            <w:r>
              <w:rPr>
                <w:rFonts w:hint="eastAsia" w:ascii="宋体" w:hAnsi="宋体" w:eastAsia="宋体" w:cs="宋体"/>
                <w:bCs/>
                <w:color w:val="000000"/>
                <w:sz w:val="24"/>
                <w:szCs w:val="28"/>
                <w:highlight w:val="none"/>
                <w:lang w:eastAsia="zh-CN"/>
              </w:rPr>
              <w:t>查询结果网页截图或企业自行承诺的无行贿犯罪承诺书，查询&lt;承诺&gt;对象为“企业，法定代表人，项目负责人”）</w:t>
            </w:r>
          </w:p>
        </w:tc>
      </w:tr>
      <w:tr w14:paraId="11C4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1398D0BE">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1BAD6B74">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宋体"/>
                <w:sz w:val="24"/>
                <w:szCs w:val="24"/>
              </w:rPr>
              <w:t>参加政府采购活动前3年内无商业贿赂、不正当竞争行为、骗取中标、严重违约及重大工程质量等问题（供应商须自行出具承诺书）</w:t>
            </w:r>
          </w:p>
        </w:tc>
        <w:tc>
          <w:tcPr>
            <w:tcW w:w="5824" w:type="dxa"/>
            <w:noWrap w:val="0"/>
            <w:vAlign w:val="center"/>
          </w:tcPr>
          <w:p w14:paraId="60DC6BD3">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宋体"/>
                <w:sz w:val="24"/>
                <w:szCs w:val="24"/>
              </w:rPr>
              <w:t>参加政府采购活动前3年内无商业贿赂、不正当竞争行为、骗取中标、严重违约及重大工程质量等问题（供应商须自行出具承诺书）</w:t>
            </w:r>
          </w:p>
        </w:tc>
      </w:tr>
      <w:tr w14:paraId="292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69FF254E">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tcBorders>
              <w:bottom w:val="single" w:color="auto" w:sz="4" w:space="0"/>
            </w:tcBorders>
            <w:noWrap w:val="0"/>
            <w:vAlign w:val="center"/>
          </w:tcPr>
          <w:p w14:paraId="3153886B">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信用中国查询</w:t>
            </w:r>
          </w:p>
        </w:tc>
        <w:tc>
          <w:tcPr>
            <w:tcW w:w="5824" w:type="dxa"/>
            <w:tcBorders>
              <w:bottom w:val="single" w:color="auto" w:sz="4" w:space="0"/>
            </w:tcBorders>
            <w:noWrap w:val="0"/>
            <w:vAlign w:val="center"/>
          </w:tcPr>
          <w:p w14:paraId="00D60D52">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textAlignment w:val="auto"/>
              <w:rPr>
                <w:rFonts w:ascii="宋体" w:hAnsi="宋体" w:eastAsia="宋体" w:cs="Calibri"/>
                <w:color w:val="auto"/>
                <w:kern w:val="2"/>
                <w:sz w:val="24"/>
                <w:szCs w:val="24"/>
              </w:rPr>
            </w:pPr>
            <w:r>
              <w:rPr>
                <w:rFonts w:hint="eastAsia" w:ascii="宋体" w:hAnsi="宋体" w:eastAsia="宋体" w:cs="宋体"/>
                <w:sz w:val="24"/>
                <w:szCs w:val="24"/>
                <w:lang w:val="zh-TW" w:eastAsia="zh-TW"/>
              </w:rPr>
              <w:t>根据《关于在政府采购活动中查询及使用信用记录有关问题的通知》(财库[2016]125号)和豫财购【201</w:t>
            </w:r>
            <w:r>
              <w:rPr>
                <w:rFonts w:hint="eastAsia" w:ascii="宋体" w:hAnsi="宋体" w:cs="宋体"/>
                <w:sz w:val="24"/>
                <w:szCs w:val="24"/>
                <w:lang w:val="zh-TW" w:eastAsia="zh-TW"/>
              </w:rPr>
              <w:t>6】15号的规定，对列入失信被执行人、重大税收违法失信主体、政府采购严重违法失信行为记录名单的供应商，拒绝参与本项目采购活动；须提供中国执行信息公开网（http://zxgk.court.gov.cn/）关于“失信被执行人”查询截图；信用中国(www.creditchina.gov.cn）关于“重大税收违法失信主体”查询截图；中国政府采购网（www.ccgp.gov.cn）关于“政府采购严重违法失信行为记录名单”查询截图。</w:t>
            </w:r>
            <w:r>
              <w:rPr>
                <w:rFonts w:hint="eastAsia" w:ascii="宋体" w:hAnsi="宋体" w:cs="宋体"/>
                <w:sz w:val="24"/>
                <w:szCs w:val="24"/>
              </w:rPr>
              <w:t>(注：査询时间必须是公告发布以后开标时间以前并提供网站查询网页截图，查询结果清晰可见)</w:t>
            </w:r>
            <w:r>
              <w:rPr>
                <w:rFonts w:hint="eastAsia" w:ascii="宋体" w:hAnsi="宋体" w:eastAsia="宋体" w:cs="宋体"/>
                <w:sz w:val="24"/>
                <w:szCs w:val="24"/>
              </w:rPr>
              <w:t>；</w:t>
            </w:r>
          </w:p>
        </w:tc>
      </w:tr>
      <w:tr w14:paraId="065B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tcBorders>
              <w:right w:val="single" w:color="auto" w:sz="4" w:space="0"/>
            </w:tcBorders>
            <w:noWrap w:val="0"/>
            <w:vAlign w:val="center"/>
          </w:tcPr>
          <w:p w14:paraId="682BFB53">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tcBorders>
              <w:top w:val="single" w:color="auto" w:sz="4" w:space="0"/>
              <w:left w:val="single" w:color="auto" w:sz="4" w:space="0"/>
              <w:bottom w:val="single" w:color="auto" w:sz="4" w:space="0"/>
              <w:right w:val="single" w:color="auto" w:sz="4" w:space="0"/>
            </w:tcBorders>
            <w:noWrap w:val="0"/>
            <w:vAlign w:val="center"/>
          </w:tcPr>
          <w:p w14:paraId="11D8F258">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其它内容</w:t>
            </w:r>
          </w:p>
        </w:tc>
        <w:tc>
          <w:tcPr>
            <w:tcW w:w="5824" w:type="dxa"/>
            <w:tcBorders>
              <w:top w:val="single" w:color="auto" w:sz="4" w:space="0"/>
              <w:left w:val="single" w:color="auto" w:sz="4" w:space="0"/>
              <w:bottom w:val="single" w:color="auto" w:sz="4" w:space="0"/>
              <w:right w:val="single" w:color="auto" w:sz="4" w:space="0"/>
            </w:tcBorders>
            <w:noWrap w:val="0"/>
            <w:vAlign w:val="center"/>
          </w:tcPr>
          <w:p w14:paraId="75A18D51">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招标文件中要求的其它资料</w:t>
            </w:r>
          </w:p>
        </w:tc>
      </w:tr>
      <w:tr w14:paraId="5C99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restart"/>
            <w:noWrap w:val="0"/>
            <w:vAlign w:val="center"/>
          </w:tcPr>
          <w:p w14:paraId="76D87835">
            <w:pPr>
              <w:widowControl/>
              <w:autoSpaceDE w:val="0"/>
              <w:autoSpaceDN w:val="0"/>
              <w:spacing w:before="0" w:beforeLines="0" w:beforeAutospacing="0" w:afterAutospacing="0" w:line="360" w:lineRule="auto"/>
              <w:ind w:left="0" w:right="0"/>
              <w:rPr>
                <w:rFonts w:ascii="宋体" w:hAnsi="宋体" w:eastAsia="宋体" w:cs="Calibri"/>
                <w:color w:val="auto"/>
                <w:kern w:val="2"/>
                <w:sz w:val="24"/>
                <w:szCs w:val="24"/>
              </w:rPr>
            </w:pPr>
            <w:r>
              <w:rPr>
                <w:rFonts w:hint="eastAsia" w:ascii="宋体" w:hAnsi="宋体" w:eastAsia="宋体" w:cs="Calibri"/>
                <w:color w:val="auto"/>
                <w:kern w:val="2"/>
                <w:sz w:val="24"/>
                <w:szCs w:val="24"/>
              </w:rPr>
              <w:t>响应性审查标准</w:t>
            </w:r>
          </w:p>
        </w:tc>
        <w:tc>
          <w:tcPr>
            <w:tcW w:w="2285" w:type="dxa"/>
            <w:noWrap w:val="0"/>
            <w:vAlign w:val="bottom"/>
          </w:tcPr>
          <w:p w14:paraId="2521C97C">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ind w:firstLine="600"/>
              <w:textAlignment w:val="auto"/>
              <w:rPr>
                <w:rFonts w:ascii="宋体" w:hAnsi="宋体" w:eastAsia="宋体" w:cs="Calibri"/>
                <w:color w:val="auto"/>
                <w:kern w:val="2"/>
                <w:sz w:val="24"/>
                <w:szCs w:val="24"/>
              </w:rPr>
            </w:pPr>
            <w:r>
              <w:rPr>
                <w:rFonts w:hint="eastAsia" w:ascii="宋体" w:hAnsi="宋体" w:eastAsia="宋体" w:cs="宋体"/>
                <w:sz w:val="24"/>
                <w:szCs w:val="24"/>
              </w:rPr>
              <w:t>供货期</w:t>
            </w:r>
          </w:p>
        </w:tc>
        <w:tc>
          <w:tcPr>
            <w:tcW w:w="5824" w:type="dxa"/>
            <w:noWrap w:val="0"/>
            <w:vAlign w:val="center"/>
          </w:tcPr>
          <w:p w14:paraId="162F87D8">
            <w:pPr>
              <w:pStyle w:val="13"/>
              <w:keepNext w:val="0"/>
              <w:keepLines w:val="0"/>
              <w:pageBreakBefore w:val="0"/>
              <w:widowControl/>
              <w:kinsoku/>
              <w:wordWrap w:val="0"/>
              <w:overflowPunct/>
              <w:topLinePunct w:val="0"/>
              <w:autoSpaceDE/>
              <w:autoSpaceDN/>
              <w:bidi w:val="0"/>
              <w:adjustRightInd/>
              <w:snapToGrid/>
              <w:spacing w:beforeAutospacing="0" w:afterAutospacing="0" w:line="500" w:lineRule="exact"/>
              <w:textAlignment w:val="auto"/>
              <w:rPr>
                <w:rFonts w:ascii="宋体" w:hAnsi="宋体" w:eastAsia="宋体" w:cs="Calibri"/>
                <w:color w:val="auto"/>
                <w:kern w:val="2"/>
                <w:sz w:val="24"/>
                <w:szCs w:val="24"/>
              </w:rPr>
            </w:pPr>
            <w:r>
              <w:rPr>
                <w:rFonts w:hint="eastAsia" w:ascii="宋体" w:hAnsi="宋体" w:eastAsia="宋体" w:cs="宋体"/>
                <w:sz w:val="24"/>
                <w:szCs w:val="24"/>
                <w:lang w:eastAsia="zh-CN"/>
              </w:rPr>
              <w:t>合同签订后30日历天内交货并安装调试完毕</w:t>
            </w:r>
          </w:p>
        </w:tc>
      </w:tr>
      <w:tr w14:paraId="0D24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5CD2CFBE">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3A529338">
            <w:pPr>
              <w:widowControl/>
              <w:autoSpaceDE w:val="0"/>
              <w:autoSpaceDN w:val="0"/>
              <w:spacing w:before="0" w:beforeLines="0" w:beforeAutospacing="0" w:afterAutospacing="0" w:line="360" w:lineRule="auto"/>
              <w:ind w:left="0" w:right="0" w:firstLine="480" w:firstLineChars="200"/>
              <w:jc w:val="both"/>
              <w:rPr>
                <w:rFonts w:ascii="宋体" w:hAnsi="宋体" w:eastAsia="宋体" w:cs="Calibri"/>
                <w:color w:val="auto"/>
                <w:kern w:val="2"/>
                <w:sz w:val="24"/>
                <w:szCs w:val="24"/>
              </w:rPr>
            </w:pPr>
            <w:r>
              <w:rPr>
                <w:rFonts w:hint="eastAsia" w:ascii="宋体" w:hAnsi="宋体" w:eastAsia="宋体" w:cs="Calibri"/>
                <w:color w:val="auto"/>
                <w:kern w:val="2"/>
                <w:sz w:val="24"/>
                <w:szCs w:val="24"/>
                <w:lang w:val="en-US" w:eastAsia="zh-CN"/>
              </w:rPr>
              <w:t>采购</w:t>
            </w:r>
            <w:r>
              <w:rPr>
                <w:rFonts w:hint="eastAsia" w:ascii="宋体" w:hAnsi="宋体" w:eastAsia="宋体" w:cs="Calibri"/>
                <w:color w:val="auto"/>
                <w:kern w:val="2"/>
                <w:sz w:val="24"/>
                <w:szCs w:val="24"/>
              </w:rPr>
              <w:t>内容</w:t>
            </w:r>
          </w:p>
        </w:tc>
        <w:tc>
          <w:tcPr>
            <w:tcW w:w="5824" w:type="dxa"/>
            <w:noWrap w:val="0"/>
            <w:vAlign w:val="center"/>
          </w:tcPr>
          <w:p w14:paraId="33C68DBE">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符合招标文件的规定</w:t>
            </w:r>
          </w:p>
        </w:tc>
      </w:tr>
      <w:tr w14:paraId="1A42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35D7B9E9">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24D4CCB7">
            <w:pPr>
              <w:widowControl/>
              <w:autoSpaceDE w:val="0"/>
              <w:autoSpaceDN w:val="0"/>
              <w:spacing w:before="0" w:beforeLines="0" w:beforeAutospacing="0" w:afterAutospacing="0" w:line="360" w:lineRule="auto"/>
              <w:ind w:left="0" w:right="0" w:firstLine="480" w:firstLineChars="20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质量要求</w:t>
            </w:r>
          </w:p>
        </w:tc>
        <w:tc>
          <w:tcPr>
            <w:tcW w:w="5824" w:type="dxa"/>
            <w:noWrap w:val="0"/>
            <w:vAlign w:val="center"/>
          </w:tcPr>
          <w:p w14:paraId="15FF1E45">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符合招标文件要求</w:t>
            </w:r>
            <w:r>
              <w:rPr>
                <w:rFonts w:hint="eastAsia" w:ascii="宋体" w:hAnsi="宋体" w:eastAsia="宋体" w:cs="Calibri"/>
                <w:color w:val="auto"/>
                <w:kern w:val="2"/>
                <w:sz w:val="24"/>
                <w:szCs w:val="24"/>
                <w:lang w:eastAsia="zh-CN"/>
              </w:rPr>
              <w:t>，详见“第二章供应商须知前附表”要求</w:t>
            </w:r>
          </w:p>
        </w:tc>
      </w:tr>
      <w:tr w14:paraId="0E88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1F4BD858">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2388EEC1">
            <w:pPr>
              <w:widowControl/>
              <w:autoSpaceDE w:val="0"/>
              <w:autoSpaceDN w:val="0"/>
              <w:spacing w:before="0" w:beforeLines="0" w:beforeAutospacing="0" w:afterAutospacing="0" w:line="360" w:lineRule="auto"/>
              <w:ind w:left="0" w:right="0" w:firstLine="480" w:firstLineChars="200"/>
              <w:jc w:val="both"/>
              <w:rPr>
                <w:rFonts w:ascii="宋体" w:hAnsi="宋体" w:eastAsia="宋体" w:cs="Calibri"/>
                <w:color w:val="auto"/>
                <w:kern w:val="2"/>
                <w:sz w:val="24"/>
                <w:szCs w:val="24"/>
              </w:rPr>
            </w:pPr>
            <w:r>
              <w:rPr>
                <w:rFonts w:hint="eastAsia" w:ascii="宋体" w:hAnsi="宋体" w:eastAsia="宋体" w:cs="Calibri"/>
                <w:color w:val="auto"/>
                <w:kern w:val="2"/>
                <w:sz w:val="24"/>
                <w:szCs w:val="24"/>
                <w:lang w:eastAsia="zh-CN"/>
              </w:rPr>
              <w:t>交货</w:t>
            </w:r>
            <w:r>
              <w:rPr>
                <w:rFonts w:hint="eastAsia" w:ascii="宋体" w:hAnsi="宋体" w:eastAsia="宋体" w:cs="Calibri"/>
                <w:color w:val="auto"/>
                <w:kern w:val="2"/>
                <w:sz w:val="24"/>
                <w:szCs w:val="24"/>
              </w:rPr>
              <w:t>地点</w:t>
            </w:r>
          </w:p>
        </w:tc>
        <w:tc>
          <w:tcPr>
            <w:tcW w:w="5824" w:type="dxa"/>
            <w:noWrap w:val="0"/>
            <w:vAlign w:val="center"/>
          </w:tcPr>
          <w:p w14:paraId="4F583044">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符合招标文件要求</w:t>
            </w:r>
            <w:r>
              <w:rPr>
                <w:rFonts w:hint="eastAsia" w:ascii="宋体" w:hAnsi="宋体" w:eastAsia="宋体" w:cs="Calibri"/>
                <w:color w:val="auto"/>
                <w:kern w:val="2"/>
                <w:sz w:val="24"/>
                <w:szCs w:val="24"/>
                <w:lang w:eastAsia="zh-CN"/>
              </w:rPr>
              <w:t>，详见“第二章供应商须知前附表”要求</w:t>
            </w:r>
          </w:p>
        </w:tc>
      </w:tr>
      <w:tr w14:paraId="4744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85" w:type="dxa"/>
            <w:vMerge w:val="continue"/>
            <w:noWrap w:val="0"/>
            <w:vAlign w:val="center"/>
          </w:tcPr>
          <w:p w14:paraId="333C7968">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0E5C10D6">
            <w:pPr>
              <w:widowControl/>
              <w:autoSpaceDE w:val="0"/>
              <w:autoSpaceDN w:val="0"/>
              <w:spacing w:before="0" w:beforeLines="0" w:beforeAutospacing="0" w:afterAutospacing="0" w:line="360" w:lineRule="auto"/>
              <w:ind w:left="0" w:right="0" w:firstLine="480" w:firstLineChars="200"/>
              <w:jc w:val="both"/>
              <w:rPr>
                <w:rFonts w:hint="eastAsia" w:ascii="宋体" w:hAnsi="宋体" w:eastAsia="宋体" w:cs="Calibri"/>
                <w:color w:val="auto"/>
                <w:kern w:val="2"/>
                <w:sz w:val="24"/>
                <w:szCs w:val="24"/>
                <w:lang w:eastAsia="zh-CN"/>
              </w:rPr>
            </w:pPr>
            <w:r>
              <w:rPr>
                <w:rFonts w:hint="eastAsia" w:ascii="宋体" w:hAnsi="宋体" w:eastAsia="宋体" w:cs="宋体"/>
                <w:color w:val="auto"/>
                <w:kern w:val="2"/>
                <w:sz w:val="24"/>
                <w:szCs w:val="24"/>
                <w:lang w:eastAsia="zh-CN"/>
              </w:rPr>
              <w:t>质保期</w:t>
            </w:r>
          </w:p>
        </w:tc>
        <w:tc>
          <w:tcPr>
            <w:tcW w:w="5824" w:type="dxa"/>
            <w:noWrap w:val="0"/>
            <w:vAlign w:val="center"/>
          </w:tcPr>
          <w:p w14:paraId="57D58DA5">
            <w:pPr>
              <w:widowControl/>
              <w:autoSpaceDE w:val="0"/>
              <w:autoSpaceDN w:val="0"/>
              <w:spacing w:before="0" w:beforeLines="0" w:beforeAutospacing="0" w:afterAutospacing="0" w:line="360" w:lineRule="auto"/>
              <w:ind w:left="0" w:right="0"/>
              <w:jc w:val="both"/>
              <w:rPr>
                <w:rFonts w:hint="eastAsia" w:ascii="宋体" w:hAnsi="宋体" w:eastAsia="宋体" w:cs="Calibri"/>
                <w:color w:val="auto"/>
                <w:kern w:val="2"/>
                <w:sz w:val="24"/>
                <w:szCs w:val="24"/>
                <w:lang w:val="en-US" w:eastAsia="zh-CN"/>
              </w:rPr>
            </w:pPr>
            <w:r>
              <w:rPr>
                <w:rFonts w:hint="eastAsia" w:ascii="宋体" w:hAnsi="宋体" w:eastAsia="宋体" w:cs="Calibri"/>
                <w:color w:val="auto"/>
                <w:kern w:val="2"/>
                <w:sz w:val="24"/>
                <w:szCs w:val="24"/>
              </w:rPr>
              <w:t>符合招标文件要求</w:t>
            </w:r>
            <w:r>
              <w:rPr>
                <w:rFonts w:hint="eastAsia" w:ascii="宋体" w:hAnsi="宋体" w:eastAsia="宋体" w:cs="Calibri"/>
                <w:color w:val="auto"/>
                <w:kern w:val="2"/>
                <w:sz w:val="24"/>
                <w:szCs w:val="24"/>
                <w:lang w:eastAsia="zh-CN"/>
              </w:rPr>
              <w:t>，详见“第二章供应商须知前附表”要求</w:t>
            </w:r>
          </w:p>
        </w:tc>
      </w:tr>
      <w:tr w14:paraId="2722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6A6D62BD">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37DD6A14">
            <w:pPr>
              <w:widowControl/>
              <w:autoSpaceDE w:val="0"/>
              <w:autoSpaceDN w:val="0"/>
              <w:spacing w:before="0" w:beforeLines="0" w:beforeAutospacing="0" w:afterAutospacing="0" w:line="360" w:lineRule="auto"/>
              <w:ind w:left="0" w:right="0" w:firstLine="480" w:firstLineChars="20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采购预算价</w:t>
            </w:r>
          </w:p>
        </w:tc>
        <w:tc>
          <w:tcPr>
            <w:tcW w:w="5824" w:type="dxa"/>
            <w:noWrap w:val="0"/>
            <w:vAlign w:val="center"/>
          </w:tcPr>
          <w:p w14:paraId="58DB9D97">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只能有一个有效报价，不能超过预算金额</w:t>
            </w:r>
          </w:p>
        </w:tc>
      </w:tr>
      <w:tr w14:paraId="4E09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5" w:type="dxa"/>
            <w:vMerge w:val="continue"/>
            <w:noWrap w:val="0"/>
            <w:vAlign w:val="center"/>
          </w:tcPr>
          <w:p w14:paraId="1B00D9DE">
            <w:pPr>
              <w:widowControl/>
              <w:autoSpaceDE w:val="0"/>
              <w:autoSpaceDN w:val="0"/>
              <w:spacing w:before="0" w:beforeLines="0" w:beforeAutospacing="0" w:afterAutospacing="0" w:line="360" w:lineRule="auto"/>
              <w:ind w:left="0" w:right="0" w:firstLine="480" w:firstLineChars="200"/>
              <w:rPr>
                <w:rFonts w:ascii="宋体" w:hAnsi="宋体" w:eastAsia="宋体" w:cs="Calibri"/>
                <w:color w:val="auto"/>
                <w:kern w:val="2"/>
                <w:sz w:val="24"/>
                <w:szCs w:val="24"/>
              </w:rPr>
            </w:pPr>
          </w:p>
        </w:tc>
        <w:tc>
          <w:tcPr>
            <w:tcW w:w="2285" w:type="dxa"/>
            <w:noWrap w:val="0"/>
            <w:vAlign w:val="center"/>
          </w:tcPr>
          <w:p w14:paraId="170F736C">
            <w:pPr>
              <w:widowControl/>
              <w:autoSpaceDE w:val="0"/>
              <w:autoSpaceDN w:val="0"/>
              <w:spacing w:before="0" w:beforeLines="0" w:beforeAutospacing="0" w:afterAutospacing="0" w:line="360" w:lineRule="auto"/>
              <w:ind w:left="0" w:right="0" w:firstLine="480" w:firstLineChars="20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投标有效期</w:t>
            </w:r>
          </w:p>
        </w:tc>
        <w:tc>
          <w:tcPr>
            <w:tcW w:w="5824" w:type="dxa"/>
            <w:noWrap w:val="0"/>
            <w:vAlign w:val="center"/>
          </w:tcPr>
          <w:p w14:paraId="177C0FAE">
            <w:pPr>
              <w:widowControl/>
              <w:autoSpaceDE w:val="0"/>
              <w:autoSpaceDN w:val="0"/>
              <w:spacing w:before="0" w:beforeLines="0" w:beforeAutospacing="0" w:afterAutospacing="0" w:line="360" w:lineRule="auto"/>
              <w:ind w:left="0" w:right="0"/>
              <w:jc w:val="both"/>
              <w:rPr>
                <w:rFonts w:ascii="宋体" w:hAnsi="宋体" w:eastAsia="宋体" w:cs="Calibri"/>
                <w:color w:val="auto"/>
                <w:kern w:val="2"/>
                <w:sz w:val="24"/>
                <w:szCs w:val="24"/>
              </w:rPr>
            </w:pPr>
            <w:r>
              <w:rPr>
                <w:rFonts w:hint="eastAsia" w:ascii="宋体" w:hAnsi="宋体" w:eastAsia="宋体" w:cs="Calibri"/>
                <w:color w:val="auto"/>
                <w:kern w:val="2"/>
                <w:sz w:val="24"/>
                <w:szCs w:val="24"/>
              </w:rPr>
              <w:t>符合招标文件的规定</w:t>
            </w:r>
          </w:p>
        </w:tc>
      </w:tr>
    </w:tbl>
    <w:p w14:paraId="66B92525">
      <w:pPr>
        <w:pStyle w:val="4"/>
        <w:wordWrap/>
        <w:spacing w:after="0" w:afterLines="0" w:line="360" w:lineRule="auto"/>
        <w:ind w:left="0" w:right="0" w:firstLine="560" w:firstLineChars="200"/>
        <w:jc w:val="left"/>
        <w:textAlignment w:val="auto"/>
      </w:pPr>
      <w:r>
        <w:rPr>
          <w:rFonts w:hint="eastAsia" w:ascii="宋体" w:hAnsi="宋体" w:eastAsia="宋体" w:cs="Times New Roman"/>
          <w:b w:val="0"/>
          <w:bCs/>
          <w:color w:val="auto"/>
          <w:sz w:val="28"/>
          <w:szCs w:val="28"/>
        </w:rPr>
        <w:br w:type="page"/>
      </w:r>
    </w:p>
    <w:p w14:paraId="4C362487">
      <w:pPr>
        <w:pStyle w:val="4"/>
        <w:spacing w:line="400" w:lineRule="exact"/>
        <w:jc w:val="left"/>
        <w:rPr>
          <w:rFonts w:ascii="宋体" w:hAnsi="宋体"/>
          <w:sz w:val="21"/>
          <w:szCs w:val="21"/>
        </w:rPr>
      </w:pPr>
      <w:r>
        <w:rPr>
          <w:rFonts w:hint="eastAsia" w:ascii="宋体" w:hAnsi="宋体"/>
          <w:sz w:val="28"/>
          <w:szCs w:val="28"/>
        </w:rPr>
        <w:t>评标委员会根据评标原则和办法对所有投标文件进行集中审核，分别评价。</w:t>
      </w:r>
    </w:p>
    <w:tbl>
      <w:tblPr>
        <w:tblStyle w:val="17"/>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537"/>
        <w:gridCol w:w="6453"/>
      </w:tblGrid>
      <w:tr w14:paraId="5044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926" w:type="dxa"/>
            <w:gridSpan w:val="2"/>
            <w:tcBorders>
              <w:top w:val="single" w:color="auto" w:sz="4" w:space="0"/>
              <w:left w:val="single" w:color="auto" w:sz="4" w:space="0"/>
              <w:bottom w:val="single" w:color="auto" w:sz="4" w:space="0"/>
              <w:right w:val="single" w:color="auto" w:sz="4" w:space="0"/>
            </w:tcBorders>
            <w:noWrap w:val="0"/>
            <w:vAlign w:val="center"/>
          </w:tcPr>
          <w:p w14:paraId="4C0A29DC">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条款内容</w:t>
            </w:r>
          </w:p>
        </w:tc>
        <w:tc>
          <w:tcPr>
            <w:tcW w:w="6453" w:type="dxa"/>
            <w:tcBorders>
              <w:top w:val="single" w:color="auto" w:sz="4" w:space="0"/>
              <w:left w:val="nil"/>
              <w:bottom w:val="single" w:color="auto" w:sz="4" w:space="0"/>
              <w:right w:val="single" w:color="auto" w:sz="4" w:space="0"/>
            </w:tcBorders>
            <w:noWrap w:val="0"/>
            <w:vAlign w:val="center"/>
          </w:tcPr>
          <w:p w14:paraId="0D3F3CBB">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编列内容</w:t>
            </w:r>
          </w:p>
        </w:tc>
      </w:tr>
      <w:tr w14:paraId="31FA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926" w:type="dxa"/>
            <w:gridSpan w:val="2"/>
            <w:tcBorders>
              <w:top w:val="single" w:color="auto" w:sz="4" w:space="0"/>
              <w:left w:val="single" w:color="auto" w:sz="4" w:space="0"/>
              <w:bottom w:val="single" w:color="auto" w:sz="4" w:space="0"/>
              <w:right w:val="single" w:color="auto" w:sz="4" w:space="0"/>
            </w:tcBorders>
            <w:noWrap w:val="0"/>
            <w:vAlign w:val="center"/>
          </w:tcPr>
          <w:p w14:paraId="4BD2C65E">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分值构成（总分100分）</w:t>
            </w:r>
          </w:p>
        </w:tc>
        <w:tc>
          <w:tcPr>
            <w:tcW w:w="6453" w:type="dxa"/>
            <w:tcBorders>
              <w:top w:val="single" w:color="auto" w:sz="4" w:space="0"/>
              <w:left w:val="nil"/>
              <w:bottom w:val="single" w:color="auto" w:sz="4" w:space="0"/>
              <w:right w:val="single" w:color="auto" w:sz="4" w:space="0"/>
            </w:tcBorders>
            <w:noWrap w:val="0"/>
            <w:vAlign w:val="center"/>
          </w:tcPr>
          <w:p w14:paraId="69029957">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lang w:eastAsia="zh-CN"/>
              </w:rPr>
              <w:t>投标报价</w:t>
            </w:r>
            <w:r>
              <w:rPr>
                <w:rFonts w:hint="eastAsia" w:ascii="宋体" w:hAnsi="宋体" w:eastAsia="宋体" w:cs="宋体"/>
                <w:bCs/>
                <w:kern w:val="2"/>
                <w:sz w:val="24"/>
                <w:szCs w:val="24"/>
              </w:rPr>
              <w:t>：30分</w:t>
            </w:r>
          </w:p>
          <w:p w14:paraId="1AE2670C">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技术部分：</w:t>
            </w:r>
            <w:r>
              <w:rPr>
                <w:rFonts w:hint="eastAsia" w:ascii="宋体" w:hAnsi="宋体" w:eastAsia="宋体" w:cs="宋体"/>
                <w:bCs/>
                <w:kern w:val="2"/>
                <w:sz w:val="24"/>
                <w:szCs w:val="24"/>
                <w:lang w:val="en-US" w:eastAsia="zh-CN"/>
              </w:rPr>
              <w:t>50</w:t>
            </w:r>
            <w:r>
              <w:rPr>
                <w:rFonts w:hint="eastAsia" w:ascii="宋体" w:hAnsi="宋体" w:eastAsia="宋体" w:cs="宋体"/>
                <w:bCs/>
                <w:kern w:val="2"/>
                <w:sz w:val="24"/>
                <w:szCs w:val="24"/>
              </w:rPr>
              <w:t>分</w:t>
            </w:r>
          </w:p>
          <w:p w14:paraId="0966DDD5">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lang w:eastAsia="zh-CN"/>
              </w:rPr>
              <w:t>商务</w:t>
            </w:r>
            <w:r>
              <w:rPr>
                <w:rFonts w:hint="eastAsia" w:ascii="宋体" w:hAnsi="宋体" w:eastAsia="宋体" w:cs="宋体"/>
                <w:bCs/>
                <w:kern w:val="2"/>
                <w:sz w:val="24"/>
                <w:szCs w:val="24"/>
              </w:rPr>
              <w:t>部分：</w:t>
            </w:r>
            <w:r>
              <w:rPr>
                <w:rFonts w:hint="eastAsia" w:ascii="宋体" w:hAnsi="宋体" w:eastAsia="宋体" w:cs="宋体"/>
                <w:bCs/>
                <w:kern w:val="2"/>
                <w:sz w:val="24"/>
                <w:szCs w:val="24"/>
                <w:lang w:val="en-US" w:eastAsia="zh-CN"/>
              </w:rPr>
              <w:t>20</w:t>
            </w:r>
            <w:r>
              <w:rPr>
                <w:rFonts w:hint="eastAsia" w:ascii="宋体" w:hAnsi="宋体" w:eastAsia="宋体" w:cs="宋体"/>
                <w:bCs/>
                <w:kern w:val="2"/>
                <w:sz w:val="24"/>
                <w:szCs w:val="24"/>
              </w:rPr>
              <w:t>分</w:t>
            </w:r>
          </w:p>
        </w:tc>
      </w:tr>
      <w:tr w14:paraId="4E01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926" w:type="dxa"/>
            <w:gridSpan w:val="2"/>
            <w:tcBorders>
              <w:top w:val="single" w:color="auto" w:sz="4" w:space="0"/>
              <w:left w:val="single" w:color="auto" w:sz="4" w:space="0"/>
              <w:bottom w:val="single" w:color="auto" w:sz="4" w:space="0"/>
              <w:right w:val="single" w:color="auto" w:sz="4" w:space="0"/>
            </w:tcBorders>
            <w:noWrap w:val="0"/>
            <w:vAlign w:val="center"/>
          </w:tcPr>
          <w:p w14:paraId="6AD17302">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采购预算</w:t>
            </w:r>
          </w:p>
        </w:tc>
        <w:tc>
          <w:tcPr>
            <w:tcW w:w="6453" w:type="dxa"/>
            <w:tcBorders>
              <w:top w:val="single" w:color="auto" w:sz="4" w:space="0"/>
              <w:left w:val="nil"/>
              <w:bottom w:val="single" w:color="auto" w:sz="4" w:space="0"/>
              <w:right w:val="single" w:color="auto" w:sz="4" w:space="0"/>
            </w:tcBorders>
            <w:noWrap w:val="0"/>
            <w:vAlign w:val="center"/>
          </w:tcPr>
          <w:p w14:paraId="18162407">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本项目设采购预算，</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的投标总报价超出采购预算的采购人不予接受且按无效标处理。</w:t>
            </w:r>
          </w:p>
        </w:tc>
      </w:tr>
      <w:tr w14:paraId="31C9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2926" w:type="dxa"/>
            <w:gridSpan w:val="2"/>
            <w:tcBorders>
              <w:top w:val="single" w:color="auto" w:sz="4" w:space="0"/>
              <w:left w:val="single" w:color="auto" w:sz="4" w:space="0"/>
              <w:bottom w:val="single" w:color="auto" w:sz="4" w:space="0"/>
              <w:right w:val="single" w:color="auto" w:sz="4" w:space="0"/>
            </w:tcBorders>
            <w:noWrap w:val="0"/>
            <w:vAlign w:val="center"/>
          </w:tcPr>
          <w:p w14:paraId="48AF9364">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评标基准值计算</w:t>
            </w:r>
          </w:p>
          <w:p w14:paraId="7C35586E">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方法</w:t>
            </w:r>
          </w:p>
        </w:tc>
        <w:tc>
          <w:tcPr>
            <w:tcW w:w="6453" w:type="dxa"/>
            <w:tcBorders>
              <w:top w:val="single" w:color="auto" w:sz="4" w:space="0"/>
              <w:left w:val="nil"/>
              <w:bottom w:val="single" w:color="auto" w:sz="4" w:space="0"/>
              <w:right w:val="single" w:color="auto" w:sz="4" w:space="0"/>
            </w:tcBorders>
            <w:noWrap w:val="0"/>
            <w:vAlign w:val="center"/>
          </w:tcPr>
          <w:p w14:paraId="0A903F12">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1、低于采购预算且通过初步评审的有效</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报价为有效报价。</w:t>
            </w:r>
          </w:p>
          <w:p w14:paraId="6278E517">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2、评标基准价=满足招标文件通过资格性和形式性审查且投标价格最低的投标报价</w:t>
            </w:r>
            <w:r>
              <w:rPr>
                <w:rFonts w:hint="eastAsia" w:ascii="宋体" w:hAnsi="宋体" w:eastAsia="宋体" w:cs="宋体"/>
                <w:bCs/>
                <w:kern w:val="2"/>
                <w:sz w:val="24"/>
                <w:szCs w:val="24"/>
                <w:lang w:val="en-US" w:eastAsia="zh-CN"/>
              </w:rPr>
              <w:t>(明显低于成本除外)</w:t>
            </w:r>
            <w:r>
              <w:rPr>
                <w:rFonts w:hint="eastAsia" w:ascii="宋体" w:hAnsi="宋体" w:eastAsia="宋体" w:cs="宋体"/>
                <w:bCs/>
                <w:kern w:val="2"/>
                <w:sz w:val="24"/>
                <w:szCs w:val="24"/>
              </w:rPr>
              <w:t>为评标基准价</w:t>
            </w:r>
          </w:p>
        </w:tc>
      </w:tr>
      <w:tr w14:paraId="333B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389" w:type="dxa"/>
            <w:tcBorders>
              <w:top w:val="single" w:color="auto" w:sz="4" w:space="0"/>
              <w:left w:val="single" w:color="auto" w:sz="4" w:space="0"/>
              <w:bottom w:val="single" w:color="auto" w:sz="4" w:space="0"/>
              <w:right w:val="single" w:color="auto" w:sz="4" w:space="0"/>
            </w:tcBorders>
            <w:noWrap w:val="0"/>
            <w:vAlign w:val="center"/>
          </w:tcPr>
          <w:p w14:paraId="0B86067D">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评审项</w:t>
            </w:r>
          </w:p>
        </w:tc>
        <w:tc>
          <w:tcPr>
            <w:tcW w:w="1537" w:type="dxa"/>
            <w:tcBorders>
              <w:top w:val="single" w:color="auto" w:sz="4" w:space="0"/>
              <w:left w:val="nil"/>
              <w:bottom w:val="single" w:color="auto" w:sz="4" w:space="0"/>
              <w:right w:val="single" w:color="auto" w:sz="4" w:space="0"/>
            </w:tcBorders>
            <w:noWrap w:val="0"/>
            <w:vAlign w:val="center"/>
          </w:tcPr>
          <w:p w14:paraId="4CC9F5E7">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编列内容</w:t>
            </w:r>
          </w:p>
        </w:tc>
        <w:tc>
          <w:tcPr>
            <w:tcW w:w="6453" w:type="dxa"/>
            <w:tcBorders>
              <w:top w:val="single" w:color="auto" w:sz="4" w:space="0"/>
              <w:left w:val="nil"/>
              <w:bottom w:val="single" w:color="auto" w:sz="4" w:space="0"/>
              <w:right w:val="single" w:color="auto" w:sz="4" w:space="0"/>
            </w:tcBorders>
            <w:noWrap w:val="0"/>
            <w:vAlign w:val="center"/>
          </w:tcPr>
          <w:p w14:paraId="39BBF978">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评审方法</w:t>
            </w:r>
          </w:p>
        </w:tc>
      </w:tr>
      <w:tr w14:paraId="3C8B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3" w:hRule="atLeast"/>
          <w:jc w:val="center"/>
        </w:trPr>
        <w:tc>
          <w:tcPr>
            <w:tcW w:w="1389" w:type="dxa"/>
            <w:tcBorders>
              <w:top w:val="single" w:color="auto" w:sz="4" w:space="0"/>
              <w:left w:val="single" w:color="auto" w:sz="4" w:space="0"/>
              <w:bottom w:val="single" w:color="auto" w:sz="4" w:space="0"/>
              <w:right w:val="single" w:color="auto" w:sz="4" w:space="0"/>
            </w:tcBorders>
            <w:noWrap w:val="0"/>
            <w:vAlign w:val="center"/>
          </w:tcPr>
          <w:p w14:paraId="29327988">
            <w:pPr>
              <w:widowControl/>
              <w:wordWrap/>
              <w:adjustRightInd w:val="0"/>
              <w:snapToGrid w:val="0"/>
              <w:spacing w:before="0" w:beforeLines="0" w:beforeAutospacing="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投标报价</w:t>
            </w:r>
          </w:p>
        </w:tc>
        <w:tc>
          <w:tcPr>
            <w:tcW w:w="1537" w:type="dxa"/>
            <w:tcBorders>
              <w:top w:val="single" w:color="auto" w:sz="4" w:space="0"/>
              <w:left w:val="nil"/>
              <w:bottom w:val="single" w:color="auto" w:sz="4" w:space="0"/>
              <w:right w:val="single" w:color="auto" w:sz="4" w:space="0"/>
            </w:tcBorders>
            <w:noWrap w:val="0"/>
            <w:vAlign w:val="center"/>
          </w:tcPr>
          <w:p w14:paraId="6C0EB48A">
            <w:pPr>
              <w:widowControl/>
              <w:wordWrap/>
              <w:adjustRightInd w:val="0"/>
              <w:snapToGrid w:val="0"/>
              <w:spacing w:before="0" w:beforeLines="0" w:beforeAutospacing="0" w:afterAutospacing="0" w:line="360" w:lineRule="auto"/>
              <w:ind w:left="0" w:right="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投标报价（30分）</w:t>
            </w:r>
          </w:p>
        </w:tc>
        <w:tc>
          <w:tcPr>
            <w:tcW w:w="6453" w:type="dxa"/>
            <w:tcBorders>
              <w:top w:val="single" w:color="auto" w:sz="4" w:space="0"/>
              <w:left w:val="nil"/>
              <w:bottom w:val="single" w:color="auto" w:sz="4" w:space="0"/>
              <w:right w:val="single" w:color="auto" w:sz="4" w:space="0"/>
            </w:tcBorders>
            <w:noWrap w:val="0"/>
            <w:vAlign w:val="center"/>
          </w:tcPr>
          <w:p w14:paraId="26C02D5A">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1、价格分采用低价优先法计算，即满足招标文件通过资格性和形式性审查且投标价格最低的投标报价为评标基准价，其价格得分为满分30分。</w:t>
            </w:r>
          </w:p>
          <w:p w14:paraId="39C6CEE0">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2、其他</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的价格分统一按照下列公式计算：</w:t>
            </w:r>
          </w:p>
          <w:p w14:paraId="45DE8786">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投标报价得分=(评标基准价／投标报价)×30</w:t>
            </w:r>
          </w:p>
          <w:p w14:paraId="7C53C6E9">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bCs/>
                <w:kern w:val="2"/>
                <w:sz w:val="24"/>
                <w:szCs w:val="24"/>
              </w:rPr>
            </w:pPr>
            <w:r>
              <w:rPr>
                <w:rFonts w:hint="eastAsia" w:ascii="宋体" w:hAnsi="宋体" w:eastAsia="宋体" w:cs="宋体"/>
                <w:bCs/>
                <w:kern w:val="2"/>
                <w:sz w:val="24"/>
                <w:szCs w:val="24"/>
              </w:rPr>
              <w:t>3、价格扣除：1.投标供应商为中小微企业的（监狱企业/残疾人福利性企业视同小型、微型企业），对所投标的小型和微型企业制造的产品的价格给予</w:t>
            </w:r>
            <w:r>
              <w:rPr>
                <w:rFonts w:hint="eastAsia" w:ascii="宋体" w:hAnsi="宋体" w:eastAsia="宋体" w:cs="宋体"/>
                <w:bCs/>
                <w:kern w:val="2"/>
                <w:sz w:val="24"/>
                <w:szCs w:val="24"/>
                <w:lang w:val="en-US" w:eastAsia="zh-CN"/>
              </w:rPr>
              <w:t>20</w:t>
            </w:r>
            <w:r>
              <w:rPr>
                <w:rFonts w:hint="eastAsia" w:ascii="宋体" w:hAnsi="宋体" w:eastAsia="宋体" w:cs="宋体"/>
                <w:bCs/>
                <w:kern w:val="2"/>
                <w:sz w:val="24"/>
                <w:szCs w:val="24"/>
              </w:rPr>
              <w:t>%的扣除，用扣除后的价格参与评审。参加投标的中小微企业，应当按照</w:t>
            </w:r>
            <w:r>
              <w:rPr>
                <w:rFonts w:hint="eastAsia" w:ascii="宋体" w:hAnsi="宋体" w:eastAsia="宋体" w:cs="宋体"/>
                <w:bCs/>
                <w:color w:val="auto"/>
                <w:kern w:val="2"/>
                <w:sz w:val="24"/>
                <w:szCs w:val="24"/>
              </w:rPr>
              <w:t>《政府采购促进中小企业发展管理办法》（财库〔2020〕46号）的规定提供《中</w:t>
            </w:r>
            <w:r>
              <w:rPr>
                <w:rFonts w:hint="eastAsia" w:ascii="宋体" w:hAnsi="宋体" w:eastAsia="宋体" w:cs="宋体"/>
                <w:bCs/>
                <w:kern w:val="2"/>
                <w:sz w:val="24"/>
                <w:szCs w:val="24"/>
              </w:rPr>
              <w:t>小企业声明函》（中小企业划型标准详见《关于印发中小企业划型标准规定的通知》工信部联企业〔2011〕300号）</w:t>
            </w:r>
            <w:r>
              <w:rPr>
                <w:rFonts w:hint="eastAsia" w:ascii="宋体" w:hAnsi="宋体" w:eastAsia="宋体" w:cs="宋体"/>
                <w:bCs/>
                <w:kern w:val="2"/>
                <w:sz w:val="24"/>
                <w:szCs w:val="24"/>
                <w:lang w:eastAsia="zh-CN"/>
              </w:rPr>
              <w:t>。</w:t>
            </w:r>
            <w:r>
              <w:rPr>
                <w:rFonts w:hint="eastAsia" w:ascii="宋体" w:hAnsi="宋体" w:eastAsia="宋体" w:cs="宋体"/>
                <w:bCs/>
                <w:kern w:val="2"/>
                <w:sz w:val="24"/>
                <w:szCs w:val="24"/>
              </w:rPr>
              <w:t>投标供应商为大型企业的不适用本款规定。</w:t>
            </w:r>
          </w:p>
          <w:p w14:paraId="2AE9CB8F">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bCs/>
                <w:kern w:val="2"/>
                <w:sz w:val="24"/>
                <w:szCs w:val="24"/>
              </w:rPr>
            </w:pPr>
            <w:r>
              <w:rPr>
                <w:rFonts w:hint="eastAsia" w:ascii="宋体" w:hAnsi="宋体" w:eastAsia="宋体" w:cs="宋体"/>
                <w:bCs/>
                <w:kern w:val="2"/>
                <w:sz w:val="24"/>
                <w:szCs w:val="24"/>
              </w:rPr>
              <w:t>4、根据财政部司法部《关于政府采购支持监狱企业发展有关问题的通知》（财库〔2014〕68号）规定，本项目对监狱企业作为投标供应商所提供的本企业生产的产品的价格给予</w:t>
            </w:r>
            <w:r>
              <w:rPr>
                <w:rFonts w:hint="eastAsia" w:ascii="宋体" w:hAnsi="宋体" w:eastAsia="宋体" w:cs="宋体"/>
                <w:bCs/>
                <w:kern w:val="2"/>
                <w:sz w:val="24"/>
                <w:szCs w:val="24"/>
                <w:lang w:val="en-US" w:eastAsia="zh-CN"/>
              </w:rPr>
              <w:t>20</w:t>
            </w:r>
            <w:r>
              <w:rPr>
                <w:rFonts w:hint="eastAsia" w:ascii="宋体" w:hAnsi="宋体" w:eastAsia="宋体" w:cs="宋体"/>
                <w:bCs/>
                <w:kern w:val="2"/>
                <w:sz w:val="24"/>
                <w:szCs w:val="24"/>
              </w:rPr>
              <w:t>%的扣除。监狱企业，应当提供由省级以上监狱管理局、戒毒管理局（含新疆生产建设兵团）出具的属于监狱企业的证明文件。</w:t>
            </w:r>
          </w:p>
          <w:p w14:paraId="07DF54A8">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bCs/>
                <w:kern w:val="2"/>
                <w:sz w:val="24"/>
                <w:szCs w:val="24"/>
              </w:rPr>
            </w:pPr>
            <w:r>
              <w:rPr>
                <w:rFonts w:hint="eastAsia" w:ascii="宋体" w:hAnsi="宋体" w:eastAsia="宋体" w:cs="宋体"/>
                <w:bCs/>
                <w:kern w:val="2"/>
                <w:sz w:val="24"/>
                <w:szCs w:val="24"/>
              </w:rPr>
              <w:t>5、参加政府采购活动的残疾人福利性单位应当提供《残疾人福利性单位声明函》，未填写残疾人福利性单位声明函的在开标过程中不予认可。</w:t>
            </w:r>
          </w:p>
          <w:p w14:paraId="4CDEF790">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bCs/>
                <w:kern w:val="2"/>
                <w:sz w:val="24"/>
                <w:szCs w:val="24"/>
              </w:rPr>
            </w:pPr>
            <w:r>
              <w:rPr>
                <w:rFonts w:hint="eastAsia" w:ascii="宋体" w:hAnsi="宋体" w:eastAsia="宋体" w:cs="宋体"/>
                <w:bCs/>
                <w:kern w:val="2"/>
                <w:sz w:val="24"/>
                <w:szCs w:val="24"/>
              </w:rPr>
              <w:t>6、同一投标供应商，中小微企业产品和监狱企业产品价格扣除优惠只享受一次，不得重复享受。</w:t>
            </w:r>
          </w:p>
          <w:p w14:paraId="20793744">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bCs/>
                <w:kern w:val="2"/>
                <w:sz w:val="24"/>
                <w:szCs w:val="24"/>
              </w:rPr>
            </w:pPr>
            <w:r>
              <w:rPr>
                <w:rFonts w:hint="eastAsia" w:ascii="宋体" w:hAnsi="宋体" w:eastAsia="宋体" w:cs="宋体"/>
                <w:bCs/>
                <w:kern w:val="2"/>
                <w:sz w:val="24"/>
                <w:szCs w:val="24"/>
              </w:rPr>
              <w:t>例：所投中小微企业产品报价=所投中小微企业产品报价合计×（1-</w:t>
            </w:r>
            <w:r>
              <w:rPr>
                <w:rFonts w:hint="eastAsia" w:ascii="宋体" w:hAnsi="宋体" w:eastAsia="宋体" w:cs="宋体"/>
                <w:bCs/>
                <w:kern w:val="2"/>
                <w:sz w:val="24"/>
                <w:szCs w:val="24"/>
                <w:lang w:val="en-US" w:eastAsia="zh-CN"/>
              </w:rPr>
              <w:t>20</w:t>
            </w:r>
            <w:r>
              <w:rPr>
                <w:rFonts w:hint="eastAsia" w:ascii="宋体" w:hAnsi="宋体" w:eastAsia="宋体" w:cs="宋体"/>
                <w:bCs/>
                <w:kern w:val="2"/>
                <w:sz w:val="24"/>
                <w:szCs w:val="24"/>
              </w:rPr>
              <w:t>%）</w:t>
            </w:r>
          </w:p>
          <w:p w14:paraId="3AE9BA25">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bCs/>
                <w:kern w:val="2"/>
                <w:sz w:val="24"/>
                <w:szCs w:val="24"/>
              </w:rPr>
            </w:pPr>
            <w:r>
              <w:rPr>
                <w:rFonts w:hint="eastAsia" w:ascii="宋体" w:hAnsi="宋体" w:eastAsia="宋体" w:cs="宋体"/>
                <w:bCs/>
                <w:kern w:val="2"/>
                <w:sz w:val="24"/>
                <w:szCs w:val="24"/>
              </w:rPr>
              <w:t>注：价格分计算保留小数点后二位。在评标过程中，评标委员会发现</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的报价明显低于成本价时或明显低于其他通过初步审查</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的报价，有可能影响产品质量或者不能诚信履约的，评标委员会可向该</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 xml:space="preserve">提出询问， </w:t>
            </w:r>
          </w:p>
          <w:p w14:paraId="578E7DA9">
            <w:pPr>
              <w:widowControl w:val="0"/>
              <w:wordWrap/>
              <w:adjustRightInd w:val="0"/>
              <w:snapToGrid w:val="0"/>
              <w:spacing w:before="0" w:beforeLines="0" w:beforeAutospacing="0" w:after="0" w:afterLines="0" w:afterAutospacing="0" w:line="360" w:lineRule="auto"/>
              <w:ind w:left="0" w:leftChars="0" w:right="0" w:firstLine="0" w:firstLineChars="0"/>
              <w:jc w:val="both"/>
              <w:textAlignment w:val="auto"/>
              <w:outlineLvl w:val="9"/>
              <w:rPr>
                <w:rFonts w:hint="eastAsia" w:ascii="宋体" w:hAnsi="宋体" w:eastAsia="宋体" w:cs="宋体"/>
                <w:kern w:val="2"/>
                <w:sz w:val="24"/>
                <w:szCs w:val="24"/>
              </w:rPr>
            </w:pPr>
            <w:r>
              <w:rPr>
                <w:rFonts w:hint="eastAsia" w:ascii="宋体" w:hAnsi="宋体" w:eastAsia="宋体" w:cs="宋体"/>
                <w:bCs/>
                <w:kern w:val="2"/>
                <w:sz w:val="24"/>
                <w:szCs w:val="24"/>
              </w:rPr>
              <w:t>要求该</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作出书面说明并提供相关证明材料。</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不能合理说明及不能提供相关证明材料的，评标委员会认定该</w:t>
            </w:r>
            <w:r>
              <w:rPr>
                <w:rFonts w:hint="eastAsia" w:ascii="宋体" w:hAnsi="宋体" w:eastAsia="宋体" w:cs="宋体"/>
                <w:bCs/>
                <w:kern w:val="2"/>
                <w:sz w:val="24"/>
                <w:szCs w:val="24"/>
                <w:lang w:eastAsia="zh-CN"/>
              </w:rPr>
              <w:t>供应商</w:t>
            </w:r>
            <w:r>
              <w:rPr>
                <w:rFonts w:hint="eastAsia" w:ascii="宋体" w:hAnsi="宋体" w:eastAsia="宋体" w:cs="宋体"/>
                <w:bCs/>
                <w:kern w:val="2"/>
                <w:sz w:val="24"/>
                <w:szCs w:val="24"/>
              </w:rPr>
              <w:t>以低于成本价恶意竞标，其投标作废标处理</w:t>
            </w:r>
          </w:p>
        </w:tc>
      </w:tr>
      <w:tr w14:paraId="2175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9" w:type="dxa"/>
            <w:vMerge w:val="restart"/>
            <w:tcBorders>
              <w:left w:val="single" w:color="auto" w:sz="4" w:space="0"/>
              <w:right w:val="single" w:color="auto" w:sz="4" w:space="0"/>
            </w:tcBorders>
            <w:noWrap w:val="0"/>
            <w:vAlign w:val="center"/>
          </w:tcPr>
          <w:p w14:paraId="48B6891D">
            <w:pPr>
              <w:widowControl/>
              <w:spacing w:before="0" w:beforeLines="0" w:beforeAutospacing="0" w:afterAutospacing="0" w:line="360" w:lineRule="auto"/>
              <w:ind w:left="0" w:right="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技术部分（</w:t>
            </w:r>
            <w:r>
              <w:rPr>
                <w:rFonts w:hint="eastAsia" w:ascii="宋体" w:hAnsi="宋体" w:eastAsia="宋体" w:cs="宋体"/>
                <w:color w:val="000000"/>
                <w:kern w:val="2"/>
                <w:sz w:val="24"/>
                <w:szCs w:val="24"/>
                <w:lang w:val="en-US" w:eastAsia="zh-CN"/>
              </w:rPr>
              <w:t>50</w:t>
            </w:r>
            <w:r>
              <w:rPr>
                <w:rFonts w:hint="eastAsia" w:ascii="宋体" w:hAnsi="宋体" w:eastAsia="宋体" w:cs="宋体"/>
                <w:color w:val="000000"/>
                <w:kern w:val="2"/>
                <w:sz w:val="24"/>
                <w:szCs w:val="24"/>
              </w:rPr>
              <w:t>分）</w:t>
            </w:r>
          </w:p>
        </w:tc>
        <w:tc>
          <w:tcPr>
            <w:tcW w:w="1537" w:type="dxa"/>
            <w:tcBorders>
              <w:top w:val="single" w:color="auto" w:sz="4" w:space="0"/>
              <w:left w:val="single" w:color="auto" w:sz="4" w:space="0"/>
              <w:right w:val="single" w:color="auto" w:sz="4" w:space="0"/>
            </w:tcBorders>
            <w:noWrap w:val="0"/>
            <w:vAlign w:val="center"/>
          </w:tcPr>
          <w:p w14:paraId="76D3B056">
            <w:pPr>
              <w:widowControl w:val="0"/>
              <w:wordWrap/>
              <w:adjustRightInd w:val="0"/>
              <w:snapToGrid w:val="0"/>
              <w:spacing w:before="0" w:beforeLines="0" w:beforeAutospacing="0" w:after="0" w:afterLines="0" w:afterAutospacing="0" w:line="360" w:lineRule="auto"/>
              <w:ind w:left="0" w:right="0"/>
              <w:jc w:val="left"/>
              <w:textAlignment w:val="auto"/>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rPr>
              <w:t>产品</w:t>
            </w:r>
            <w:r>
              <w:rPr>
                <w:rFonts w:hint="eastAsia" w:ascii="宋体" w:hAnsi="宋体" w:eastAsia="宋体" w:cs="宋体"/>
                <w:bCs/>
                <w:color w:val="000000"/>
                <w:kern w:val="2"/>
                <w:sz w:val="24"/>
                <w:szCs w:val="24"/>
                <w:lang w:val="en-US" w:eastAsia="zh-CN"/>
              </w:rPr>
              <w:t>技术指标</w:t>
            </w:r>
            <w:r>
              <w:rPr>
                <w:rFonts w:hint="eastAsia" w:ascii="宋体" w:hAnsi="宋体" w:eastAsia="宋体" w:cs="宋体"/>
                <w:bCs/>
                <w:color w:val="000000"/>
                <w:kern w:val="2"/>
                <w:sz w:val="24"/>
                <w:szCs w:val="24"/>
              </w:rPr>
              <w:t>（</w:t>
            </w:r>
            <w:r>
              <w:rPr>
                <w:rFonts w:hint="eastAsia" w:ascii="宋体" w:hAnsi="宋体" w:eastAsia="宋体" w:cs="宋体"/>
                <w:bCs/>
                <w:color w:val="000000"/>
                <w:kern w:val="2"/>
                <w:sz w:val="24"/>
                <w:szCs w:val="24"/>
                <w:lang w:val="en-US" w:eastAsia="zh-CN"/>
              </w:rPr>
              <w:t>0-20</w:t>
            </w:r>
            <w:r>
              <w:rPr>
                <w:rFonts w:hint="eastAsia" w:ascii="宋体" w:hAnsi="宋体" w:eastAsia="宋体" w:cs="宋体"/>
                <w:bCs/>
                <w:color w:val="000000"/>
                <w:kern w:val="2"/>
                <w:sz w:val="24"/>
                <w:szCs w:val="24"/>
              </w:rPr>
              <w:t>分）</w:t>
            </w:r>
          </w:p>
        </w:tc>
        <w:tc>
          <w:tcPr>
            <w:tcW w:w="6453" w:type="dxa"/>
            <w:tcBorders>
              <w:top w:val="single" w:color="auto" w:sz="4" w:space="0"/>
              <w:left w:val="nil"/>
              <w:right w:val="single" w:color="auto" w:sz="4" w:space="0"/>
            </w:tcBorders>
            <w:noWrap w:val="0"/>
            <w:vAlign w:val="center"/>
          </w:tcPr>
          <w:p w14:paraId="34BF4FF3">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default" w:ascii="宋体" w:hAnsi="宋体" w:eastAsia="宋体" w:cs="宋体"/>
                <w:bCs/>
                <w:color w:val="000000"/>
                <w:kern w:val="2"/>
                <w:sz w:val="24"/>
                <w:szCs w:val="24"/>
                <w:lang w:val="en-US" w:eastAsia="zh-CN"/>
              </w:rPr>
            </w:pPr>
            <w:r>
              <w:rPr>
                <w:rFonts w:hint="default" w:ascii="宋体" w:hAnsi="宋体" w:eastAsia="宋体" w:cs="宋体"/>
                <w:bCs/>
                <w:color w:val="000000"/>
                <w:kern w:val="2"/>
                <w:sz w:val="24"/>
                <w:szCs w:val="24"/>
                <w:lang w:val="en-US" w:eastAsia="zh-CN"/>
              </w:rPr>
              <w:t>投标人所投产品的</w:t>
            </w:r>
            <w:r>
              <w:rPr>
                <w:rFonts w:hint="eastAsia" w:ascii="宋体" w:hAnsi="宋体" w:eastAsia="宋体" w:cs="宋体"/>
                <w:bCs/>
                <w:color w:val="000000"/>
                <w:kern w:val="2"/>
                <w:sz w:val="24"/>
                <w:szCs w:val="24"/>
                <w:lang w:val="en-US" w:eastAsia="zh-CN"/>
              </w:rPr>
              <w:t>板房、燃烧机、控制器等</w:t>
            </w:r>
            <w:r>
              <w:rPr>
                <w:rFonts w:hint="default" w:ascii="宋体" w:hAnsi="宋体" w:eastAsia="宋体" w:cs="宋体"/>
                <w:bCs/>
                <w:color w:val="000000"/>
                <w:kern w:val="2"/>
                <w:sz w:val="24"/>
                <w:szCs w:val="24"/>
                <w:lang w:val="en-US" w:eastAsia="zh-CN"/>
              </w:rPr>
              <w:t>优于招标文件技术参数要求，得</w:t>
            </w:r>
            <w:r>
              <w:rPr>
                <w:rFonts w:hint="eastAsia" w:ascii="宋体" w:hAnsi="宋体" w:eastAsia="宋体" w:cs="宋体"/>
                <w:bCs/>
                <w:color w:val="000000"/>
                <w:kern w:val="2"/>
                <w:sz w:val="24"/>
                <w:szCs w:val="24"/>
                <w:lang w:val="en-US" w:eastAsia="zh-CN"/>
              </w:rPr>
              <w:t>20</w:t>
            </w:r>
            <w:r>
              <w:rPr>
                <w:rFonts w:hint="default" w:ascii="宋体" w:hAnsi="宋体" w:eastAsia="宋体" w:cs="宋体"/>
                <w:bCs/>
                <w:color w:val="000000"/>
                <w:kern w:val="2"/>
                <w:sz w:val="24"/>
                <w:szCs w:val="24"/>
                <w:lang w:val="en-US" w:eastAsia="zh-CN"/>
              </w:rPr>
              <w:t>分；低于招标文件技术参数要求的按无效标处理。</w:t>
            </w:r>
          </w:p>
          <w:p w14:paraId="52E6BB03">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default" w:ascii="宋体" w:hAnsi="宋体" w:eastAsia="宋体" w:cs="宋体"/>
                <w:bCs/>
                <w:color w:val="000000"/>
                <w:kern w:val="2"/>
                <w:sz w:val="24"/>
                <w:szCs w:val="24"/>
                <w:lang w:val="en-US"/>
              </w:rPr>
            </w:pPr>
            <w:r>
              <w:rPr>
                <w:rFonts w:hint="default" w:ascii="宋体" w:hAnsi="宋体" w:eastAsia="宋体" w:cs="宋体"/>
                <w:bCs/>
                <w:color w:val="000000"/>
                <w:kern w:val="2"/>
                <w:sz w:val="24"/>
                <w:szCs w:val="24"/>
                <w:lang w:val="en-US" w:eastAsia="zh-CN"/>
              </w:rPr>
              <w:t>（注：投标文件中须附清晰可辨的燃烧机</w:t>
            </w:r>
            <w:r>
              <w:rPr>
                <w:rFonts w:hint="eastAsia" w:ascii="宋体" w:hAnsi="宋体" w:eastAsia="宋体" w:cs="宋体"/>
                <w:bCs/>
                <w:color w:val="000000"/>
                <w:kern w:val="2"/>
                <w:sz w:val="24"/>
                <w:szCs w:val="24"/>
                <w:lang w:val="en-US" w:eastAsia="zh-CN"/>
              </w:rPr>
              <w:t>、</w:t>
            </w:r>
            <w:r>
              <w:rPr>
                <w:rFonts w:hint="default" w:ascii="宋体" w:hAnsi="宋体" w:eastAsia="宋体" w:cs="宋体"/>
                <w:bCs/>
                <w:color w:val="000000"/>
                <w:kern w:val="2"/>
                <w:sz w:val="24"/>
                <w:szCs w:val="24"/>
                <w:lang w:val="en-US" w:eastAsia="zh-CN"/>
              </w:rPr>
              <w:t xml:space="preserve">控制器等主要部件的检测报告的原件扫描件或图片，否则不得分） </w:t>
            </w:r>
          </w:p>
        </w:tc>
      </w:tr>
      <w:tr w14:paraId="2FFB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389" w:type="dxa"/>
            <w:vMerge w:val="continue"/>
            <w:tcBorders>
              <w:left w:val="single" w:color="auto" w:sz="4" w:space="0"/>
              <w:right w:val="single" w:color="auto" w:sz="4" w:space="0"/>
            </w:tcBorders>
            <w:noWrap w:val="0"/>
            <w:vAlign w:val="center"/>
          </w:tcPr>
          <w:p w14:paraId="5F494206">
            <w:pPr>
              <w:widowControl/>
              <w:spacing w:before="0" w:beforeLines="0" w:beforeAutospacing="0" w:afterAutospacing="0" w:line="360" w:lineRule="auto"/>
              <w:ind w:left="0" w:right="0"/>
              <w:jc w:val="left"/>
              <w:rPr>
                <w:rFonts w:hint="eastAsia" w:ascii="宋体" w:hAnsi="宋体" w:eastAsia="宋体" w:cs="宋体"/>
                <w:color w:val="000000"/>
                <w:kern w:val="2"/>
                <w:sz w:val="24"/>
                <w:szCs w:val="24"/>
              </w:rPr>
            </w:pPr>
          </w:p>
        </w:tc>
        <w:tc>
          <w:tcPr>
            <w:tcW w:w="1537" w:type="dxa"/>
            <w:tcBorders>
              <w:top w:val="single" w:color="auto" w:sz="4" w:space="0"/>
              <w:left w:val="single" w:color="auto" w:sz="4" w:space="0"/>
              <w:right w:val="single" w:color="auto" w:sz="4" w:space="0"/>
            </w:tcBorders>
            <w:noWrap w:val="0"/>
            <w:vAlign w:val="center"/>
          </w:tcPr>
          <w:p w14:paraId="5574FE26">
            <w:pPr>
              <w:widowControl w:val="0"/>
              <w:wordWrap/>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rPr>
              <w:t>技术先进性、可靠性（0-15分）</w:t>
            </w:r>
          </w:p>
        </w:tc>
        <w:tc>
          <w:tcPr>
            <w:tcW w:w="6453" w:type="dxa"/>
            <w:tcBorders>
              <w:top w:val="single" w:color="auto" w:sz="4" w:space="0"/>
              <w:left w:val="nil"/>
              <w:right w:val="single" w:color="auto" w:sz="4" w:space="0"/>
            </w:tcBorders>
            <w:noWrap w:val="0"/>
            <w:vAlign w:val="center"/>
          </w:tcPr>
          <w:p w14:paraId="73355C1F">
            <w:pPr>
              <w:widowControl w:val="0"/>
              <w:numPr>
                <w:ilvl w:val="0"/>
                <w:numId w:val="0"/>
              </w:numPr>
              <w:wordWrap/>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lang w:val="en-US" w:eastAsia="zh-CN" w:bidi="ar-SA"/>
              </w:rPr>
              <w:t>1、</w:t>
            </w:r>
            <w:r>
              <w:rPr>
                <w:rFonts w:hint="eastAsia" w:ascii="宋体" w:hAnsi="宋体" w:eastAsia="宋体" w:cs="宋体"/>
                <w:bCs/>
                <w:color w:val="auto"/>
                <w:kern w:val="2"/>
                <w:sz w:val="24"/>
                <w:szCs w:val="24"/>
              </w:rPr>
              <w:t>根据产品的技术先进性(查看技术指标说明、产品性能描述、使用说明书与其他同类产品相比的优越性</w:t>
            </w:r>
            <w:r>
              <w:rPr>
                <w:rFonts w:hint="eastAsia" w:ascii="宋体" w:hAnsi="宋体" w:eastAsia="宋体" w:cs="宋体"/>
                <w:bCs/>
                <w:color w:val="auto"/>
                <w:kern w:val="2"/>
                <w:sz w:val="24"/>
                <w:szCs w:val="24"/>
                <w:lang w:eastAsia="zh-CN"/>
              </w:rPr>
              <w:t>等</w:t>
            </w:r>
            <w:r>
              <w:rPr>
                <w:rFonts w:hint="eastAsia" w:ascii="宋体" w:hAnsi="宋体" w:eastAsia="宋体" w:cs="宋体"/>
                <w:bCs/>
                <w:color w:val="auto"/>
                <w:kern w:val="2"/>
                <w:sz w:val="24"/>
                <w:szCs w:val="24"/>
              </w:rPr>
              <w:t>)打分</w:t>
            </w:r>
            <w:r>
              <w:rPr>
                <w:rFonts w:hint="eastAsia" w:ascii="宋体" w:hAnsi="宋体" w:eastAsia="宋体" w:cs="宋体"/>
                <w:bCs/>
                <w:color w:val="auto"/>
                <w:kern w:val="2"/>
                <w:sz w:val="24"/>
                <w:szCs w:val="24"/>
                <w:lang w:eastAsia="zh-CN"/>
              </w:rPr>
              <w:t>；</w:t>
            </w:r>
          </w:p>
          <w:p w14:paraId="766EF56F">
            <w:pPr>
              <w:widowControl w:val="0"/>
              <w:numPr>
                <w:ilvl w:val="0"/>
                <w:numId w:val="0"/>
              </w:numPr>
              <w:wordWrap/>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lang w:eastAsia="zh-CN"/>
              </w:rPr>
              <w:t>从供应商提供证明材料</w:t>
            </w:r>
            <w:r>
              <w:rPr>
                <w:rFonts w:hint="eastAsia" w:ascii="宋体" w:hAnsi="宋体" w:eastAsia="宋体" w:cs="宋体"/>
                <w:bCs/>
                <w:color w:val="auto"/>
                <w:kern w:val="2"/>
                <w:sz w:val="24"/>
                <w:szCs w:val="24"/>
                <w:lang w:val="zh-CN" w:eastAsia="zh-CN"/>
              </w:rPr>
              <w:t>详实，科学、合理</w:t>
            </w:r>
            <w:r>
              <w:rPr>
                <w:rFonts w:hint="eastAsia" w:ascii="宋体" w:hAnsi="宋体" w:eastAsia="宋体" w:cs="宋体"/>
                <w:bCs/>
                <w:color w:val="auto"/>
                <w:kern w:val="2"/>
                <w:sz w:val="24"/>
                <w:szCs w:val="24"/>
                <w:lang w:eastAsia="zh-CN"/>
              </w:rPr>
              <w:t>得</w:t>
            </w:r>
            <w:r>
              <w:rPr>
                <w:rFonts w:hint="eastAsia" w:ascii="宋体" w:hAnsi="宋体" w:eastAsia="宋体" w:cs="宋体"/>
                <w:bCs/>
                <w:color w:val="auto"/>
                <w:kern w:val="2"/>
                <w:sz w:val="24"/>
                <w:szCs w:val="24"/>
                <w:lang w:val="en-US" w:eastAsia="zh-CN"/>
              </w:rPr>
              <w:t>10</w:t>
            </w:r>
            <w:r>
              <w:rPr>
                <w:rFonts w:hint="eastAsia" w:ascii="宋体" w:hAnsi="宋体" w:eastAsia="宋体" w:cs="宋体"/>
                <w:bCs/>
                <w:color w:val="auto"/>
                <w:kern w:val="2"/>
                <w:sz w:val="24"/>
                <w:szCs w:val="24"/>
              </w:rPr>
              <w:t>分</w:t>
            </w:r>
            <w:r>
              <w:rPr>
                <w:rFonts w:hint="eastAsia" w:ascii="宋体" w:hAnsi="宋体" w:eastAsia="宋体" w:cs="宋体"/>
                <w:bCs/>
                <w:color w:val="auto"/>
                <w:kern w:val="2"/>
                <w:sz w:val="24"/>
                <w:szCs w:val="24"/>
                <w:lang w:eastAsia="zh-CN"/>
              </w:rPr>
              <w:t>；证明材料</w:t>
            </w:r>
            <w:r>
              <w:rPr>
                <w:rFonts w:hint="eastAsia" w:ascii="宋体" w:hAnsi="宋体" w:eastAsia="宋体" w:cs="宋体"/>
                <w:bCs/>
                <w:color w:val="auto"/>
                <w:kern w:val="2"/>
                <w:sz w:val="24"/>
                <w:szCs w:val="24"/>
                <w:lang w:val="zh-CN" w:eastAsia="zh-CN"/>
              </w:rPr>
              <w:t>完整，</w:t>
            </w:r>
            <w:r>
              <w:rPr>
                <w:rFonts w:hint="eastAsia" w:ascii="宋体" w:hAnsi="宋体" w:eastAsia="宋体" w:cs="宋体"/>
                <w:bCs/>
                <w:color w:val="auto"/>
                <w:kern w:val="2"/>
                <w:sz w:val="24"/>
                <w:szCs w:val="24"/>
                <w:lang w:eastAsia="zh-CN"/>
              </w:rPr>
              <w:t>基本</w:t>
            </w:r>
            <w:r>
              <w:rPr>
                <w:rFonts w:hint="eastAsia" w:ascii="宋体" w:hAnsi="宋体" w:eastAsia="宋体" w:cs="宋体"/>
                <w:bCs/>
                <w:color w:val="auto"/>
                <w:kern w:val="2"/>
                <w:sz w:val="24"/>
                <w:szCs w:val="24"/>
                <w:lang w:val="zh-CN" w:eastAsia="zh-CN"/>
              </w:rPr>
              <w:t>科学、合理</w:t>
            </w:r>
            <w:r>
              <w:rPr>
                <w:rFonts w:hint="eastAsia" w:ascii="宋体" w:hAnsi="宋体" w:eastAsia="宋体" w:cs="宋体"/>
                <w:bCs/>
                <w:color w:val="auto"/>
                <w:kern w:val="2"/>
                <w:sz w:val="24"/>
                <w:szCs w:val="24"/>
                <w:lang w:eastAsia="zh-CN"/>
              </w:rPr>
              <w:t>得</w:t>
            </w:r>
            <w:r>
              <w:rPr>
                <w:rFonts w:hint="eastAsia" w:ascii="宋体" w:hAnsi="宋体" w:eastAsia="宋体" w:cs="宋体"/>
                <w:bCs/>
                <w:color w:val="auto"/>
                <w:kern w:val="2"/>
                <w:sz w:val="24"/>
                <w:szCs w:val="24"/>
                <w:lang w:val="en-US" w:eastAsia="zh-CN"/>
              </w:rPr>
              <w:t>6</w:t>
            </w:r>
            <w:r>
              <w:rPr>
                <w:rFonts w:hint="eastAsia" w:ascii="宋体" w:hAnsi="宋体" w:eastAsia="宋体" w:cs="宋体"/>
                <w:bCs/>
                <w:color w:val="auto"/>
                <w:kern w:val="2"/>
                <w:sz w:val="24"/>
                <w:szCs w:val="24"/>
              </w:rPr>
              <w:t>分</w:t>
            </w:r>
            <w:r>
              <w:rPr>
                <w:rFonts w:hint="eastAsia" w:ascii="宋体" w:hAnsi="宋体" w:eastAsia="宋体" w:cs="宋体"/>
                <w:bCs/>
                <w:color w:val="auto"/>
                <w:kern w:val="2"/>
                <w:sz w:val="24"/>
                <w:szCs w:val="24"/>
                <w:lang w:eastAsia="zh-CN"/>
              </w:rPr>
              <w:t>；证明材料</w:t>
            </w:r>
            <w:r>
              <w:rPr>
                <w:rFonts w:hint="eastAsia" w:ascii="宋体" w:hAnsi="宋体" w:eastAsia="宋体" w:cs="宋体"/>
                <w:bCs/>
                <w:color w:val="auto"/>
                <w:kern w:val="2"/>
                <w:sz w:val="24"/>
                <w:szCs w:val="24"/>
                <w:lang w:val="en-US" w:eastAsia="zh-CN"/>
              </w:rPr>
              <w:t>不太</w:t>
            </w:r>
            <w:r>
              <w:rPr>
                <w:rFonts w:hint="eastAsia" w:ascii="宋体" w:hAnsi="宋体" w:eastAsia="宋体" w:cs="宋体"/>
                <w:bCs/>
                <w:color w:val="auto"/>
                <w:kern w:val="2"/>
                <w:sz w:val="24"/>
                <w:szCs w:val="24"/>
                <w:lang w:val="zh-CN" w:eastAsia="zh-CN"/>
              </w:rPr>
              <w:t>完整、合理</w:t>
            </w:r>
            <w:r>
              <w:rPr>
                <w:rFonts w:hint="eastAsia" w:ascii="宋体" w:hAnsi="宋体" w:eastAsia="宋体" w:cs="宋体"/>
                <w:bCs/>
                <w:color w:val="auto"/>
                <w:kern w:val="2"/>
                <w:sz w:val="24"/>
                <w:szCs w:val="24"/>
                <w:lang w:val="en-US" w:eastAsia="zh-CN"/>
              </w:rPr>
              <w:t>性</w:t>
            </w:r>
            <w:r>
              <w:rPr>
                <w:rFonts w:hint="eastAsia" w:ascii="宋体" w:hAnsi="宋体" w:eastAsia="宋体" w:cs="宋体"/>
                <w:bCs/>
                <w:color w:val="auto"/>
                <w:kern w:val="2"/>
                <w:sz w:val="24"/>
                <w:szCs w:val="24"/>
                <w:lang w:eastAsia="zh-CN"/>
              </w:rPr>
              <w:t>一般得</w:t>
            </w:r>
            <w:r>
              <w:rPr>
                <w:rFonts w:hint="eastAsia" w:ascii="宋体" w:hAnsi="宋体" w:eastAsia="宋体" w:cs="宋体"/>
                <w:bCs/>
                <w:color w:val="auto"/>
                <w:kern w:val="2"/>
                <w:sz w:val="24"/>
                <w:szCs w:val="24"/>
                <w:lang w:val="en-US" w:eastAsia="zh-CN"/>
              </w:rPr>
              <w:t>3分；</w:t>
            </w:r>
            <w:r>
              <w:rPr>
                <w:rFonts w:hint="eastAsia" w:ascii="宋体" w:hAnsi="宋体" w:eastAsia="宋体" w:cs="宋体"/>
                <w:bCs/>
                <w:color w:val="auto"/>
                <w:kern w:val="2"/>
                <w:sz w:val="24"/>
                <w:szCs w:val="24"/>
              </w:rPr>
              <w:t>(0-</w:t>
            </w:r>
            <w:r>
              <w:rPr>
                <w:rFonts w:hint="eastAsia" w:ascii="宋体" w:hAnsi="宋体" w:eastAsia="宋体" w:cs="宋体"/>
                <w:bCs/>
                <w:color w:val="auto"/>
                <w:kern w:val="2"/>
                <w:sz w:val="24"/>
                <w:szCs w:val="24"/>
                <w:lang w:val="en-US" w:eastAsia="zh-CN"/>
              </w:rPr>
              <w:t>10</w:t>
            </w:r>
            <w:r>
              <w:rPr>
                <w:rFonts w:hint="eastAsia" w:ascii="宋体" w:hAnsi="宋体" w:eastAsia="宋体" w:cs="宋体"/>
                <w:bCs/>
                <w:color w:val="auto"/>
                <w:kern w:val="2"/>
                <w:sz w:val="24"/>
                <w:szCs w:val="24"/>
              </w:rPr>
              <w:t>分)</w:t>
            </w:r>
          </w:p>
          <w:p w14:paraId="3801BE84">
            <w:pPr>
              <w:widowControl w:val="0"/>
              <w:wordWrap/>
              <w:adjustRightInd w:val="0"/>
              <w:snapToGrid w:val="0"/>
              <w:spacing w:before="0" w:beforeAutospacing="0" w:after="0" w:afterAutospacing="0" w:line="360" w:lineRule="auto"/>
              <w:ind w:left="0" w:right="0"/>
              <w:jc w:val="both"/>
              <w:textAlignment w:val="auto"/>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lang w:val="en-US" w:eastAsia="zh-CN"/>
              </w:rPr>
              <w:t>2</w:t>
            </w:r>
            <w:r>
              <w:rPr>
                <w:rFonts w:hint="eastAsia" w:ascii="宋体" w:hAnsi="宋体" w:eastAsia="宋体" w:cs="宋体"/>
                <w:bCs/>
                <w:color w:val="auto"/>
                <w:kern w:val="2"/>
                <w:sz w:val="24"/>
                <w:szCs w:val="24"/>
              </w:rPr>
              <w:t>、根据产品的质量可靠性、性能稳定性</w:t>
            </w:r>
            <w:r>
              <w:rPr>
                <w:rFonts w:hint="eastAsia" w:ascii="宋体" w:hAnsi="宋体" w:eastAsia="宋体" w:cs="宋体"/>
                <w:bCs/>
                <w:color w:val="auto"/>
                <w:kern w:val="2"/>
                <w:sz w:val="24"/>
                <w:szCs w:val="24"/>
                <w:lang w:eastAsia="zh-CN"/>
              </w:rPr>
              <w:t>、</w:t>
            </w:r>
            <w:r>
              <w:rPr>
                <w:rFonts w:hint="eastAsia" w:ascii="宋体" w:hAnsi="宋体" w:eastAsia="宋体" w:cs="宋体"/>
                <w:bCs/>
                <w:color w:val="auto"/>
                <w:kern w:val="2"/>
                <w:sz w:val="24"/>
                <w:szCs w:val="24"/>
              </w:rPr>
              <w:t>使用和保养的成本</w:t>
            </w:r>
            <w:r>
              <w:rPr>
                <w:rFonts w:hint="eastAsia" w:ascii="宋体" w:hAnsi="宋体" w:eastAsia="宋体" w:cs="宋体"/>
                <w:bCs/>
                <w:color w:val="auto"/>
                <w:kern w:val="2"/>
                <w:sz w:val="24"/>
                <w:szCs w:val="24"/>
                <w:lang w:eastAsia="zh-CN"/>
              </w:rPr>
              <w:t>从供应商提供证明材料</w:t>
            </w:r>
            <w:r>
              <w:rPr>
                <w:rFonts w:hint="eastAsia" w:ascii="宋体" w:hAnsi="宋体" w:eastAsia="宋体" w:cs="宋体"/>
                <w:bCs/>
                <w:color w:val="auto"/>
                <w:kern w:val="2"/>
                <w:sz w:val="24"/>
                <w:szCs w:val="24"/>
                <w:lang w:val="zh-CN" w:eastAsia="zh-CN"/>
              </w:rPr>
              <w:t>真实完整、合理</w:t>
            </w:r>
            <w:r>
              <w:rPr>
                <w:rFonts w:hint="eastAsia" w:ascii="宋体" w:hAnsi="宋体" w:eastAsia="宋体" w:cs="宋体"/>
                <w:bCs/>
                <w:color w:val="auto"/>
                <w:kern w:val="2"/>
                <w:sz w:val="24"/>
                <w:szCs w:val="24"/>
              </w:rPr>
              <w:t>综合打分</w:t>
            </w:r>
            <w:r>
              <w:rPr>
                <w:rFonts w:hint="eastAsia" w:ascii="宋体" w:hAnsi="宋体" w:eastAsia="宋体" w:cs="宋体"/>
                <w:bCs/>
                <w:color w:val="auto"/>
                <w:kern w:val="2"/>
                <w:sz w:val="24"/>
                <w:szCs w:val="24"/>
                <w:lang w:eastAsia="zh-CN"/>
              </w:rPr>
              <w:t>；</w:t>
            </w:r>
            <w:r>
              <w:rPr>
                <w:rFonts w:hint="eastAsia" w:ascii="宋体" w:hAnsi="宋体" w:eastAsia="宋体" w:cs="宋体"/>
                <w:bCs/>
                <w:color w:val="auto"/>
                <w:kern w:val="2"/>
                <w:sz w:val="24"/>
                <w:szCs w:val="24"/>
                <w:lang w:val="en-US" w:eastAsia="zh-CN"/>
              </w:rPr>
              <w:t>材料全面</w:t>
            </w:r>
            <w:r>
              <w:rPr>
                <w:rFonts w:hint="eastAsia" w:ascii="宋体" w:hAnsi="宋体" w:eastAsia="宋体" w:cs="宋体"/>
                <w:bCs/>
                <w:color w:val="auto"/>
                <w:kern w:val="2"/>
                <w:sz w:val="24"/>
                <w:szCs w:val="24"/>
                <w:lang w:eastAsia="zh-CN"/>
              </w:rPr>
              <w:t>得</w:t>
            </w:r>
            <w:r>
              <w:rPr>
                <w:rFonts w:hint="eastAsia" w:ascii="宋体" w:hAnsi="宋体" w:eastAsia="宋体" w:cs="宋体"/>
                <w:bCs/>
                <w:color w:val="auto"/>
                <w:kern w:val="2"/>
                <w:sz w:val="24"/>
                <w:szCs w:val="24"/>
                <w:lang w:val="en-US" w:eastAsia="zh-CN"/>
              </w:rPr>
              <w:t>5</w:t>
            </w:r>
            <w:r>
              <w:rPr>
                <w:rFonts w:hint="eastAsia" w:ascii="宋体" w:hAnsi="宋体" w:eastAsia="宋体" w:cs="宋体"/>
                <w:bCs/>
                <w:color w:val="auto"/>
                <w:kern w:val="2"/>
                <w:sz w:val="24"/>
                <w:szCs w:val="24"/>
              </w:rPr>
              <w:t>分</w:t>
            </w:r>
            <w:r>
              <w:rPr>
                <w:rFonts w:hint="eastAsia" w:ascii="宋体" w:hAnsi="宋体" w:eastAsia="宋体" w:cs="宋体"/>
                <w:bCs/>
                <w:color w:val="auto"/>
                <w:kern w:val="2"/>
                <w:sz w:val="24"/>
                <w:szCs w:val="24"/>
                <w:lang w:eastAsia="zh-CN"/>
              </w:rPr>
              <w:t>；</w:t>
            </w:r>
            <w:r>
              <w:rPr>
                <w:rFonts w:hint="eastAsia" w:ascii="宋体" w:hAnsi="宋体" w:eastAsia="宋体" w:cs="宋体"/>
                <w:bCs/>
                <w:color w:val="auto"/>
                <w:kern w:val="2"/>
                <w:sz w:val="24"/>
                <w:szCs w:val="24"/>
                <w:lang w:val="en-US" w:eastAsia="zh-CN"/>
              </w:rPr>
              <w:t>基本符合</w:t>
            </w:r>
            <w:r>
              <w:rPr>
                <w:rFonts w:hint="eastAsia" w:ascii="宋体" w:hAnsi="宋体" w:eastAsia="宋体" w:cs="宋体"/>
                <w:bCs/>
                <w:color w:val="auto"/>
                <w:kern w:val="2"/>
                <w:sz w:val="24"/>
                <w:szCs w:val="24"/>
                <w:lang w:eastAsia="zh-CN"/>
              </w:rPr>
              <w:t>得</w:t>
            </w:r>
            <w:r>
              <w:rPr>
                <w:rFonts w:hint="eastAsia" w:ascii="宋体" w:hAnsi="宋体" w:eastAsia="宋体" w:cs="宋体"/>
                <w:bCs/>
                <w:color w:val="auto"/>
                <w:kern w:val="2"/>
                <w:sz w:val="24"/>
                <w:szCs w:val="24"/>
                <w:lang w:val="en-US" w:eastAsia="zh-CN"/>
              </w:rPr>
              <w:t>3</w:t>
            </w:r>
            <w:r>
              <w:rPr>
                <w:rFonts w:hint="eastAsia" w:ascii="宋体" w:hAnsi="宋体" w:eastAsia="宋体" w:cs="宋体"/>
                <w:bCs/>
                <w:color w:val="auto"/>
                <w:kern w:val="2"/>
                <w:sz w:val="24"/>
                <w:szCs w:val="24"/>
              </w:rPr>
              <w:t>分</w:t>
            </w:r>
            <w:r>
              <w:rPr>
                <w:rFonts w:hint="eastAsia" w:ascii="宋体" w:hAnsi="宋体" w:eastAsia="宋体" w:cs="宋体"/>
                <w:bCs/>
                <w:color w:val="auto"/>
                <w:kern w:val="2"/>
                <w:sz w:val="24"/>
                <w:szCs w:val="24"/>
                <w:lang w:eastAsia="zh-CN"/>
              </w:rPr>
              <w:t>；</w:t>
            </w:r>
            <w:r>
              <w:rPr>
                <w:rFonts w:hint="eastAsia" w:ascii="宋体" w:hAnsi="宋体" w:eastAsia="宋体" w:cs="宋体"/>
                <w:bCs/>
                <w:color w:val="auto"/>
                <w:kern w:val="2"/>
                <w:sz w:val="24"/>
                <w:szCs w:val="24"/>
                <w:lang w:val="en-US" w:eastAsia="zh-CN"/>
              </w:rPr>
              <w:t>证明材料</w:t>
            </w:r>
            <w:r>
              <w:rPr>
                <w:rFonts w:hint="eastAsia" w:ascii="宋体" w:hAnsi="宋体" w:eastAsia="宋体" w:cs="宋体"/>
                <w:bCs/>
                <w:color w:val="auto"/>
                <w:kern w:val="2"/>
                <w:sz w:val="24"/>
                <w:szCs w:val="24"/>
                <w:lang w:eastAsia="zh-CN"/>
              </w:rPr>
              <w:t>一般得</w:t>
            </w:r>
            <w:r>
              <w:rPr>
                <w:rFonts w:hint="eastAsia" w:ascii="宋体" w:hAnsi="宋体" w:eastAsia="宋体" w:cs="宋体"/>
                <w:bCs/>
                <w:color w:val="auto"/>
                <w:kern w:val="2"/>
                <w:sz w:val="24"/>
                <w:szCs w:val="24"/>
                <w:lang w:val="en-US" w:eastAsia="zh-CN"/>
              </w:rPr>
              <w:t>1分；</w:t>
            </w:r>
            <w:r>
              <w:rPr>
                <w:rFonts w:hint="eastAsia" w:ascii="宋体" w:hAnsi="宋体" w:eastAsia="宋体" w:cs="宋体"/>
                <w:bCs/>
                <w:color w:val="auto"/>
                <w:kern w:val="2"/>
                <w:sz w:val="24"/>
                <w:szCs w:val="24"/>
              </w:rPr>
              <w:t>(0-</w:t>
            </w:r>
            <w:r>
              <w:rPr>
                <w:rFonts w:hint="eastAsia" w:ascii="宋体" w:hAnsi="宋体" w:eastAsia="宋体" w:cs="宋体"/>
                <w:bCs/>
                <w:color w:val="auto"/>
                <w:kern w:val="2"/>
                <w:sz w:val="24"/>
                <w:szCs w:val="24"/>
                <w:lang w:val="en-US" w:eastAsia="zh-CN"/>
              </w:rPr>
              <w:t>5</w:t>
            </w:r>
            <w:r>
              <w:rPr>
                <w:rFonts w:hint="eastAsia" w:ascii="宋体" w:hAnsi="宋体" w:eastAsia="宋体" w:cs="宋体"/>
                <w:bCs/>
                <w:color w:val="auto"/>
                <w:kern w:val="2"/>
                <w:sz w:val="24"/>
                <w:szCs w:val="24"/>
              </w:rPr>
              <w:t>分)</w:t>
            </w:r>
          </w:p>
          <w:p w14:paraId="3A1A493E">
            <w:pPr>
              <w:widowControl w:val="0"/>
              <w:wordWrap/>
              <w:adjustRightInd w:val="0"/>
              <w:snapToGrid w:val="0"/>
              <w:spacing w:before="0" w:beforeAutospacing="0" w:after="0" w:afterAutospacing="0" w:line="360" w:lineRule="auto"/>
              <w:ind w:left="0" w:leftChars="0" w:right="0" w:rightChars="0"/>
              <w:jc w:val="both"/>
              <w:textAlignment w:val="auto"/>
              <w:rPr>
                <w:rFonts w:hint="default"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rPr>
              <w:t>注：供应商所提供的产品每一项设备参数都应确保真实性，发现一处虚假应标的，其投标作废标处理。</w:t>
            </w:r>
          </w:p>
        </w:tc>
      </w:tr>
      <w:tr w14:paraId="384D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389" w:type="dxa"/>
            <w:vMerge w:val="continue"/>
            <w:tcBorders>
              <w:left w:val="single" w:color="auto" w:sz="4" w:space="0"/>
              <w:right w:val="single" w:color="auto" w:sz="4" w:space="0"/>
            </w:tcBorders>
            <w:noWrap w:val="0"/>
            <w:vAlign w:val="center"/>
          </w:tcPr>
          <w:p w14:paraId="29CF1E35">
            <w:pPr>
              <w:widowControl/>
              <w:spacing w:before="0" w:beforeLines="0" w:beforeAutospacing="0" w:afterAutospacing="0" w:line="360" w:lineRule="auto"/>
              <w:ind w:left="0" w:right="0"/>
              <w:jc w:val="center"/>
              <w:rPr>
                <w:rFonts w:hint="eastAsia" w:ascii="宋体" w:hAnsi="宋体" w:eastAsia="宋体" w:cs="宋体"/>
                <w:color w:val="000000"/>
                <w:kern w:val="2"/>
                <w:sz w:val="24"/>
                <w:szCs w:val="24"/>
              </w:rPr>
            </w:pPr>
          </w:p>
        </w:tc>
        <w:tc>
          <w:tcPr>
            <w:tcW w:w="1537" w:type="dxa"/>
            <w:tcBorders>
              <w:top w:val="single" w:color="auto" w:sz="4" w:space="0"/>
              <w:left w:val="single" w:color="auto" w:sz="4" w:space="0"/>
              <w:right w:val="single" w:color="auto" w:sz="4" w:space="0"/>
            </w:tcBorders>
            <w:noWrap w:val="0"/>
            <w:vAlign w:val="center"/>
          </w:tcPr>
          <w:p w14:paraId="7DB85BE2">
            <w:pPr>
              <w:widowControl w:val="0"/>
              <w:wordWrap/>
              <w:adjustRightInd w:val="0"/>
              <w:snapToGrid w:val="0"/>
              <w:spacing w:before="0" w:beforeLines="0" w:beforeAutospacing="0" w:after="0" w:afterLines="0" w:afterAutospacing="0" w:line="360" w:lineRule="auto"/>
              <w:ind w:left="0" w:leftChars="0" w:right="0" w:rightChars="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rPr>
              <w:t>安装及调试方案(0-</w:t>
            </w:r>
            <w:r>
              <w:rPr>
                <w:rFonts w:hint="eastAsia" w:ascii="宋体" w:hAnsi="宋体" w:eastAsia="宋体" w:cs="宋体"/>
                <w:bCs/>
                <w:color w:val="000000"/>
                <w:kern w:val="2"/>
                <w:sz w:val="24"/>
                <w:szCs w:val="24"/>
                <w:lang w:val="en-US" w:eastAsia="zh-CN"/>
              </w:rPr>
              <w:t xml:space="preserve">15分）                     </w:t>
            </w:r>
          </w:p>
        </w:tc>
        <w:tc>
          <w:tcPr>
            <w:tcW w:w="6453" w:type="dxa"/>
            <w:tcBorders>
              <w:top w:val="single" w:color="auto" w:sz="4" w:space="0"/>
              <w:left w:val="nil"/>
              <w:right w:val="single" w:color="auto" w:sz="4" w:space="0"/>
            </w:tcBorders>
            <w:noWrap w:val="0"/>
            <w:vAlign w:val="center"/>
          </w:tcPr>
          <w:p w14:paraId="0C955B61">
            <w:pPr>
              <w:widowControl w:val="0"/>
              <w:wordWrap/>
              <w:adjustRightInd w:val="0"/>
              <w:snapToGrid w:val="0"/>
              <w:spacing w:before="0" w:beforeLines="0" w:beforeAutospacing="0" w:after="0" w:afterLines="0" w:afterAutospacing="0" w:line="360" w:lineRule="auto"/>
              <w:ind w:left="0" w:leftChars="0" w:right="0" w:rightChars="0"/>
              <w:jc w:val="both"/>
              <w:textAlignment w:val="auto"/>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rPr>
              <w:t>1.</w:t>
            </w:r>
            <w:r>
              <w:rPr>
                <w:rFonts w:hint="eastAsia" w:ascii="宋体" w:hAnsi="宋体" w:eastAsia="宋体" w:cs="宋体"/>
                <w:bCs/>
                <w:color w:val="000000"/>
                <w:kern w:val="2"/>
                <w:sz w:val="24"/>
                <w:szCs w:val="24"/>
              </w:rPr>
              <w:t>根据投标供应商针对本项目安装调试及培训方案</w:t>
            </w:r>
            <w:r>
              <w:rPr>
                <w:rFonts w:hint="eastAsia" w:ascii="宋体" w:hAnsi="宋体" w:eastAsia="宋体" w:cs="宋体"/>
                <w:bCs/>
                <w:color w:val="000000"/>
                <w:kern w:val="2"/>
                <w:sz w:val="24"/>
                <w:szCs w:val="24"/>
                <w:lang w:eastAsia="zh-CN"/>
              </w:rPr>
              <w:t>（</w:t>
            </w:r>
            <w:r>
              <w:rPr>
                <w:rFonts w:hint="eastAsia" w:ascii="宋体" w:hAnsi="宋体" w:eastAsia="宋体" w:cs="宋体"/>
                <w:bCs/>
                <w:color w:val="000000"/>
                <w:kern w:val="2"/>
                <w:sz w:val="24"/>
                <w:szCs w:val="24"/>
              </w:rPr>
              <w:t>包含但不限于供货方案、组织机构、设备安装方案、设备调试方案、验收方案、人员培训方案等</w:t>
            </w:r>
            <w:r>
              <w:rPr>
                <w:rFonts w:hint="eastAsia" w:ascii="宋体" w:hAnsi="宋体" w:eastAsia="宋体" w:cs="宋体"/>
                <w:bCs/>
                <w:color w:val="000000"/>
                <w:kern w:val="2"/>
                <w:sz w:val="24"/>
                <w:szCs w:val="24"/>
                <w:lang w:eastAsia="zh-CN"/>
              </w:rPr>
              <w:t>）</w:t>
            </w:r>
            <w:r>
              <w:rPr>
                <w:rFonts w:hint="eastAsia" w:ascii="宋体" w:hAnsi="宋体" w:eastAsia="宋体" w:cs="宋体"/>
                <w:bCs/>
                <w:color w:val="000000"/>
                <w:kern w:val="2"/>
                <w:sz w:val="24"/>
                <w:szCs w:val="24"/>
              </w:rPr>
              <w:t>具体的实施</w:t>
            </w:r>
            <w:r>
              <w:rPr>
                <w:rFonts w:hint="eastAsia" w:ascii="宋体" w:hAnsi="宋体" w:eastAsia="宋体" w:cs="宋体"/>
                <w:bCs/>
                <w:color w:val="000000"/>
                <w:kern w:val="2"/>
                <w:sz w:val="24"/>
                <w:szCs w:val="24"/>
                <w:lang w:eastAsia="zh-CN"/>
              </w:rPr>
              <w:t>方案</w:t>
            </w:r>
            <w:r>
              <w:rPr>
                <w:rFonts w:hint="eastAsia" w:ascii="宋体" w:hAnsi="宋体" w:eastAsia="宋体" w:cs="宋体"/>
                <w:bCs/>
                <w:color w:val="000000"/>
                <w:kern w:val="2"/>
                <w:sz w:val="24"/>
                <w:szCs w:val="24"/>
              </w:rPr>
              <w:t>、质量</w:t>
            </w:r>
            <w:r>
              <w:rPr>
                <w:rFonts w:hint="eastAsia" w:ascii="宋体" w:hAnsi="宋体" w:eastAsia="宋体" w:cs="宋体"/>
                <w:bCs/>
                <w:color w:val="000000"/>
                <w:kern w:val="2"/>
                <w:sz w:val="24"/>
                <w:szCs w:val="24"/>
                <w:lang w:eastAsia="zh-CN"/>
              </w:rPr>
              <w:t>保障</w:t>
            </w:r>
            <w:r>
              <w:rPr>
                <w:rFonts w:hint="eastAsia" w:ascii="宋体" w:hAnsi="宋体" w:eastAsia="宋体" w:cs="宋体"/>
                <w:bCs/>
                <w:color w:val="000000"/>
                <w:kern w:val="2"/>
                <w:sz w:val="24"/>
                <w:szCs w:val="24"/>
              </w:rPr>
              <w:t>、计划执行的针对性、可行性、合理性进行打分。</w:t>
            </w:r>
          </w:p>
          <w:p w14:paraId="2DCB4F74">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eastAsia="zh-CN"/>
              </w:rPr>
            </w:pPr>
            <w:r>
              <w:rPr>
                <w:rFonts w:hint="eastAsia" w:ascii="宋体" w:hAnsi="宋体" w:eastAsia="宋体" w:cs="宋体"/>
                <w:bCs/>
                <w:color w:val="000000"/>
                <w:kern w:val="2"/>
                <w:sz w:val="24"/>
                <w:szCs w:val="24"/>
                <w:lang w:val="en-US" w:eastAsia="zh-CN"/>
              </w:rPr>
              <w:t>(1)</w:t>
            </w:r>
            <w:r>
              <w:rPr>
                <w:rFonts w:hint="eastAsia" w:ascii="宋体" w:hAnsi="宋体" w:eastAsia="宋体" w:cs="宋体"/>
                <w:bCs/>
                <w:color w:val="000000"/>
                <w:kern w:val="2"/>
                <w:sz w:val="24"/>
                <w:szCs w:val="24"/>
              </w:rPr>
              <w:t>方案完善、</w:t>
            </w:r>
            <w:r>
              <w:rPr>
                <w:rFonts w:hint="eastAsia" w:ascii="宋体" w:hAnsi="宋体" w:eastAsia="宋体" w:cs="宋体"/>
                <w:bCs/>
                <w:color w:val="000000"/>
                <w:kern w:val="2"/>
                <w:sz w:val="24"/>
                <w:szCs w:val="24"/>
                <w:lang w:eastAsia="zh-CN"/>
              </w:rPr>
              <w:t>详细可行性高，全面</w:t>
            </w:r>
            <w:r>
              <w:rPr>
                <w:rFonts w:hint="eastAsia" w:ascii="宋体" w:hAnsi="宋体" w:eastAsia="宋体" w:cs="宋体"/>
                <w:bCs/>
                <w:color w:val="000000"/>
                <w:kern w:val="2"/>
                <w:sz w:val="24"/>
                <w:szCs w:val="24"/>
              </w:rPr>
              <w:t>合理</w:t>
            </w:r>
            <w:r>
              <w:rPr>
                <w:rFonts w:hint="eastAsia" w:ascii="宋体" w:hAnsi="宋体" w:eastAsia="宋体" w:cs="宋体"/>
                <w:bCs/>
                <w:color w:val="000000"/>
                <w:kern w:val="2"/>
                <w:sz w:val="24"/>
                <w:szCs w:val="24"/>
                <w:lang w:eastAsia="zh-CN"/>
              </w:rPr>
              <w:t>、</w:t>
            </w:r>
            <w:r>
              <w:rPr>
                <w:rFonts w:hint="eastAsia" w:ascii="宋体" w:hAnsi="宋体" w:eastAsia="宋体" w:cs="宋体"/>
                <w:bCs/>
                <w:color w:val="000000"/>
                <w:kern w:val="2"/>
                <w:sz w:val="24"/>
                <w:szCs w:val="24"/>
              </w:rPr>
              <w:t>针对性强得</w:t>
            </w:r>
            <w:r>
              <w:rPr>
                <w:rFonts w:hint="eastAsia" w:ascii="宋体" w:hAnsi="宋体" w:eastAsia="宋体" w:cs="宋体"/>
                <w:bCs/>
                <w:color w:val="000000"/>
                <w:kern w:val="2"/>
                <w:sz w:val="24"/>
                <w:szCs w:val="24"/>
                <w:lang w:val="en-US" w:eastAsia="zh-CN"/>
              </w:rPr>
              <w:t>15</w:t>
            </w:r>
            <w:r>
              <w:rPr>
                <w:rFonts w:hint="eastAsia" w:ascii="宋体" w:hAnsi="宋体" w:eastAsia="宋体" w:cs="宋体"/>
                <w:bCs/>
                <w:color w:val="000000"/>
                <w:kern w:val="2"/>
                <w:sz w:val="24"/>
                <w:szCs w:val="24"/>
              </w:rPr>
              <w:t>分</w:t>
            </w:r>
            <w:r>
              <w:rPr>
                <w:rFonts w:hint="eastAsia" w:ascii="宋体" w:hAnsi="宋体" w:eastAsia="宋体" w:cs="宋体"/>
                <w:bCs/>
                <w:color w:val="000000"/>
                <w:kern w:val="2"/>
                <w:sz w:val="24"/>
                <w:szCs w:val="24"/>
                <w:lang w:eastAsia="zh-CN"/>
              </w:rPr>
              <w:t>；</w:t>
            </w:r>
          </w:p>
          <w:p w14:paraId="6720C6C9">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rPr>
            </w:pPr>
            <w:r>
              <w:rPr>
                <w:rFonts w:hint="eastAsia" w:ascii="宋体" w:hAnsi="宋体" w:eastAsia="宋体" w:cs="宋体"/>
                <w:bCs/>
                <w:color w:val="000000"/>
                <w:kern w:val="2"/>
                <w:sz w:val="24"/>
                <w:szCs w:val="24"/>
                <w:lang w:val="en-US" w:eastAsia="zh-CN"/>
              </w:rPr>
              <w:t>(2)</w:t>
            </w:r>
            <w:r>
              <w:rPr>
                <w:rFonts w:hint="eastAsia" w:ascii="宋体" w:hAnsi="宋体" w:eastAsia="宋体" w:cs="宋体"/>
                <w:bCs/>
                <w:color w:val="000000"/>
                <w:kern w:val="2"/>
                <w:sz w:val="24"/>
                <w:szCs w:val="24"/>
              </w:rPr>
              <w:t>方案完善、</w:t>
            </w:r>
            <w:r>
              <w:rPr>
                <w:rFonts w:hint="eastAsia" w:ascii="宋体" w:hAnsi="宋体" w:eastAsia="宋体" w:cs="宋体"/>
                <w:bCs/>
                <w:color w:val="000000"/>
                <w:kern w:val="2"/>
                <w:sz w:val="24"/>
                <w:szCs w:val="24"/>
                <w:lang w:eastAsia="zh-CN"/>
              </w:rPr>
              <w:t>详细可行性较高，全面</w:t>
            </w:r>
            <w:r>
              <w:rPr>
                <w:rFonts w:hint="eastAsia" w:ascii="宋体" w:hAnsi="宋体" w:eastAsia="宋体" w:cs="宋体"/>
                <w:bCs/>
                <w:color w:val="000000"/>
                <w:kern w:val="2"/>
                <w:sz w:val="24"/>
                <w:szCs w:val="24"/>
              </w:rPr>
              <w:t>合理</w:t>
            </w:r>
            <w:r>
              <w:rPr>
                <w:rFonts w:hint="eastAsia" w:ascii="宋体" w:hAnsi="宋体" w:eastAsia="宋体" w:cs="宋体"/>
                <w:bCs/>
                <w:color w:val="000000"/>
                <w:kern w:val="2"/>
                <w:sz w:val="24"/>
                <w:szCs w:val="24"/>
                <w:lang w:eastAsia="zh-CN"/>
              </w:rPr>
              <w:t>、</w:t>
            </w:r>
            <w:r>
              <w:rPr>
                <w:rFonts w:hint="eastAsia" w:ascii="宋体" w:hAnsi="宋体" w:eastAsia="宋体" w:cs="宋体"/>
                <w:bCs/>
                <w:color w:val="000000"/>
                <w:kern w:val="2"/>
                <w:sz w:val="24"/>
                <w:szCs w:val="24"/>
              </w:rPr>
              <w:t>针对性</w:t>
            </w:r>
            <w:r>
              <w:rPr>
                <w:rFonts w:hint="eastAsia" w:ascii="宋体" w:hAnsi="宋体" w:eastAsia="宋体" w:cs="宋体"/>
                <w:bCs/>
                <w:color w:val="000000"/>
                <w:kern w:val="2"/>
                <w:sz w:val="24"/>
                <w:szCs w:val="24"/>
                <w:lang w:eastAsia="zh-CN"/>
              </w:rPr>
              <w:t>较</w:t>
            </w:r>
            <w:r>
              <w:rPr>
                <w:rFonts w:hint="eastAsia" w:ascii="宋体" w:hAnsi="宋体" w:eastAsia="宋体" w:cs="宋体"/>
                <w:bCs/>
                <w:color w:val="000000"/>
                <w:kern w:val="2"/>
                <w:sz w:val="24"/>
                <w:szCs w:val="24"/>
              </w:rPr>
              <w:t>强得</w:t>
            </w:r>
            <w:r>
              <w:rPr>
                <w:rFonts w:hint="eastAsia" w:ascii="宋体" w:hAnsi="宋体" w:eastAsia="宋体" w:cs="宋体"/>
                <w:bCs/>
                <w:color w:val="000000"/>
                <w:kern w:val="2"/>
                <w:sz w:val="24"/>
                <w:szCs w:val="24"/>
                <w:lang w:val="en-US" w:eastAsia="zh-CN"/>
              </w:rPr>
              <w:t>10</w:t>
            </w:r>
            <w:r>
              <w:rPr>
                <w:rFonts w:hint="eastAsia" w:ascii="宋体" w:hAnsi="宋体" w:eastAsia="宋体" w:cs="宋体"/>
                <w:bCs/>
                <w:color w:val="000000"/>
                <w:kern w:val="2"/>
                <w:sz w:val="24"/>
                <w:szCs w:val="24"/>
              </w:rPr>
              <w:t>分</w:t>
            </w:r>
            <w:r>
              <w:rPr>
                <w:rFonts w:hint="eastAsia" w:ascii="宋体" w:hAnsi="宋体" w:eastAsia="宋体" w:cs="宋体"/>
                <w:bCs/>
                <w:color w:val="000000"/>
                <w:kern w:val="2"/>
                <w:sz w:val="24"/>
                <w:szCs w:val="24"/>
                <w:lang w:eastAsia="zh-CN"/>
              </w:rPr>
              <w:t>；</w:t>
            </w:r>
          </w:p>
          <w:p w14:paraId="02AD556B">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eastAsia="zh-CN"/>
              </w:rPr>
            </w:pPr>
            <w:r>
              <w:rPr>
                <w:rFonts w:hint="eastAsia" w:ascii="宋体" w:hAnsi="宋体" w:eastAsia="宋体" w:cs="宋体"/>
                <w:bCs/>
                <w:color w:val="000000"/>
                <w:kern w:val="2"/>
                <w:sz w:val="24"/>
                <w:szCs w:val="24"/>
                <w:lang w:val="en-US" w:eastAsia="zh-CN"/>
              </w:rPr>
              <w:t>(3)方案完善、详细可行性一般，全面合理、针对性一般的得5分</w:t>
            </w:r>
            <w:r>
              <w:rPr>
                <w:rFonts w:hint="eastAsia" w:ascii="宋体" w:hAnsi="宋体" w:eastAsia="宋体" w:cs="宋体"/>
                <w:bCs/>
                <w:color w:val="000000"/>
                <w:kern w:val="2"/>
                <w:sz w:val="24"/>
                <w:szCs w:val="24"/>
                <w:lang w:eastAsia="zh-CN"/>
              </w:rPr>
              <w:t>；</w:t>
            </w:r>
          </w:p>
          <w:p w14:paraId="69523BEF">
            <w:pPr>
              <w:widowControl w:val="0"/>
              <w:numPr>
                <w:ilvl w:val="0"/>
                <w:numId w:val="0"/>
              </w:numPr>
              <w:wordWrap/>
              <w:adjustRightInd w:val="0"/>
              <w:snapToGrid w:val="0"/>
              <w:spacing w:before="0" w:beforeLines="0" w:beforeAutospacing="0" w:after="0" w:afterLines="0" w:afterAutospacing="0" w:line="360" w:lineRule="auto"/>
              <w:ind w:right="0" w:rightChars="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(4)方案不完善,内容差的得1分</w:t>
            </w:r>
          </w:p>
          <w:p w14:paraId="348CF5E1">
            <w:pPr>
              <w:widowControl w:val="0"/>
              <w:wordWrap/>
              <w:adjustRightInd w:val="0"/>
              <w:snapToGrid w:val="0"/>
              <w:spacing w:before="0" w:beforeLines="0" w:beforeAutospacing="0" w:after="0" w:afterLines="0" w:afterAutospacing="0" w:line="360" w:lineRule="auto"/>
              <w:ind w:left="0" w:leftChars="0" w:right="0" w:rightChars="0"/>
              <w:jc w:val="both"/>
              <w:textAlignment w:val="auto"/>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rPr>
              <w:t>(5)</w:t>
            </w:r>
            <w:r>
              <w:rPr>
                <w:rFonts w:hint="eastAsia" w:ascii="宋体" w:hAnsi="宋体" w:eastAsia="宋体" w:cs="宋体"/>
                <w:bCs/>
                <w:color w:val="000000"/>
                <w:kern w:val="2"/>
                <w:sz w:val="24"/>
                <w:szCs w:val="24"/>
              </w:rPr>
              <w:t>未提供安装调试及培训方案的，不得分</w:t>
            </w:r>
            <w:r>
              <w:rPr>
                <w:rFonts w:hint="eastAsia" w:ascii="宋体" w:hAnsi="宋体" w:eastAsia="宋体" w:cs="宋体"/>
                <w:bCs/>
                <w:color w:val="000000"/>
                <w:kern w:val="2"/>
                <w:sz w:val="24"/>
                <w:szCs w:val="24"/>
                <w:lang w:eastAsia="zh-CN"/>
              </w:rPr>
              <w:t>。</w:t>
            </w:r>
          </w:p>
        </w:tc>
      </w:tr>
      <w:tr w14:paraId="3B10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389" w:type="dxa"/>
            <w:vMerge w:val="restart"/>
            <w:tcBorders>
              <w:left w:val="single" w:color="auto" w:sz="4" w:space="0"/>
              <w:right w:val="single" w:color="auto" w:sz="4" w:space="0"/>
            </w:tcBorders>
            <w:noWrap w:val="0"/>
            <w:vAlign w:val="center"/>
          </w:tcPr>
          <w:p w14:paraId="26F0F32B">
            <w:pPr>
              <w:widowControl w:val="0"/>
              <w:wordWrap/>
              <w:adjustRightInd w:val="0"/>
              <w:snapToGrid w:val="0"/>
              <w:spacing w:before="0" w:beforeLines="0" w:beforeAutospacing="0" w:after="0" w:afterLines="0" w:afterAutospacing="0" w:line="360" w:lineRule="auto"/>
              <w:ind w:left="0" w:right="0"/>
              <w:jc w:val="left"/>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eastAsia="zh-CN"/>
              </w:rPr>
              <w:t>商务</w:t>
            </w:r>
            <w:r>
              <w:rPr>
                <w:rFonts w:hint="eastAsia" w:ascii="宋体" w:hAnsi="宋体" w:eastAsia="宋体" w:cs="宋体"/>
                <w:bCs/>
                <w:color w:val="000000"/>
                <w:kern w:val="2"/>
                <w:sz w:val="24"/>
                <w:szCs w:val="24"/>
              </w:rPr>
              <w:t>部分</w:t>
            </w:r>
            <w:r>
              <w:rPr>
                <w:rFonts w:hint="eastAsia" w:ascii="宋体" w:hAnsi="宋体" w:eastAsia="宋体" w:cs="宋体"/>
                <w:bCs/>
                <w:color w:val="000000"/>
                <w:kern w:val="2"/>
                <w:sz w:val="24"/>
                <w:szCs w:val="24"/>
                <w:lang w:val="en-US" w:eastAsia="zh-CN"/>
              </w:rPr>
              <w:t>（20分）</w:t>
            </w:r>
          </w:p>
        </w:tc>
        <w:tc>
          <w:tcPr>
            <w:tcW w:w="1537" w:type="dxa"/>
            <w:tcBorders>
              <w:top w:val="single" w:color="auto" w:sz="4" w:space="0"/>
              <w:left w:val="single" w:color="auto" w:sz="4" w:space="0"/>
              <w:right w:val="single" w:color="auto" w:sz="4" w:space="0"/>
            </w:tcBorders>
            <w:noWrap w:val="0"/>
            <w:vAlign w:val="center"/>
          </w:tcPr>
          <w:p w14:paraId="27602EFB">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企业业绩</w:t>
            </w:r>
          </w:p>
          <w:p w14:paraId="236F8FF7">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(0-4分）</w:t>
            </w:r>
          </w:p>
        </w:tc>
        <w:tc>
          <w:tcPr>
            <w:tcW w:w="6453" w:type="dxa"/>
            <w:tcBorders>
              <w:top w:val="single" w:color="auto" w:sz="4" w:space="0"/>
              <w:left w:val="nil"/>
              <w:right w:val="single" w:color="auto" w:sz="4" w:space="0"/>
            </w:tcBorders>
            <w:noWrap w:val="0"/>
            <w:vAlign w:val="center"/>
          </w:tcPr>
          <w:p w14:paraId="3146909E">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供应商提供2022年1月1日以来类似项目业绩，每有一项得2分，未提供不得分，最多得4分（需提供中标通知书或合同协议书原件扫描件，以中标通知书发放日期或合同协议书签订日期为准，供应商自行上传到投标文件中。）</w:t>
            </w:r>
          </w:p>
        </w:tc>
      </w:tr>
      <w:tr w14:paraId="764B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9" w:type="dxa"/>
            <w:vMerge w:val="continue"/>
            <w:tcBorders>
              <w:left w:val="single" w:color="auto" w:sz="4" w:space="0"/>
              <w:right w:val="single" w:color="auto" w:sz="4" w:space="0"/>
            </w:tcBorders>
            <w:noWrap w:val="0"/>
            <w:vAlign w:val="center"/>
          </w:tcPr>
          <w:p w14:paraId="6A2AB041">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p>
        </w:tc>
        <w:tc>
          <w:tcPr>
            <w:tcW w:w="1537" w:type="dxa"/>
            <w:tcBorders>
              <w:top w:val="single" w:color="auto" w:sz="4" w:space="0"/>
              <w:left w:val="single" w:color="auto" w:sz="4" w:space="0"/>
              <w:right w:val="single" w:color="auto" w:sz="4" w:space="0"/>
            </w:tcBorders>
            <w:noWrap w:val="0"/>
            <w:vAlign w:val="center"/>
          </w:tcPr>
          <w:p w14:paraId="5241EBFC">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售后服务</w:t>
            </w:r>
          </w:p>
          <w:p w14:paraId="0DA78D32">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（0-12分）</w:t>
            </w:r>
          </w:p>
        </w:tc>
        <w:tc>
          <w:tcPr>
            <w:tcW w:w="6453" w:type="dxa"/>
            <w:tcBorders>
              <w:top w:val="single" w:color="auto" w:sz="4" w:space="0"/>
              <w:left w:val="nil"/>
              <w:right w:val="single" w:color="auto" w:sz="4" w:space="0"/>
            </w:tcBorders>
            <w:noWrap w:val="0"/>
            <w:vAlign w:val="center"/>
          </w:tcPr>
          <w:p w14:paraId="108FED1F">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 xml:space="preserve">1、供应商详细说明机构设置、人员配备情况、应急预案情况，全面、详细、可行的得3分，全面、基本详细、可行的得2分；全面、一般详细、可行的得1分；  </w:t>
            </w:r>
          </w:p>
          <w:p w14:paraId="311AE880">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 xml:space="preserve">2、对保修期限内的承诺，风险防范措施服务承诺，全面、详细、可行的得3分，全面、基本详细、可行的得2分；全面、一般详细、可行的得1分；  </w:t>
            </w:r>
          </w:p>
          <w:p w14:paraId="0D6C37D7">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3、对保修期限外的承诺，全面、详细、可行的得3分，全面、基本详细、可行的得2分；全面、一般详细、可行的得1分</w:t>
            </w:r>
          </w:p>
          <w:p w14:paraId="73B79E84">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4、提供的售后服务方案、售后服务期限、售后服务响应时间，全面、详细、可行的得3分；全面、基本详细、可行的得2分；全面、一般详细、可行的得1分</w:t>
            </w:r>
          </w:p>
        </w:tc>
      </w:tr>
      <w:tr w14:paraId="6BDF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1389" w:type="dxa"/>
            <w:vMerge w:val="continue"/>
            <w:tcBorders>
              <w:left w:val="single" w:color="auto" w:sz="4" w:space="0"/>
              <w:right w:val="single" w:color="auto" w:sz="4" w:space="0"/>
            </w:tcBorders>
            <w:noWrap w:val="0"/>
            <w:vAlign w:val="center"/>
          </w:tcPr>
          <w:p w14:paraId="2A670C62">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p>
        </w:tc>
        <w:tc>
          <w:tcPr>
            <w:tcW w:w="1537" w:type="dxa"/>
            <w:tcBorders>
              <w:top w:val="single" w:color="auto" w:sz="4" w:space="0"/>
              <w:left w:val="single" w:color="auto" w:sz="4" w:space="0"/>
              <w:bottom w:val="single" w:color="auto" w:sz="4" w:space="0"/>
              <w:right w:val="single" w:color="auto" w:sz="4" w:space="0"/>
            </w:tcBorders>
            <w:noWrap w:val="0"/>
            <w:vAlign w:val="center"/>
          </w:tcPr>
          <w:p w14:paraId="15D0D40A">
            <w:pPr>
              <w:widowControl w:val="0"/>
              <w:wordWrap/>
              <w:adjustRightInd w:val="0"/>
              <w:snapToGrid w:val="0"/>
              <w:spacing w:before="0" w:beforeLines="0" w:beforeAutospacing="0" w:after="0" w:afterLines="0" w:afterAutospacing="0" w:line="360" w:lineRule="auto"/>
              <w:ind w:left="0" w:right="0"/>
              <w:jc w:val="left"/>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优惠条款（0-4分）</w:t>
            </w:r>
          </w:p>
        </w:tc>
        <w:tc>
          <w:tcPr>
            <w:tcW w:w="6453" w:type="dxa"/>
            <w:tcBorders>
              <w:top w:val="single" w:color="auto" w:sz="4" w:space="0"/>
              <w:left w:val="nil"/>
              <w:bottom w:val="single" w:color="auto" w:sz="4" w:space="0"/>
              <w:right w:val="single" w:color="auto" w:sz="4" w:space="0"/>
            </w:tcBorders>
            <w:noWrap w:val="0"/>
            <w:vAlign w:val="center"/>
          </w:tcPr>
          <w:p w14:paraId="4782685D">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4"/>
                <w:szCs w:val="24"/>
                <w:lang w:val="en-US" w:eastAsia="zh-CN"/>
              </w:rPr>
              <w:t>优惠条款服务承诺，综合对比供应商的优惠条款服务承诺，全面、具体、详细、切实对采购人有利的得4分；承诺不全面、不具体或者针对性不强的得2分。没有优惠条款或没有实质性的优惠条款的得0分</w:t>
            </w:r>
          </w:p>
        </w:tc>
      </w:tr>
      <w:tr w14:paraId="7936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9379" w:type="dxa"/>
            <w:gridSpan w:val="3"/>
            <w:tcBorders>
              <w:left w:val="single" w:color="auto" w:sz="4" w:space="0"/>
              <w:right w:val="single" w:color="auto" w:sz="4" w:space="0"/>
            </w:tcBorders>
            <w:noWrap w:val="0"/>
            <w:vAlign w:val="center"/>
          </w:tcPr>
          <w:p w14:paraId="355121F6">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2"/>
                <w:szCs w:val="22"/>
                <w:lang w:val="en-US" w:eastAsia="zh-CN"/>
              </w:rPr>
            </w:pPr>
            <w:r>
              <w:rPr>
                <w:rFonts w:hint="eastAsia" w:ascii="宋体" w:hAnsi="宋体" w:eastAsia="宋体" w:cs="宋体"/>
                <w:bCs/>
                <w:color w:val="000000"/>
                <w:kern w:val="2"/>
                <w:sz w:val="22"/>
                <w:szCs w:val="22"/>
                <w:lang w:val="en-US" w:eastAsia="zh-CN"/>
              </w:rPr>
              <w:t>投标人综合得分=商务标得分＋技术标得分＋投标报价得分。</w:t>
            </w:r>
          </w:p>
          <w:p w14:paraId="10F10A12">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2"/>
                <w:szCs w:val="22"/>
                <w:lang w:val="en-US" w:eastAsia="zh-CN"/>
              </w:rPr>
            </w:pPr>
            <w:r>
              <w:rPr>
                <w:rFonts w:hint="eastAsia" w:ascii="宋体" w:hAnsi="宋体" w:eastAsia="宋体" w:cs="宋体"/>
                <w:bCs/>
                <w:color w:val="000000"/>
                <w:kern w:val="2"/>
                <w:sz w:val="22"/>
                <w:szCs w:val="22"/>
                <w:lang w:val="en-US" w:eastAsia="zh-CN"/>
              </w:rPr>
              <w:t>评标委员会完成对技术标、商务标和投标报价得分的汇总后取平均值作为该投标人的最终得分。</w:t>
            </w:r>
          </w:p>
          <w:p w14:paraId="2FFB9D7C">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2"/>
                <w:szCs w:val="22"/>
                <w:lang w:val="en-US" w:eastAsia="zh-CN"/>
              </w:rPr>
            </w:pPr>
            <w:r>
              <w:rPr>
                <w:rFonts w:hint="eastAsia" w:ascii="宋体" w:hAnsi="宋体" w:eastAsia="宋体" w:cs="宋体"/>
                <w:bCs/>
                <w:color w:val="000000"/>
                <w:kern w:val="2"/>
                <w:sz w:val="22"/>
                <w:szCs w:val="22"/>
                <w:lang w:val="en-US" w:eastAsia="zh-CN"/>
              </w:rPr>
              <w:t>本办法计算过程中分值按四舍五入保留两位小数，结果按四舍五入保留两位小数。</w:t>
            </w:r>
          </w:p>
          <w:p w14:paraId="4ECD608B">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2"/>
                <w:szCs w:val="22"/>
                <w:lang w:val="en-US" w:eastAsia="zh-CN"/>
              </w:rPr>
            </w:pPr>
            <w:r>
              <w:rPr>
                <w:rFonts w:hint="eastAsia" w:ascii="宋体" w:hAnsi="宋体" w:eastAsia="宋体" w:cs="宋体"/>
                <w:bCs/>
                <w:color w:val="000000"/>
                <w:kern w:val="2"/>
                <w:sz w:val="22"/>
                <w:szCs w:val="22"/>
                <w:lang w:val="en-US" w:eastAsia="zh-CN"/>
              </w:rPr>
              <w:t>注：1.评审中资格审查、评审打分以投标文件中原件扫描件为准且必须内容齐全、真实有效、清晰可辨，复印件不予认可。投标文件及主体信息库的内容真实性由供应商自行承担。因供应商上传原因导致资格审查不合格或应得分项而未得分等情况的，由供应商自行承担责任。</w:t>
            </w:r>
          </w:p>
          <w:p w14:paraId="7A66C5A0">
            <w:pPr>
              <w:widowControl w:val="0"/>
              <w:wordWrap/>
              <w:adjustRightInd w:val="0"/>
              <w:snapToGrid w:val="0"/>
              <w:spacing w:before="0" w:beforeLines="0" w:beforeAutospacing="0" w:after="0" w:afterLines="0" w:afterAutospacing="0" w:line="360" w:lineRule="auto"/>
              <w:ind w:left="0" w:right="0"/>
              <w:jc w:val="both"/>
              <w:textAlignment w:val="auto"/>
              <w:rPr>
                <w:rFonts w:hint="eastAsia" w:ascii="宋体" w:hAnsi="宋体" w:eastAsia="宋体" w:cs="宋体"/>
                <w:bCs/>
                <w:color w:val="000000"/>
                <w:kern w:val="2"/>
                <w:sz w:val="24"/>
                <w:szCs w:val="24"/>
                <w:lang w:val="en-US" w:eastAsia="zh-CN"/>
              </w:rPr>
            </w:pPr>
            <w:r>
              <w:rPr>
                <w:rFonts w:hint="eastAsia" w:ascii="宋体" w:hAnsi="宋体" w:eastAsia="宋体" w:cs="宋体"/>
                <w:bCs/>
                <w:color w:val="000000"/>
                <w:kern w:val="2"/>
                <w:sz w:val="22"/>
                <w:szCs w:val="22"/>
                <w:lang w:val="en-US" w:eastAsia="zh-CN"/>
              </w:rPr>
              <w:t>2.评标开始后，不再接受任何补充材料。</w:t>
            </w:r>
          </w:p>
        </w:tc>
      </w:tr>
    </w:tbl>
    <w:p w14:paraId="12F2EFE1">
      <w:pPr>
        <w:spacing w:line="360" w:lineRule="auto"/>
        <w:ind w:firstLine="482" w:firstLineChars="200"/>
        <w:jc w:val="left"/>
        <w:rPr>
          <w:rFonts w:ascii="宋体" w:hAnsi="宋体" w:cs="宋体"/>
          <w:sz w:val="24"/>
        </w:rPr>
      </w:pPr>
      <w:r>
        <w:rPr>
          <w:rFonts w:hint="eastAsia" w:ascii="宋体" w:hAnsi="宋体" w:cs="宋体"/>
          <w:b/>
          <w:sz w:val="24"/>
        </w:rPr>
        <w:t>1.评标方法</w:t>
      </w:r>
    </w:p>
    <w:p w14:paraId="286933FA">
      <w:pPr>
        <w:spacing w:line="360" w:lineRule="auto"/>
        <w:ind w:firstLine="480" w:firstLineChars="200"/>
        <w:jc w:val="left"/>
        <w:rPr>
          <w:rFonts w:ascii="宋体" w:hAnsi="宋体" w:cs="宋体"/>
          <w:sz w:val="24"/>
        </w:rPr>
      </w:pPr>
      <w:r>
        <w:rPr>
          <w:rFonts w:hint="eastAsia" w:ascii="宋体" w:hAnsi="宋体" w:cs="宋体"/>
          <w:sz w:val="24"/>
        </w:rPr>
        <w:t>（1）本次评标采用综合评分法。</w:t>
      </w:r>
    </w:p>
    <w:p w14:paraId="204A351E">
      <w:pPr>
        <w:spacing w:line="360" w:lineRule="auto"/>
        <w:ind w:firstLine="480" w:firstLineChars="200"/>
        <w:jc w:val="left"/>
        <w:rPr>
          <w:rFonts w:ascii="宋体" w:hAnsi="宋体" w:cs="宋体"/>
          <w:sz w:val="24"/>
        </w:rPr>
      </w:pPr>
      <w:r>
        <w:rPr>
          <w:rFonts w:hint="eastAsia" w:ascii="宋体" w:hAnsi="宋体" w:cs="宋体"/>
          <w:sz w:val="24"/>
        </w:rPr>
        <w:t>（2）评标委员会对满足招标文件实质性要求的投标文件，按照本章规定的评分标准进行打分并按得分由高到低顺序推荐中标候选人，但投标报价低于其成本的除外。评标结果按评审后得分由高到低顺序排列。得分相同的，按投标报价由低到高顺序排列；得分且响应报价相同的，按技术指标优劣顺序排列。</w:t>
      </w:r>
    </w:p>
    <w:p w14:paraId="44D7818A">
      <w:pPr>
        <w:spacing w:line="360" w:lineRule="auto"/>
        <w:ind w:firstLine="480" w:firstLineChars="200"/>
        <w:jc w:val="left"/>
        <w:rPr>
          <w:rFonts w:ascii="宋体" w:hAnsi="宋体" w:cs="宋体"/>
          <w:sz w:val="24"/>
        </w:rPr>
      </w:pPr>
      <w:r>
        <w:rPr>
          <w:rFonts w:hint="eastAsia" w:ascii="宋体" w:hAnsi="宋体" w:cs="宋体"/>
          <w:sz w:val="24"/>
        </w:rPr>
        <w:t>投标文件满足招标文件全部实质性要求，且按照评审因素的量化指标评审得分最高的投标人为排名第一的中标候选人。</w:t>
      </w:r>
    </w:p>
    <w:p w14:paraId="26A7B30B">
      <w:pPr>
        <w:spacing w:line="500" w:lineRule="exact"/>
        <w:ind w:firstLine="482" w:firstLineChars="200"/>
        <w:rPr>
          <w:rFonts w:ascii="宋体" w:hAnsi="宋体" w:cs="宋体"/>
          <w:b/>
          <w:sz w:val="24"/>
        </w:rPr>
      </w:pPr>
      <w:r>
        <w:rPr>
          <w:rFonts w:hint="eastAsia" w:ascii="宋体" w:hAnsi="宋体" w:cs="宋体"/>
          <w:b/>
          <w:sz w:val="24"/>
        </w:rPr>
        <w:t>2. 评审标准</w:t>
      </w:r>
    </w:p>
    <w:p w14:paraId="77F330BE">
      <w:pPr>
        <w:spacing w:line="500" w:lineRule="exact"/>
        <w:ind w:firstLine="480" w:firstLineChars="200"/>
        <w:rPr>
          <w:rFonts w:ascii="宋体" w:hAnsi="宋体" w:cs="宋体"/>
          <w:sz w:val="24"/>
        </w:rPr>
      </w:pPr>
      <w:r>
        <w:rPr>
          <w:rFonts w:hint="eastAsia" w:ascii="宋体" w:hAnsi="宋体" w:cs="宋体"/>
          <w:sz w:val="24"/>
        </w:rPr>
        <w:t>2.1 初步评审标准</w:t>
      </w:r>
    </w:p>
    <w:p w14:paraId="4660D209">
      <w:pPr>
        <w:spacing w:line="500" w:lineRule="exact"/>
        <w:ind w:firstLine="480" w:firstLineChars="200"/>
        <w:rPr>
          <w:rFonts w:ascii="宋体" w:hAnsi="宋体" w:cs="宋体"/>
          <w:sz w:val="24"/>
        </w:rPr>
      </w:pPr>
      <w:r>
        <w:rPr>
          <w:rFonts w:hint="eastAsia" w:ascii="宋体" w:hAnsi="宋体" w:cs="宋体"/>
          <w:sz w:val="24"/>
        </w:rPr>
        <w:t>2.1.1 符合性评审标准：见评标办法前附表。</w:t>
      </w:r>
    </w:p>
    <w:p w14:paraId="25BFDBCA">
      <w:pPr>
        <w:spacing w:line="500" w:lineRule="exact"/>
        <w:ind w:firstLine="480" w:firstLineChars="200"/>
        <w:rPr>
          <w:rFonts w:ascii="宋体" w:hAnsi="宋体" w:cs="宋体"/>
          <w:sz w:val="24"/>
        </w:rPr>
      </w:pPr>
      <w:r>
        <w:rPr>
          <w:rFonts w:hint="eastAsia" w:ascii="宋体" w:hAnsi="宋体" w:cs="宋体"/>
          <w:sz w:val="24"/>
        </w:rPr>
        <w:t>2.1.2 响应性评审标准：见评标办法前附表。</w:t>
      </w:r>
    </w:p>
    <w:p w14:paraId="1B79F637">
      <w:pPr>
        <w:spacing w:line="500" w:lineRule="exact"/>
        <w:ind w:firstLine="480" w:firstLineChars="200"/>
        <w:rPr>
          <w:rFonts w:ascii="宋体" w:hAnsi="宋体" w:cs="宋体"/>
          <w:sz w:val="24"/>
        </w:rPr>
      </w:pPr>
      <w:r>
        <w:rPr>
          <w:rFonts w:hint="eastAsia" w:ascii="宋体" w:hAnsi="宋体" w:cs="宋体"/>
          <w:sz w:val="24"/>
        </w:rPr>
        <w:t>2.2 分值构成与评分标准</w:t>
      </w:r>
    </w:p>
    <w:p w14:paraId="3AEBA982">
      <w:pPr>
        <w:spacing w:line="500" w:lineRule="exact"/>
        <w:ind w:firstLine="480" w:firstLineChars="200"/>
        <w:rPr>
          <w:rFonts w:ascii="宋体" w:hAnsi="宋体" w:cs="宋体"/>
          <w:sz w:val="24"/>
        </w:rPr>
      </w:pPr>
      <w:r>
        <w:rPr>
          <w:rFonts w:hint="eastAsia" w:ascii="宋体" w:hAnsi="宋体" w:cs="宋体"/>
          <w:sz w:val="24"/>
        </w:rPr>
        <w:t>2.2.1 分值构成</w:t>
      </w:r>
    </w:p>
    <w:p w14:paraId="4D429BBB">
      <w:pPr>
        <w:spacing w:line="500" w:lineRule="exact"/>
        <w:ind w:firstLine="480" w:firstLineChars="200"/>
        <w:rPr>
          <w:rFonts w:hint="eastAsia" w:ascii="宋体" w:hAnsi="宋体" w:cs="宋体"/>
          <w:sz w:val="24"/>
        </w:rPr>
      </w:pPr>
      <w:r>
        <w:rPr>
          <w:rFonts w:hint="eastAsia" w:ascii="宋体" w:hAnsi="宋体" w:cs="宋体"/>
          <w:sz w:val="24"/>
        </w:rPr>
        <w:t>（1）投标报价的权重占30%</w:t>
      </w:r>
    </w:p>
    <w:p w14:paraId="34798927">
      <w:pPr>
        <w:spacing w:line="500" w:lineRule="exact"/>
        <w:ind w:firstLine="480" w:firstLineChars="200"/>
        <w:rPr>
          <w:rFonts w:hint="eastAsia" w:ascii="宋体" w:hAnsi="宋体" w:cs="宋体"/>
          <w:sz w:val="24"/>
        </w:rPr>
      </w:pPr>
      <w:r>
        <w:rPr>
          <w:rFonts w:hint="eastAsia" w:ascii="宋体" w:hAnsi="宋体" w:cs="宋体"/>
          <w:sz w:val="24"/>
        </w:rPr>
        <w:t>（2）技术部分的权重占5</w:t>
      </w:r>
      <w:r>
        <w:rPr>
          <w:rFonts w:hint="eastAsia" w:ascii="宋体" w:hAnsi="宋体" w:cs="宋体"/>
          <w:sz w:val="24"/>
          <w:lang w:val="en-US" w:eastAsia="zh-CN"/>
        </w:rPr>
        <w:t>0</w:t>
      </w:r>
      <w:r>
        <w:rPr>
          <w:rFonts w:hint="eastAsia" w:ascii="宋体" w:hAnsi="宋体" w:cs="宋体"/>
          <w:sz w:val="24"/>
        </w:rPr>
        <w:t>%</w:t>
      </w:r>
    </w:p>
    <w:p w14:paraId="48C95BA5">
      <w:pPr>
        <w:spacing w:line="500" w:lineRule="exact"/>
        <w:ind w:firstLine="480" w:firstLineChars="200"/>
        <w:rPr>
          <w:rFonts w:hint="eastAsia" w:ascii="宋体" w:hAnsi="宋体" w:cs="宋体"/>
          <w:sz w:val="24"/>
        </w:rPr>
      </w:pPr>
      <w:r>
        <w:rPr>
          <w:rFonts w:hint="eastAsia" w:ascii="宋体" w:hAnsi="宋体" w:cs="宋体"/>
          <w:sz w:val="24"/>
        </w:rPr>
        <w:t>（3）商务部分的权重占</w:t>
      </w:r>
      <w:r>
        <w:rPr>
          <w:rFonts w:hint="eastAsia" w:ascii="宋体" w:hAnsi="宋体" w:cs="宋体"/>
          <w:sz w:val="24"/>
          <w:lang w:val="en-US" w:eastAsia="zh-CN"/>
        </w:rPr>
        <w:t>20</w:t>
      </w:r>
      <w:r>
        <w:rPr>
          <w:rFonts w:hint="eastAsia" w:ascii="宋体" w:hAnsi="宋体" w:cs="宋体"/>
          <w:sz w:val="24"/>
        </w:rPr>
        <w:t>%</w:t>
      </w:r>
    </w:p>
    <w:p w14:paraId="40B98454">
      <w:pPr>
        <w:spacing w:line="500" w:lineRule="exact"/>
        <w:ind w:firstLine="480" w:firstLineChars="200"/>
        <w:rPr>
          <w:rFonts w:ascii="宋体" w:hAnsi="宋体" w:cs="宋体"/>
          <w:sz w:val="24"/>
        </w:rPr>
      </w:pPr>
      <w:r>
        <w:rPr>
          <w:rFonts w:hint="eastAsia" w:ascii="宋体" w:hAnsi="宋体" w:cs="宋体"/>
          <w:sz w:val="24"/>
        </w:rPr>
        <w:t>2.2.2 评标基准价计算</w:t>
      </w:r>
    </w:p>
    <w:p w14:paraId="4E794839">
      <w:pPr>
        <w:spacing w:line="500" w:lineRule="exact"/>
        <w:ind w:firstLine="480" w:firstLineChars="200"/>
        <w:rPr>
          <w:rFonts w:ascii="宋体" w:hAnsi="宋体" w:cs="宋体"/>
          <w:sz w:val="24"/>
        </w:rPr>
      </w:pPr>
      <w:r>
        <w:rPr>
          <w:rFonts w:hint="eastAsia" w:ascii="宋体" w:hAnsi="宋体" w:cs="宋体"/>
          <w:sz w:val="24"/>
        </w:rPr>
        <w:t>评标基准价计算方法：见评标办法前附表。</w:t>
      </w:r>
    </w:p>
    <w:p w14:paraId="344DF250">
      <w:pPr>
        <w:spacing w:line="500" w:lineRule="exact"/>
        <w:ind w:firstLine="480" w:firstLineChars="200"/>
        <w:rPr>
          <w:rFonts w:ascii="宋体" w:hAnsi="宋体" w:cs="宋体"/>
          <w:sz w:val="24"/>
        </w:rPr>
      </w:pPr>
      <w:r>
        <w:rPr>
          <w:rFonts w:hint="eastAsia" w:ascii="宋体" w:hAnsi="宋体" w:cs="宋体"/>
          <w:sz w:val="24"/>
        </w:rPr>
        <w:t>2.2.3 评分标准</w:t>
      </w:r>
    </w:p>
    <w:p w14:paraId="72A2EE01">
      <w:pPr>
        <w:spacing w:line="500" w:lineRule="exact"/>
        <w:ind w:firstLine="480" w:firstLineChars="200"/>
        <w:rPr>
          <w:rFonts w:ascii="宋体" w:hAnsi="宋体" w:cs="宋体"/>
          <w:sz w:val="24"/>
        </w:rPr>
      </w:pPr>
      <w:r>
        <w:rPr>
          <w:rFonts w:hint="eastAsia" w:ascii="宋体" w:hAnsi="宋体" w:cs="宋体"/>
          <w:sz w:val="24"/>
        </w:rPr>
        <w:t>见评标办法前附表。</w:t>
      </w:r>
    </w:p>
    <w:p w14:paraId="58F598AE">
      <w:pPr>
        <w:spacing w:line="500" w:lineRule="exact"/>
        <w:ind w:firstLine="482" w:firstLineChars="200"/>
        <w:rPr>
          <w:rFonts w:ascii="宋体" w:hAnsi="宋体" w:cs="宋体"/>
          <w:b/>
          <w:sz w:val="24"/>
        </w:rPr>
      </w:pPr>
      <w:r>
        <w:rPr>
          <w:rFonts w:hint="eastAsia" w:ascii="宋体" w:hAnsi="宋体" w:cs="宋体"/>
          <w:b/>
          <w:sz w:val="24"/>
        </w:rPr>
        <w:t>3. 评标程序</w:t>
      </w:r>
    </w:p>
    <w:p w14:paraId="2665572B">
      <w:pPr>
        <w:spacing w:line="500" w:lineRule="exact"/>
        <w:ind w:firstLine="480" w:firstLineChars="200"/>
        <w:rPr>
          <w:rFonts w:ascii="宋体" w:hAnsi="宋体"/>
          <w:sz w:val="24"/>
        </w:rPr>
      </w:pPr>
      <w:r>
        <w:rPr>
          <w:rFonts w:hint="eastAsia" w:ascii="宋体" w:hAnsi="宋体"/>
          <w:sz w:val="24"/>
        </w:rPr>
        <w:t>3.1 初步评审</w:t>
      </w:r>
    </w:p>
    <w:p w14:paraId="6F44D815">
      <w:pPr>
        <w:spacing w:line="500" w:lineRule="exact"/>
        <w:ind w:firstLine="480" w:firstLineChars="200"/>
        <w:rPr>
          <w:rFonts w:ascii="宋体" w:hAnsi="宋体"/>
          <w:sz w:val="24"/>
        </w:rPr>
      </w:pPr>
      <w:r>
        <w:rPr>
          <w:rFonts w:hint="eastAsia" w:ascii="宋体" w:hAnsi="宋体"/>
          <w:sz w:val="24"/>
        </w:rPr>
        <w:t>3.1.1采购人根据本章规定得资格评审办法对供应商进行资格审查，通过资格审查得供应商由评标委员会依据本章规定的评审标准对投标文件进行符合性评审、响应性评审。有一项不符合评审标准的，将被否决投标。</w:t>
      </w:r>
    </w:p>
    <w:p w14:paraId="22A81A2F">
      <w:pPr>
        <w:spacing w:line="500" w:lineRule="exact"/>
        <w:ind w:firstLine="480" w:firstLineChars="200"/>
        <w:rPr>
          <w:rFonts w:ascii="宋体" w:hAnsi="宋体"/>
          <w:sz w:val="24"/>
        </w:rPr>
      </w:pPr>
      <w:r>
        <w:rPr>
          <w:rFonts w:hint="eastAsia" w:ascii="宋体" w:hAnsi="宋体"/>
          <w:sz w:val="24"/>
        </w:rPr>
        <w:t>3.1.2 投标供应商有以下情形之一的，其投标将予以否决投标：</w:t>
      </w:r>
    </w:p>
    <w:p w14:paraId="520D34BD">
      <w:pPr>
        <w:spacing w:line="500" w:lineRule="exact"/>
        <w:ind w:firstLine="480" w:firstLineChars="200"/>
        <w:rPr>
          <w:rFonts w:ascii="宋体" w:hAnsi="宋体"/>
          <w:sz w:val="24"/>
        </w:rPr>
      </w:pPr>
      <w:r>
        <w:rPr>
          <w:rFonts w:hint="eastAsia" w:ascii="宋体" w:hAnsi="宋体"/>
          <w:sz w:val="24"/>
        </w:rPr>
        <w:t>（1）串通投标或弄虚作假或有其他违法行为的；</w:t>
      </w:r>
    </w:p>
    <w:p w14:paraId="6A807CC1">
      <w:pPr>
        <w:spacing w:line="500" w:lineRule="exact"/>
        <w:ind w:firstLine="480" w:firstLineChars="200"/>
        <w:rPr>
          <w:rFonts w:ascii="宋体" w:hAnsi="宋体"/>
          <w:sz w:val="24"/>
        </w:rPr>
      </w:pPr>
      <w:r>
        <w:rPr>
          <w:rFonts w:hint="eastAsia" w:ascii="宋体" w:hAnsi="宋体"/>
          <w:sz w:val="24"/>
        </w:rPr>
        <w:t>（2）不按评标委员会要求澄清、说明或补正的。</w:t>
      </w:r>
    </w:p>
    <w:p w14:paraId="2AAE28DB">
      <w:pPr>
        <w:spacing w:line="500" w:lineRule="exact"/>
        <w:ind w:firstLine="480" w:firstLineChars="200"/>
        <w:rPr>
          <w:rFonts w:ascii="宋体" w:hAnsi="宋体"/>
          <w:sz w:val="24"/>
        </w:rPr>
      </w:pPr>
      <w:r>
        <w:rPr>
          <w:rFonts w:hint="eastAsia" w:ascii="宋体" w:hAnsi="宋体"/>
          <w:sz w:val="24"/>
        </w:rPr>
        <w:t>3.1.3投标报价有算术错误的，评标委员会按以下原则对投标报价进行修正，修正的价格经投标供应商书面确认后具有约束力。投标供应商不接受修正价格的，其投标不予评审。</w:t>
      </w:r>
    </w:p>
    <w:p w14:paraId="39652108">
      <w:pPr>
        <w:spacing w:line="500" w:lineRule="exact"/>
        <w:ind w:firstLine="480" w:firstLineChars="200"/>
        <w:rPr>
          <w:rFonts w:ascii="宋体" w:hAnsi="宋体"/>
          <w:sz w:val="24"/>
        </w:rPr>
      </w:pPr>
      <w:r>
        <w:rPr>
          <w:rFonts w:hint="eastAsia" w:ascii="宋体" w:hAnsi="宋体"/>
          <w:sz w:val="24"/>
        </w:rPr>
        <w:t>投标文件中的大写金额与小写金额不一致的，以大写金额为准；</w:t>
      </w:r>
    </w:p>
    <w:p w14:paraId="0AD5AEFD">
      <w:pPr>
        <w:spacing w:line="500" w:lineRule="exact"/>
        <w:ind w:firstLine="480" w:firstLineChars="200"/>
        <w:rPr>
          <w:rFonts w:ascii="宋体" w:hAnsi="宋体"/>
          <w:sz w:val="24"/>
        </w:rPr>
      </w:pPr>
      <w:r>
        <w:rPr>
          <w:rFonts w:hint="eastAsia" w:ascii="宋体" w:hAnsi="宋体"/>
          <w:sz w:val="24"/>
        </w:rPr>
        <w:t>总价金额与依据单价计算出的结果不一致的，以单价金额为准修正总价，但单价金额小数点有明显错误的除外。</w:t>
      </w:r>
    </w:p>
    <w:p w14:paraId="22ABD702">
      <w:pPr>
        <w:spacing w:line="500" w:lineRule="exact"/>
        <w:ind w:firstLine="482" w:firstLineChars="200"/>
        <w:rPr>
          <w:rFonts w:ascii="宋体" w:hAnsi="宋体"/>
          <w:b/>
          <w:sz w:val="24"/>
        </w:rPr>
      </w:pPr>
      <w:r>
        <w:rPr>
          <w:rFonts w:hint="eastAsia" w:ascii="宋体" w:hAnsi="宋体"/>
          <w:b/>
          <w:sz w:val="24"/>
        </w:rPr>
        <w:t>3.2 详细评审</w:t>
      </w:r>
    </w:p>
    <w:p w14:paraId="0A70CE15">
      <w:pPr>
        <w:spacing w:line="500" w:lineRule="exact"/>
        <w:ind w:firstLine="480" w:firstLineChars="200"/>
        <w:rPr>
          <w:rFonts w:ascii="宋体" w:hAnsi="宋体"/>
          <w:sz w:val="24"/>
        </w:rPr>
      </w:pPr>
      <w:r>
        <w:rPr>
          <w:rFonts w:hint="eastAsia" w:ascii="宋体" w:hAnsi="宋体"/>
          <w:sz w:val="24"/>
        </w:rPr>
        <w:t>3.2.1 评标委员会按本章第2.2款规定的量化因素和分值进行打分，并计算出综合评分。</w:t>
      </w:r>
    </w:p>
    <w:p w14:paraId="5A9802D7">
      <w:pPr>
        <w:spacing w:line="500" w:lineRule="exact"/>
        <w:ind w:firstLine="480" w:firstLineChars="200"/>
        <w:rPr>
          <w:rFonts w:ascii="宋体" w:hAnsi="宋体"/>
          <w:sz w:val="24"/>
        </w:rPr>
      </w:pPr>
      <w:r>
        <w:rPr>
          <w:rFonts w:hint="eastAsia" w:ascii="宋体" w:hAnsi="宋体"/>
          <w:sz w:val="24"/>
        </w:rPr>
        <w:t>3.2.2 评分分值计算保留小数点后两位，小数点后第三位“四舍五入”。</w:t>
      </w:r>
    </w:p>
    <w:p w14:paraId="5A4DDB77">
      <w:pPr>
        <w:spacing w:line="500" w:lineRule="exact"/>
        <w:ind w:firstLine="480" w:firstLineChars="200"/>
        <w:rPr>
          <w:rFonts w:ascii="宋体" w:hAnsi="宋体"/>
          <w:sz w:val="24"/>
        </w:rPr>
      </w:pPr>
      <w:r>
        <w:rPr>
          <w:rFonts w:hint="eastAsia" w:ascii="宋体" w:hAnsi="宋体"/>
          <w:sz w:val="24"/>
        </w:rPr>
        <w:t>3.2.3投标供应商的报价明显低于其他投标报价，或者在设有最高限价时明显低于最高限价，使得其投标报价可能低于其个别成本的，应当要求该投标供应商作出书面说明并提供相应的证明材料。投标供应商不能合理说明或者不能提供相应证明材料的，由评标委员会认定该投标供应商以低于成本报价竞标，其投标将予以否决处理。</w:t>
      </w:r>
    </w:p>
    <w:p w14:paraId="3DD04F28">
      <w:pPr>
        <w:pStyle w:val="15"/>
        <w:spacing w:line="500" w:lineRule="exact"/>
        <w:rPr>
          <w:rFonts w:ascii="宋体" w:hAnsi="宋体"/>
          <w:b/>
          <w:bCs/>
          <w:sz w:val="24"/>
        </w:rPr>
      </w:pPr>
      <w:r>
        <w:rPr>
          <w:rFonts w:hint="eastAsia" w:ascii="宋体" w:hAnsi="宋体"/>
          <w:b/>
          <w:bCs/>
          <w:sz w:val="24"/>
        </w:rPr>
        <w:t>3.2.4同产品投标</w:t>
      </w:r>
    </w:p>
    <w:p w14:paraId="7EF9B020">
      <w:pPr>
        <w:pStyle w:val="15"/>
        <w:spacing w:line="500" w:lineRule="exact"/>
        <w:rPr>
          <w:rFonts w:ascii="宋体" w:hAnsi="宋体"/>
          <w:b/>
          <w:bCs/>
          <w:sz w:val="24"/>
        </w:rPr>
      </w:pPr>
      <w:r>
        <w:rPr>
          <w:rFonts w:hint="eastAsia" w:ascii="宋体" w:hAnsi="宋体"/>
          <w:b/>
          <w:bCs/>
          <w:sz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EBD52EC">
      <w:pPr>
        <w:pStyle w:val="15"/>
        <w:spacing w:line="500" w:lineRule="exact"/>
        <w:rPr>
          <w:rFonts w:ascii="宋体" w:hAnsi="宋体"/>
          <w:b/>
          <w:bCs/>
          <w:sz w:val="24"/>
        </w:rPr>
      </w:pPr>
      <w:r>
        <w:rPr>
          <w:rFonts w:hint="eastAsia" w:ascii="宋体" w:hAnsi="宋体"/>
          <w:b/>
          <w:bCs/>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EC978E">
      <w:pPr>
        <w:pStyle w:val="15"/>
        <w:spacing w:line="500" w:lineRule="exact"/>
        <w:rPr>
          <w:rFonts w:ascii="宋体" w:hAnsi="宋体"/>
          <w:b/>
          <w:bCs/>
          <w:sz w:val="24"/>
        </w:rPr>
      </w:pPr>
      <w:r>
        <w:rPr>
          <w:rFonts w:hint="eastAsia" w:ascii="宋体" w:hAnsi="宋体"/>
          <w:b/>
          <w:bCs/>
          <w:sz w:val="24"/>
        </w:rPr>
        <w:t>非单一产品采购项目，采购人应当根据采购项目技术构成、产品价格比重等合理确定核心产品，并在招标文件中载明。多家投标人提供的核心产品品牌相同的，按前两款规定处理。</w:t>
      </w:r>
    </w:p>
    <w:p w14:paraId="49C90BF6">
      <w:pPr>
        <w:spacing w:line="500" w:lineRule="exact"/>
        <w:ind w:firstLine="482" w:firstLineChars="200"/>
        <w:rPr>
          <w:rFonts w:ascii="宋体" w:hAnsi="宋体"/>
          <w:b/>
          <w:sz w:val="24"/>
        </w:rPr>
      </w:pPr>
      <w:r>
        <w:rPr>
          <w:rFonts w:hint="eastAsia" w:ascii="宋体" w:hAnsi="宋体"/>
          <w:b/>
          <w:sz w:val="24"/>
        </w:rPr>
        <w:t>3.3 投标文件的澄清和补正</w:t>
      </w:r>
    </w:p>
    <w:p w14:paraId="334E8605">
      <w:pPr>
        <w:spacing w:line="500" w:lineRule="exact"/>
        <w:ind w:firstLine="480" w:firstLineChars="200"/>
        <w:rPr>
          <w:rFonts w:ascii="宋体" w:hAnsi="宋体"/>
          <w:sz w:val="24"/>
        </w:rPr>
      </w:pPr>
      <w:r>
        <w:rPr>
          <w:rFonts w:hint="eastAsia" w:ascii="宋体" w:hAnsi="宋体"/>
          <w:sz w:val="24"/>
        </w:rPr>
        <w:t>3.3.1在评标过程中，评标委员会可以书面形式要求投标供应商对所提交投标文件中不明确的内容进行书面澄清或说明，或者对细微偏差进行补正。评标委员会不接受投标供应商主动提出的澄清、说明或补正。</w:t>
      </w:r>
    </w:p>
    <w:p w14:paraId="2D11EE47">
      <w:pPr>
        <w:spacing w:line="500" w:lineRule="exact"/>
        <w:ind w:firstLine="480" w:firstLineChars="200"/>
        <w:rPr>
          <w:rFonts w:ascii="宋体" w:hAnsi="宋体"/>
          <w:sz w:val="24"/>
        </w:rPr>
      </w:pPr>
      <w:r>
        <w:rPr>
          <w:rFonts w:hint="eastAsia" w:ascii="宋体" w:hAnsi="宋体"/>
          <w:sz w:val="24"/>
        </w:rPr>
        <w:t>3.3.2 澄清、说明和补正不得改变投标文件的实质性内容（算术性错误修正的除外）。投标供应商的书面澄清、说明和补正属于投标文件的组成部分。</w:t>
      </w:r>
    </w:p>
    <w:p w14:paraId="27D553F6">
      <w:pPr>
        <w:spacing w:line="500" w:lineRule="exact"/>
        <w:ind w:firstLine="480" w:firstLineChars="200"/>
        <w:rPr>
          <w:rFonts w:ascii="宋体" w:hAnsi="宋体"/>
          <w:sz w:val="24"/>
        </w:rPr>
      </w:pPr>
      <w:r>
        <w:rPr>
          <w:rFonts w:hint="eastAsia" w:ascii="宋体" w:hAnsi="宋体"/>
          <w:sz w:val="24"/>
        </w:rPr>
        <w:t>3.3.3 评标委员会对投标供应商提交的澄清、说明或补正有疑问的，可以要求投标供应商进一步澄清、说明或补正，直至满足评标委员会的要求。</w:t>
      </w:r>
    </w:p>
    <w:p w14:paraId="273F44CF">
      <w:pPr>
        <w:spacing w:line="360" w:lineRule="auto"/>
        <w:ind w:firstLine="643" w:firstLineChars="200"/>
        <w:jc w:val="center"/>
        <w:outlineLvl w:val="0"/>
        <w:rPr>
          <w:rFonts w:hint="eastAsia" w:ascii="宋体" w:hAnsi="宋体" w:eastAsia="宋体" w:cs="宋体"/>
          <w:b/>
          <w:bCs/>
          <w:kern w:val="0"/>
          <w:sz w:val="32"/>
          <w:szCs w:val="32"/>
          <w:lang w:bidi="ar"/>
        </w:rPr>
      </w:pPr>
      <w:bookmarkStart w:id="117" w:name="_Toc13565_WPSOffice_Level1"/>
      <w:bookmarkStart w:id="118" w:name="_Toc2414"/>
      <w:bookmarkStart w:id="119" w:name="_Toc11512_WPSOffice_Level1"/>
      <w:bookmarkStart w:id="120" w:name="_Toc26959_WPSOffice_Level1"/>
      <w:bookmarkStart w:id="121" w:name="_Toc6551_WPSOffice_Level1"/>
      <w:bookmarkStart w:id="122" w:name="_Toc23047"/>
      <w:bookmarkStart w:id="123" w:name="_Toc16668"/>
    </w:p>
    <w:p w14:paraId="13187ED6">
      <w:pPr>
        <w:spacing w:line="360" w:lineRule="auto"/>
        <w:ind w:firstLine="643" w:firstLineChars="200"/>
        <w:jc w:val="center"/>
        <w:outlineLvl w:val="0"/>
        <w:rPr>
          <w:rFonts w:hint="eastAsia" w:ascii="宋体" w:hAnsi="宋体" w:eastAsia="宋体" w:cs="宋体"/>
          <w:b/>
          <w:bCs/>
          <w:kern w:val="0"/>
          <w:sz w:val="32"/>
          <w:szCs w:val="32"/>
          <w:lang w:bidi="ar"/>
        </w:rPr>
      </w:pPr>
    </w:p>
    <w:p w14:paraId="4ED8904F">
      <w:pPr>
        <w:spacing w:line="360" w:lineRule="auto"/>
        <w:ind w:firstLine="643" w:firstLineChars="200"/>
        <w:jc w:val="center"/>
        <w:outlineLvl w:val="0"/>
        <w:rPr>
          <w:rFonts w:hint="eastAsia" w:ascii="宋体" w:hAnsi="宋体" w:eastAsia="宋体" w:cs="宋体"/>
          <w:b/>
          <w:bCs/>
          <w:kern w:val="0"/>
          <w:sz w:val="32"/>
          <w:szCs w:val="32"/>
          <w:lang w:bidi="ar"/>
        </w:rPr>
      </w:pPr>
    </w:p>
    <w:p w14:paraId="3637CC79">
      <w:pPr>
        <w:spacing w:line="360" w:lineRule="auto"/>
        <w:ind w:firstLine="643" w:firstLineChars="200"/>
        <w:jc w:val="center"/>
        <w:outlineLvl w:val="0"/>
        <w:rPr>
          <w:rFonts w:hint="eastAsia" w:ascii="宋体" w:hAnsi="宋体" w:eastAsia="宋体" w:cs="宋体"/>
          <w:b/>
          <w:bCs/>
          <w:kern w:val="0"/>
          <w:sz w:val="32"/>
          <w:szCs w:val="32"/>
          <w:lang w:bidi="ar"/>
        </w:rPr>
      </w:pPr>
    </w:p>
    <w:p w14:paraId="6BA2DC74">
      <w:pPr>
        <w:spacing w:line="360" w:lineRule="auto"/>
        <w:ind w:firstLine="643" w:firstLineChars="200"/>
        <w:jc w:val="center"/>
        <w:outlineLvl w:val="0"/>
        <w:rPr>
          <w:rFonts w:hint="eastAsia" w:ascii="宋体" w:hAnsi="宋体" w:eastAsia="宋体" w:cs="宋体"/>
          <w:b/>
          <w:bCs/>
          <w:kern w:val="0"/>
          <w:sz w:val="32"/>
          <w:szCs w:val="32"/>
          <w:lang w:bidi="ar"/>
        </w:rPr>
      </w:pPr>
    </w:p>
    <w:p w14:paraId="6F34C1E6">
      <w:pPr>
        <w:spacing w:line="360" w:lineRule="auto"/>
        <w:ind w:firstLine="643" w:firstLineChars="200"/>
        <w:jc w:val="center"/>
        <w:outlineLvl w:val="0"/>
        <w:rPr>
          <w:sz w:val="32"/>
          <w:szCs w:val="32"/>
        </w:rPr>
      </w:pPr>
      <w:r>
        <w:rPr>
          <w:rFonts w:hint="eastAsia" w:ascii="宋体" w:hAnsi="宋体" w:eastAsia="宋体" w:cs="宋体"/>
          <w:b/>
          <w:bCs/>
          <w:kern w:val="0"/>
          <w:sz w:val="32"/>
          <w:szCs w:val="32"/>
          <w:lang w:bidi="ar"/>
        </w:rPr>
        <w:t>第五章  合同主要条款及格式</w:t>
      </w:r>
      <w:bookmarkEnd w:id="117"/>
      <w:bookmarkEnd w:id="118"/>
      <w:bookmarkEnd w:id="119"/>
      <w:bookmarkEnd w:id="120"/>
      <w:bookmarkEnd w:id="121"/>
      <w:bookmarkEnd w:id="122"/>
      <w:bookmarkEnd w:id="123"/>
    </w:p>
    <w:p w14:paraId="1A23434C">
      <w:pPr>
        <w:snapToGrid/>
        <w:spacing w:before="0" w:beforeLines="0" w:beforeAutospacing="0" w:after="0" w:afterLines="0" w:afterAutospacing="0" w:line="240" w:lineRule="auto"/>
        <w:jc w:val="center"/>
        <w:textAlignment w:val="baseline"/>
        <w:rPr>
          <w:rFonts w:ascii="宋体" w:hAnsi="宋体"/>
          <w:b/>
          <w:bCs/>
          <w:color w:val="auto"/>
          <w:sz w:val="28"/>
          <w:szCs w:val="28"/>
        </w:rPr>
      </w:pPr>
      <w:bookmarkStart w:id="124" w:name="_Toc16654"/>
      <w:bookmarkStart w:id="125" w:name="_Toc28571"/>
      <w:bookmarkStart w:id="126" w:name="_Toc8905"/>
      <w:r>
        <w:rPr>
          <w:rFonts w:hint="eastAsia" w:ascii="黑体" w:hAnsi="Times New Roman" w:eastAsia="黑体" w:cs="Times New Roman"/>
          <w:b/>
          <w:bCs/>
          <w:i w:val="0"/>
          <w:caps w:val="0"/>
          <w:color w:val="auto"/>
          <w:spacing w:val="0"/>
          <w:w w:val="100"/>
          <w:kern w:val="2"/>
          <w:sz w:val="30"/>
          <w:szCs w:val="30"/>
        </w:rPr>
        <w:t>仅供参考</w:t>
      </w:r>
    </w:p>
    <w:p w14:paraId="325966BD">
      <w:pPr>
        <w:pStyle w:val="26"/>
        <w:ind w:firstLine="0"/>
        <w:jc w:val="center"/>
        <w:rPr>
          <w:rFonts w:ascii="宋体" w:hAnsi="宋体" w:eastAsia="宋体"/>
          <w:b/>
          <w:sz w:val="28"/>
          <w:szCs w:val="28"/>
        </w:rPr>
      </w:pPr>
      <w:r>
        <w:rPr>
          <w:rFonts w:hint="eastAsia" w:ascii="宋体" w:hAnsi="宋体" w:eastAsia="宋体"/>
          <w:b/>
          <w:sz w:val="28"/>
          <w:szCs w:val="28"/>
        </w:rPr>
        <w:t>（以实际签订合同为准）</w:t>
      </w:r>
    </w:p>
    <w:p w14:paraId="475CFEB5">
      <w:pPr>
        <w:widowControl w:val="0"/>
        <w:snapToGrid/>
        <w:spacing w:before="0" w:beforeLines="0" w:beforeAutospacing="0" w:after="0" w:afterLines="0" w:afterAutospacing="0" w:line="578" w:lineRule="atLeast"/>
        <w:jc w:val="center"/>
        <w:textAlignment w:val="baseline"/>
        <w:rPr>
          <w:rFonts w:ascii="黑体" w:hAnsi="Times New Roman" w:eastAsia="黑体" w:cs="Times New Roman"/>
          <w:b w:val="0"/>
          <w:i w:val="0"/>
          <w:caps w:val="0"/>
          <w:spacing w:val="0"/>
          <w:w w:val="100"/>
          <w:kern w:val="2"/>
          <w:sz w:val="30"/>
          <w:szCs w:val="30"/>
        </w:rPr>
      </w:pPr>
    </w:p>
    <w:p w14:paraId="6179D233">
      <w:pPr>
        <w:widowControl w:val="0"/>
        <w:snapToGrid/>
        <w:spacing w:before="0" w:beforeLines="0" w:beforeAutospacing="0" w:after="0" w:afterLines="0" w:afterAutospacing="0" w:line="578" w:lineRule="atLeast"/>
        <w:jc w:val="center"/>
        <w:textAlignment w:val="baseline"/>
        <w:rPr>
          <w:rFonts w:ascii="宋体" w:hAnsi="宋体" w:eastAsia="宋体" w:cs="Times New Roman"/>
          <w:b/>
          <w:i w:val="0"/>
          <w:caps w:val="0"/>
          <w:spacing w:val="0"/>
          <w:w w:val="100"/>
          <w:kern w:val="2"/>
          <w:sz w:val="24"/>
          <w:szCs w:val="21"/>
        </w:rPr>
      </w:pPr>
      <w:r>
        <w:rPr>
          <w:rFonts w:ascii="宋体" w:hAnsi="宋体" w:eastAsia="宋体" w:cs="Times New Roman"/>
          <w:b/>
          <w:i w:val="0"/>
          <w:caps w:val="0"/>
          <w:spacing w:val="0"/>
          <w:w w:val="100"/>
          <w:kern w:val="2"/>
          <w:sz w:val="24"/>
          <w:szCs w:val="21"/>
        </w:rPr>
        <w:t>合同协议书</w:t>
      </w:r>
    </w:p>
    <w:p w14:paraId="30567F0D">
      <w:pPr>
        <w:widowControl w:val="0"/>
        <w:snapToGrid/>
        <w:spacing w:before="0" w:beforeLines="0" w:beforeAutospacing="0" w:after="0" w:afterLines="0" w:afterAutospacing="0" w:line="578" w:lineRule="atLeast"/>
        <w:jc w:val="both"/>
        <w:textAlignment w:val="baseline"/>
        <w:rPr>
          <w:rFonts w:ascii="宋体" w:hAnsi="宋体" w:eastAsia="宋体" w:cs="Times New Roman"/>
          <w:b/>
          <w:i w:val="0"/>
          <w:caps w:val="0"/>
          <w:spacing w:val="0"/>
          <w:w w:val="100"/>
          <w:kern w:val="2"/>
          <w:sz w:val="24"/>
          <w:szCs w:val="21"/>
        </w:rPr>
      </w:pPr>
    </w:p>
    <w:p w14:paraId="5DA882C5">
      <w:pPr>
        <w:widowControl w:val="0"/>
        <w:snapToGrid/>
        <w:spacing w:before="0" w:beforeLines="0" w:beforeAutospacing="0" w:after="0" w:afterLines="0" w:afterAutospacing="0" w:line="360" w:lineRule="auto"/>
        <w:ind w:firstLine="482" w:firstLineChars="200"/>
        <w:jc w:val="both"/>
        <w:textAlignment w:val="baseline"/>
        <w:rPr>
          <w:rFonts w:ascii="宋体" w:hAnsi="宋体" w:eastAsia="宋体" w:cs="宋体"/>
          <w:b/>
          <w:i w:val="0"/>
          <w:caps w:val="0"/>
          <w:spacing w:val="0"/>
          <w:w w:val="100"/>
          <w:kern w:val="2"/>
          <w:sz w:val="24"/>
          <w:szCs w:val="24"/>
          <w:u w:val="single"/>
        </w:rPr>
      </w:pPr>
      <w:r>
        <w:rPr>
          <w:rFonts w:hint="eastAsia" w:ascii="宋体" w:hAnsi="宋体" w:eastAsia="宋体" w:cs="宋体"/>
          <w:b/>
          <w:i w:val="0"/>
          <w:caps w:val="0"/>
          <w:spacing w:val="0"/>
          <w:w w:val="100"/>
          <w:kern w:val="2"/>
          <w:sz w:val="24"/>
          <w:szCs w:val="24"/>
        </w:rPr>
        <w:t>发包人（全称）：</w:t>
      </w:r>
      <w:r>
        <w:rPr>
          <w:rFonts w:hint="eastAsia" w:ascii="宋体" w:hAnsi="宋体" w:eastAsia="宋体" w:cs="宋体"/>
          <w:b/>
          <w:i w:val="0"/>
          <w:caps w:val="0"/>
          <w:spacing w:val="0"/>
          <w:w w:val="100"/>
          <w:kern w:val="2"/>
          <w:sz w:val="24"/>
          <w:szCs w:val="24"/>
          <w:u w:val="single" w:color="000000"/>
        </w:rPr>
        <w:t>                                 </w:t>
      </w:r>
    </w:p>
    <w:p w14:paraId="7AAFFEAA">
      <w:pPr>
        <w:widowControl w:val="0"/>
        <w:snapToGrid/>
        <w:spacing w:before="0" w:beforeLines="0" w:beforeAutospacing="0" w:after="0" w:afterLines="0" w:afterAutospacing="0" w:line="360" w:lineRule="auto"/>
        <w:ind w:firstLine="482" w:firstLineChars="200"/>
        <w:jc w:val="both"/>
        <w:textAlignment w:val="baseline"/>
        <w:rPr>
          <w:rFonts w:ascii="宋体" w:hAnsi="宋体" w:eastAsia="宋体" w:cs="宋体"/>
          <w:b/>
          <w:i w:val="0"/>
          <w:caps w:val="0"/>
          <w:spacing w:val="0"/>
          <w:w w:val="100"/>
          <w:kern w:val="2"/>
          <w:sz w:val="24"/>
          <w:szCs w:val="24"/>
          <w:u w:val="single"/>
        </w:rPr>
      </w:pPr>
      <w:r>
        <w:rPr>
          <w:rFonts w:hint="eastAsia" w:ascii="宋体" w:hAnsi="宋体" w:eastAsia="宋体" w:cs="宋体"/>
          <w:b/>
          <w:i w:val="0"/>
          <w:caps w:val="0"/>
          <w:spacing w:val="0"/>
          <w:w w:val="100"/>
          <w:kern w:val="2"/>
          <w:sz w:val="24"/>
          <w:szCs w:val="24"/>
        </w:rPr>
        <w:t>承包人（全称）：</w:t>
      </w:r>
      <w:r>
        <w:rPr>
          <w:rFonts w:hint="eastAsia" w:ascii="宋体" w:hAnsi="宋体" w:eastAsia="宋体" w:cs="宋体"/>
          <w:b w:val="0"/>
          <w:i w:val="0"/>
          <w:caps w:val="0"/>
          <w:spacing w:val="0"/>
          <w:w w:val="100"/>
          <w:kern w:val="2"/>
          <w:sz w:val="24"/>
          <w:szCs w:val="24"/>
          <w:u w:val="single" w:color="000000"/>
        </w:rPr>
        <w:t>                     </w:t>
      </w:r>
    </w:p>
    <w:p w14:paraId="1516B32E">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 xml:space="preserve">根据《中华人民共和国采购法》、《中华人民共和国民法典》有关法律规定及相关行业规定，遵循平等、自愿、公平和诚实信用的原则，双方就                                </w:t>
      </w:r>
      <w:r>
        <w:rPr>
          <w:rFonts w:hint="eastAsia" w:ascii="宋体" w:hAnsi="宋体" w:eastAsia="宋体" w:cs="宋体"/>
          <w:b w:val="0"/>
          <w:i w:val="0"/>
          <w:caps w:val="0"/>
          <w:spacing w:val="0"/>
          <w:w w:val="100"/>
          <w:kern w:val="2"/>
          <w:sz w:val="24"/>
          <w:szCs w:val="24"/>
          <w:u w:val="single"/>
        </w:rPr>
        <w:t>（项目名称）</w:t>
      </w:r>
      <w:r>
        <w:rPr>
          <w:rFonts w:hint="eastAsia" w:ascii="宋体" w:hAnsi="宋体" w:eastAsia="宋体" w:cs="宋体"/>
          <w:b w:val="0"/>
          <w:i w:val="0"/>
          <w:caps w:val="0"/>
          <w:spacing w:val="0"/>
          <w:w w:val="100"/>
          <w:kern w:val="2"/>
          <w:sz w:val="24"/>
          <w:szCs w:val="24"/>
        </w:rPr>
        <w:t>协商一致，共同达成如下协议：</w:t>
      </w:r>
    </w:p>
    <w:p w14:paraId="16DBEFFA">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27" w:name="_Toc351203481"/>
      <w:bookmarkEnd w:id="127"/>
      <w:r>
        <w:rPr>
          <w:rFonts w:hint="eastAsia" w:ascii="宋体" w:hAnsi="宋体" w:eastAsia="宋体" w:cs="宋体"/>
          <w:b w:val="0"/>
          <w:i w:val="0"/>
          <w:caps w:val="0"/>
          <w:spacing w:val="0"/>
          <w:w w:val="100"/>
          <w:kern w:val="1"/>
          <w:sz w:val="24"/>
          <w:szCs w:val="24"/>
        </w:rPr>
        <w:t>一、项目概况</w:t>
      </w:r>
    </w:p>
    <w:p w14:paraId="5720DE19">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u w:val="single"/>
        </w:rPr>
      </w:pPr>
      <w:r>
        <w:rPr>
          <w:rFonts w:hint="eastAsia" w:ascii="宋体" w:hAnsi="宋体" w:eastAsia="宋体" w:cs="宋体"/>
          <w:b w:val="0"/>
          <w:bCs/>
          <w:i w:val="0"/>
          <w:caps w:val="0"/>
          <w:spacing w:val="0"/>
          <w:w w:val="100"/>
          <w:kern w:val="2"/>
          <w:sz w:val="24"/>
          <w:szCs w:val="24"/>
        </w:rPr>
        <w:t>1.项目名称</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sz w:val="24"/>
          <w:szCs w:val="24"/>
          <w:u w:val="single" w:color="000000"/>
        </w:rPr>
        <w:t xml:space="preserve">                        （项目名称） </w:t>
      </w:r>
    </w:p>
    <w:p w14:paraId="5A878A73">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u w:val="single"/>
        </w:rPr>
      </w:pPr>
      <w:r>
        <w:rPr>
          <w:rFonts w:hint="eastAsia" w:ascii="宋体" w:hAnsi="宋体" w:eastAsia="宋体" w:cs="宋体"/>
          <w:b w:val="0"/>
          <w:i w:val="0"/>
          <w:caps w:val="0"/>
          <w:spacing w:val="0"/>
          <w:w w:val="100"/>
          <w:kern w:val="2"/>
          <w:sz w:val="24"/>
          <w:szCs w:val="24"/>
        </w:rPr>
        <w:t>2.</w:t>
      </w:r>
      <w:r>
        <w:rPr>
          <w:rFonts w:hint="eastAsia" w:ascii="宋体" w:hAnsi="宋体" w:cs="宋体"/>
          <w:b w:val="0"/>
          <w:i w:val="0"/>
          <w:caps w:val="0"/>
          <w:spacing w:val="0"/>
          <w:w w:val="100"/>
          <w:kern w:val="2"/>
          <w:sz w:val="24"/>
          <w:szCs w:val="24"/>
          <w:lang w:val="en-US" w:eastAsia="zh-CN"/>
        </w:rPr>
        <w:t>实施</w:t>
      </w:r>
      <w:r>
        <w:rPr>
          <w:rFonts w:hint="eastAsia" w:ascii="宋体" w:hAnsi="宋体" w:eastAsia="宋体" w:cs="宋体"/>
          <w:b w:val="0"/>
          <w:i w:val="0"/>
          <w:caps w:val="0"/>
          <w:spacing w:val="0"/>
          <w:w w:val="100"/>
          <w:kern w:val="2"/>
          <w:sz w:val="24"/>
          <w:szCs w:val="24"/>
        </w:rPr>
        <w:t>地点：</w:t>
      </w:r>
      <w:r>
        <w:rPr>
          <w:rFonts w:hint="eastAsia" w:ascii="宋体" w:hAnsi="宋体" w:eastAsia="宋体" w:cs="宋体"/>
          <w:b w:val="0"/>
          <w:i w:val="0"/>
          <w:caps w:val="0"/>
          <w:spacing w:val="0"/>
          <w:w w:val="100"/>
          <w:sz w:val="24"/>
          <w:szCs w:val="24"/>
          <w:u w:val="single" w:color="000000"/>
        </w:rPr>
        <w:t xml:space="preserve">                                     ； </w:t>
      </w:r>
    </w:p>
    <w:p w14:paraId="499B4E8D">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3.</w:t>
      </w:r>
      <w:r>
        <w:rPr>
          <w:rFonts w:hint="eastAsia" w:ascii="宋体" w:hAnsi="宋体" w:cs="宋体"/>
          <w:b w:val="0"/>
          <w:i w:val="0"/>
          <w:caps w:val="0"/>
          <w:spacing w:val="0"/>
          <w:w w:val="100"/>
          <w:kern w:val="2"/>
          <w:sz w:val="24"/>
          <w:szCs w:val="24"/>
          <w:lang w:val="en-US" w:eastAsia="zh-CN"/>
        </w:rPr>
        <w:t>项目</w:t>
      </w:r>
      <w:r>
        <w:rPr>
          <w:rFonts w:hint="eastAsia" w:ascii="宋体" w:hAnsi="宋体" w:eastAsia="宋体" w:cs="宋体"/>
          <w:b w:val="0"/>
          <w:i w:val="0"/>
          <w:caps w:val="0"/>
          <w:spacing w:val="0"/>
          <w:w w:val="100"/>
          <w:kern w:val="2"/>
          <w:sz w:val="24"/>
          <w:szCs w:val="24"/>
        </w:rPr>
        <w:t>批准文号：</w:t>
      </w:r>
      <w:r>
        <w:rPr>
          <w:rFonts w:hint="eastAsia" w:ascii="宋体" w:hAnsi="宋体" w:eastAsia="宋体" w:cs="宋体"/>
          <w:b w:val="0"/>
          <w:i w:val="0"/>
          <w:caps w:val="0"/>
          <w:spacing w:val="0"/>
          <w:w w:val="100"/>
          <w:kern w:val="2"/>
          <w:sz w:val="24"/>
          <w:szCs w:val="24"/>
          <w:u w:val="single" w:color="000000"/>
        </w:rPr>
        <w:t>           。</w:t>
      </w:r>
    </w:p>
    <w:p w14:paraId="400AC868">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4.资金来源：</w:t>
      </w:r>
      <w:r>
        <w:rPr>
          <w:rFonts w:hint="eastAsia" w:ascii="宋体" w:hAnsi="宋体" w:eastAsia="宋体" w:cs="宋体"/>
          <w:b w:val="0"/>
          <w:i w:val="0"/>
          <w:caps w:val="0"/>
          <w:spacing w:val="0"/>
          <w:w w:val="100"/>
          <w:kern w:val="2"/>
          <w:sz w:val="24"/>
          <w:szCs w:val="24"/>
          <w:u w:val="single" w:color="000000"/>
        </w:rPr>
        <w:t>                                   。</w:t>
      </w:r>
    </w:p>
    <w:p w14:paraId="198D76D3">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5.</w:t>
      </w:r>
      <w:r>
        <w:rPr>
          <w:rFonts w:hint="eastAsia" w:ascii="宋体" w:hAnsi="宋体" w:cs="宋体"/>
          <w:b w:val="0"/>
          <w:i w:val="0"/>
          <w:caps w:val="0"/>
          <w:spacing w:val="0"/>
          <w:w w:val="100"/>
          <w:kern w:val="2"/>
          <w:sz w:val="24"/>
          <w:szCs w:val="24"/>
          <w:lang w:val="en-US" w:eastAsia="zh-CN"/>
        </w:rPr>
        <w:t>采购内容</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rPr>
        <w:t>。</w:t>
      </w:r>
    </w:p>
    <w:p w14:paraId="71B3E800">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u w:val="single" w:color="000000"/>
        </w:rPr>
      </w:pPr>
      <w:r>
        <w:rPr>
          <w:rFonts w:hint="eastAsia" w:ascii="宋体" w:hAnsi="宋体" w:eastAsia="宋体" w:cs="宋体"/>
          <w:b w:val="0"/>
          <w:i w:val="0"/>
          <w:caps w:val="0"/>
          <w:spacing w:val="0"/>
          <w:w w:val="100"/>
          <w:kern w:val="2"/>
          <w:sz w:val="24"/>
          <w:szCs w:val="24"/>
          <w:lang w:val="en-US" w:eastAsia="zh-CN"/>
        </w:rPr>
        <w:t>5.1</w:t>
      </w:r>
      <w:r>
        <w:rPr>
          <w:rFonts w:hint="eastAsia" w:ascii="宋体" w:hAnsi="宋体" w:eastAsia="宋体" w:cs="宋体"/>
          <w:b w:val="0"/>
          <w:i w:val="0"/>
          <w:caps w:val="0"/>
          <w:spacing w:val="0"/>
          <w:w w:val="100"/>
          <w:kern w:val="2"/>
          <w:sz w:val="24"/>
          <w:szCs w:val="24"/>
        </w:rPr>
        <w:t xml:space="preserve"> 型号规格：</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72C1BEB6">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lang w:val="en-US" w:eastAsia="zh-CN"/>
        </w:rPr>
        <w:t>5.2</w:t>
      </w:r>
      <w:r>
        <w:rPr>
          <w:rFonts w:hint="eastAsia" w:ascii="宋体" w:hAnsi="宋体" w:eastAsia="宋体" w:cs="宋体"/>
          <w:b w:val="0"/>
          <w:i w:val="0"/>
          <w:caps w:val="0"/>
          <w:spacing w:val="0"/>
          <w:w w:val="100"/>
          <w:kern w:val="2"/>
          <w:sz w:val="24"/>
          <w:szCs w:val="24"/>
        </w:rPr>
        <w:t xml:space="preserve"> 技术参数：</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751437F0">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lang w:val="en-US" w:eastAsia="zh-CN"/>
        </w:rPr>
        <w:t>5.3</w:t>
      </w:r>
      <w:r>
        <w:rPr>
          <w:rFonts w:hint="eastAsia" w:ascii="宋体" w:hAnsi="宋体" w:eastAsia="宋体" w:cs="宋体"/>
          <w:b w:val="0"/>
          <w:i w:val="0"/>
          <w:caps w:val="0"/>
          <w:spacing w:val="0"/>
          <w:w w:val="100"/>
          <w:kern w:val="2"/>
          <w:sz w:val="24"/>
          <w:szCs w:val="24"/>
        </w:rPr>
        <w:t xml:space="preserve"> 数量（单位）：</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70D299F9">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u w:val="single"/>
        </w:rPr>
      </w:pPr>
      <w:r>
        <w:rPr>
          <w:rFonts w:hint="eastAsia" w:ascii="宋体" w:hAnsi="宋体" w:eastAsia="宋体" w:cs="宋体"/>
          <w:b w:val="0"/>
          <w:i w:val="0"/>
          <w:caps w:val="0"/>
          <w:spacing w:val="0"/>
          <w:w w:val="100"/>
          <w:kern w:val="2"/>
          <w:sz w:val="24"/>
          <w:szCs w:val="24"/>
        </w:rPr>
        <w:t>6.</w:t>
      </w:r>
      <w:r>
        <w:rPr>
          <w:rFonts w:hint="eastAsia" w:ascii="宋体" w:hAnsi="宋体" w:cs="宋体"/>
          <w:b w:val="0"/>
          <w:i w:val="0"/>
          <w:caps w:val="0"/>
          <w:spacing w:val="0"/>
          <w:w w:val="100"/>
          <w:kern w:val="2"/>
          <w:sz w:val="24"/>
          <w:szCs w:val="24"/>
          <w:lang w:val="en-US" w:eastAsia="zh-CN"/>
        </w:rPr>
        <w:t>质保期</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46401C0C">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val="0"/>
          <w:bCs/>
          <w:i w:val="0"/>
          <w:caps w:val="0"/>
          <w:spacing w:val="0"/>
          <w:w w:val="100"/>
          <w:kern w:val="1"/>
          <w:sz w:val="24"/>
          <w:szCs w:val="24"/>
        </w:rPr>
      </w:pPr>
      <w:bookmarkStart w:id="128" w:name="_Toc351203482"/>
      <w:bookmarkEnd w:id="128"/>
      <w:r>
        <w:rPr>
          <w:rFonts w:hint="eastAsia" w:ascii="宋体" w:hAnsi="宋体" w:eastAsia="宋体" w:cs="宋体"/>
          <w:b w:val="0"/>
          <w:bCs/>
          <w:i w:val="0"/>
          <w:caps w:val="0"/>
          <w:spacing w:val="0"/>
          <w:w w:val="100"/>
          <w:kern w:val="1"/>
          <w:sz w:val="24"/>
          <w:szCs w:val="24"/>
        </w:rPr>
        <w:t>二、</w:t>
      </w:r>
      <w:r>
        <w:rPr>
          <w:rFonts w:hint="eastAsia" w:ascii="宋体" w:hAnsi="宋体" w:eastAsia="宋体" w:cs="宋体"/>
          <w:b w:val="0"/>
          <w:bCs/>
          <w:i w:val="0"/>
          <w:caps w:val="0"/>
          <w:spacing w:val="0"/>
          <w:w w:val="100"/>
          <w:kern w:val="1"/>
          <w:sz w:val="24"/>
          <w:szCs w:val="24"/>
          <w:lang w:eastAsia="zh-CN"/>
        </w:rPr>
        <w:t>采购</w:t>
      </w:r>
      <w:r>
        <w:rPr>
          <w:rFonts w:hint="eastAsia" w:ascii="宋体" w:hAnsi="宋体" w:eastAsia="宋体" w:cs="宋体"/>
          <w:b w:val="0"/>
          <w:bCs/>
          <w:i w:val="0"/>
          <w:caps w:val="0"/>
          <w:spacing w:val="0"/>
          <w:w w:val="100"/>
          <w:kern w:val="1"/>
          <w:sz w:val="24"/>
          <w:szCs w:val="24"/>
        </w:rPr>
        <w:t>周期</w:t>
      </w:r>
    </w:p>
    <w:p w14:paraId="586C67E5">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val="0"/>
          <w:i w:val="0"/>
          <w:caps w:val="0"/>
          <w:spacing w:val="0"/>
          <w:w w:val="100"/>
          <w:kern w:val="1"/>
          <w:sz w:val="24"/>
          <w:szCs w:val="24"/>
        </w:rPr>
      </w:pPr>
      <w:bookmarkStart w:id="129" w:name="_Toc351203483"/>
      <w:bookmarkEnd w:id="129"/>
      <w:r>
        <w:rPr>
          <w:rFonts w:hint="eastAsia" w:ascii="宋体" w:hAnsi="宋体" w:eastAsia="宋体" w:cs="宋体"/>
          <w:b w:val="0"/>
          <w:i w:val="0"/>
          <w:caps w:val="0"/>
          <w:spacing w:val="0"/>
          <w:w w:val="100"/>
          <w:kern w:val="1"/>
          <w:sz w:val="24"/>
          <w:szCs w:val="24"/>
        </w:rPr>
        <w:t>合同签订后</w:t>
      </w:r>
      <w:r>
        <w:rPr>
          <w:rFonts w:hint="eastAsia" w:ascii="宋体" w:hAnsi="宋体" w:eastAsia="宋体" w:cs="宋体"/>
          <w:b w:val="0"/>
          <w:i w:val="0"/>
          <w:caps w:val="0"/>
          <w:spacing w:val="0"/>
          <w:w w:val="100"/>
          <w:kern w:val="1"/>
          <w:sz w:val="24"/>
          <w:szCs w:val="24"/>
          <w:u w:val="single" w:color="000000"/>
        </w:rPr>
        <w:t xml:space="preserve">  </w:t>
      </w:r>
      <w:r>
        <w:rPr>
          <w:rFonts w:hint="eastAsia" w:ascii="宋体" w:hAnsi="宋体" w:cs="宋体"/>
          <w:b w:val="0"/>
          <w:i w:val="0"/>
          <w:caps w:val="0"/>
          <w:spacing w:val="0"/>
          <w:w w:val="100"/>
          <w:kern w:val="1"/>
          <w:sz w:val="24"/>
          <w:szCs w:val="24"/>
          <w:u w:val="single" w:color="000000"/>
          <w:lang w:val="en-US" w:eastAsia="zh-CN"/>
        </w:rPr>
        <w:t xml:space="preserve">  </w:t>
      </w:r>
      <w:r>
        <w:rPr>
          <w:rFonts w:hint="eastAsia" w:ascii="宋体" w:hAnsi="宋体" w:eastAsia="宋体" w:cs="宋体"/>
          <w:b w:val="0"/>
          <w:i w:val="0"/>
          <w:caps w:val="0"/>
          <w:spacing w:val="0"/>
          <w:w w:val="100"/>
          <w:kern w:val="1"/>
          <w:sz w:val="24"/>
          <w:szCs w:val="24"/>
          <w:u w:val="single" w:color="000000"/>
        </w:rPr>
        <w:t xml:space="preserve"> </w:t>
      </w:r>
      <w:r>
        <w:rPr>
          <w:rFonts w:hint="eastAsia" w:ascii="宋体" w:hAnsi="宋体" w:eastAsia="宋体" w:cs="宋体"/>
          <w:b w:val="0"/>
          <w:i w:val="0"/>
          <w:caps w:val="0"/>
          <w:spacing w:val="0"/>
          <w:w w:val="100"/>
          <w:kern w:val="1"/>
          <w:sz w:val="24"/>
          <w:szCs w:val="24"/>
        </w:rPr>
        <w:t>日历天完成本项目所有</w:t>
      </w:r>
      <w:r>
        <w:rPr>
          <w:rFonts w:hint="eastAsia" w:ascii="宋体" w:hAnsi="宋体" w:eastAsia="宋体" w:cs="宋体"/>
          <w:b w:val="0"/>
          <w:i w:val="0"/>
          <w:caps w:val="0"/>
          <w:spacing w:val="0"/>
          <w:w w:val="100"/>
          <w:kern w:val="1"/>
          <w:sz w:val="24"/>
          <w:szCs w:val="24"/>
          <w:lang w:eastAsia="zh-CN"/>
        </w:rPr>
        <w:t>采购</w:t>
      </w:r>
      <w:r>
        <w:rPr>
          <w:rFonts w:hint="eastAsia" w:ascii="宋体" w:hAnsi="宋体" w:eastAsia="宋体" w:cs="宋体"/>
          <w:b w:val="0"/>
          <w:i w:val="0"/>
          <w:caps w:val="0"/>
          <w:spacing w:val="0"/>
          <w:w w:val="100"/>
          <w:kern w:val="1"/>
          <w:sz w:val="24"/>
          <w:szCs w:val="24"/>
        </w:rPr>
        <w:t>服务。</w:t>
      </w:r>
    </w:p>
    <w:p w14:paraId="20FD8E76">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r>
        <w:rPr>
          <w:rFonts w:hint="eastAsia" w:ascii="宋体" w:hAnsi="宋体" w:eastAsia="宋体" w:cs="宋体"/>
          <w:b w:val="0"/>
          <w:i w:val="0"/>
          <w:caps w:val="0"/>
          <w:spacing w:val="0"/>
          <w:w w:val="100"/>
          <w:kern w:val="1"/>
          <w:sz w:val="24"/>
          <w:szCs w:val="24"/>
        </w:rPr>
        <w:t>三、质量标准</w:t>
      </w:r>
    </w:p>
    <w:p w14:paraId="6BC5B821">
      <w:pPr>
        <w:keepLines/>
        <w:widowControl w:val="0"/>
        <w:snapToGrid/>
        <w:spacing w:before="120" w:beforeLines="0" w:beforeAutospacing="0" w:after="120" w:afterLines="0" w:afterAutospacing="0" w:line="360" w:lineRule="auto"/>
        <w:jc w:val="both"/>
        <w:textAlignment w:val="baseline"/>
        <w:rPr>
          <w:rFonts w:ascii="宋体" w:hAnsi="宋体" w:eastAsia="宋体" w:cs="宋体"/>
          <w:b w:val="0"/>
          <w:i w:val="0"/>
          <w:caps w:val="0"/>
          <w:spacing w:val="0"/>
          <w:w w:val="100"/>
          <w:kern w:val="1"/>
          <w:sz w:val="24"/>
          <w:szCs w:val="24"/>
          <w:u w:val="single"/>
        </w:rPr>
      </w:pPr>
      <w:bookmarkStart w:id="130" w:name="_Toc351203484"/>
      <w:bookmarkEnd w:id="130"/>
      <w:r>
        <w:rPr>
          <w:rFonts w:hint="eastAsia" w:ascii="宋体" w:hAnsi="宋体" w:eastAsia="宋体" w:cs="宋体"/>
          <w:b w:val="0"/>
          <w:i w:val="0"/>
          <w:caps w:val="0"/>
          <w:spacing w:val="0"/>
          <w:w w:val="100"/>
          <w:kern w:val="1"/>
          <w:sz w:val="24"/>
          <w:szCs w:val="24"/>
          <w:u w:val="single" w:color="000000"/>
        </w:rPr>
        <w:t xml:space="preserve">                                                                   。</w:t>
      </w:r>
    </w:p>
    <w:p w14:paraId="3861369F">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val="0"/>
          <w:i w:val="0"/>
          <w:caps w:val="0"/>
          <w:spacing w:val="0"/>
          <w:w w:val="100"/>
          <w:kern w:val="1"/>
          <w:sz w:val="24"/>
          <w:szCs w:val="24"/>
        </w:rPr>
      </w:pPr>
      <w:r>
        <w:rPr>
          <w:rFonts w:hint="eastAsia" w:ascii="宋体" w:hAnsi="宋体" w:eastAsia="宋体" w:cs="宋体"/>
          <w:b w:val="0"/>
          <w:i w:val="0"/>
          <w:caps w:val="0"/>
          <w:spacing w:val="0"/>
          <w:w w:val="100"/>
          <w:kern w:val="1"/>
          <w:sz w:val="24"/>
          <w:szCs w:val="24"/>
        </w:rPr>
        <w:t>四、签约合同价与合同价格形式</w:t>
      </w:r>
    </w:p>
    <w:p w14:paraId="58432BF9">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1.签约合同价为：</w:t>
      </w:r>
    </w:p>
    <w:p w14:paraId="7564FFEB">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人民币（大写）(¥元)；</w:t>
      </w:r>
    </w:p>
    <w:p w14:paraId="366C6646">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2.合同价格形式：</w:t>
      </w:r>
      <w:r>
        <w:rPr>
          <w:rFonts w:hint="eastAsia" w:ascii="宋体" w:hAnsi="宋体" w:eastAsia="宋体" w:cs="宋体"/>
          <w:b w:val="0"/>
          <w:i w:val="0"/>
          <w:caps w:val="0"/>
          <w:spacing w:val="0"/>
          <w:w w:val="100"/>
          <w:kern w:val="2"/>
          <w:sz w:val="24"/>
          <w:szCs w:val="24"/>
          <w:u w:val="single" w:color="000000"/>
        </w:rPr>
        <w:t xml:space="preserve">  固定单价合同      </w:t>
      </w:r>
      <w:r>
        <w:rPr>
          <w:rFonts w:hint="eastAsia" w:ascii="宋体" w:hAnsi="宋体" w:eastAsia="宋体" w:cs="宋体"/>
          <w:b w:val="0"/>
          <w:i w:val="0"/>
          <w:caps w:val="0"/>
          <w:spacing w:val="0"/>
          <w:w w:val="100"/>
          <w:kern w:val="2"/>
          <w:sz w:val="24"/>
          <w:szCs w:val="24"/>
        </w:rPr>
        <w:t>。</w:t>
      </w:r>
    </w:p>
    <w:p w14:paraId="56861103">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val="0"/>
          <w:bCs/>
          <w:i w:val="0"/>
          <w:caps w:val="0"/>
          <w:spacing w:val="0"/>
          <w:w w:val="100"/>
          <w:kern w:val="1"/>
          <w:sz w:val="24"/>
          <w:szCs w:val="24"/>
        </w:rPr>
      </w:pPr>
      <w:bookmarkStart w:id="131" w:name="_Toc351203485"/>
      <w:bookmarkEnd w:id="131"/>
      <w:r>
        <w:rPr>
          <w:rFonts w:hint="eastAsia" w:ascii="宋体" w:hAnsi="宋体" w:eastAsia="宋体" w:cs="宋体"/>
          <w:b w:val="0"/>
          <w:bCs/>
          <w:i w:val="0"/>
          <w:caps w:val="0"/>
          <w:spacing w:val="0"/>
          <w:w w:val="100"/>
          <w:kern w:val="1"/>
          <w:sz w:val="24"/>
          <w:szCs w:val="24"/>
        </w:rPr>
        <w:t>五、项目负责人</w:t>
      </w:r>
    </w:p>
    <w:p w14:paraId="2758AB68">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承包人项目负责人：</w:t>
      </w:r>
      <w:r>
        <w:rPr>
          <w:rFonts w:hint="eastAsia" w:ascii="宋体" w:hAnsi="宋体" w:eastAsia="宋体" w:cs="宋体"/>
          <w:b w:val="0"/>
          <w:i w:val="0"/>
          <w:caps w:val="0"/>
          <w:spacing w:val="0"/>
          <w:w w:val="100"/>
          <w:kern w:val="2"/>
          <w:sz w:val="24"/>
          <w:szCs w:val="24"/>
          <w:u w:val="single" w:color="000000"/>
        </w:rPr>
        <w:t>         </w:t>
      </w:r>
      <w:r>
        <w:rPr>
          <w:rFonts w:hint="eastAsia" w:ascii="宋体" w:hAnsi="宋体" w:eastAsia="宋体" w:cs="宋体"/>
          <w:b w:val="0"/>
          <w:i w:val="0"/>
          <w:caps w:val="0"/>
          <w:spacing w:val="0"/>
          <w:w w:val="100"/>
          <w:kern w:val="2"/>
          <w:sz w:val="24"/>
          <w:szCs w:val="24"/>
        </w:rPr>
        <w:t>。</w:t>
      </w:r>
    </w:p>
    <w:p w14:paraId="59F60E09">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32" w:name="_Toc351203486"/>
      <w:bookmarkEnd w:id="132"/>
      <w:r>
        <w:rPr>
          <w:rFonts w:hint="eastAsia" w:ascii="宋体" w:hAnsi="宋体" w:eastAsia="宋体" w:cs="宋体"/>
          <w:b w:val="0"/>
          <w:i w:val="0"/>
          <w:caps w:val="0"/>
          <w:spacing w:val="0"/>
          <w:w w:val="100"/>
          <w:kern w:val="1"/>
          <w:sz w:val="24"/>
          <w:szCs w:val="24"/>
        </w:rPr>
        <w:t>六、合同文件构成</w:t>
      </w:r>
    </w:p>
    <w:p w14:paraId="4CCE22C9">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本协议书与下列文件一起构成合同文件：</w:t>
      </w:r>
    </w:p>
    <w:p w14:paraId="7A9841A0">
      <w:pPr>
        <w:pStyle w:val="2"/>
        <w:numPr>
          <w:ilvl w:val="0"/>
          <w:numId w:val="4"/>
        </w:numPr>
        <w:snapToGrid/>
        <w:spacing w:before="160" w:beforeLines="0" w:beforeAutospacing="0" w:after="160" w:afterLines="0" w:afterAutospacing="0" w:line="160" w:lineRule="atLeast"/>
        <w:ind w:left="840" w:hanging="284"/>
        <w:jc w:val="both"/>
        <w:textAlignment w:val="baseline"/>
        <w:rPr>
          <w:rFonts w:hint="eastAsia" w:ascii="宋体" w:hAnsi="宋体" w:eastAsia="宋体" w:cs="宋体"/>
          <w:b w:val="0"/>
          <w:i w:val="0"/>
          <w:caps w:val="0"/>
          <w:spacing w:val="0"/>
          <w:w w:val="100"/>
          <w:kern w:val="2"/>
          <w:sz w:val="24"/>
          <w:szCs w:val="24"/>
          <w:lang w:val="en-US" w:eastAsia="zh-CN"/>
        </w:rPr>
      </w:pPr>
      <w:r>
        <w:rPr>
          <w:rFonts w:hint="eastAsia" w:ascii="宋体" w:hAnsi="宋体" w:eastAsia="宋体" w:cs="宋体"/>
          <w:b w:val="0"/>
          <w:i w:val="0"/>
          <w:caps w:val="0"/>
          <w:spacing w:val="0"/>
          <w:w w:val="100"/>
          <w:kern w:val="2"/>
          <w:sz w:val="24"/>
          <w:szCs w:val="24"/>
          <w:lang w:val="en-US" w:eastAsia="zh-CN"/>
        </w:rPr>
        <w:t>招标文件</w:t>
      </w:r>
    </w:p>
    <w:p w14:paraId="7B670AF5">
      <w:pPr>
        <w:pStyle w:val="2"/>
        <w:numPr>
          <w:ilvl w:val="0"/>
          <w:numId w:val="4"/>
        </w:numPr>
        <w:snapToGrid/>
        <w:spacing w:before="160" w:beforeLines="0" w:beforeAutospacing="0" w:after="160" w:afterLines="0" w:afterAutospacing="0" w:line="160" w:lineRule="atLeast"/>
        <w:ind w:left="840" w:hanging="284"/>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中标通知书（如果有）；</w:t>
      </w:r>
    </w:p>
    <w:p w14:paraId="3F407E57">
      <w:pPr>
        <w:pStyle w:val="2"/>
        <w:numPr>
          <w:ilvl w:val="0"/>
          <w:numId w:val="5"/>
        </w:numPr>
        <w:snapToGrid/>
        <w:spacing w:before="160" w:beforeLines="0" w:beforeAutospacing="0" w:after="160" w:afterLines="0" w:afterAutospacing="0" w:line="160" w:lineRule="atLeast"/>
        <w:ind w:left="840" w:hanging="284"/>
        <w:jc w:val="both"/>
        <w:textAlignment w:val="baseline"/>
        <w:rPr>
          <w:rFonts w:hint="eastAsia" w:ascii="宋体" w:hAnsi="宋体" w:eastAsia="宋体" w:cs="宋体"/>
          <w:b w:val="0"/>
          <w:i w:val="0"/>
          <w:caps w:val="0"/>
          <w:spacing w:val="0"/>
          <w:w w:val="100"/>
          <w:kern w:val="2"/>
          <w:sz w:val="24"/>
          <w:szCs w:val="24"/>
          <w:lang w:val="en-US" w:eastAsia="zh-CN"/>
        </w:rPr>
      </w:pPr>
      <w:r>
        <w:rPr>
          <w:rFonts w:hint="eastAsia" w:ascii="宋体" w:hAnsi="宋体" w:eastAsia="宋体" w:cs="宋体"/>
          <w:b w:val="0"/>
          <w:i w:val="0"/>
          <w:caps w:val="0"/>
          <w:spacing w:val="0"/>
          <w:w w:val="100"/>
          <w:kern w:val="2"/>
          <w:sz w:val="24"/>
          <w:szCs w:val="24"/>
          <w:lang w:val="en-US" w:eastAsia="zh-CN"/>
        </w:rPr>
        <w:t>投标文件</w:t>
      </w:r>
    </w:p>
    <w:p w14:paraId="199C4EE7">
      <w:pPr>
        <w:pStyle w:val="2"/>
        <w:numPr>
          <w:ilvl w:val="1"/>
          <w:numId w:val="0"/>
        </w:numPr>
        <w:snapToGrid/>
        <w:spacing w:before="160" w:beforeLines="0" w:beforeAutospacing="0" w:after="160" w:afterLines="0" w:afterAutospacing="0" w:line="160" w:lineRule="atLeast"/>
        <w:ind w:leftChars="0"/>
        <w:jc w:val="both"/>
        <w:textAlignment w:val="baseline"/>
        <w:rPr>
          <w:rFonts w:ascii="宋体" w:hAnsi="宋体" w:eastAsia="宋体" w:cs="宋体"/>
          <w:b w:val="0"/>
          <w:i w:val="0"/>
          <w:caps w:val="0"/>
          <w:spacing w:val="0"/>
          <w:w w:val="100"/>
          <w:kern w:val="2"/>
          <w:sz w:val="24"/>
          <w:szCs w:val="24"/>
        </w:rPr>
      </w:pPr>
      <w:r>
        <w:rPr>
          <w:rFonts w:hint="eastAsia" w:ascii="宋体" w:hAnsi="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w:t>
      </w:r>
      <w:r>
        <w:rPr>
          <w:rFonts w:hint="eastAsia" w:ascii="宋体" w:hAnsi="宋体" w:cs="宋体"/>
          <w:b w:val="0"/>
          <w:i w:val="0"/>
          <w:caps w:val="0"/>
          <w:spacing w:val="0"/>
          <w:w w:val="100"/>
          <w:kern w:val="2"/>
          <w:sz w:val="24"/>
          <w:szCs w:val="24"/>
          <w:lang w:val="en-US" w:eastAsia="zh-CN"/>
        </w:rPr>
        <w:t>4</w:t>
      </w:r>
      <w:r>
        <w:rPr>
          <w:rFonts w:hint="eastAsia" w:ascii="宋体" w:hAnsi="宋体" w:eastAsia="宋体" w:cs="宋体"/>
          <w:b w:val="0"/>
          <w:i w:val="0"/>
          <w:caps w:val="0"/>
          <w:spacing w:val="0"/>
          <w:w w:val="100"/>
          <w:kern w:val="2"/>
          <w:sz w:val="24"/>
          <w:szCs w:val="24"/>
        </w:rPr>
        <w:t xml:space="preserve">）投标函及其附录（如果有）； </w:t>
      </w:r>
    </w:p>
    <w:p w14:paraId="1C918737">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lang w:val="en-US" w:eastAsia="zh-CN"/>
        </w:rPr>
        <w:t>5</w:t>
      </w:r>
      <w:r>
        <w:rPr>
          <w:rFonts w:hint="eastAsia" w:ascii="宋体" w:hAnsi="宋体" w:eastAsia="宋体" w:cs="宋体"/>
          <w:b w:val="0"/>
          <w:i w:val="0"/>
          <w:caps w:val="0"/>
          <w:spacing w:val="0"/>
          <w:w w:val="100"/>
          <w:kern w:val="2"/>
          <w:sz w:val="24"/>
          <w:szCs w:val="24"/>
        </w:rPr>
        <w:t>）专用合同条款及其附件；</w:t>
      </w:r>
    </w:p>
    <w:p w14:paraId="72E6CC68">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lang w:val="en-US" w:eastAsia="zh-CN"/>
        </w:rPr>
        <w:t>6</w:t>
      </w:r>
      <w:r>
        <w:rPr>
          <w:rFonts w:hint="eastAsia" w:ascii="宋体" w:hAnsi="宋体" w:eastAsia="宋体" w:cs="宋体"/>
          <w:b w:val="0"/>
          <w:i w:val="0"/>
          <w:caps w:val="0"/>
          <w:spacing w:val="0"/>
          <w:w w:val="100"/>
          <w:kern w:val="2"/>
          <w:sz w:val="24"/>
          <w:szCs w:val="24"/>
        </w:rPr>
        <w:t>）通用合同条款；</w:t>
      </w:r>
    </w:p>
    <w:p w14:paraId="55881B3A">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lang w:val="en-US" w:eastAsia="zh-CN"/>
        </w:rPr>
        <w:t>7</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lang w:val="en-US" w:eastAsia="zh-CN"/>
        </w:rPr>
        <w:t>采购清单</w:t>
      </w:r>
      <w:r>
        <w:rPr>
          <w:rFonts w:hint="eastAsia" w:ascii="宋体" w:hAnsi="宋体" w:eastAsia="宋体" w:cs="宋体"/>
          <w:b w:val="0"/>
          <w:i w:val="0"/>
          <w:caps w:val="0"/>
          <w:spacing w:val="0"/>
          <w:w w:val="100"/>
          <w:kern w:val="2"/>
          <w:sz w:val="24"/>
          <w:szCs w:val="24"/>
        </w:rPr>
        <w:t>；</w:t>
      </w:r>
    </w:p>
    <w:p w14:paraId="1403B47E">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lang w:val="en-US" w:eastAsia="zh-CN"/>
        </w:rPr>
        <w:t>8</w:t>
      </w:r>
      <w:r>
        <w:rPr>
          <w:rFonts w:hint="eastAsia" w:ascii="宋体" w:hAnsi="宋体" w:eastAsia="宋体" w:cs="宋体"/>
          <w:b w:val="0"/>
          <w:i w:val="0"/>
          <w:caps w:val="0"/>
          <w:spacing w:val="0"/>
          <w:w w:val="100"/>
          <w:kern w:val="2"/>
          <w:sz w:val="24"/>
          <w:szCs w:val="24"/>
        </w:rPr>
        <w:t>）其他合同文件。</w:t>
      </w:r>
    </w:p>
    <w:p w14:paraId="09CA3D6E">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在合同订立及履行过程中形成的与合同有关的文件均构成合同文件组成部分。</w:t>
      </w:r>
    </w:p>
    <w:p w14:paraId="76B4E9A9">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上述各项合同文件包括合同当事人就该项合同文件所作出的补充和修改，属于同一类内容的文件，应以最新签署的为准。专用合同条款及其附件须经合同当事人签字或盖章。</w:t>
      </w:r>
    </w:p>
    <w:p w14:paraId="72E6D9C0">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val="0"/>
          <w:bCs/>
          <w:i w:val="0"/>
          <w:caps w:val="0"/>
          <w:spacing w:val="0"/>
          <w:w w:val="100"/>
          <w:kern w:val="1"/>
          <w:sz w:val="24"/>
          <w:szCs w:val="24"/>
        </w:rPr>
      </w:pPr>
      <w:bookmarkStart w:id="133" w:name="_Toc351203487"/>
      <w:bookmarkEnd w:id="133"/>
      <w:r>
        <w:rPr>
          <w:rFonts w:hint="eastAsia" w:ascii="宋体" w:hAnsi="宋体" w:eastAsia="宋体" w:cs="宋体"/>
          <w:b w:val="0"/>
          <w:i w:val="0"/>
          <w:caps w:val="0"/>
          <w:spacing w:val="0"/>
          <w:w w:val="100"/>
          <w:kern w:val="1"/>
          <w:sz w:val="24"/>
          <w:szCs w:val="24"/>
        </w:rPr>
        <w:t>七、承诺</w:t>
      </w:r>
    </w:p>
    <w:p w14:paraId="6D05CDFD">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1.发包人承诺按照法律规定履行项目审批手续、筹集项目资金并按照合同约定的期限和方式支付合同价款。</w:t>
      </w:r>
    </w:p>
    <w:p w14:paraId="4883C26B">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2.承包人承诺按照法律规定及合同约定组织完成本项目</w:t>
      </w:r>
      <w:r>
        <w:rPr>
          <w:rFonts w:hint="eastAsia" w:ascii="宋体" w:hAnsi="宋体" w:cs="宋体"/>
          <w:b w:val="0"/>
          <w:i w:val="0"/>
          <w:caps w:val="0"/>
          <w:spacing w:val="0"/>
          <w:w w:val="100"/>
          <w:kern w:val="2"/>
          <w:sz w:val="24"/>
          <w:szCs w:val="24"/>
          <w:lang w:val="en-US" w:eastAsia="zh-CN"/>
        </w:rPr>
        <w:t>采购</w:t>
      </w:r>
      <w:r>
        <w:rPr>
          <w:rFonts w:hint="eastAsia" w:ascii="宋体" w:hAnsi="宋体" w:eastAsia="宋体" w:cs="宋体"/>
          <w:b w:val="0"/>
          <w:i w:val="0"/>
          <w:caps w:val="0"/>
          <w:spacing w:val="0"/>
          <w:w w:val="100"/>
          <w:kern w:val="2"/>
          <w:sz w:val="24"/>
          <w:szCs w:val="24"/>
        </w:rPr>
        <w:t>内容，确保</w:t>
      </w:r>
      <w:r>
        <w:rPr>
          <w:rFonts w:hint="eastAsia" w:ascii="宋体" w:hAnsi="宋体" w:cs="宋体"/>
          <w:b w:val="0"/>
          <w:i w:val="0"/>
          <w:caps w:val="0"/>
          <w:spacing w:val="0"/>
          <w:w w:val="100"/>
          <w:kern w:val="2"/>
          <w:sz w:val="24"/>
          <w:szCs w:val="24"/>
          <w:lang w:val="en-US" w:eastAsia="zh-CN"/>
        </w:rPr>
        <w:t>货物</w:t>
      </w:r>
      <w:r>
        <w:rPr>
          <w:rFonts w:hint="eastAsia" w:ascii="宋体" w:hAnsi="宋体" w:eastAsia="宋体" w:cs="宋体"/>
          <w:b w:val="0"/>
          <w:i w:val="0"/>
          <w:caps w:val="0"/>
          <w:spacing w:val="0"/>
          <w:w w:val="100"/>
          <w:kern w:val="2"/>
          <w:sz w:val="24"/>
          <w:szCs w:val="24"/>
        </w:rPr>
        <w:t>质量，不进行转包及违法分包，并在本项目</w:t>
      </w:r>
      <w:r>
        <w:rPr>
          <w:rFonts w:hint="eastAsia" w:ascii="宋体" w:hAnsi="宋体" w:cs="宋体"/>
          <w:b w:val="0"/>
          <w:i w:val="0"/>
          <w:caps w:val="0"/>
          <w:spacing w:val="0"/>
          <w:w w:val="100"/>
          <w:kern w:val="2"/>
          <w:sz w:val="24"/>
          <w:szCs w:val="24"/>
          <w:lang w:val="en-US" w:eastAsia="zh-CN"/>
        </w:rPr>
        <w:t>实施过程</w:t>
      </w:r>
      <w:r>
        <w:rPr>
          <w:rFonts w:hint="eastAsia" w:ascii="宋体" w:hAnsi="宋体" w:eastAsia="宋体" w:cs="宋体"/>
          <w:b w:val="0"/>
          <w:i w:val="0"/>
          <w:caps w:val="0"/>
          <w:spacing w:val="0"/>
          <w:w w:val="100"/>
          <w:kern w:val="2"/>
          <w:sz w:val="24"/>
          <w:szCs w:val="24"/>
        </w:rPr>
        <w:t>中承担相应的责任。</w:t>
      </w:r>
    </w:p>
    <w:p w14:paraId="435697D7">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3.发包人和承包人通过招投标形式签订合同的，双方理解并承诺不再就同一项目另行签订与合同实质性内容相背离的协议。</w:t>
      </w:r>
    </w:p>
    <w:p w14:paraId="3AE8F448">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34" w:name="_Toc351203488"/>
      <w:bookmarkEnd w:id="134"/>
      <w:r>
        <w:rPr>
          <w:rFonts w:hint="eastAsia" w:ascii="宋体" w:hAnsi="宋体" w:eastAsia="宋体" w:cs="宋体"/>
          <w:b w:val="0"/>
          <w:i w:val="0"/>
          <w:caps w:val="0"/>
          <w:spacing w:val="0"/>
          <w:w w:val="100"/>
          <w:kern w:val="1"/>
          <w:sz w:val="24"/>
          <w:szCs w:val="24"/>
        </w:rPr>
        <w:t>八、签订时间</w:t>
      </w:r>
    </w:p>
    <w:p w14:paraId="3B003310">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本合同于</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年</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月</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日</w:t>
      </w:r>
      <w:r>
        <w:rPr>
          <w:rFonts w:hint="eastAsia" w:ascii="宋体" w:hAnsi="宋体" w:eastAsia="宋体" w:cs="宋体"/>
          <w:b w:val="0"/>
          <w:i w:val="0"/>
          <w:caps w:val="0"/>
          <w:spacing w:val="0"/>
          <w:w w:val="100"/>
          <w:kern w:val="2"/>
          <w:sz w:val="24"/>
          <w:szCs w:val="24"/>
        </w:rPr>
        <w:t>签订。</w:t>
      </w:r>
    </w:p>
    <w:p w14:paraId="2AA0B37F">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35" w:name="_Toc351203490"/>
      <w:bookmarkEnd w:id="135"/>
      <w:r>
        <w:rPr>
          <w:rFonts w:hint="eastAsia" w:ascii="宋体" w:hAnsi="宋体" w:eastAsia="宋体" w:cs="宋体"/>
          <w:b w:val="0"/>
          <w:i w:val="0"/>
          <w:caps w:val="0"/>
          <w:spacing w:val="0"/>
          <w:w w:val="100"/>
          <w:kern w:val="1"/>
          <w:sz w:val="24"/>
          <w:szCs w:val="24"/>
        </w:rPr>
        <w:t>九、签订地点</w:t>
      </w:r>
    </w:p>
    <w:p w14:paraId="5B528F57">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本合同在签订。</w:t>
      </w:r>
    </w:p>
    <w:p w14:paraId="302A288F">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36" w:name="_Toc351203491"/>
      <w:bookmarkEnd w:id="136"/>
      <w:r>
        <w:rPr>
          <w:rFonts w:hint="eastAsia" w:ascii="宋体" w:hAnsi="宋体" w:eastAsia="宋体" w:cs="宋体"/>
          <w:b w:val="0"/>
          <w:i w:val="0"/>
          <w:caps w:val="0"/>
          <w:spacing w:val="0"/>
          <w:w w:val="100"/>
          <w:kern w:val="1"/>
          <w:sz w:val="24"/>
          <w:szCs w:val="24"/>
        </w:rPr>
        <w:t>十、补充协议</w:t>
      </w:r>
    </w:p>
    <w:p w14:paraId="13BA64CA">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i w:val="0"/>
          <w:caps w:val="0"/>
          <w:spacing w:val="0"/>
          <w:w w:val="100"/>
          <w:kern w:val="2"/>
          <w:sz w:val="24"/>
          <w:szCs w:val="24"/>
        </w:rPr>
      </w:pPr>
      <w:r>
        <w:rPr>
          <w:rFonts w:hint="eastAsia" w:ascii="宋体" w:hAnsi="宋体" w:eastAsia="宋体" w:cs="宋体"/>
          <w:b w:val="0"/>
          <w:i w:val="0"/>
          <w:caps w:val="0"/>
          <w:spacing w:val="0"/>
          <w:w w:val="100"/>
          <w:kern w:val="2"/>
          <w:sz w:val="24"/>
          <w:szCs w:val="24"/>
        </w:rPr>
        <w:t>合同未尽事宜，合同当事人另行签订补充协议，补充协议是合同的组成部分。</w:t>
      </w:r>
    </w:p>
    <w:p w14:paraId="603C13AC">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37" w:name="_Toc351203492"/>
      <w:bookmarkEnd w:id="137"/>
      <w:r>
        <w:rPr>
          <w:rFonts w:hint="eastAsia" w:ascii="宋体" w:hAnsi="宋体" w:eastAsia="宋体" w:cs="宋体"/>
          <w:b w:val="0"/>
          <w:i w:val="0"/>
          <w:caps w:val="0"/>
          <w:spacing w:val="0"/>
          <w:w w:val="100"/>
          <w:kern w:val="1"/>
          <w:sz w:val="24"/>
          <w:szCs w:val="24"/>
        </w:rPr>
        <w:t>十一、合同生效</w:t>
      </w:r>
    </w:p>
    <w:p w14:paraId="17CE7FEF">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本合同自</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年</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月</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rPr>
        <w:t>日生效。</w:t>
      </w:r>
    </w:p>
    <w:p w14:paraId="31175932">
      <w:pPr>
        <w:keepLines/>
        <w:widowControl w:val="0"/>
        <w:snapToGrid/>
        <w:spacing w:before="120" w:beforeLines="0" w:beforeAutospacing="0" w:after="120" w:afterLines="0" w:afterAutospacing="0" w:line="360" w:lineRule="auto"/>
        <w:ind w:firstLine="480" w:firstLineChars="200"/>
        <w:jc w:val="both"/>
        <w:textAlignment w:val="baseline"/>
        <w:rPr>
          <w:rFonts w:ascii="宋体" w:hAnsi="宋体" w:eastAsia="宋体" w:cs="宋体"/>
          <w:b/>
          <w:bCs/>
          <w:i w:val="0"/>
          <w:caps w:val="0"/>
          <w:spacing w:val="0"/>
          <w:w w:val="100"/>
          <w:kern w:val="1"/>
          <w:sz w:val="24"/>
          <w:szCs w:val="24"/>
        </w:rPr>
      </w:pPr>
      <w:bookmarkStart w:id="138" w:name="_Toc351203493"/>
      <w:bookmarkEnd w:id="138"/>
      <w:r>
        <w:rPr>
          <w:rFonts w:hint="eastAsia" w:ascii="宋体" w:hAnsi="宋体" w:eastAsia="宋体" w:cs="宋体"/>
          <w:b w:val="0"/>
          <w:i w:val="0"/>
          <w:caps w:val="0"/>
          <w:spacing w:val="0"/>
          <w:w w:val="100"/>
          <w:kern w:val="1"/>
          <w:sz w:val="24"/>
          <w:szCs w:val="24"/>
        </w:rPr>
        <w:t>十二、合同份数</w:t>
      </w:r>
    </w:p>
    <w:p w14:paraId="4A44103F">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本合同一式</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rPr>
        <w:t>份，均具有同等法律效力，发包人执份，承包人执份。</w:t>
      </w:r>
    </w:p>
    <w:p w14:paraId="49777E5B">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发包人：  (公章)</w:t>
      </w:r>
      <w:r>
        <w:rPr>
          <w:rFonts w:hint="eastAsia" w:ascii="宋体" w:hAnsi="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承包人：  (公章)</w:t>
      </w:r>
    </w:p>
    <w:p w14:paraId="2DC068DE">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u w:val="single"/>
        </w:rPr>
      </w:pPr>
    </w:p>
    <w:p w14:paraId="568E15D7">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法定代表人或其委托代理人：       法定代表人或其委托代理人：</w:t>
      </w:r>
    </w:p>
    <w:p w14:paraId="621DB5D9">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 xml:space="preserve">（签字）                       </w:t>
      </w:r>
      <w:r>
        <w:rPr>
          <w:rFonts w:hint="eastAsia" w:ascii="宋体" w:hAnsi="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（签字）</w:t>
      </w:r>
    </w:p>
    <w:p w14:paraId="6237FE7A">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u w:val="single"/>
        </w:rPr>
      </w:pPr>
    </w:p>
    <w:p w14:paraId="29BF5801">
      <w:pPr>
        <w:widowControl w:val="0"/>
        <w:tabs>
          <w:tab w:val="left" w:pos="4410"/>
        </w:tabs>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组织机构代码：</w:t>
      </w:r>
      <w:r>
        <w:rPr>
          <w:rFonts w:hint="eastAsia" w:ascii="宋体" w:hAnsi="宋体" w:eastAsia="宋体" w:cs="宋体"/>
          <w:b w:val="0"/>
          <w:i w:val="0"/>
          <w:caps w:val="0"/>
          <w:spacing w:val="0"/>
          <w:w w:val="100"/>
          <w:kern w:val="2"/>
          <w:sz w:val="24"/>
          <w:szCs w:val="24"/>
          <w:u w:val="single" w:color="000000"/>
        </w:rPr>
        <w:t>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 xml:space="preserve"> 组织机构代码：</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371E4527">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地  址：</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地  址：</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31ADFB4B">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邮政编码：</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 xml:space="preserve">  邮政编码：</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602E9DB3">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法定代表人：</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rPr>
        <w:t>法定代表人：</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p>
    <w:p w14:paraId="56034A75">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委托代理人：</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 xml:space="preserve"> 委托代理人：</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2A6B9AE4">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电  话：</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电  话：</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p>
    <w:p w14:paraId="11ADC188">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传  真：</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传  真：</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2D9E721E">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电子信箱：</w:t>
      </w:r>
      <w:r>
        <w:rPr>
          <w:rFonts w:hint="eastAsia" w:ascii="宋体" w:hAnsi="宋体" w:eastAsia="宋体" w:cs="宋体"/>
          <w:b w:val="0"/>
          <w:i w:val="0"/>
          <w:caps w:val="0"/>
          <w:spacing w:val="0"/>
          <w:w w:val="100"/>
          <w:kern w:val="2"/>
          <w:sz w:val="24"/>
          <w:szCs w:val="24"/>
          <w:u w:val="single" w:color="auto"/>
          <w:lang w:val="en-US" w:eastAsia="zh-CN"/>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电子信箱：</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auto"/>
          <w:lang w:val="en-US" w:eastAsia="zh-CN"/>
        </w:rPr>
        <w:t xml:space="preserve">  </w:t>
      </w:r>
      <w:r>
        <w:rPr>
          <w:rFonts w:hint="eastAsia" w:ascii="宋体" w:hAnsi="宋体" w:cs="宋体"/>
          <w:b w:val="0"/>
          <w:i w:val="0"/>
          <w:caps w:val="0"/>
          <w:spacing w:val="0"/>
          <w:w w:val="100"/>
          <w:kern w:val="2"/>
          <w:sz w:val="24"/>
          <w:szCs w:val="24"/>
          <w:u w:val="single" w:color="auto"/>
          <w:lang w:val="en-US" w:eastAsia="zh-CN"/>
        </w:rPr>
        <w:t xml:space="preserve">    </w:t>
      </w:r>
    </w:p>
    <w:p w14:paraId="5763BF15">
      <w:pPr>
        <w:widowControl w:val="0"/>
        <w:snapToGrid/>
        <w:spacing w:before="0" w:beforeLines="0" w:beforeAutospacing="0" w:after="0" w:afterLines="0" w:afterAutospacing="0" w:line="360" w:lineRule="auto"/>
        <w:ind w:firstLine="480" w:firstLineChars="200"/>
        <w:jc w:val="both"/>
        <w:textAlignment w:val="baseline"/>
        <w:rPr>
          <w:rFonts w:ascii="宋体" w:hAnsi="宋体" w:eastAsia="宋体" w:cs="宋体"/>
          <w:b w:val="0"/>
          <w:i w:val="0"/>
          <w:caps w:val="0"/>
          <w:spacing w:val="0"/>
          <w:w w:val="100"/>
          <w:kern w:val="2"/>
          <w:sz w:val="24"/>
          <w:szCs w:val="24"/>
        </w:rPr>
      </w:pPr>
      <w:r>
        <w:rPr>
          <w:rFonts w:hint="eastAsia" w:ascii="宋体" w:hAnsi="宋体" w:eastAsia="宋体" w:cs="宋体"/>
          <w:b w:val="0"/>
          <w:i w:val="0"/>
          <w:caps w:val="0"/>
          <w:spacing w:val="0"/>
          <w:w w:val="100"/>
          <w:kern w:val="2"/>
          <w:sz w:val="24"/>
          <w:szCs w:val="24"/>
        </w:rPr>
        <w:t>开户银行：</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rPr>
        <w:t></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开户银行：</w:t>
      </w:r>
      <w:r>
        <w:rPr>
          <w:rFonts w:hint="eastAsia" w:ascii="宋体" w:hAnsi="宋体" w:eastAsia="宋体" w:cs="宋体"/>
          <w:b w:val="0"/>
          <w:i w:val="0"/>
          <w:caps w:val="0"/>
          <w:spacing w:val="0"/>
          <w:w w:val="100"/>
          <w:kern w:val="2"/>
          <w:sz w:val="24"/>
          <w:szCs w:val="24"/>
          <w:u w:val="single" w:color="000000"/>
        </w:rPr>
        <w:t></w:t>
      </w:r>
      <w:r>
        <w:rPr>
          <w:rFonts w:hint="eastAsia" w:ascii="宋体" w:hAnsi="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 xml:space="preserve"> </w:t>
      </w:r>
    </w:p>
    <w:p w14:paraId="6FE2A157">
      <w:pPr>
        <w:widowControl w:val="0"/>
        <w:snapToGrid/>
        <w:spacing w:before="0" w:beforeLines="0" w:beforeAutospacing="0" w:after="0" w:afterLines="0" w:afterAutospacing="0" w:line="360" w:lineRule="auto"/>
        <w:ind w:firstLine="480" w:firstLineChars="200"/>
        <w:jc w:val="both"/>
        <w:textAlignment w:val="baseline"/>
        <w:rPr>
          <w:rFonts w:hint="eastAsia" w:ascii="宋体" w:hAnsi="宋体" w:eastAsia="宋体"/>
          <w:b/>
          <w:sz w:val="28"/>
          <w:szCs w:val="28"/>
          <w:lang w:val="en-US" w:eastAsia="zh-CN"/>
        </w:rPr>
      </w:pPr>
      <w:r>
        <w:rPr>
          <w:rFonts w:hint="eastAsia" w:ascii="宋体" w:hAnsi="宋体" w:eastAsia="宋体" w:cs="宋体"/>
          <w:b w:val="0"/>
          <w:i w:val="0"/>
          <w:caps w:val="0"/>
          <w:spacing w:val="0"/>
          <w:w w:val="100"/>
          <w:kern w:val="2"/>
          <w:sz w:val="24"/>
          <w:szCs w:val="24"/>
        </w:rPr>
        <w:t>账  号：</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lang w:val="en-US" w:eastAsia="zh-CN"/>
        </w:rPr>
        <w:t xml:space="preserve">  </w:t>
      </w:r>
      <w:r>
        <w:rPr>
          <w:rFonts w:hint="eastAsia" w:ascii="宋体" w:hAnsi="宋体" w:eastAsia="宋体" w:cs="宋体"/>
          <w:b w:val="0"/>
          <w:i w:val="0"/>
          <w:caps w:val="0"/>
          <w:spacing w:val="0"/>
          <w:w w:val="100"/>
          <w:kern w:val="2"/>
          <w:sz w:val="24"/>
          <w:szCs w:val="24"/>
        </w:rPr>
        <w:t xml:space="preserve"> 账 号：</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r>
        <w:rPr>
          <w:rFonts w:hint="eastAsia" w:ascii="宋体" w:hAnsi="宋体" w:eastAsia="宋体" w:cs="宋体"/>
          <w:b w:val="0"/>
          <w:i w:val="0"/>
          <w:caps w:val="0"/>
          <w:spacing w:val="0"/>
          <w:w w:val="100"/>
          <w:kern w:val="2"/>
          <w:sz w:val="24"/>
          <w:szCs w:val="24"/>
          <w:u w:val="single" w:color="000000"/>
          <w:lang w:val="en-US" w:eastAsia="zh-CN"/>
        </w:rPr>
        <w:t xml:space="preserve">  </w:t>
      </w:r>
      <w:r>
        <w:rPr>
          <w:rFonts w:hint="eastAsia" w:ascii="宋体" w:hAnsi="宋体" w:eastAsia="宋体" w:cs="宋体"/>
          <w:b w:val="0"/>
          <w:i w:val="0"/>
          <w:caps w:val="0"/>
          <w:spacing w:val="0"/>
          <w:w w:val="100"/>
          <w:kern w:val="2"/>
          <w:sz w:val="24"/>
          <w:szCs w:val="24"/>
          <w:u w:val="single" w:color="000000"/>
        </w:rPr>
        <w:t></w:t>
      </w:r>
    </w:p>
    <w:p w14:paraId="1101B0E3">
      <w:pPr>
        <w:spacing w:line="360" w:lineRule="auto"/>
        <w:ind w:firstLine="643" w:firstLineChars="200"/>
        <w:jc w:val="both"/>
        <w:outlineLvl w:val="0"/>
        <w:rPr>
          <w:rFonts w:hint="eastAsia" w:ascii="宋体" w:hAnsi="宋体" w:eastAsia="宋体" w:cs="宋体"/>
          <w:b/>
          <w:bCs/>
          <w:kern w:val="0"/>
          <w:sz w:val="32"/>
          <w:szCs w:val="32"/>
          <w:lang w:bidi="ar"/>
        </w:rPr>
      </w:pPr>
    </w:p>
    <w:p w14:paraId="02789BC7">
      <w:pPr>
        <w:spacing w:line="360" w:lineRule="auto"/>
        <w:ind w:firstLine="643" w:firstLineChars="200"/>
        <w:jc w:val="center"/>
        <w:outlineLvl w:val="0"/>
        <w:rPr>
          <w:rFonts w:hint="eastAsia" w:ascii="宋体" w:hAnsi="宋体" w:eastAsia="宋体" w:cs="宋体"/>
          <w:b/>
          <w:bCs/>
          <w:kern w:val="0"/>
          <w:sz w:val="32"/>
          <w:szCs w:val="32"/>
          <w:lang w:bidi="ar"/>
        </w:rPr>
      </w:pPr>
    </w:p>
    <w:p w14:paraId="20874A30">
      <w:pPr>
        <w:spacing w:line="360" w:lineRule="auto"/>
        <w:ind w:firstLine="643" w:firstLineChars="200"/>
        <w:jc w:val="center"/>
        <w:outlineLvl w:val="0"/>
        <w:rPr>
          <w:rFonts w:hint="eastAsia" w:ascii="宋体" w:hAnsi="宋体" w:eastAsia="宋体" w:cs="宋体"/>
          <w:b/>
          <w:bCs/>
          <w:kern w:val="0"/>
          <w:sz w:val="32"/>
          <w:szCs w:val="32"/>
          <w:lang w:bidi="ar"/>
        </w:rPr>
      </w:pPr>
    </w:p>
    <w:p w14:paraId="4AE8EE9A">
      <w:pPr>
        <w:spacing w:line="360" w:lineRule="auto"/>
        <w:ind w:firstLine="803" w:firstLineChars="200"/>
        <w:jc w:val="center"/>
        <w:outlineLvl w:val="0"/>
        <w:rPr>
          <w:rFonts w:ascii="宋体" w:hAnsi="宋体" w:eastAsia="宋体" w:cs="宋体"/>
          <w:b/>
          <w:bCs/>
          <w:kern w:val="0"/>
          <w:sz w:val="40"/>
          <w:szCs w:val="40"/>
          <w:lang w:bidi="ar"/>
        </w:rPr>
      </w:pPr>
      <w:r>
        <w:rPr>
          <w:rFonts w:hint="eastAsia" w:ascii="宋体" w:hAnsi="宋体" w:eastAsia="宋体" w:cs="宋体"/>
          <w:b/>
          <w:bCs/>
          <w:kern w:val="0"/>
          <w:sz w:val="40"/>
          <w:szCs w:val="40"/>
          <w:lang w:bidi="ar"/>
        </w:rPr>
        <w:t>第六章  电子化投标文件格式</w:t>
      </w:r>
      <w:bookmarkEnd w:id="124"/>
      <w:bookmarkEnd w:id="125"/>
      <w:bookmarkEnd w:id="126"/>
    </w:p>
    <w:p w14:paraId="203AC253">
      <w:pPr>
        <w:pStyle w:val="13"/>
        <w:spacing w:beforeAutospacing="0" w:afterAutospacing="0" w:line="480" w:lineRule="atLeast"/>
        <w:jc w:val="center"/>
      </w:pPr>
      <w:r>
        <w:t> </w:t>
      </w:r>
    </w:p>
    <w:p w14:paraId="5C1CBDBC">
      <w:pPr>
        <w:spacing w:line="360" w:lineRule="auto"/>
        <w:ind w:firstLine="522" w:firstLineChars="100"/>
        <w:jc w:val="center"/>
        <w:rPr>
          <w:rFonts w:ascii="宋体" w:cs="宋体"/>
          <w:b/>
          <w:sz w:val="52"/>
          <w:szCs w:val="22"/>
          <w:u w:val="single"/>
          <w:lang w:bidi="ar"/>
        </w:rPr>
      </w:pPr>
    </w:p>
    <w:p w14:paraId="71216BA2">
      <w:pPr>
        <w:spacing w:line="360" w:lineRule="auto"/>
        <w:ind w:firstLine="522" w:firstLineChars="100"/>
        <w:jc w:val="center"/>
        <w:rPr>
          <w:rFonts w:ascii="宋体" w:cs="宋体"/>
          <w:b/>
          <w:sz w:val="52"/>
          <w:szCs w:val="22"/>
          <w:u w:val="single"/>
          <w:lang w:bidi="ar"/>
        </w:rPr>
      </w:pPr>
    </w:p>
    <w:p w14:paraId="2DB786DB">
      <w:pPr>
        <w:spacing w:line="360" w:lineRule="auto"/>
        <w:ind w:firstLine="522" w:firstLineChars="100"/>
        <w:jc w:val="center"/>
        <w:rPr>
          <w:rFonts w:hint="eastAsia" w:ascii="宋体" w:cs="宋体" w:eastAsiaTheme="minorEastAsia"/>
          <w:b/>
          <w:sz w:val="52"/>
          <w:szCs w:val="22"/>
          <w:lang w:val="en-US" w:eastAsia="zh-CN"/>
        </w:rPr>
      </w:pPr>
      <w:r>
        <w:rPr>
          <w:rFonts w:hint="eastAsia" w:ascii="宋体" w:cs="宋体"/>
          <w:b/>
          <w:sz w:val="52"/>
          <w:szCs w:val="22"/>
          <w:u w:val="single"/>
          <w:lang w:bidi="ar"/>
        </w:rPr>
        <w:t>（项目名称）</w:t>
      </w:r>
      <w:r>
        <w:rPr>
          <w:rFonts w:hint="eastAsia" w:ascii="宋体" w:cs="宋体"/>
          <w:b/>
          <w:sz w:val="52"/>
          <w:szCs w:val="22"/>
          <w:u w:val="single"/>
          <w:lang w:val="en-US" w:eastAsia="zh-CN" w:bidi="ar"/>
        </w:rPr>
        <w:t>标段</w:t>
      </w:r>
    </w:p>
    <w:p w14:paraId="79A94C6D">
      <w:pPr>
        <w:spacing w:line="360" w:lineRule="auto"/>
        <w:ind w:firstLine="420" w:firstLineChars="200"/>
        <w:rPr>
          <w:rFonts w:ascii="宋体" w:cs="宋体"/>
          <w:szCs w:val="22"/>
        </w:rPr>
      </w:pPr>
    </w:p>
    <w:p w14:paraId="24815C69">
      <w:pPr>
        <w:spacing w:line="360" w:lineRule="auto"/>
        <w:ind w:firstLine="2240" w:firstLineChars="200"/>
        <w:jc w:val="center"/>
        <w:rPr>
          <w:rFonts w:ascii="宋体" w:cs="宋体"/>
          <w:sz w:val="112"/>
          <w:szCs w:val="112"/>
        </w:rPr>
      </w:pPr>
    </w:p>
    <w:p w14:paraId="46FC18B6">
      <w:pPr>
        <w:spacing w:line="360" w:lineRule="auto"/>
        <w:jc w:val="center"/>
        <w:rPr>
          <w:rFonts w:ascii="黑体" w:eastAsia="黑体" w:cs="黑体"/>
          <w:sz w:val="28"/>
          <w:szCs w:val="22"/>
        </w:rPr>
      </w:pPr>
      <w:r>
        <w:rPr>
          <w:rFonts w:hint="eastAsia" w:ascii="宋体" w:cs="宋体"/>
          <w:b/>
          <w:sz w:val="60"/>
          <w:szCs w:val="60"/>
          <w:lang w:bidi="ar"/>
        </w:rPr>
        <w:t>投 标 文 件</w:t>
      </w:r>
    </w:p>
    <w:p w14:paraId="56ECE4B1">
      <w:pPr>
        <w:spacing w:line="360" w:lineRule="auto"/>
        <w:jc w:val="center"/>
        <w:rPr>
          <w:rFonts w:ascii="黑体" w:eastAsia="黑体" w:cs="黑体"/>
          <w:sz w:val="32"/>
        </w:rPr>
      </w:pPr>
    </w:p>
    <w:p w14:paraId="6E944D7C">
      <w:pPr>
        <w:spacing w:line="360" w:lineRule="auto"/>
        <w:jc w:val="center"/>
        <w:rPr>
          <w:rFonts w:ascii="黑体" w:eastAsia="黑体" w:cs="黑体"/>
          <w:sz w:val="32"/>
        </w:rPr>
      </w:pPr>
    </w:p>
    <w:p w14:paraId="6E1DA699">
      <w:pPr>
        <w:spacing w:line="360" w:lineRule="auto"/>
        <w:rPr>
          <w:rFonts w:ascii="黑体" w:eastAsia="黑体" w:cs="黑体"/>
          <w:sz w:val="32"/>
        </w:rPr>
      </w:pPr>
    </w:p>
    <w:p w14:paraId="1EE21AB1">
      <w:pPr>
        <w:spacing w:line="360" w:lineRule="auto"/>
        <w:jc w:val="center"/>
        <w:rPr>
          <w:rFonts w:ascii="黑体" w:eastAsia="黑体" w:cs="黑体"/>
          <w:sz w:val="32"/>
        </w:rPr>
      </w:pPr>
    </w:p>
    <w:p w14:paraId="1BB40B15">
      <w:pPr>
        <w:spacing w:line="360" w:lineRule="auto"/>
        <w:jc w:val="center"/>
        <w:rPr>
          <w:rFonts w:ascii="黑体" w:eastAsia="黑体" w:cs="黑体"/>
          <w:sz w:val="28"/>
          <w:szCs w:val="28"/>
        </w:rPr>
      </w:pPr>
      <w:r>
        <w:rPr>
          <w:rFonts w:hint="eastAsia" w:ascii="黑体" w:eastAsia="黑体" w:cs="黑体"/>
          <w:sz w:val="28"/>
          <w:szCs w:val="28"/>
          <w:lang w:bidi="ar"/>
        </w:rPr>
        <w:t>投标人：(电子签章)</w:t>
      </w:r>
    </w:p>
    <w:p w14:paraId="587AFEBD">
      <w:pPr>
        <w:spacing w:line="360" w:lineRule="auto"/>
        <w:jc w:val="center"/>
        <w:rPr>
          <w:rFonts w:ascii="黑体" w:eastAsia="黑体" w:cs="黑体"/>
          <w:sz w:val="28"/>
          <w:szCs w:val="28"/>
        </w:rPr>
      </w:pPr>
      <w:r>
        <w:rPr>
          <w:rFonts w:hint="eastAsia" w:ascii="黑体" w:eastAsia="黑体" w:cs="黑体"/>
          <w:sz w:val="28"/>
          <w:szCs w:val="28"/>
          <w:lang w:bidi="ar"/>
        </w:rPr>
        <w:t>法定代表人：(电子签章)</w:t>
      </w:r>
    </w:p>
    <w:p w14:paraId="6E88F3AA">
      <w:pPr>
        <w:spacing w:line="360" w:lineRule="auto"/>
        <w:jc w:val="center"/>
        <w:rPr>
          <w:rFonts w:ascii="黑体" w:eastAsia="黑体" w:cs="黑体"/>
          <w:sz w:val="28"/>
          <w:szCs w:val="28"/>
        </w:rPr>
      </w:pPr>
      <w:r>
        <w:rPr>
          <w:rFonts w:hint="eastAsia" w:ascii="黑体" w:eastAsia="黑体" w:cs="黑体"/>
          <w:sz w:val="28"/>
          <w:szCs w:val="28"/>
          <w:lang w:bidi="ar"/>
        </w:rPr>
        <w:t>年  月   日</w:t>
      </w:r>
    </w:p>
    <w:p w14:paraId="7B9B8A85">
      <w:pPr>
        <w:jc w:val="center"/>
        <w:rPr>
          <w:sz w:val="44"/>
          <w:szCs w:val="52"/>
        </w:rPr>
      </w:pPr>
    </w:p>
    <w:p w14:paraId="3F9C083D">
      <w:pPr>
        <w:rPr>
          <w:b/>
          <w:bCs/>
          <w:sz w:val="32"/>
          <w:szCs w:val="32"/>
        </w:rPr>
      </w:pPr>
      <w:bookmarkStart w:id="139" w:name="_Toc4218"/>
      <w:bookmarkStart w:id="140" w:name="_Toc6979"/>
      <w:bookmarkStart w:id="141" w:name="_Toc29758"/>
    </w:p>
    <w:p w14:paraId="07B4A715">
      <w:pPr>
        <w:jc w:val="center"/>
        <w:rPr>
          <w:b/>
          <w:bCs/>
          <w:sz w:val="32"/>
          <w:szCs w:val="32"/>
        </w:rPr>
      </w:pPr>
      <w:r>
        <w:rPr>
          <w:rFonts w:hint="eastAsia"/>
          <w:b/>
          <w:bCs/>
          <w:sz w:val="32"/>
          <w:szCs w:val="32"/>
        </w:rPr>
        <w:t>目   录</w:t>
      </w:r>
      <w:bookmarkEnd w:id="139"/>
      <w:bookmarkEnd w:id="140"/>
      <w:bookmarkEnd w:id="141"/>
    </w:p>
    <w:p w14:paraId="0FF2DE08">
      <w:pPr>
        <w:spacing w:line="600" w:lineRule="auto"/>
        <w:jc w:val="center"/>
        <w:rPr>
          <w:b/>
          <w:bCs/>
          <w:sz w:val="32"/>
          <w:szCs w:val="32"/>
        </w:rPr>
      </w:pPr>
      <w:bookmarkStart w:id="142" w:name="_Toc13637"/>
      <w:bookmarkEnd w:id="142"/>
      <w:bookmarkStart w:id="143" w:name="_Toc5270"/>
      <w:bookmarkStart w:id="144" w:name="_Toc19635"/>
      <w:r>
        <w:rPr>
          <w:rFonts w:hint="eastAsia"/>
          <w:b/>
          <w:bCs/>
          <w:sz w:val="32"/>
          <w:szCs w:val="32"/>
        </w:rPr>
        <w:t>（自拟）</w:t>
      </w:r>
      <w:bookmarkEnd w:id="143"/>
      <w:bookmarkEnd w:id="144"/>
    </w:p>
    <w:p w14:paraId="04B0A47D">
      <w:pPr>
        <w:spacing w:line="540" w:lineRule="exact"/>
        <w:ind w:firstLine="822" w:firstLineChars="341"/>
        <w:rPr>
          <w:rFonts w:ascii="宋体" w:hAnsi="宋体" w:cs="宋体"/>
          <w:b/>
          <w:bCs/>
          <w:sz w:val="24"/>
        </w:rPr>
      </w:pPr>
      <w:r>
        <w:rPr>
          <w:rFonts w:hint="eastAsia" w:ascii="宋体" w:hAnsi="宋体" w:cs="宋体"/>
          <w:b/>
          <w:bCs/>
          <w:sz w:val="24"/>
        </w:rPr>
        <w:t xml:space="preserve"> </w:t>
      </w:r>
    </w:p>
    <w:p w14:paraId="622256A3">
      <w:pPr>
        <w:spacing w:line="540" w:lineRule="exact"/>
        <w:rPr>
          <w:rFonts w:ascii="宋体" w:hAnsi="宋体" w:cs="宋体"/>
          <w:b/>
          <w:bCs/>
          <w:sz w:val="24"/>
        </w:rPr>
      </w:pPr>
      <w:r>
        <w:rPr>
          <w:rFonts w:hint="eastAsia" w:ascii="宋体" w:hAnsi="宋体" w:cs="宋体"/>
          <w:b/>
          <w:bCs/>
          <w:sz w:val="24"/>
        </w:rPr>
        <w:t xml:space="preserve"> </w:t>
      </w:r>
    </w:p>
    <w:p w14:paraId="0231DD42">
      <w:pPr>
        <w:spacing w:line="540" w:lineRule="exact"/>
        <w:rPr>
          <w:rFonts w:ascii="宋体" w:hAnsi="宋体" w:cs="宋体"/>
          <w:b/>
          <w:bCs/>
          <w:sz w:val="24"/>
        </w:rPr>
      </w:pPr>
      <w:r>
        <w:rPr>
          <w:rFonts w:hint="eastAsia" w:ascii="宋体" w:hAnsi="宋体" w:cs="宋体"/>
          <w:b/>
          <w:bCs/>
          <w:sz w:val="24"/>
        </w:rPr>
        <w:t xml:space="preserve"> </w:t>
      </w:r>
    </w:p>
    <w:p w14:paraId="6D154292">
      <w:pPr>
        <w:spacing w:line="540" w:lineRule="exact"/>
        <w:rPr>
          <w:rFonts w:ascii="宋体" w:hAnsi="宋体" w:cs="宋体"/>
          <w:b/>
          <w:bCs/>
          <w:sz w:val="24"/>
        </w:rPr>
      </w:pPr>
      <w:r>
        <w:rPr>
          <w:rFonts w:hint="eastAsia" w:ascii="宋体" w:hAnsi="宋体" w:cs="宋体"/>
          <w:b/>
          <w:bCs/>
          <w:sz w:val="24"/>
        </w:rPr>
        <w:t xml:space="preserve"> </w:t>
      </w:r>
    </w:p>
    <w:p w14:paraId="5274E1F1">
      <w:pPr>
        <w:spacing w:line="540" w:lineRule="exact"/>
        <w:rPr>
          <w:rFonts w:ascii="宋体" w:hAnsi="宋体" w:cs="宋体"/>
          <w:b/>
          <w:bCs/>
          <w:sz w:val="24"/>
        </w:rPr>
      </w:pPr>
      <w:r>
        <w:rPr>
          <w:rFonts w:hint="eastAsia" w:ascii="宋体" w:hAnsi="宋体" w:cs="宋体"/>
          <w:b/>
          <w:bCs/>
          <w:sz w:val="24"/>
        </w:rPr>
        <w:t xml:space="preserve"> </w:t>
      </w:r>
    </w:p>
    <w:p w14:paraId="545CA601">
      <w:pPr>
        <w:spacing w:line="540" w:lineRule="exact"/>
        <w:rPr>
          <w:rFonts w:ascii="宋体" w:hAnsi="宋体" w:cs="宋体"/>
          <w:b/>
          <w:bCs/>
          <w:sz w:val="24"/>
        </w:rPr>
      </w:pPr>
      <w:r>
        <w:rPr>
          <w:rFonts w:hint="eastAsia" w:ascii="宋体" w:hAnsi="宋体" w:cs="宋体"/>
          <w:b/>
          <w:bCs/>
          <w:sz w:val="24"/>
        </w:rPr>
        <w:t xml:space="preserve"> </w:t>
      </w:r>
    </w:p>
    <w:p w14:paraId="0868E94F">
      <w:pPr>
        <w:pStyle w:val="2"/>
        <w:numPr>
          <w:ilvl w:val="0"/>
          <w:numId w:val="0"/>
        </w:numPr>
        <w:spacing w:line="440" w:lineRule="exact"/>
        <w:ind w:left="420"/>
        <w:rPr>
          <w:rFonts w:ascii="宋体" w:hAnsi="宋体" w:cs="宋体"/>
          <w:szCs w:val="24"/>
        </w:rPr>
      </w:pPr>
      <w:r>
        <w:rPr>
          <w:rFonts w:hint="eastAsia" w:ascii="宋体" w:hAnsi="宋体" w:cs="宋体"/>
          <w:szCs w:val="24"/>
        </w:rPr>
        <w:br w:type="page"/>
      </w:r>
      <w:bookmarkStart w:id="145" w:name="_Toc528078066"/>
      <w:bookmarkEnd w:id="145"/>
      <w:bookmarkStart w:id="146" w:name="_Toc394651921"/>
      <w:bookmarkEnd w:id="146"/>
      <w:bookmarkStart w:id="147" w:name="_Toc27687"/>
      <w:bookmarkEnd w:id="147"/>
      <w:bookmarkStart w:id="148" w:name="_Toc19996"/>
      <w:r>
        <w:rPr>
          <w:rFonts w:hint="eastAsia" w:ascii="宋体" w:hAnsi="宋体" w:cs="宋体"/>
          <w:bCs/>
          <w:szCs w:val="24"/>
        </w:rPr>
        <w:t>一、</w:t>
      </w:r>
      <w:bookmarkEnd w:id="148"/>
      <w:r>
        <w:rPr>
          <w:rFonts w:hint="eastAsia" w:ascii="宋体" w:hAnsi="宋体" w:cs="宋体"/>
          <w:bCs/>
          <w:szCs w:val="24"/>
        </w:rPr>
        <w:t>投标函</w:t>
      </w:r>
      <w:bookmarkStart w:id="149" w:name="_Toc246997100"/>
      <w:bookmarkEnd w:id="149"/>
      <w:bookmarkStart w:id="150" w:name="_Toc152042578"/>
      <w:bookmarkEnd w:id="150"/>
      <w:bookmarkStart w:id="151" w:name="_Toc179632809"/>
      <w:bookmarkEnd w:id="151"/>
      <w:bookmarkStart w:id="152" w:name="_Toc144974858"/>
      <w:bookmarkEnd w:id="152"/>
      <w:bookmarkStart w:id="153" w:name="_Toc246996357"/>
      <w:bookmarkEnd w:id="153"/>
      <w:bookmarkStart w:id="154" w:name="_Toc19389"/>
      <w:bookmarkEnd w:id="154"/>
      <w:bookmarkStart w:id="155" w:name="_Toc394651922"/>
      <w:bookmarkEnd w:id="155"/>
      <w:bookmarkStart w:id="156" w:name="_Toc152045789"/>
      <w:bookmarkEnd w:id="156"/>
      <w:bookmarkStart w:id="157" w:name="_Toc247085875"/>
      <w:bookmarkEnd w:id="157"/>
    </w:p>
    <w:p w14:paraId="7D97179D">
      <w:pPr>
        <w:pStyle w:val="13"/>
        <w:spacing w:beforeAutospacing="0" w:afterAutospacing="0" w:line="440" w:lineRule="exact"/>
        <w:rPr>
          <w:rFonts w:cs="宋体"/>
        </w:rPr>
      </w:pPr>
      <w:r>
        <w:rPr>
          <w:rFonts w:hint="eastAsia" w:cs="宋体"/>
        </w:rPr>
        <w:t>致：</w:t>
      </w:r>
      <w:r>
        <w:rPr>
          <w:rFonts w:hint="eastAsia" w:cs="宋体"/>
          <w:u w:val="single"/>
        </w:rPr>
        <w:t xml:space="preserve">                   </w:t>
      </w:r>
      <w:r>
        <w:rPr>
          <w:rFonts w:hint="eastAsia" w:cs="宋体"/>
        </w:rPr>
        <w:tab/>
      </w:r>
      <w:r>
        <w:rPr>
          <w:rFonts w:hint="eastAsia" w:cs="宋体"/>
        </w:rPr>
        <w:t xml:space="preserve">(采购人名称） </w:t>
      </w:r>
      <w:r>
        <w:rPr>
          <w:rFonts w:hint="eastAsia" w:cs="宋体"/>
        </w:rPr>
        <w:tab/>
      </w:r>
    </w:p>
    <w:p w14:paraId="4CFAD4EF">
      <w:pPr>
        <w:pStyle w:val="13"/>
        <w:spacing w:beforeAutospacing="0" w:afterAutospacing="0" w:line="440" w:lineRule="exact"/>
        <w:ind w:firstLine="480" w:firstLineChars="200"/>
        <w:rPr>
          <w:rFonts w:cs="宋体"/>
        </w:rPr>
      </w:pPr>
      <w:r>
        <w:rPr>
          <w:rFonts w:hint="eastAsia" w:cs="宋体"/>
        </w:rPr>
        <w:t>根据已收到贵方的采购项目编号为</w:t>
      </w:r>
      <w:r>
        <w:rPr>
          <w:rFonts w:hint="eastAsia" w:cs="宋体"/>
          <w:u w:val="single"/>
        </w:rPr>
        <w:t xml:space="preserve">               </w:t>
      </w:r>
      <w:r>
        <w:rPr>
          <w:rFonts w:hint="eastAsia" w:cs="宋体"/>
        </w:rPr>
        <w:t>的</w:t>
      </w:r>
      <w:r>
        <w:rPr>
          <w:rFonts w:hint="eastAsia" w:cs="宋体"/>
          <w:u w:val="single"/>
        </w:rPr>
        <w:t xml:space="preserve">      </w:t>
      </w:r>
      <w:r>
        <w:rPr>
          <w:rFonts w:hint="eastAsia" w:cs="宋体"/>
          <w:u w:val="single"/>
          <w:lang w:val="en-US" w:eastAsia="zh-CN"/>
        </w:rPr>
        <w:t xml:space="preserve">  </w:t>
      </w:r>
      <w:r>
        <w:rPr>
          <w:rFonts w:hint="eastAsia" w:cs="宋体"/>
        </w:rPr>
        <w:t>（项目名称）</w:t>
      </w:r>
      <w:r>
        <w:rPr>
          <w:rFonts w:hint="eastAsia" w:cs="宋体"/>
          <w:u w:val="single"/>
        </w:rPr>
        <w:t xml:space="preserve">       </w:t>
      </w:r>
      <w:r>
        <w:rPr>
          <w:rFonts w:hint="eastAsia" w:cs="宋体"/>
          <w:u w:val="single"/>
          <w:lang w:val="en-US" w:eastAsia="zh-CN"/>
        </w:rPr>
        <w:t>标段</w:t>
      </w:r>
      <w:r>
        <w:rPr>
          <w:rFonts w:hint="eastAsia" w:cs="宋体"/>
        </w:rPr>
        <w:t>招标文件，经详细研究，我们决定参加该项目的招标采购活动并按要求提交投标文件。我们郑重声明以下诸点并负法律责任:</w:t>
      </w:r>
    </w:p>
    <w:p w14:paraId="72383333">
      <w:pPr>
        <w:pStyle w:val="13"/>
        <w:widowControl/>
        <w:wordWrap w:val="0"/>
        <w:spacing w:beforeAutospacing="0" w:afterAutospacing="0" w:line="440" w:lineRule="exact"/>
        <w:ind w:firstLine="480" w:firstLineChars="200"/>
        <w:rPr>
          <w:rFonts w:cs="宋体"/>
        </w:rPr>
      </w:pPr>
      <w:r>
        <w:rPr>
          <w:rFonts w:hint="eastAsia" w:cs="宋体"/>
        </w:rPr>
        <w:t>(1)</w:t>
      </w:r>
      <w:r>
        <w:rPr>
          <w:rFonts w:hint="eastAsia" w:ascii="宋体" w:hAnsi="宋体" w:eastAsia="宋体"/>
          <w:sz w:val="24"/>
          <w:szCs w:val="24"/>
        </w:rPr>
        <w:t>我方愿以人民币</w:t>
      </w:r>
      <w:r>
        <w:rPr>
          <w:rFonts w:hint="eastAsia" w:ascii="宋体" w:hAnsi="宋体" w:eastAsia="宋体"/>
          <w:sz w:val="24"/>
          <w:szCs w:val="24"/>
          <w:u w:val="single"/>
        </w:rPr>
        <w:t xml:space="preserve">（大写）          （小写：       </w:t>
      </w:r>
      <w:r>
        <w:rPr>
          <w:rFonts w:hint="eastAsia" w:ascii="宋体" w:hAnsi="宋体" w:eastAsia="宋体"/>
          <w:sz w:val="24"/>
          <w:szCs w:val="24"/>
        </w:rPr>
        <w:t>元）的投标报价承包上述项目的采购</w:t>
      </w:r>
      <w:r>
        <w:rPr>
          <w:rFonts w:hint="eastAsia" w:ascii="宋体" w:hAnsi="宋体" w:eastAsia="宋体"/>
          <w:sz w:val="24"/>
          <w:szCs w:val="24"/>
          <w:lang w:eastAsia="zh-CN"/>
        </w:rPr>
        <w:t>，</w:t>
      </w:r>
      <w:r>
        <w:rPr>
          <w:rFonts w:hint="eastAsia" w:ascii="宋体" w:hAnsi="宋体" w:eastAsia="宋体"/>
          <w:sz w:val="24"/>
          <w:szCs w:val="24"/>
        </w:rPr>
        <w:t>为该项目提供相应的</w:t>
      </w:r>
      <w:r>
        <w:rPr>
          <w:rFonts w:hint="eastAsia" w:ascii="宋体" w:hAnsi="宋体" w:eastAsia="宋体"/>
          <w:sz w:val="24"/>
          <w:szCs w:val="24"/>
          <w:lang w:eastAsia="zh-CN"/>
        </w:rPr>
        <w:t>采购</w:t>
      </w:r>
      <w:r>
        <w:rPr>
          <w:rFonts w:hint="eastAsia" w:ascii="宋体" w:hAnsi="宋体" w:eastAsia="宋体"/>
          <w:sz w:val="24"/>
          <w:szCs w:val="24"/>
        </w:rPr>
        <w:t>服务</w:t>
      </w:r>
      <w:r>
        <w:rPr>
          <w:rFonts w:hint="eastAsia" w:cs="宋体"/>
        </w:rPr>
        <w:t>全部工作，供货期为</w:t>
      </w:r>
      <w:r>
        <w:rPr>
          <w:rFonts w:hint="eastAsia" w:cs="宋体"/>
          <w:u w:val="single"/>
        </w:rPr>
        <w:t xml:space="preserve">              </w:t>
      </w:r>
      <w:r>
        <w:rPr>
          <w:rFonts w:hint="eastAsia" w:cs="宋体"/>
        </w:rPr>
        <w:t>,质量要求：</w:t>
      </w:r>
      <w:r>
        <w:rPr>
          <w:rFonts w:hint="eastAsia" w:cs="宋体"/>
          <w:u w:val="single"/>
        </w:rPr>
        <w:t xml:space="preserve">            </w:t>
      </w:r>
      <w:r>
        <w:rPr>
          <w:rFonts w:hint="eastAsia" w:cs="宋体"/>
        </w:rPr>
        <w:t>。</w:t>
      </w:r>
    </w:p>
    <w:p w14:paraId="28AC6263">
      <w:pPr>
        <w:pStyle w:val="13"/>
        <w:widowControl/>
        <w:wordWrap w:val="0"/>
        <w:spacing w:beforeAutospacing="0" w:afterAutospacing="0" w:line="440" w:lineRule="exact"/>
        <w:ind w:firstLine="480" w:firstLineChars="200"/>
        <w:rPr>
          <w:rFonts w:cs="宋体"/>
        </w:rPr>
      </w:pPr>
      <w:r>
        <w:rPr>
          <w:rFonts w:hint="eastAsia" w:cs="宋体"/>
        </w:rPr>
        <w:t>(2)如果我们的投标文件被接受，我们将履行招标文件中规定的各项要求。</w:t>
      </w:r>
    </w:p>
    <w:p w14:paraId="428C7550">
      <w:pPr>
        <w:pStyle w:val="13"/>
        <w:spacing w:beforeAutospacing="0" w:afterAutospacing="0" w:line="440" w:lineRule="exact"/>
        <w:ind w:firstLine="480" w:firstLineChars="200"/>
        <w:rPr>
          <w:rFonts w:cs="宋体"/>
        </w:rPr>
      </w:pPr>
      <w:r>
        <w:rPr>
          <w:rFonts w:hint="eastAsia" w:cs="宋体"/>
        </w:rPr>
        <w:t>(3)我们同意本招标文件中有关有效期的规定。如果成交，有效期延长至合同终止日止。</w:t>
      </w:r>
    </w:p>
    <w:p w14:paraId="222377E2">
      <w:pPr>
        <w:pStyle w:val="13"/>
        <w:spacing w:beforeAutospacing="0" w:afterAutospacing="0" w:line="440" w:lineRule="exact"/>
        <w:ind w:firstLine="480" w:firstLineChars="200"/>
        <w:rPr>
          <w:rFonts w:cs="宋体"/>
        </w:rPr>
      </w:pPr>
      <w:r>
        <w:rPr>
          <w:rFonts w:hint="eastAsia" w:cs="宋体"/>
        </w:rPr>
        <w:t>(4)我们愿提供招标文件中要求的所有文件资料。</w:t>
      </w:r>
    </w:p>
    <w:p w14:paraId="3889F81F">
      <w:pPr>
        <w:pStyle w:val="13"/>
        <w:spacing w:beforeAutospacing="0" w:afterAutospacing="0" w:line="440" w:lineRule="exact"/>
        <w:ind w:firstLine="480" w:firstLineChars="200"/>
        <w:rPr>
          <w:rFonts w:cs="宋体"/>
        </w:rPr>
      </w:pPr>
      <w:r>
        <w:rPr>
          <w:rFonts w:hint="eastAsia" w:cs="宋体"/>
        </w:rPr>
        <w:t xml:space="preserve">(5)我们已经详细审核了全部招标文件，如有需要澄清的问题，我们同意按招标文件规定的时间向采购人提出。逾期不提，我公司同意放弃对这方面有不明及误解的权利。 </w:t>
      </w:r>
    </w:p>
    <w:p w14:paraId="0752254A">
      <w:pPr>
        <w:pStyle w:val="13"/>
        <w:spacing w:beforeAutospacing="0" w:afterAutospacing="0" w:line="440" w:lineRule="exact"/>
        <w:ind w:firstLine="480" w:firstLineChars="200"/>
        <w:rPr>
          <w:rFonts w:cs="宋体"/>
        </w:rPr>
      </w:pPr>
      <w:r>
        <w:rPr>
          <w:rFonts w:hint="eastAsia" w:cs="宋体"/>
        </w:rPr>
        <w:t>(</w:t>
      </w:r>
      <w:r>
        <w:rPr>
          <w:rFonts w:hint="eastAsia" w:cs="宋体"/>
          <w:lang w:val="en-US" w:eastAsia="zh-CN"/>
        </w:rPr>
        <w:t>6</w:t>
      </w:r>
      <w:r>
        <w:rPr>
          <w:rFonts w:hint="eastAsia" w:cs="宋体"/>
        </w:rPr>
        <w:t>我公司同意提供按照采购人可能要求的与其采购响应有关的一切数据或资料，完全理解采购人不一定接受最低价的投标或收到的任何投标。</w:t>
      </w:r>
    </w:p>
    <w:p w14:paraId="5D9F4811">
      <w:pPr>
        <w:pStyle w:val="13"/>
        <w:spacing w:beforeAutospacing="0" w:afterAutospacing="0" w:line="440" w:lineRule="exact"/>
        <w:ind w:firstLine="480" w:firstLineChars="200"/>
        <w:rPr>
          <w:rFonts w:cs="宋体"/>
        </w:rPr>
      </w:pPr>
      <w:r>
        <w:rPr>
          <w:rFonts w:hint="eastAsia" w:cs="宋体"/>
        </w:rPr>
        <w:t>(</w:t>
      </w:r>
      <w:r>
        <w:rPr>
          <w:rFonts w:hint="eastAsia" w:cs="宋体"/>
          <w:lang w:val="en-US" w:eastAsia="zh-CN"/>
        </w:rPr>
        <w:t>7</w:t>
      </w:r>
      <w:r>
        <w:rPr>
          <w:rFonts w:hint="eastAsia" w:cs="宋体"/>
        </w:rPr>
        <w:t>)我们愿按《中华人民共和国民法典》履行自己的全部责任。</w:t>
      </w:r>
    </w:p>
    <w:p w14:paraId="642962C0">
      <w:pPr>
        <w:spacing w:line="440" w:lineRule="exact"/>
        <w:ind w:firstLine="4200" w:firstLineChars="1750"/>
        <w:rPr>
          <w:rFonts w:ascii="宋体" w:hAnsi="宋体" w:cs="宋体"/>
          <w:sz w:val="24"/>
        </w:rPr>
      </w:pPr>
    </w:p>
    <w:p w14:paraId="3129E8CD">
      <w:pPr>
        <w:spacing w:line="440" w:lineRule="exact"/>
        <w:ind w:firstLine="4200" w:firstLineChars="1750"/>
        <w:rPr>
          <w:rFonts w:ascii="宋体" w:hAnsi="宋体" w:cs="宋体"/>
          <w:sz w:val="24"/>
        </w:rPr>
      </w:pPr>
      <w:r>
        <w:rPr>
          <w:rFonts w:hint="eastAsia" w:ascii="宋体" w:hAnsi="宋体" w:cs="宋体"/>
          <w:sz w:val="24"/>
        </w:rPr>
        <w:t>供应商：（盖单位章）</w:t>
      </w:r>
    </w:p>
    <w:p w14:paraId="0B240AF9">
      <w:pPr>
        <w:spacing w:line="440" w:lineRule="exact"/>
        <w:ind w:firstLine="4200" w:firstLineChars="1750"/>
        <w:rPr>
          <w:rFonts w:ascii="宋体" w:hAnsi="宋体" w:cs="宋体"/>
          <w:sz w:val="24"/>
        </w:rPr>
      </w:pPr>
      <w:r>
        <w:rPr>
          <w:rFonts w:hint="eastAsia" w:ascii="宋体" w:hAnsi="宋体" w:cs="宋体"/>
          <w:sz w:val="24"/>
        </w:rPr>
        <w:t>法定代表人：（</w:t>
      </w:r>
      <w:r>
        <w:rPr>
          <w:rFonts w:hint="eastAsia" w:ascii="宋体" w:hAnsi="宋体" w:eastAsia="宋体" w:cs="宋体"/>
          <w:sz w:val="24"/>
          <w:szCs w:val="24"/>
        </w:rPr>
        <w:t>电子签章</w:t>
      </w:r>
      <w:r>
        <w:rPr>
          <w:rFonts w:hint="eastAsia" w:ascii="宋体" w:hAnsi="宋体" w:cs="宋体"/>
          <w:sz w:val="24"/>
        </w:rPr>
        <w:t>）</w:t>
      </w:r>
    </w:p>
    <w:p w14:paraId="3ACC6426">
      <w:pPr>
        <w:spacing w:line="440" w:lineRule="exact"/>
        <w:ind w:firstLine="4200" w:firstLineChars="1750"/>
        <w:rPr>
          <w:rFonts w:ascii="宋体" w:hAnsi="宋体" w:cs="宋体"/>
          <w:sz w:val="24"/>
        </w:rPr>
      </w:pPr>
      <w:r>
        <w:rPr>
          <w:rFonts w:hint="eastAsia" w:ascii="宋体" w:hAnsi="宋体" w:cs="宋体"/>
          <w:sz w:val="24"/>
        </w:rPr>
        <w:t>地址：</w:t>
      </w:r>
    </w:p>
    <w:p w14:paraId="272D7B38">
      <w:pPr>
        <w:spacing w:line="440" w:lineRule="exact"/>
        <w:ind w:firstLine="4200" w:firstLineChars="1750"/>
        <w:rPr>
          <w:rFonts w:ascii="宋体" w:hAnsi="宋体" w:cs="宋体"/>
          <w:sz w:val="24"/>
        </w:rPr>
      </w:pPr>
      <w:r>
        <w:rPr>
          <w:rFonts w:hint="eastAsia" w:ascii="宋体" w:hAnsi="宋体" w:cs="宋体"/>
          <w:sz w:val="24"/>
        </w:rPr>
        <w:t>电话：</w:t>
      </w:r>
    </w:p>
    <w:p w14:paraId="77EC6BA6">
      <w:pPr>
        <w:spacing w:line="440" w:lineRule="exact"/>
        <w:ind w:firstLine="4200" w:firstLineChars="1750"/>
        <w:rPr>
          <w:rFonts w:ascii="宋体" w:hAnsi="宋体" w:cs="宋体"/>
          <w:sz w:val="24"/>
        </w:rPr>
      </w:pPr>
      <w:r>
        <w:rPr>
          <w:rFonts w:hint="eastAsia" w:ascii="宋体" w:hAnsi="宋体" w:cs="宋体"/>
          <w:sz w:val="24"/>
        </w:rPr>
        <w:t>年  月  日</w:t>
      </w:r>
      <w:bookmarkStart w:id="158" w:name="_Toc394651923"/>
      <w:bookmarkEnd w:id="158"/>
      <w:bookmarkStart w:id="159" w:name="_Toc27200"/>
      <w:bookmarkEnd w:id="159"/>
      <w:bookmarkStart w:id="160" w:name="_Toc179632810"/>
      <w:bookmarkEnd w:id="160"/>
      <w:bookmarkStart w:id="161" w:name="_Toc152042579"/>
      <w:bookmarkEnd w:id="161"/>
      <w:bookmarkStart w:id="162" w:name="_Toc246997101"/>
      <w:bookmarkEnd w:id="162"/>
      <w:bookmarkStart w:id="163" w:name="_Toc152045790"/>
      <w:bookmarkEnd w:id="163"/>
      <w:bookmarkStart w:id="164" w:name="_Toc144974859"/>
      <w:bookmarkEnd w:id="164"/>
      <w:bookmarkStart w:id="165" w:name="_Toc246996358"/>
      <w:bookmarkEnd w:id="165"/>
    </w:p>
    <w:p w14:paraId="5CFC4F81">
      <w:pPr>
        <w:jc w:val="center"/>
        <w:rPr>
          <w:rFonts w:ascii="宋体" w:hAnsi="宋体" w:cs="宋体"/>
          <w:b/>
          <w:bCs/>
          <w:sz w:val="24"/>
        </w:rPr>
      </w:pPr>
      <w:r>
        <w:rPr>
          <w:rFonts w:hint="eastAsia" w:ascii="宋体" w:hAnsi="宋体" w:cs="宋体"/>
          <w:b/>
          <w:bCs/>
          <w:sz w:val="24"/>
        </w:rPr>
        <w:br w:type="page"/>
      </w:r>
      <w:bookmarkStart w:id="166" w:name="_Toc528078068"/>
      <w:bookmarkEnd w:id="166"/>
    </w:p>
    <w:p w14:paraId="0148FC09">
      <w:pPr>
        <w:jc w:val="center"/>
        <w:rPr>
          <w:rFonts w:ascii="宋体" w:hAnsi="宋体" w:cs="宋体"/>
          <w:b/>
          <w:bCs/>
          <w:sz w:val="24"/>
        </w:rPr>
      </w:pPr>
      <w:r>
        <w:rPr>
          <w:rFonts w:hint="eastAsia" w:ascii="宋体" w:hAnsi="宋体" w:cs="宋体"/>
          <w:b/>
          <w:bCs/>
          <w:sz w:val="24"/>
        </w:rPr>
        <w:t>1.投标报价一览表</w:t>
      </w:r>
    </w:p>
    <w:tbl>
      <w:tblPr>
        <w:tblStyle w:val="17"/>
        <w:tblW w:w="9288" w:type="dxa"/>
        <w:tblInd w:w="96" w:type="dxa"/>
        <w:tblLayout w:type="fixed"/>
        <w:tblCellMar>
          <w:top w:w="0" w:type="dxa"/>
          <w:left w:w="0" w:type="dxa"/>
          <w:bottom w:w="0" w:type="dxa"/>
          <w:right w:w="0" w:type="dxa"/>
        </w:tblCellMar>
      </w:tblPr>
      <w:tblGrid>
        <w:gridCol w:w="2065"/>
        <w:gridCol w:w="2783"/>
        <w:gridCol w:w="2220"/>
        <w:gridCol w:w="2220"/>
      </w:tblGrid>
      <w:tr w14:paraId="401F0E53">
        <w:tblPrEx>
          <w:tblCellMar>
            <w:top w:w="0" w:type="dxa"/>
            <w:left w:w="0" w:type="dxa"/>
            <w:bottom w:w="0" w:type="dxa"/>
            <w:right w:w="0" w:type="dxa"/>
          </w:tblCellMar>
        </w:tblPrEx>
        <w:trPr>
          <w:trHeight w:val="669"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5919B422">
            <w:pPr>
              <w:pStyle w:val="25"/>
              <w:spacing w:before="137"/>
              <w:jc w:val="center"/>
              <w:rPr>
                <w:rFonts w:ascii="宋体" w:hAnsi="宋体" w:cs="宋体"/>
                <w:sz w:val="24"/>
              </w:rPr>
            </w:pPr>
            <w:r>
              <w:rPr>
                <w:rFonts w:hint="eastAsia" w:ascii="宋体" w:hAnsi="宋体" w:cs="宋体"/>
                <w:sz w:val="24"/>
              </w:rPr>
              <w:t>供应商名称</w:t>
            </w:r>
          </w:p>
        </w:tc>
        <w:tc>
          <w:tcPr>
            <w:tcW w:w="7223" w:type="dxa"/>
            <w:gridSpan w:val="3"/>
            <w:tcBorders>
              <w:top w:val="single" w:color="000000" w:sz="4" w:space="0"/>
              <w:left w:val="single" w:color="000000" w:sz="4" w:space="0"/>
              <w:bottom w:val="single" w:color="000000" w:sz="4" w:space="0"/>
              <w:right w:val="single" w:color="000000" w:sz="4" w:space="0"/>
            </w:tcBorders>
          </w:tcPr>
          <w:p w14:paraId="5C8356F6">
            <w:pPr>
              <w:rPr>
                <w:rFonts w:ascii="宋体" w:hAnsi="宋体" w:cs="宋体"/>
                <w:sz w:val="24"/>
              </w:rPr>
            </w:pPr>
          </w:p>
        </w:tc>
      </w:tr>
      <w:tr w14:paraId="3A95DB94">
        <w:tblPrEx>
          <w:tblCellMar>
            <w:top w:w="0" w:type="dxa"/>
            <w:left w:w="0" w:type="dxa"/>
            <w:bottom w:w="0" w:type="dxa"/>
            <w:right w:w="0" w:type="dxa"/>
          </w:tblCellMar>
        </w:tblPrEx>
        <w:trPr>
          <w:trHeight w:val="662"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56CEAB4E">
            <w:pPr>
              <w:widowControl/>
              <w:autoSpaceDE w:val="0"/>
              <w:autoSpaceDN w:val="0"/>
              <w:spacing w:before="0" w:beforeLines="0" w:beforeAutospacing="0" w:afterAutospacing="0"/>
              <w:ind w:left="0" w:leftChars="0" w:right="0" w:rightChars="0"/>
              <w:jc w:val="center"/>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供应商地址</w:t>
            </w:r>
          </w:p>
        </w:tc>
        <w:tc>
          <w:tcPr>
            <w:tcW w:w="7223" w:type="dxa"/>
            <w:gridSpan w:val="3"/>
            <w:tcBorders>
              <w:top w:val="single" w:color="000000" w:sz="4" w:space="0"/>
              <w:left w:val="single" w:color="000000" w:sz="4" w:space="0"/>
              <w:bottom w:val="single" w:color="000000" w:sz="4" w:space="0"/>
              <w:right w:val="single" w:color="000000" w:sz="4" w:space="0"/>
            </w:tcBorders>
          </w:tcPr>
          <w:p w14:paraId="77F484FA">
            <w:pPr>
              <w:rPr>
                <w:rFonts w:ascii="宋体" w:hAnsi="宋体" w:cs="宋体"/>
                <w:sz w:val="24"/>
              </w:rPr>
            </w:pPr>
          </w:p>
        </w:tc>
      </w:tr>
      <w:tr w14:paraId="0AADAFA5">
        <w:tblPrEx>
          <w:tblCellMar>
            <w:top w:w="0" w:type="dxa"/>
            <w:left w:w="0" w:type="dxa"/>
            <w:bottom w:w="0" w:type="dxa"/>
            <w:right w:w="0" w:type="dxa"/>
          </w:tblCellMar>
        </w:tblPrEx>
        <w:trPr>
          <w:trHeight w:val="662"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75E8C8CA">
            <w:pPr>
              <w:widowControl/>
              <w:autoSpaceDE w:val="0"/>
              <w:autoSpaceDN w:val="0"/>
              <w:spacing w:before="0" w:beforeLines="0" w:beforeAutospacing="0" w:afterAutospacing="0"/>
              <w:ind w:left="0" w:leftChars="0" w:right="0" w:rightChars="0"/>
              <w:jc w:val="center"/>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统一信用代码</w:t>
            </w:r>
          </w:p>
        </w:tc>
        <w:tc>
          <w:tcPr>
            <w:tcW w:w="7223" w:type="dxa"/>
            <w:gridSpan w:val="3"/>
            <w:tcBorders>
              <w:top w:val="single" w:color="000000" w:sz="4" w:space="0"/>
              <w:left w:val="single" w:color="000000" w:sz="4" w:space="0"/>
              <w:bottom w:val="single" w:color="000000" w:sz="4" w:space="0"/>
              <w:right w:val="single" w:color="000000" w:sz="4" w:space="0"/>
            </w:tcBorders>
          </w:tcPr>
          <w:p w14:paraId="48739BBC">
            <w:pPr>
              <w:rPr>
                <w:rFonts w:ascii="宋体" w:hAnsi="宋体" w:cs="宋体"/>
                <w:sz w:val="24"/>
              </w:rPr>
            </w:pPr>
          </w:p>
        </w:tc>
      </w:tr>
      <w:tr w14:paraId="798C7E4F">
        <w:tblPrEx>
          <w:tblCellMar>
            <w:top w:w="0" w:type="dxa"/>
            <w:left w:w="0" w:type="dxa"/>
            <w:bottom w:w="0" w:type="dxa"/>
            <w:right w:w="0" w:type="dxa"/>
          </w:tblCellMar>
        </w:tblPrEx>
        <w:trPr>
          <w:trHeight w:val="662"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57F3F5F2">
            <w:pPr>
              <w:pStyle w:val="25"/>
              <w:spacing w:before="136"/>
              <w:jc w:val="center"/>
              <w:rPr>
                <w:rFonts w:ascii="宋体" w:hAnsi="宋体" w:cs="宋体"/>
                <w:sz w:val="24"/>
              </w:rPr>
            </w:pPr>
            <w:r>
              <w:rPr>
                <w:rFonts w:hint="eastAsia" w:ascii="宋体" w:hAnsi="宋体" w:cs="宋体"/>
                <w:sz w:val="24"/>
              </w:rPr>
              <w:t>项目名称</w:t>
            </w:r>
          </w:p>
        </w:tc>
        <w:tc>
          <w:tcPr>
            <w:tcW w:w="7223" w:type="dxa"/>
            <w:gridSpan w:val="3"/>
            <w:tcBorders>
              <w:top w:val="single" w:color="000000" w:sz="4" w:space="0"/>
              <w:left w:val="single" w:color="000000" w:sz="4" w:space="0"/>
              <w:bottom w:val="single" w:color="000000" w:sz="4" w:space="0"/>
              <w:right w:val="single" w:color="000000" w:sz="4" w:space="0"/>
            </w:tcBorders>
          </w:tcPr>
          <w:p w14:paraId="5D6F3DAA">
            <w:pPr>
              <w:rPr>
                <w:rFonts w:ascii="宋体" w:hAnsi="宋体" w:cs="宋体"/>
                <w:sz w:val="24"/>
              </w:rPr>
            </w:pPr>
          </w:p>
        </w:tc>
      </w:tr>
      <w:tr w14:paraId="15A24956">
        <w:tblPrEx>
          <w:tblCellMar>
            <w:top w:w="0" w:type="dxa"/>
            <w:left w:w="0" w:type="dxa"/>
            <w:bottom w:w="0" w:type="dxa"/>
            <w:right w:w="0" w:type="dxa"/>
          </w:tblCellMar>
        </w:tblPrEx>
        <w:trPr>
          <w:trHeight w:val="692"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6588A164">
            <w:pPr>
              <w:pStyle w:val="25"/>
              <w:spacing w:before="136"/>
              <w:jc w:val="center"/>
              <w:rPr>
                <w:rFonts w:ascii="宋体" w:hAnsi="宋体" w:cs="宋体"/>
                <w:sz w:val="24"/>
              </w:rPr>
            </w:pPr>
            <w:r>
              <w:rPr>
                <w:rFonts w:hint="eastAsia" w:ascii="宋体" w:hAnsi="宋体" w:cs="宋体"/>
                <w:sz w:val="24"/>
              </w:rPr>
              <w:t>项目编号</w:t>
            </w:r>
          </w:p>
        </w:tc>
        <w:tc>
          <w:tcPr>
            <w:tcW w:w="7223" w:type="dxa"/>
            <w:gridSpan w:val="3"/>
            <w:tcBorders>
              <w:top w:val="single" w:color="000000" w:sz="4" w:space="0"/>
              <w:left w:val="single" w:color="000000" w:sz="4" w:space="0"/>
              <w:bottom w:val="single" w:color="000000" w:sz="4" w:space="0"/>
              <w:right w:val="single" w:color="000000" w:sz="4" w:space="0"/>
            </w:tcBorders>
          </w:tcPr>
          <w:p w14:paraId="4FD0616E">
            <w:pPr>
              <w:rPr>
                <w:rFonts w:ascii="宋体" w:hAnsi="宋体" w:cs="宋体"/>
                <w:sz w:val="24"/>
              </w:rPr>
            </w:pPr>
          </w:p>
        </w:tc>
      </w:tr>
      <w:tr w14:paraId="2567C2C7">
        <w:tblPrEx>
          <w:tblCellMar>
            <w:top w:w="0" w:type="dxa"/>
            <w:left w:w="0" w:type="dxa"/>
            <w:bottom w:w="0" w:type="dxa"/>
            <w:right w:w="0" w:type="dxa"/>
          </w:tblCellMar>
        </w:tblPrEx>
        <w:trPr>
          <w:trHeight w:val="1466"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08BE67BA">
            <w:pPr>
              <w:spacing w:line="360" w:lineRule="auto"/>
              <w:jc w:val="center"/>
              <w:rPr>
                <w:rFonts w:ascii="宋体" w:hAnsi="宋体" w:cs="宋体"/>
                <w:sz w:val="24"/>
              </w:rPr>
            </w:pPr>
          </w:p>
          <w:p w14:paraId="1F3FA725">
            <w:pPr>
              <w:spacing w:line="360" w:lineRule="auto"/>
              <w:jc w:val="center"/>
              <w:rPr>
                <w:rFonts w:ascii="宋体" w:hAnsi="宋体" w:cs="宋体"/>
                <w:sz w:val="24"/>
              </w:rPr>
            </w:pPr>
            <w:r>
              <w:rPr>
                <w:rFonts w:hint="eastAsia" w:ascii="宋体" w:hAnsi="宋体" w:cs="宋体"/>
                <w:sz w:val="24"/>
              </w:rPr>
              <w:t>投标报价（元）</w:t>
            </w:r>
          </w:p>
          <w:p w14:paraId="2A18B9AE">
            <w:pPr>
              <w:pStyle w:val="25"/>
              <w:spacing w:before="135"/>
              <w:jc w:val="center"/>
              <w:rPr>
                <w:rFonts w:ascii="宋体" w:hAnsi="宋体" w:cs="宋体"/>
                <w:sz w:val="24"/>
              </w:rPr>
            </w:pPr>
          </w:p>
        </w:tc>
        <w:tc>
          <w:tcPr>
            <w:tcW w:w="7223" w:type="dxa"/>
            <w:gridSpan w:val="3"/>
            <w:tcBorders>
              <w:top w:val="single" w:color="000000" w:sz="4" w:space="0"/>
              <w:left w:val="single" w:color="000000" w:sz="4" w:space="0"/>
              <w:bottom w:val="single" w:color="000000" w:sz="4" w:space="0"/>
              <w:right w:val="single" w:color="000000" w:sz="4" w:space="0"/>
            </w:tcBorders>
          </w:tcPr>
          <w:p w14:paraId="038A3282">
            <w:pPr>
              <w:rPr>
                <w:rFonts w:ascii="宋体" w:hAnsi="宋体" w:cs="宋体"/>
                <w:sz w:val="24"/>
              </w:rPr>
            </w:pPr>
          </w:p>
          <w:p w14:paraId="093E2B6C">
            <w:pPr>
              <w:rPr>
                <w:rFonts w:ascii="宋体" w:hAnsi="宋体" w:cs="宋体"/>
                <w:sz w:val="24"/>
              </w:rPr>
            </w:pPr>
            <w:r>
              <w:rPr>
                <w:rFonts w:hint="eastAsia" w:ascii="宋体" w:hAnsi="宋体" w:cs="宋体"/>
                <w:sz w:val="24"/>
              </w:rPr>
              <w:t>大写：</w:t>
            </w:r>
          </w:p>
          <w:p w14:paraId="79D58962">
            <w:pPr>
              <w:rPr>
                <w:rFonts w:ascii="宋体" w:hAnsi="宋体" w:cs="宋体"/>
                <w:sz w:val="24"/>
              </w:rPr>
            </w:pPr>
          </w:p>
          <w:p w14:paraId="45DC66D7">
            <w:pPr>
              <w:rPr>
                <w:rFonts w:ascii="宋体" w:hAnsi="宋体" w:cs="宋体"/>
                <w:sz w:val="24"/>
              </w:rPr>
            </w:pPr>
            <w:r>
              <w:rPr>
                <w:rFonts w:hint="eastAsia" w:ascii="宋体" w:hAnsi="宋体" w:cs="宋体"/>
                <w:sz w:val="24"/>
              </w:rPr>
              <w:t>小写：</w:t>
            </w:r>
          </w:p>
        </w:tc>
      </w:tr>
      <w:tr w14:paraId="61672F1B">
        <w:tblPrEx>
          <w:tblCellMar>
            <w:top w:w="0" w:type="dxa"/>
            <w:left w:w="0" w:type="dxa"/>
            <w:bottom w:w="0" w:type="dxa"/>
            <w:right w:w="0" w:type="dxa"/>
          </w:tblCellMar>
        </w:tblPrEx>
        <w:trPr>
          <w:trHeight w:val="737"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3CB115F3">
            <w:pPr>
              <w:pStyle w:val="25"/>
              <w:spacing w:before="136"/>
              <w:jc w:val="center"/>
              <w:rPr>
                <w:rFonts w:ascii="宋体" w:hAnsi="宋体" w:cs="宋体"/>
                <w:sz w:val="24"/>
              </w:rPr>
            </w:pPr>
            <w:r>
              <w:rPr>
                <w:rFonts w:hint="eastAsia" w:ascii="宋体" w:hAnsi="宋体" w:cs="宋体"/>
                <w:sz w:val="24"/>
              </w:rPr>
              <w:t>项目负责人</w:t>
            </w:r>
          </w:p>
        </w:tc>
        <w:tc>
          <w:tcPr>
            <w:tcW w:w="2783" w:type="dxa"/>
            <w:tcBorders>
              <w:top w:val="single" w:color="000000" w:sz="4" w:space="0"/>
              <w:left w:val="single" w:color="000000" w:sz="4" w:space="0"/>
              <w:bottom w:val="single" w:color="000000" w:sz="4" w:space="0"/>
              <w:right w:val="single" w:color="000000" w:sz="4" w:space="0"/>
            </w:tcBorders>
          </w:tcPr>
          <w:p w14:paraId="73A7D304">
            <w:pPr>
              <w:rPr>
                <w:rFonts w:ascii="宋体" w:hAnsi="宋体" w:cs="宋体"/>
                <w:sz w:val="24"/>
              </w:rPr>
            </w:pPr>
          </w:p>
        </w:tc>
        <w:tc>
          <w:tcPr>
            <w:tcW w:w="2220" w:type="dxa"/>
            <w:tcBorders>
              <w:top w:val="single" w:color="000000" w:sz="4" w:space="0"/>
              <w:left w:val="single" w:color="000000" w:sz="4" w:space="0"/>
              <w:bottom w:val="single" w:color="000000" w:sz="4" w:space="0"/>
              <w:right w:val="single" w:color="000000" w:sz="4" w:space="0"/>
            </w:tcBorders>
          </w:tcPr>
          <w:p w14:paraId="6944CFBB">
            <w:pPr>
              <w:pStyle w:val="25"/>
              <w:spacing w:before="136"/>
              <w:ind w:left="626"/>
              <w:rPr>
                <w:rFonts w:ascii="宋体" w:hAnsi="宋体" w:cs="宋体"/>
                <w:sz w:val="24"/>
              </w:rPr>
            </w:pPr>
            <w:r>
              <w:rPr>
                <w:rFonts w:hint="eastAsia" w:ascii="宋体" w:hAnsi="宋体" w:cs="宋体"/>
                <w:sz w:val="24"/>
              </w:rPr>
              <w:t>联系电话</w:t>
            </w:r>
          </w:p>
        </w:tc>
        <w:tc>
          <w:tcPr>
            <w:tcW w:w="2220" w:type="dxa"/>
            <w:tcBorders>
              <w:top w:val="single" w:color="000000" w:sz="4" w:space="0"/>
              <w:left w:val="single" w:color="000000" w:sz="4" w:space="0"/>
              <w:bottom w:val="single" w:color="000000" w:sz="4" w:space="0"/>
              <w:right w:val="single" w:color="000000" w:sz="4" w:space="0"/>
            </w:tcBorders>
          </w:tcPr>
          <w:p w14:paraId="41236A36">
            <w:pPr>
              <w:rPr>
                <w:rFonts w:ascii="宋体" w:hAnsi="宋体" w:cs="宋体"/>
                <w:sz w:val="24"/>
              </w:rPr>
            </w:pPr>
          </w:p>
        </w:tc>
      </w:tr>
      <w:tr w14:paraId="48B3194C">
        <w:tblPrEx>
          <w:tblCellMar>
            <w:top w:w="0" w:type="dxa"/>
            <w:left w:w="0" w:type="dxa"/>
            <w:bottom w:w="0" w:type="dxa"/>
            <w:right w:w="0" w:type="dxa"/>
          </w:tblCellMar>
        </w:tblPrEx>
        <w:trPr>
          <w:trHeight w:val="531"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285BB24E">
            <w:pPr>
              <w:pStyle w:val="25"/>
              <w:spacing w:before="136"/>
              <w:jc w:val="center"/>
              <w:rPr>
                <w:rFonts w:hint="eastAsia" w:ascii="宋体" w:hAnsi="宋体" w:cs="宋体"/>
                <w:sz w:val="24"/>
              </w:rPr>
            </w:pPr>
            <w:r>
              <w:rPr>
                <w:rFonts w:hint="eastAsia" w:ascii="宋体" w:hAnsi="宋体" w:cs="宋体"/>
                <w:sz w:val="24"/>
              </w:rPr>
              <w:t>供货期</w:t>
            </w:r>
          </w:p>
        </w:tc>
        <w:tc>
          <w:tcPr>
            <w:tcW w:w="7223" w:type="dxa"/>
            <w:gridSpan w:val="3"/>
            <w:tcBorders>
              <w:top w:val="single" w:color="000000" w:sz="4" w:space="0"/>
              <w:left w:val="single" w:color="000000" w:sz="4" w:space="0"/>
              <w:bottom w:val="single" w:color="000000" w:sz="4" w:space="0"/>
              <w:right w:val="single" w:color="000000" w:sz="4" w:space="0"/>
            </w:tcBorders>
          </w:tcPr>
          <w:p w14:paraId="66BC04D7">
            <w:pPr>
              <w:pStyle w:val="25"/>
              <w:spacing w:before="136"/>
              <w:ind w:left="710"/>
              <w:rPr>
                <w:rFonts w:ascii="宋体" w:hAnsi="宋体" w:cs="宋体"/>
                <w:sz w:val="24"/>
              </w:rPr>
            </w:pPr>
          </w:p>
        </w:tc>
      </w:tr>
      <w:tr w14:paraId="587A160E">
        <w:tblPrEx>
          <w:tblCellMar>
            <w:top w:w="0" w:type="dxa"/>
            <w:left w:w="0" w:type="dxa"/>
            <w:bottom w:w="0" w:type="dxa"/>
            <w:right w:w="0" w:type="dxa"/>
          </w:tblCellMar>
        </w:tblPrEx>
        <w:trPr>
          <w:trHeight w:val="437" w:hRule="exact"/>
        </w:trPr>
        <w:tc>
          <w:tcPr>
            <w:tcW w:w="2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7E4D">
            <w:pPr>
              <w:widowControl/>
              <w:autoSpaceDE w:val="0"/>
              <w:autoSpaceDN w:val="0"/>
              <w:spacing w:before="0" w:beforeLines="0" w:beforeAutospacing="0" w:afterAutospacing="0"/>
              <w:ind w:left="0" w:leftChars="0" w:right="0" w:rightChars="0"/>
              <w:jc w:val="center"/>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质保期</w:t>
            </w:r>
          </w:p>
        </w:tc>
        <w:tc>
          <w:tcPr>
            <w:tcW w:w="72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6023E">
            <w:pPr>
              <w:widowControl/>
              <w:autoSpaceDE w:val="0"/>
              <w:autoSpaceDN w:val="0"/>
              <w:spacing w:before="0" w:beforeLines="0" w:beforeAutospacing="0" w:afterAutospacing="0"/>
              <w:ind w:left="0" w:leftChars="0" w:right="0" w:rightChars="0"/>
              <w:jc w:val="center"/>
              <w:rPr>
                <w:rFonts w:ascii="宋体" w:hAnsi="宋体" w:eastAsia="宋体" w:cs="宋体"/>
                <w:kern w:val="2"/>
                <w:sz w:val="28"/>
                <w:szCs w:val="28"/>
                <w:lang w:val="en-US" w:eastAsia="zh-CN" w:bidi="ar-SA"/>
              </w:rPr>
            </w:pPr>
          </w:p>
        </w:tc>
      </w:tr>
      <w:tr w14:paraId="41CC2483">
        <w:tblPrEx>
          <w:tblCellMar>
            <w:top w:w="0" w:type="dxa"/>
            <w:left w:w="0" w:type="dxa"/>
            <w:bottom w:w="0" w:type="dxa"/>
            <w:right w:w="0" w:type="dxa"/>
          </w:tblCellMar>
        </w:tblPrEx>
        <w:trPr>
          <w:trHeight w:val="549"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360E0872">
            <w:pPr>
              <w:pStyle w:val="25"/>
              <w:spacing w:before="136"/>
              <w:jc w:val="center"/>
              <w:rPr>
                <w:rFonts w:hint="eastAsia" w:ascii="宋体" w:hAnsi="宋体" w:cs="宋体" w:eastAsiaTheme="minorEastAsia"/>
                <w:kern w:val="2"/>
                <w:sz w:val="24"/>
                <w:szCs w:val="24"/>
                <w:lang w:val="en-US" w:eastAsia="zh-CN" w:bidi="ar-SA"/>
              </w:rPr>
            </w:pPr>
            <w:r>
              <w:rPr>
                <w:rFonts w:hint="eastAsia" w:ascii="宋体" w:hAnsi="宋体" w:cs="宋体" w:eastAsiaTheme="minorEastAsia"/>
                <w:kern w:val="2"/>
                <w:sz w:val="24"/>
                <w:szCs w:val="24"/>
                <w:lang w:val="en-US" w:eastAsia="zh-CN" w:bidi="ar-SA"/>
              </w:rPr>
              <w:t>供货地点</w:t>
            </w:r>
          </w:p>
        </w:tc>
        <w:tc>
          <w:tcPr>
            <w:tcW w:w="7223" w:type="dxa"/>
            <w:gridSpan w:val="3"/>
            <w:tcBorders>
              <w:top w:val="single" w:color="000000" w:sz="4" w:space="0"/>
              <w:left w:val="single" w:color="000000" w:sz="4" w:space="0"/>
              <w:bottom w:val="single" w:color="000000" w:sz="4" w:space="0"/>
              <w:right w:val="single" w:color="000000" w:sz="4" w:space="0"/>
            </w:tcBorders>
          </w:tcPr>
          <w:p w14:paraId="4A280885">
            <w:pPr>
              <w:pStyle w:val="25"/>
              <w:spacing w:before="136"/>
              <w:ind w:left="710"/>
              <w:rPr>
                <w:rFonts w:ascii="宋体" w:hAnsi="宋体" w:cs="宋体"/>
                <w:sz w:val="24"/>
              </w:rPr>
            </w:pPr>
          </w:p>
        </w:tc>
      </w:tr>
      <w:tr w14:paraId="4C162344">
        <w:tblPrEx>
          <w:tblCellMar>
            <w:top w:w="0" w:type="dxa"/>
            <w:left w:w="0" w:type="dxa"/>
            <w:bottom w:w="0" w:type="dxa"/>
            <w:right w:w="0" w:type="dxa"/>
          </w:tblCellMar>
        </w:tblPrEx>
        <w:trPr>
          <w:trHeight w:val="504"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47C9B1CF">
            <w:pPr>
              <w:pStyle w:val="25"/>
              <w:spacing w:before="136"/>
              <w:jc w:val="center"/>
              <w:rPr>
                <w:rFonts w:hint="eastAsia" w:ascii="宋体" w:hAnsi="宋体" w:cs="宋体"/>
                <w:sz w:val="24"/>
              </w:rPr>
            </w:pPr>
            <w:r>
              <w:rPr>
                <w:rFonts w:hint="eastAsia" w:ascii="宋体" w:hAnsi="宋体" w:cs="宋体"/>
                <w:sz w:val="24"/>
              </w:rPr>
              <w:t>质量要求</w:t>
            </w:r>
          </w:p>
        </w:tc>
        <w:tc>
          <w:tcPr>
            <w:tcW w:w="7223" w:type="dxa"/>
            <w:gridSpan w:val="3"/>
            <w:tcBorders>
              <w:top w:val="single" w:color="000000" w:sz="4" w:space="0"/>
              <w:left w:val="single" w:color="000000" w:sz="4" w:space="0"/>
              <w:bottom w:val="single" w:color="000000" w:sz="4" w:space="0"/>
              <w:right w:val="single" w:color="000000" w:sz="4" w:space="0"/>
            </w:tcBorders>
          </w:tcPr>
          <w:p w14:paraId="3612D765">
            <w:pPr>
              <w:pStyle w:val="25"/>
              <w:spacing w:before="136"/>
              <w:ind w:left="710"/>
              <w:rPr>
                <w:rFonts w:ascii="宋体" w:hAnsi="宋体" w:cs="宋体"/>
                <w:sz w:val="24"/>
              </w:rPr>
            </w:pPr>
          </w:p>
        </w:tc>
      </w:tr>
      <w:tr w14:paraId="3C0A3BA7">
        <w:tblPrEx>
          <w:tblCellMar>
            <w:top w:w="0" w:type="dxa"/>
            <w:left w:w="0" w:type="dxa"/>
            <w:bottom w:w="0" w:type="dxa"/>
            <w:right w:w="0" w:type="dxa"/>
          </w:tblCellMar>
        </w:tblPrEx>
        <w:trPr>
          <w:trHeight w:val="456"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1AA21712">
            <w:pPr>
              <w:pStyle w:val="25"/>
              <w:spacing w:before="136"/>
              <w:jc w:val="center"/>
              <w:rPr>
                <w:rFonts w:ascii="宋体" w:hAnsi="宋体" w:cs="宋体"/>
                <w:sz w:val="24"/>
              </w:rPr>
            </w:pPr>
            <w:r>
              <w:rPr>
                <w:rFonts w:hint="eastAsia" w:ascii="宋体" w:hAnsi="宋体" w:cs="宋体" w:eastAsiaTheme="minorEastAsia"/>
                <w:kern w:val="2"/>
                <w:sz w:val="24"/>
                <w:szCs w:val="24"/>
                <w:lang w:val="en-US" w:eastAsia="zh-CN" w:bidi="ar-SA"/>
              </w:rPr>
              <w:t>投标有效期</w:t>
            </w:r>
          </w:p>
        </w:tc>
        <w:tc>
          <w:tcPr>
            <w:tcW w:w="7223" w:type="dxa"/>
            <w:gridSpan w:val="3"/>
            <w:tcBorders>
              <w:top w:val="single" w:color="000000" w:sz="4" w:space="0"/>
              <w:left w:val="single" w:color="000000" w:sz="4" w:space="0"/>
              <w:bottom w:val="single" w:color="000000" w:sz="4" w:space="0"/>
              <w:right w:val="single" w:color="000000" w:sz="4" w:space="0"/>
            </w:tcBorders>
          </w:tcPr>
          <w:p w14:paraId="60C57534">
            <w:pPr>
              <w:pStyle w:val="25"/>
              <w:spacing w:before="136"/>
              <w:ind w:left="710"/>
              <w:rPr>
                <w:rFonts w:ascii="宋体" w:hAnsi="宋体" w:cs="宋体"/>
                <w:sz w:val="24"/>
              </w:rPr>
            </w:pPr>
          </w:p>
        </w:tc>
      </w:tr>
      <w:tr w14:paraId="3A26A8D9">
        <w:tblPrEx>
          <w:tblCellMar>
            <w:top w:w="0" w:type="dxa"/>
            <w:left w:w="0" w:type="dxa"/>
            <w:bottom w:w="0" w:type="dxa"/>
            <w:right w:w="0" w:type="dxa"/>
          </w:tblCellMar>
        </w:tblPrEx>
        <w:trPr>
          <w:trHeight w:val="1614" w:hRule="exact"/>
        </w:trPr>
        <w:tc>
          <w:tcPr>
            <w:tcW w:w="2065" w:type="dxa"/>
            <w:tcBorders>
              <w:top w:val="single" w:color="000000" w:sz="4" w:space="0"/>
              <w:left w:val="single" w:color="000000" w:sz="4" w:space="0"/>
              <w:bottom w:val="single" w:color="000000" w:sz="4" w:space="0"/>
              <w:right w:val="single" w:color="000000" w:sz="4" w:space="0"/>
            </w:tcBorders>
            <w:vAlign w:val="center"/>
          </w:tcPr>
          <w:p w14:paraId="6426EBF6">
            <w:pPr>
              <w:pStyle w:val="25"/>
              <w:spacing w:line="338" w:lineRule="auto"/>
              <w:ind w:left="530" w:right="286" w:hanging="240"/>
              <w:jc w:val="center"/>
              <w:rPr>
                <w:rFonts w:ascii="宋体" w:hAnsi="宋体" w:cs="宋体"/>
                <w:sz w:val="24"/>
              </w:rPr>
            </w:pPr>
            <w:r>
              <w:rPr>
                <w:rFonts w:hint="eastAsia" w:ascii="宋体" w:hAnsi="宋体" w:cs="宋体"/>
                <w:sz w:val="24"/>
              </w:rPr>
              <w:t>其它优惠条件</w:t>
            </w:r>
          </w:p>
        </w:tc>
        <w:tc>
          <w:tcPr>
            <w:tcW w:w="7223" w:type="dxa"/>
            <w:gridSpan w:val="3"/>
            <w:tcBorders>
              <w:top w:val="single" w:color="000000" w:sz="4" w:space="0"/>
              <w:left w:val="single" w:color="000000" w:sz="4" w:space="0"/>
              <w:bottom w:val="single" w:color="000000" w:sz="4" w:space="0"/>
              <w:right w:val="single" w:color="000000" w:sz="4" w:space="0"/>
            </w:tcBorders>
          </w:tcPr>
          <w:p w14:paraId="6546CD47">
            <w:pPr>
              <w:rPr>
                <w:rFonts w:ascii="宋体" w:hAnsi="宋体" w:cs="宋体"/>
                <w:sz w:val="24"/>
              </w:rPr>
            </w:pPr>
          </w:p>
        </w:tc>
      </w:tr>
    </w:tbl>
    <w:p w14:paraId="4A355BBA">
      <w:pPr>
        <w:pStyle w:val="13"/>
        <w:spacing w:line="480" w:lineRule="exact"/>
        <w:rPr>
          <w:rFonts w:hint="eastAsia" w:cs="宋体"/>
        </w:rPr>
      </w:pPr>
      <w:r>
        <w:rPr>
          <w:rFonts w:hint="eastAsia" w:cs="宋体"/>
        </w:rPr>
        <w:t>注</w:t>
      </w:r>
      <w:r>
        <w:rPr>
          <w:rFonts w:hint="eastAsia" w:cs="宋体"/>
          <w:lang w:val="en-US" w:eastAsia="zh-CN"/>
        </w:rPr>
        <w:t>1</w:t>
      </w:r>
      <w:r>
        <w:rPr>
          <w:rFonts w:hint="eastAsia" w:cs="宋体"/>
        </w:rPr>
        <w:t>：</w:t>
      </w:r>
      <w:bookmarkStart w:id="167" w:name="_Toc26489"/>
      <w:r>
        <w:rPr>
          <w:rFonts w:hint="eastAsia" w:cs="宋体"/>
        </w:rPr>
        <w:t>投标报价含货物、标准附件、专用工具、图纸资料、技术服务，包装、仓储、运输、装卸、保险、税金以及安装、调试、培训、保修等一切费用。</w:t>
      </w:r>
      <w:bookmarkEnd w:id="167"/>
    </w:p>
    <w:p w14:paraId="4BBC8822">
      <w:pPr>
        <w:pStyle w:val="13"/>
        <w:spacing w:line="480" w:lineRule="exact"/>
        <w:rPr>
          <w:rFonts w:cs="宋体"/>
        </w:rPr>
      </w:pPr>
      <w:r>
        <w:rPr>
          <w:rFonts w:hint="eastAsia" w:cs="宋体"/>
        </w:rPr>
        <w:t xml:space="preserve">供应商（盖单位章）： </w:t>
      </w:r>
    </w:p>
    <w:p w14:paraId="46C44F50">
      <w:pPr>
        <w:pStyle w:val="13"/>
        <w:spacing w:line="480" w:lineRule="exact"/>
        <w:rPr>
          <w:rFonts w:cs="宋体"/>
        </w:rPr>
      </w:pPr>
      <w:r>
        <w:rPr>
          <w:rFonts w:hint="eastAsia" w:cs="宋体"/>
        </w:rPr>
        <w:t>法定代表人（</w:t>
      </w:r>
      <w:r>
        <w:rPr>
          <w:rFonts w:hint="eastAsia" w:ascii="宋体" w:hAnsi="宋体" w:eastAsia="宋体" w:cs="宋体"/>
          <w:sz w:val="24"/>
          <w:szCs w:val="24"/>
        </w:rPr>
        <w:t>电子签章</w:t>
      </w:r>
      <w:r>
        <w:rPr>
          <w:rFonts w:hint="eastAsia" w:cs="宋体"/>
        </w:rPr>
        <w:t xml:space="preserve">）： </w:t>
      </w:r>
    </w:p>
    <w:p w14:paraId="2BB27721">
      <w:pPr>
        <w:spacing w:line="480" w:lineRule="exact"/>
        <w:rPr>
          <w:rFonts w:ascii="宋体" w:hAnsi="宋体" w:cs="宋体"/>
          <w:sz w:val="24"/>
        </w:rPr>
      </w:pPr>
      <w:r>
        <w:rPr>
          <w:rFonts w:hint="eastAsia" w:ascii="宋体" w:hAnsi="宋体" w:cs="宋体"/>
          <w:sz w:val="24"/>
        </w:rPr>
        <w:t>日期：年   月   日</w:t>
      </w:r>
    </w:p>
    <w:p w14:paraId="6FA71FC7">
      <w:pPr>
        <w:jc w:val="center"/>
        <w:rPr>
          <w:rFonts w:ascii="宋体" w:hAnsi="宋体" w:cs="宋体"/>
          <w:b/>
          <w:bCs/>
          <w:sz w:val="32"/>
          <w:szCs w:val="40"/>
        </w:rPr>
      </w:pPr>
      <w:r>
        <w:rPr>
          <w:rFonts w:hint="eastAsia" w:ascii="宋体" w:hAnsi="宋体" w:cs="宋体"/>
          <w:sz w:val="24"/>
        </w:rPr>
        <w:br w:type="page"/>
      </w:r>
      <w:r>
        <w:rPr>
          <w:rFonts w:hint="eastAsia" w:ascii="宋体" w:hAnsi="宋体" w:cs="宋体"/>
          <w:b/>
          <w:bCs/>
          <w:sz w:val="32"/>
          <w:szCs w:val="32"/>
        </w:rPr>
        <w:t>2.</w:t>
      </w:r>
      <w:r>
        <w:rPr>
          <w:rFonts w:hint="eastAsia" w:ascii="宋体" w:hAnsi="宋体" w:cs="宋体"/>
          <w:b/>
          <w:bCs/>
          <w:sz w:val="32"/>
          <w:szCs w:val="40"/>
        </w:rPr>
        <w:t>报价明细表</w:t>
      </w:r>
    </w:p>
    <w:p w14:paraId="18E151BD">
      <w:pPr>
        <w:pStyle w:val="4"/>
      </w:pPr>
    </w:p>
    <w:tbl>
      <w:tblPr>
        <w:tblStyle w:val="17"/>
        <w:tblW w:w="0" w:type="auto"/>
        <w:jc w:val="center"/>
        <w:tblLayout w:type="fixed"/>
        <w:tblCellMar>
          <w:top w:w="0" w:type="dxa"/>
          <w:left w:w="108" w:type="dxa"/>
          <w:bottom w:w="0" w:type="dxa"/>
          <w:right w:w="108" w:type="dxa"/>
        </w:tblCellMar>
      </w:tblPr>
      <w:tblGrid>
        <w:gridCol w:w="907"/>
        <w:gridCol w:w="1485"/>
        <w:gridCol w:w="1665"/>
        <w:gridCol w:w="1399"/>
        <w:gridCol w:w="906"/>
        <w:gridCol w:w="947"/>
        <w:gridCol w:w="947"/>
        <w:gridCol w:w="947"/>
        <w:gridCol w:w="1042"/>
      </w:tblGrid>
      <w:tr w14:paraId="45B27480">
        <w:tblPrEx>
          <w:tblCellMar>
            <w:top w:w="0" w:type="dxa"/>
            <w:left w:w="108" w:type="dxa"/>
            <w:bottom w:w="0" w:type="dxa"/>
            <w:right w:w="108" w:type="dxa"/>
          </w:tblCellMar>
        </w:tblPrEx>
        <w:trPr>
          <w:trHeight w:val="1348" w:hRule="atLeast"/>
          <w:jc w:val="center"/>
        </w:trPr>
        <w:tc>
          <w:tcPr>
            <w:tcW w:w="907" w:type="dxa"/>
            <w:tcBorders>
              <w:top w:val="single" w:color="000000" w:sz="4" w:space="0"/>
              <w:left w:val="single" w:color="000000" w:sz="4" w:space="0"/>
              <w:bottom w:val="single" w:color="000000" w:sz="4" w:space="0"/>
              <w:right w:val="single" w:color="000000" w:sz="4" w:space="0"/>
            </w:tcBorders>
            <w:vAlign w:val="center"/>
          </w:tcPr>
          <w:p w14:paraId="49CD137F">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b/>
                <w:bCs/>
                <w:i w:val="0"/>
                <w:iCs w:val="0"/>
                <w:color w:val="000000"/>
                <w:kern w:val="0"/>
                <w:sz w:val="24"/>
                <w:szCs w:val="24"/>
                <w:u w:val="none"/>
                <w:lang w:val="en-US" w:eastAsia="zh-CN" w:bidi="ar"/>
              </w:rPr>
              <w:t>序号</w:t>
            </w:r>
          </w:p>
        </w:tc>
        <w:tc>
          <w:tcPr>
            <w:tcW w:w="1485" w:type="dxa"/>
            <w:tcBorders>
              <w:top w:val="single" w:color="000000" w:sz="4" w:space="0"/>
              <w:left w:val="nil"/>
              <w:bottom w:val="single" w:color="000000" w:sz="4" w:space="0"/>
              <w:right w:val="single" w:color="000000" w:sz="4" w:space="0"/>
            </w:tcBorders>
            <w:vAlign w:val="center"/>
          </w:tcPr>
          <w:p w14:paraId="3527AFC8">
            <w:pPr>
              <w:keepNext w:val="0"/>
              <w:keepLines w:val="0"/>
              <w:widowControl/>
              <w:suppressLineNumbers w:val="0"/>
              <w:jc w:val="center"/>
              <w:textAlignment w:val="center"/>
              <w:rPr>
                <w:rFonts w:hint="default" w:ascii="宋体" w:hAnsi="宋体" w:cs="宋体" w:eastAsiaTheme="minorEastAsia"/>
                <w:kern w:val="0"/>
                <w:sz w:val="24"/>
                <w:lang w:val="en-US" w:eastAsia="zh-CN"/>
              </w:rPr>
            </w:pPr>
            <w:r>
              <w:rPr>
                <w:rFonts w:hint="eastAsia" w:ascii="宋体" w:hAnsi="宋体" w:eastAsia="宋体" w:cs="宋体"/>
                <w:b/>
                <w:bCs/>
                <w:i w:val="0"/>
                <w:iCs w:val="0"/>
                <w:color w:val="000000"/>
                <w:kern w:val="0"/>
                <w:sz w:val="24"/>
                <w:szCs w:val="24"/>
                <w:u w:val="none"/>
                <w:lang w:val="en-US" w:eastAsia="zh-CN" w:bidi="ar"/>
              </w:rPr>
              <w:t>项目名称</w:t>
            </w:r>
          </w:p>
        </w:tc>
        <w:tc>
          <w:tcPr>
            <w:tcW w:w="1665" w:type="dxa"/>
            <w:tcBorders>
              <w:top w:val="single" w:color="000000" w:sz="4" w:space="0"/>
              <w:left w:val="nil"/>
              <w:bottom w:val="single" w:color="000000" w:sz="4" w:space="0"/>
              <w:right w:val="single" w:color="auto" w:sz="4" w:space="0"/>
            </w:tcBorders>
            <w:vAlign w:val="center"/>
          </w:tcPr>
          <w:p w14:paraId="37758F78">
            <w:pPr>
              <w:keepNext w:val="0"/>
              <w:keepLines w:val="0"/>
              <w:widowControl/>
              <w:suppressLineNumbers w:val="0"/>
              <w:jc w:val="center"/>
              <w:textAlignment w:val="center"/>
              <w:rPr>
                <w:rFonts w:hint="default" w:ascii="宋体" w:hAnsi="宋体" w:cs="宋体"/>
                <w:kern w:val="0"/>
                <w:sz w:val="24"/>
                <w:lang w:val="en-US"/>
              </w:rPr>
            </w:pPr>
            <w:r>
              <w:rPr>
                <w:rFonts w:hint="eastAsia" w:ascii="宋体" w:hAnsi="宋体" w:eastAsia="宋体" w:cs="宋体"/>
                <w:b/>
                <w:bCs/>
                <w:i w:val="0"/>
                <w:iCs w:val="0"/>
                <w:color w:val="000000"/>
                <w:kern w:val="0"/>
                <w:sz w:val="24"/>
                <w:szCs w:val="24"/>
                <w:u w:val="none"/>
                <w:lang w:val="en-US" w:eastAsia="zh-CN" w:bidi="ar"/>
              </w:rPr>
              <w:t>技术参数</w:t>
            </w:r>
          </w:p>
        </w:tc>
        <w:tc>
          <w:tcPr>
            <w:tcW w:w="1399" w:type="dxa"/>
            <w:tcBorders>
              <w:top w:val="single" w:color="000000" w:sz="4" w:space="0"/>
              <w:left w:val="single" w:color="auto" w:sz="4" w:space="0"/>
              <w:bottom w:val="single" w:color="000000" w:sz="4" w:space="0"/>
              <w:right w:val="single" w:color="000000" w:sz="4" w:space="0"/>
            </w:tcBorders>
            <w:vAlign w:val="center"/>
          </w:tcPr>
          <w:p w14:paraId="7F811188">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b/>
                <w:bCs/>
                <w:i w:val="0"/>
                <w:iCs w:val="0"/>
                <w:color w:val="000000"/>
                <w:kern w:val="0"/>
                <w:sz w:val="24"/>
                <w:szCs w:val="24"/>
                <w:u w:val="none"/>
                <w:lang w:val="en-US" w:eastAsia="zh-CN" w:bidi="ar"/>
              </w:rPr>
              <w:t>单位</w:t>
            </w:r>
          </w:p>
        </w:tc>
        <w:tc>
          <w:tcPr>
            <w:tcW w:w="906" w:type="dxa"/>
            <w:tcBorders>
              <w:top w:val="single" w:color="000000" w:sz="4" w:space="0"/>
              <w:left w:val="single" w:color="auto" w:sz="4" w:space="0"/>
              <w:bottom w:val="single" w:color="000000" w:sz="4" w:space="0"/>
              <w:right w:val="single" w:color="000000" w:sz="4" w:space="0"/>
            </w:tcBorders>
            <w:vAlign w:val="center"/>
          </w:tcPr>
          <w:p w14:paraId="65A0BA4C">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b/>
                <w:bCs/>
                <w:i w:val="0"/>
                <w:iCs w:val="0"/>
                <w:color w:val="000000"/>
                <w:kern w:val="0"/>
                <w:sz w:val="24"/>
                <w:szCs w:val="24"/>
                <w:u w:val="none"/>
                <w:lang w:val="en-US" w:eastAsia="zh-CN" w:bidi="ar"/>
              </w:rPr>
              <w:t>数量</w:t>
            </w:r>
          </w:p>
        </w:tc>
        <w:tc>
          <w:tcPr>
            <w:tcW w:w="947" w:type="dxa"/>
            <w:tcBorders>
              <w:top w:val="single" w:color="000000" w:sz="4" w:space="0"/>
              <w:left w:val="nil"/>
              <w:bottom w:val="single" w:color="000000" w:sz="4" w:space="0"/>
              <w:right w:val="single" w:color="000000" w:sz="4" w:space="0"/>
            </w:tcBorders>
            <w:vAlign w:val="center"/>
          </w:tcPr>
          <w:p w14:paraId="0B5C3E1D">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b/>
                <w:bCs/>
                <w:i w:val="0"/>
                <w:iCs w:val="0"/>
                <w:color w:val="000000"/>
                <w:kern w:val="0"/>
                <w:sz w:val="24"/>
                <w:szCs w:val="24"/>
                <w:u w:val="none"/>
                <w:lang w:val="en-US" w:eastAsia="zh-CN" w:bidi="ar"/>
              </w:rPr>
              <w:t>单价(元)</w:t>
            </w:r>
          </w:p>
        </w:tc>
        <w:tc>
          <w:tcPr>
            <w:tcW w:w="947" w:type="dxa"/>
            <w:tcBorders>
              <w:top w:val="single" w:color="000000" w:sz="4" w:space="0"/>
              <w:left w:val="nil"/>
              <w:bottom w:val="single" w:color="000000" w:sz="4" w:space="0"/>
              <w:right w:val="single" w:color="000000" w:sz="4" w:space="0"/>
            </w:tcBorders>
            <w:vAlign w:val="center"/>
          </w:tcPr>
          <w:p w14:paraId="151F495B">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b/>
                <w:bCs/>
                <w:i w:val="0"/>
                <w:iCs w:val="0"/>
                <w:color w:val="000000"/>
                <w:kern w:val="0"/>
                <w:sz w:val="24"/>
                <w:szCs w:val="24"/>
                <w:u w:val="none"/>
                <w:lang w:val="en-US" w:eastAsia="zh-CN" w:bidi="ar"/>
              </w:rPr>
              <w:t>总价(元)</w:t>
            </w:r>
          </w:p>
        </w:tc>
        <w:tc>
          <w:tcPr>
            <w:tcW w:w="947" w:type="dxa"/>
            <w:tcBorders>
              <w:top w:val="single" w:color="000000" w:sz="4" w:space="0"/>
              <w:left w:val="nil"/>
              <w:bottom w:val="single" w:color="000000" w:sz="4" w:space="0"/>
              <w:right w:val="single" w:color="000000" w:sz="4" w:space="0"/>
            </w:tcBorders>
            <w:vAlign w:val="center"/>
          </w:tcPr>
          <w:p w14:paraId="21774145">
            <w:pPr>
              <w:keepNext w:val="0"/>
              <w:keepLines w:val="0"/>
              <w:widowControl/>
              <w:suppressLineNumbers w:val="0"/>
              <w:jc w:val="center"/>
              <w:textAlignment w:val="center"/>
              <w:rPr>
                <w:rFonts w:ascii="宋体" w:hAnsi="宋体" w:cs="宋体"/>
                <w:kern w:val="0"/>
                <w:sz w:val="24"/>
              </w:rPr>
            </w:pPr>
            <w:r>
              <w:rPr>
                <w:rFonts w:hint="eastAsia" w:ascii="宋体" w:hAnsi="宋体" w:eastAsia="宋体" w:cs="宋体"/>
                <w:b/>
                <w:bCs/>
                <w:i w:val="0"/>
                <w:iCs w:val="0"/>
                <w:color w:val="000000"/>
                <w:kern w:val="0"/>
                <w:sz w:val="24"/>
                <w:szCs w:val="24"/>
                <w:u w:val="none"/>
                <w:lang w:val="en-US" w:eastAsia="zh-CN" w:bidi="ar"/>
              </w:rPr>
              <w:t>品牌及型号规格</w:t>
            </w:r>
          </w:p>
        </w:tc>
        <w:tc>
          <w:tcPr>
            <w:tcW w:w="1042" w:type="dxa"/>
            <w:tcBorders>
              <w:top w:val="single" w:color="000000" w:sz="4" w:space="0"/>
              <w:left w:val="nil"/>
              <w:bottom w:val="single" w:color="000000" w:sz="4" w:space="0"/>
              <w:right w:val="single" w:color="000000" w:sz="4" w:space="0"/>
            </w:tcBorders>
            <w:vAlign w:val="center"/>
          </w:tcPr>
          <w:p w14:paraId="75FB4782">
            <w:pPr>
              <w:widowControl/>
              <w:snapToGrid w:val="0"/>
              <w:spacing w:line="500" w:lineRule="exact"/>
              <w:jc w:val="center"/>
              <w:rPr>
                <w:rFonts w:hint="eastAsia" w:ascii="宋体" w:hAnsi="宋体" w:cs="宋体" w:eastAsiaTheme="minorEastAsia"/>
                <w:kern w:val="0"/>
                <w:sz w:val="24"/>
                <w:lang w:val="en-US" w:eastAsia="zh-CN"/>
              </w:rPr>
            </w:pPr>
            <w:r>
              <w:rPr>
                <w:rFonts w:hint="eastAsia" w:ascii="宋体" w:hAnsi="宋体" w:cs="宋体"/>
                <w:kern w:val="0"/>
                <w:sz w:val="24"/>
                <w:lang w:val="en-US" w:eastAsia="zh-CN"/>
              </w:rPr>
              <w:t>备注（</w:t>
            </w:r>
            <w:r>
              <w:rPr>
                <w:rFonts w:hint="eastAsia" w:ascii="宋体" w:hAnsi="宋体" w:cs="宋体"/>
                <w:color w:val="auto"/>
                <w:kern w:val="0"/>
                <w:sz w:val="22"/>
                <w:szCs w:val="22"/>
                <w:highlight w:val="none"/>
                <w:lang w:val="en-US" w:eastAsia="zh-CN"/>
              </w:rPr>
              <w:t>所投产品属于中小微企业哪种</w:t>
            </w:r>
            <w:r>
              <w:rPr>
                <w:rFonts w:hint="eastAsia" w:ascii="宋体" w:hAnsi="宋体" w:cs="宋体"/>
                <w:kern w:val="0"/>
                <w:sz w:val="24"/>
                <w:lang w:val="en-US" w:eastAsia="zh-CN"/>
              </w:rPr>
              <w:t>）</w:t>
            </w:r>
          </w:p>
        </w:tc>
      </w:tr>
      <w:tr w14:paraId="2C198481">
        <w:tblPrEx>
          <w:tblCellMar>
            <w:top w:w="0" w:type="dxa"/>
            <w:left w:w="108" w:type="dxa"/>
            <w:bottom w:w="0" w:type="dxa"/>
            <w:right w:w="108" w:type="dxa"/>
          </w:tblCellMar>
        </w:tblPrEx>
        <w:trPr>
          <w:trHeight w:val="785" w:hRule="atLeast"/>
          <w:jc w:val="center"/>
        </w:trPr>
        <w:tc>
          <w:tcPr>
            <w:tcW w:w="907" w:type="dxa"/>
            <w:tcBorders>
              <w:top w:val="single" w:color="000000" w:sz="4" w:space="0"/>
              <w:left w:val="single" w:color="000000" w:sz="4" w:space="0"/>
              <w:bottom w:val="single" w:color="000000" w:sz="4" w:space="0"/>
              <w:right w:val="single" w:color="000000" w:sz="4" w:space="0"/>
            </w:tcBorders>
            <w:vAlign w:val="center"/>
          </w:tcPr>
          <w:p w14:paraId="1D022D54">
            <w:pPr>
              <w:widowControl/>
              <w:spacing w:line="500" w:lineRule="exact"/>
              <w:jc w:val="center"/>
              <w:rPr>
                <w:rFonts w:ascii="宋体" w:hAnsi="宋体" w:cs="宋体"/>
                <w:kern w:val="0"/>
                <w:sz w:val="24"/>
              </w:rPr>
            </w:pPr>
            <w:r>
              <w:rPr>
                <w:rFonts w:hint="eastAsia" w:ascii="宋体" w:hAnsi="宋体" w:cs="宋体"/>
                <w:kern w:val="0"/>
                <w:sz w:val="24"/>
              </w:rPr>
              <w:t>1</w:t>
            </w:r>
          </w:p>
        </w:tc>
        <w:tc>
          <w:tcPr>
            <w:tcW w:w="1485" w:type="dxa"/>
            <w:tcBorders>
              <w:top w:val="single" w:color="000000" w:sz="4" w:space="0"/>
              <w:left w:val="nil"/>
              <w:bottom w:val="single" w:color="000000" w:sz="4" w:space="0"/>
              <w:right w:val="single" w:color="000000" w:sz="4" w:space="0"/>
            </w:tcBorders>
            <w:vAlign w:val="center"/>
          </w:tcPr>
          <w:p w14:paraId="5457ACCD">
            <w:pPr>
              <w:widowControl/>
              <w:spacing w:line="500" w:lineRule="exact"/>
              <w:jc w:val="left"/>
              <w:rPr>
                <w:rFonts w:ascii="宋体" w:hAnsi="宋体" w:cs="宋体"/>
                <w:kern w:val="0"/>
                <w:sz w:val="24"/>
              </w:rPr>
            </w:pPr>
          </w:p>
        </w:tc>
        <w:tc>
          <w:tcPr>
            <w:tcW w:w="1665" w:type="dxa"/>
            <w:tcBorders>
              <w:top w:val="single" w:color="000000" w:sz="4" w:space="0"/>
              <w:left w:val="nil"/>
              <w:bottom w:val="single" w:color="000000" w:sz="4" w:space="0"/>
              <w:right w:val="single" w:color="auto" w:sz="4" w:space="0"/>
            </w:tcBorders>
            <w:vAlign w:val="center"/>
          </w:tcPr>
          <w:p w14:paraId="7C021175">
            <w:pPr>
              <w:widowControl/>
              <w:spacing w:line="500" w:lineRule="exact"/>
              <w:jc w:val="left"/>
              <w:rPr>
                <w:rFonts w:ascii="宋体" w:hAnsi="宋体" w:cs="宋体"/>
                <w:kern w:val="0"/>
                <w:sz w:val="24"/>
              </w:rPr>
            </w:pPr>
          </w:p>
        </w:tc>
        <w:tc>
          <w:tcPr>
            <w:tcW w:w="1399" w:type="dxa"/>
            <w:tcBorders>
              <w:top w:val="single" w:color="000000" w:sz="4" w:space="0"/>
              <w:left w:val="single" w:color="auto" w:sz="4" w:space="0"/>
              <w:bottom w:val="single" w:color="000000" w:sz="4" w:space="0"/>
              <w:right w:val="single" w:color="000000" w:sz="4" w:space="0"/>
            </w:tcBorders>
            <w:vAlign w:val="center"/>
          </w:tcPr>
          <w:p w14:paraId="0D9A9455">
            <w:pPr>
              <w:widowControl/>
              <w:spacing w:line="500" w:lineRule="exact"/>
              <w:jc w:val="left"/>
              <w:rPr>
                <w:rFonts w:ascii="宋体" w:hAnsi="宋体" w:cs="宋体"/>
                <w:kern w:val="0"/>
                <w:sz w:val="24"/>
              </w:rPr>
            </w:pPr>
          </w:p>
        </w:tc>
        <w:tc>
          <w:tcPr>
            <w:tcW w:w="906" w:type="dxa"/>
            <w:tcBorders>
              <w:top w:val="single" w:color="000000" w:sz="4" w:space="0"/>
              <w:left w:val="single" w:color="auto" w:sz="4" w:space="0"/>
              <w:bottom w:val="single" w:color="000000" w:sz="4" w:space="0"/>
              <w:right w:val="single" w:color="000000" w:sz="4" w:space="0"/>
            </w:tcBorders>
            <w:vAlign w:val="center"/>
          </w:tcPr>
          <w:p w14:paraId="2685FE9F">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4307FBEF">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1E9B11C8">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7399B0BD">
            <w:pPr>
              <w:widowControl/>
              <w:spacing w:line="500" w:lineRule="exact"/>
              <w:jc w:val="left"/>
              <w:rPr>
                <w:rFonts w:ascii="宋体" w:hAnsi="宋体" w:cs="宋体"/>
                <w:kern w:val="0"/>
                <w:sz w:val="24"/>
              </w:rPr>
            </w:pPr>
          </w:p>
        </w:tc>
        <w:tc>
          <w:tcPr>
            <w:tcW w:w="1042" w:type="dxa"/>
            <w:tcBorders>
              <w:top w:val="single" w:color="000000" w:sz="4" w:space="0"/>
              <w:left w:val="nil"/>
              <w:bottom w:val="single" w:color="000000" w:sz="4" w:space="0"/>
              <w:right w:val="single" w:color="000000" w:sz="4" w:space="0"/>
            </w:tcBorders>
            <w:vAlign w:val="center"/>
          </w:tcPr>
          <w:p w14:paraId="1503E622">
            <w:pPr>
              <w:widowControl/>
              <w:spacing w:line="500" w:lineRule="exact"/>
              <w:jc w:val="left"/>
              <w:rPr>
                <w:rFonts w:ascii="宋体" w:hAnsi="宋体" w:cs="宋体"/>
                <w:kern w:val="0"/>
                <w:sz w:val="24"/>
              </w:rPr>
            </w:pPr>
          </w:p>
        </w:tc>
      </w:tr>
      <w:tr w14:paraId="257D1BB9">
        <w:tblPrEx>
          <w:tblCellMar>
            <w:top w:w="0" w:type="dxa"/>
            <w:left w:w="108" w:type="dxa"/>
            <w:bottom w:w="0" w:type="dxa"/>
            <w:right w:w="108" w:type="dxa"/>
          </w:tblCellMar>
        </w:tblPrEx>
        <w:trPr>
          <w:trHeight w:val="785" w:hRule="atLeast"/>
          <w:jc w:val="center"/>
        </w:trPr>
        <w:tc>
          <w:tcPr>
            <w:tcW w:w="907" w:type="dxa"/>
            <w:tcBorders>
              <w:top w:val="single" w:color="000000" w:sz="4" w:space="0"/>
              <w:left w:val="single" w:color="000000" w:sz="4" w:space="0"/>
              <w:bottom w:val="single" w:color="000000" w:sz="4" w:space="0"/>
              <w:right w:val="single" w:color="000000" w:sz="4" w:space="0"/>
            </w:tcBorders>
            <w:vAlign w:val="center"/>
          </w:tcPr>
          <w:p w14:paraId="720DC0A0">
            <w:pPr>
              <w:widowControl/>
              <w:spacing w:line="500" w:lineRule="exact"/>
              <w:jc w:val="center"/>
              <w:rPr>
                <w:rFonts w:ascii="宋体" w:hAnsi="宋体" w:cs="宋体"/>
                <w:kern w:val="0"/>
                <w:sz w:val="24"/>
              </w:rPr>
            </w:pPr>
            <w:r>
              <w:rPr>
                <w:rFonts w:hint="eastAsia" w:ascii="宋体" w:hAnsi="宋体" w:cs="宋体"/>
                <w:kern w:val="0"/>
                <w:sz w:val="24"/>
              </w:rPr>
              <w:t>2</w:t>
            </w:r>
          </w:p>
        </w:tc>
        <w:tc>
          <w:tcPr>
            <w:tcW w:w="1485" w:type="dxa"/>
            <w:tcBorders>
              <w:top w:val="single" w:color="000000" w:sz="4" w:space="0"/>
              <w:left w:val="nil"/>
              <w:bottom w:val="single" w:color="000000" w:sz="4" w:space="0"/>
              <w:right w:val="single" w:color="000000" w:sz="4" w:space="0"/>
            </w:tcBorders>
            <w:vAlign w:val="center"/>
          </w:tcPr>
          <w:p w14:paraId="2054F871">
            <w:pPr>
              <w:widowControl/>
              <w:spacing w:line="500" w:lineRule="exact"/>
              <w:jc w:val="left"/>
              <w:rPr>
                <w:rFonts w:ascii="宋体" w:hAnsi="宋体" w:cs="宋体"/>
                <w:kern w:val="0"/>
                <w:sz w:val="24"/>
              </w:rPr>
            </w:pPr>
          </w:p>
        </w:tc>
        <w:tc>
          <w:tcPr>
            <w:tcW w:w="1665" w:type="dxa"/>
            <w:tcBorders>
              <w:top w:val="single" w:color="000000" w:sz="4" w:space="0"/>
              <w:left w:val="nil"/>
              <w:bottom w:val="single" w:color="000000" w:sz="4" w:space="0"/>
              <w:right w:val="single" w:color="auto" w:sz="4" w:space="0"/>
            </w:tcBorders>
            <w:vAlign w:val="center"/>
          </w:tcPr>
          <w:p w14:paraId="2098B8B5">
            <w:pPr>
              <w:widowControl/>
              <w:spacing w:line="500" w:lineRule="exact"/>
              <w:jc w:val="left"/>
              <w:rPr>
                <w:rFonts w:ascii="宋体" w:hAnsi="宋体" w:cs="宋体"/>
                <w:kern w:val="0"/>
                <w:sz w:val="24"/>
              </w:rPr>
            </w:pPr>
          </w:p>
        </w:tc>
        <w:tc>
          <w:tcPr>
            <w:tcW w:w="1399" w:type="dxa"/>
            <w:tcBorders>
              <w:top w:val="single" w:color="000000" w:sz="4" w:space="0"/>
              <w:left w:val="single" w:color="auto" w:sz="4" w:space="0"/>
              <w:bottom w:val="single" w:color="000000" w:sz="4" w:space="0"/>
              <w:right w:val="single" w:color="000000" w:sz="4" w:space="0"/>
            </w:tcBorders>
            <w:vAlign w:val="center"/>
          </w:tcPr>
          <w:p w14:paraId="18AE3B7C">
            <w:pPr>
              <w:widowControl/>
              <w:spacing w:line="500" w:lineRule="exact"/>
              <w:jc w:val="left"/>
              <w:rPr>
                <w:rFonts w:ascii="宋体" w:hAnsi="宋体" w:cs="宋体"/>
                <w:kern w:val="0"/>
                <w:sz w:val="24"/>
              </w:rPr>
            </w:pPr>
          </w:p>
        </w:tc>
        <w:tc>
          <w:tcPr>
            <w:tcW w:w="906" w:type="dxa"/>
            <w:tcBorders>
              <w:top w:val="single" w:color="000000" w:sz="4" w:space="0"/>
              <w:left w:val="single" w:color="auto" w:sz="4" w:space="0"/>
              <w:bottom w:val="single" w:color="000000" w:sz="4" w:space="0"/>
              <w:right w:val="single" w:color="000000" w:sz="4" w:space="0"/>
            </w:tcBorders>
            <w:vAlign w:val="center"/>
          </w:tcPr>
          <w:p w14:paraId="18131F3B">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56119B87">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0AB320E6">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18B42A79">
            <w:pPr>
              <w:widowControl/>
              <w:spacing w:line="500" w:lineRule="exact"/>
              <w:jc w:val="left"/>
              <w:rPr>
                <w:rFonts w:ascii="宋体" w:hAnsi="宋体" w:cs="宋体"/>
                <w:kern w:val="0"/>
                <w:sz w:val="24"/>
              </w:rPr>
            </w:pPr>
          </w:p>
        </w:tc>
        <w:tc>
          <w:tcPr>
            <w:tcW w:w="1042" w:type="dxa"/>
            <w:tcBorders>
              <w:top w:val="single" w:color="000000" w:sz="4" w:space="0"/>
              <w:left w:val="nil"/>
              <w:bottom w:val="single" w:color="000000" w:sz="4" w:space="0"/>
              <w:right w:val="single" w:color="000000" w:sz="4" w:space="0"/>
            </w:tcBorders>
            <w:vAlign w:val="center"/>
          </w:tcPr>
          <w:p w14:paraId="33A0131F">
            <w:pPr>
              <w:widowControl/>
              <w:spacing w:line="500" w:lineRule="exact"/>
              <w:jc w:val="left"/>
              <w:rPr>
                <w:rFonts w:ascii="宋体" w:hAnsi="宋体" w:cs="宋体"/>
                <w:kern w:val="0"/>
                <w:sz w:val="24"/>
              </w:rPr>
            </w:pPr>
          </w:p>
        </w:tc>
      </w:tr>
      <w:tr w14:paraId="6F2FEB39">
        <w:tblPrEx>
          <w:tblCellMar>
            <w:top w:w="0" w:type="dxa"/>
            <w:left w:w="108" w:type="dxa"/>
            <w:bottom w:w="0" w:type="dxa"/>
            <w:right w:w="108" w:type="dxa"/>
          </w:tblCellMar>
        </w:tblPrEx>
        <w:trPr>
          <w:trHeight w:val="785" w:hRule="atLeast"/>
          <w:jc w:val="center"/>
        </w:trPr>
        <w:tc>
          <w:tcPr>
            <w:tcW w:w="907" w:type="dxa"/>
            <w:tcBorders>
              <w:top w:val="single" w:color="000000" w:sz="4" w:space="0"/>
              <w:left w:val="single" w:color="000000" w:sz="4" w:space="0"/>
              <w:bottom w:val="single" w:color="000000" w:sz="4" w:space="0"/>
              <w:right w:val="single" w:color="000000" w:sz="4" w:space="0"/>
            </w:tcBorders>
            <w:vAlign w:val="center"/>
          </w:tcPr>
          <w:p w14:paraId="6B17BD43">
            <w:pPr>
              <w:widowControl/>
              <w:spacing w:line="500" w:lineRule="exact"/>
              <w:jc w:val="center"/>
              <w:rPr>
                <w:rFonts w:ascii="宋体" w:hAnsi="宋体" w:cs="宋体"/>
                <w:kern w:val="0"/>
                <w:sz w:val="24"/>
              </w:rPr>
            </w:pPr>
            <w:r>
              <w:rPr>
                <w:rFonts w:hint="eastAsia" w:ascii="宋体" w:hAnsi="宋体" w:cs="宋体"/>
                <w:kern w:val="0"/>
                <w:sz w:val="24"/>
              </w:rPr>
              <w:t>3</w:t>
            </w:r>
          </w:p>
        </w:tc>
        <w:tc>
          <w:tcPr>
            <w:tcW w:w="1485" w:type="dxa"/>
            <w:tcBorders>
              <w:top w:val="single" w:color="000000" w:sz="4" w:space="0"/>
              <w:left w:val="nil"/>
              <w:bottom w:val="single" w:color="000000" w:sz="4" w:space="0"/>
              <w:right w:val="single" w:color="000000" w:sz="4" w:space="0"/>
            </w:tcBorders>
            <w:vAlign w:val="center"/>
          </w:tcPr>
          <w:p w14:paraId="1CB94937">
            <w:pPr>
              <w:widowControl/>
              <w:spacing w:line="500" w:lineRule="exact"/>
              <w:jc w:val="left"/>
              <w:rPr>
                <w:rFonts w:ascii="宋体" w:hAnsi="宋体" w:cs="宋体"/>
                <w:kern w:val="0"/>
                <w:sz w:val="24"/>
              </w:rPr>
            </w:pPr>
          </w:p>
        </w:tc>
        <w:tc>
          <w:tcPr>
            <w:tcW w:w="1665" w:type="dxa"/>
            <w:tcBorders>
              <w:top w:val="single" w:color="000000" w:sz="4" w:space="0"/>
              <w:left w:val="nil"/>
              <w:bottom w:val="single" w:color="000000" w:sz="4" w:space="0"/>
              <w:right w:val="single" w:color="auto" w:sz="4" w:space="0"/>
            </w:tcBorders>
            <w:vAlign w:val="center"/>
          </w:tcPr>
          <w:p w14:paraId="593B515E">
            <w:pPr>
              <w:widowControl/>
              <w:spacing w:line="500" w:lineRule="exact"/>
              <w:jc w:val="left"/>
              <w:rPr>
                <w:rFonts w:ascii="宋体" w:hAnsi="宋体" w:cs="宋体"/>
                <w:kern w:val="0"/>
                <w:sz w:val="24"/>
              </w:rPr>
            </w:pPr>
          </w:p>
        </w:tc>
        <w:tc>
          <w:tcPr>
            <w:tcW w:w="1399" w:type="dxa"/>
            <w:tcBorders>
              <w:top w:val="single" w:color="000000" w:sz="4" w:space="0"/>
              <w:left w:val="single" w:color="auto" w:sz="4" w:space="0"/>
              <w:bottom w:val="single" w:color="000000" w:sz="4" w:space="0"/>
              <w:right w:val="single" w:color="000000" w:sz="4" w:space="0"/>
            </w:tcBorders>
            <w:vAlign w:val="center"/>
          </w:tcPr>
          <w:p w14:paraId="3FDB73A0">
            <w:pPr>
              <w:widowControl/>
              <w:spacing w:line="500" w:lineRule="exact"/>
              <w:jc w:val="left"/>
              <w:rPr>
                <w:rFonts w:ascii="宋体" w:hAnsi="宋体" w:cs="宋体"/>
                <w:kern w:val="0"/>
                <w:sz w:val="24"/>
              </w:rPr>
            </w:pPr>
          </w:p>
        </w:tc>
        <w:tc>
          <w:tcPr>
            <w:tcW w:w="906" w:type="dxa"/>
            <w:tcBorders>
              <w:top w:val="single" w:color="000000" w:sz="4" w:space="0"/>
              <w:left w:val="single" w:color="auto" w:sz="4" w:space="0"/>
              <w:bottom w:val="single" w:color="000000" w:sz="4" w:space="0"/>
              <w:right w:val="single" w:color="000000" w:sz="4" w:space="0"/>
            </w:tcBorders>
            <w:vAlign w:val="center"/>
          </w:tcPr>
          <w:p w14:paraId="62BB9EE2">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2E947F98">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118FC806">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2C4CC48B">
            <w:pPr>
              <w:widowControl/>
              <w:spacing w:line="500" w:lineRule="exact"/>
              <w:jc w:val="left"/>
              <w:rPr>
                <w:rFonts w:ascii="宋体" w:hAnsi="宋体" w:cs="宋体"/>
                <w:kern w:val="0"/>
                <w:sz w:val="24"/>
              </w:rPr>
            </w:pPr>
          </w:p>
        </w:tc>
        <w:tc>
          <w:tcPr>
            <w:tcW w:w="1042" w:type="dxa"/>
            <w:tcBorders>
              <w:top w:val="single" w:color="000000" w:sz="4" w:space="0"/>
              <w:left w:val="nil"/>
              <w:bottom w:val="single" w:color="000000" w:sz="4" w:space="0"/>
              <w:right w:val="single" w:color="000000" w:sz="4" w:space="0"/>
            </w:tcBorders>
            <w:vAlign w:val="center"/>
          </w:tcPr>
          <w:p w14:paraId="186B2FD3">
            <w:pPr>
              <w:widowControl/>
              <w:spacing w:line="500" w:lineRule="exact"/>
              <w:jc w:val="left"/>
              <w:rPr>
                <w:rFonts w:ascii="宋体" w:hAnsi="宋体" w:cs="宋体"/>
                <w:kern w:val="0"/>
                <w:sz w:val="24"/>
              </w:rPr>
            </w:pPr>
          </w:p>
        </w:tc>
      </w:tr>
      <w:tr w14:paraId="3CFF1E8A">
        <w:tblPrEx>
          <w:tblCellMar>
            <w:top w:w="0" w:type="dxa"/>
            <w:left w:w="108" w:type="dxa"/>
            <w:bottom w:w="0" w:type="dxa"/>
            <w:right w:w="108" w:type="dxa"/>
          </w:tblCellMar>
        </w:tblPrEx>
        <w:trPr>
          <w:trHeight w:val="785" w:hRule="atLeast"/>
          <w:jc w:val="center"/>
        </w:trPr>
        <w:tc>
          <w:tcPr>
            <w:tcW w:w="907" w:type="dxa"/>
            <w:tcBorders>
              <w:top w:val="single" w:color="000000" w:sz="4" w:space="0"/>
              <w:left w:val="single" w:color="000000" w:sz="4" w:space="0"/>
              <w:bottom w:val="single" w:color="000000" w:sz="4" w:space="0"/>
              <w:right w:val="single" w:color="000000" w:sz="4" w:space="0"/>
            </w:tcBorders>
            <w:vAlign w:val="center"/>
          </w:tcPr>
          <w:p w14:paraId="31A591AD">
            <w:pPr>
              <w:widowControl/>
              <w:spacing w:line="500" w:lineRule="exact"/>
              <w:jc w:val="center"/>
              <w:rPr>
                <w:rFonts w:ascii="宋体" w:hAnsi="宋体" w:cs="宋体"/>
                <w:kern w:val="0"/>
                <w:sz w:val="24"/>
              </w:rPr>
            </w:pPr>
            <w:r>
              <w:rPr>
                <w:rFonts w:hint="eastAsia" w:ascii="宋体" w:hAnsi="宋体" w:cs="宋体"/>
                <w:kern w:val="0"/>
                <w:sz w:val="24"/>
              </w:rPr>
              <w:t>……</w:t>
            </w:r>
          </w:p>
        </w:tc>
        <w:tc>
          <w:tcPr>
            <w:tcW w:w="1485" w:type="dxa"/>
            <w:tcBorders>
              <w:top w:val="single" w:color="000000" w:sz="4" w:space="0"/>
              <w:left w:val="nil"/>
              <w:bottom w:val="single" w:color="000000" w:sz="4" w:space="0"/>
              <w:right w:val="single" w:color="000000" w:sz="4" w:space="0"/>
            </w:tcBorders>
            <w:vAlign w:val="center"/>
          </w:tcPr>
          <w:p w14:paraId="6FA410B9">
            <w:pPr>
              <w:widowControl/>
              <w:spacing w:line="500" w:lineRule="exact"/>
              <w:jc w:val="left"/>
              <w:rPr>
                <w:rFonts w:ascii="宋体" w:hAnsi="宋体" w:cs="宋体"/>
                <w:kern w:val="0"/>
                <w:sz w:val="24"/>
              </w:rPr>
            </w:pPr>
          </w:p>
        </w:tc>
        <w:tc>
          <w:tcPr>
            <w:tcW w:w="1665" w:type="dxa"/>
            <w:tcBorders>
              <w:top w:val="single" w:color="000000" w:sz="4" w:space="0"/>
              <w:left w:val="nil"/>
              <w:bottom w:val="single" w:color="000000" w:sz="4" w:space="0"/>
              <w:right w:val="single" w:color="auto" w:sz="4" w:space="0"/>
            </w:tcBorders>
            <w:vAlign w:val="center"/>
          </w:tcPr>
          <w:p w14:paraId="21B2624E">
            <w:pPr>
              <w:widowControl/>
              <w:spacing w:line="500" w:lineRule="exact"/>
              <w:jc w:val="left"/>
              <w:rPr>
                <w:rFonts w:ascii="宋体" w:hAnsi="宋体" w:cs="宋体"/>
                <w:kern w:val="0"/>
                <w:sz w:val="24"/>
              </w:rPr>
            </w:pPr>
          </w:p>
        </w:tc>
        <w:tc>
          <w:tcPr>
            <w:tcW w:w="1399" w:type="dxa"/>
            <w:tcBorders>
              <w:top w:val="single" w:color="000000" w:sz="4" w:space="0"/>
              <w:left w:val="single" w:color="auto" w:sz="4" w:space="0"/>
              <w:bottom w:val="single" w:color="000000" w:sz="4" w:space="0"/>
              <w:right w:val="single" w:color="000000" w:sz="4" w:space="0"/>
            </w:tcBorders>
            <w:vAlign w:val="center"/>
          </w:tcPr>
          <w:p w14:paraId="528E1093">
            <w:pPr>
              <w:widowControl/>
              <w:spacing w:line="500" w:lineRule="exact"/>
              <w:jc w:val="left"/>
              <w:rPr>
                <w:rFonts w:ascii="宋体" w:hAnsi="宋体" w:cs="宋体"/>
                <w:kern w:val="0"/>
                <w:sz w:val="24"/>
              </w:rPr>
            </w:pPr>
          </w:p>
        </w:tc>
        <w:tc>
          <w:tcPr>
            <w:tcW w:w="906" w:type="dxa"/>
            <w:tcBorders>
              <w:top w:val="single" w:color="000000" w:sz="4" w:space="0"/>
              <w:left w:val="single" w:color="auto" w:sz="4" w:space="0"/>
              <w:bottom w:val="single" w:color="000000" w:sz="4" w:space="0"/>
              <w:right w:val="single" w:color="000000" w:sz="4" w:space="0"/>
            </w:tcBorders>
            <w:vAlign w:val="center"/>
          </w:tcPr>
          <w:p w14:paraId="4BA867E4">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246B736F">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6F931011">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403E5BA3">
            <w:pPr>
              <w:widowControl/>
              <w:spacing w:line="500" w:lineRule="exact"/>
              <w:jc w:val="left"/>
              <w:rPr>
                <w:rFonts w:ascii="宋体" w:hAnsi="宋体" w:cs="宋体"/>
                <w:kern w:val="0"/>
                <w:sz w:val="24"/>
              </w:rPr>
            </w:pPr>
          </w:p>
        </w:tc>
        <w:tc>
          <w:tcPr>
            <w:tcW w:w="1042" w:type="dxa"/>
            <w:tcBorders>
              <w:top w:val="single" w:color="000000" w:sz="4" w:space="0"/>
              <w:left w:val="nil"/>
              <w:bottom w:val="single" w:color="000000" w:sz="4" w:space="0"/>
              <w:right w:val="single" w:color="000000" w:sz="4" w:space="0"/>
            </w:tcBorders>
            <w:vAlign w:val="center"/>
          </w:tcPr>
          <w:p w14:paraId="486D8977">
            <w:pPr>
              <w:widowControl/>
              <w:spacing w:line="500" w:lineRule="exact"/>
              <w:jc w:val="left"/>
              <w:rPr>
                <w:rFonts w:ascii="宋体" w:hAnsi="宋体" w:cs="宋体"/>
                <w:kern w:val="0"/>
                <w:sz w:val="24"/>
              </w:rPr>
            </w:pPr>
          </w:p>
        </w:tc>
      </w:tr>
      <w:tr w14:paraId="2E4E033A">
        <w:tblPrEx>
          <w:tblCellMar>
            <w:top w:w="0" w:type="dxa"/>
            <w:left w:w="108" w:type="dxa"/>
            <w:bottom w:w="0" w:type="dxa"/>
            <w:right w:w="108" w:type="dxa"/>
          </w:tblCellMar>
        </w:tblPrEx>
        <w:trPr>
          <w:trHeight w:val="785" w:hRule="atLeast"/>
          <w:jc w:val="center"/>
        </w:trPr>
        <w:tc>
          <w:tcPr>
            <w:tcW w:w="907" w:type="dxa"/>
            <w:tcBorders>
              <w:top w:val="single" w:color="000000" w:sz="4" w:space="0"/>
              <w:left w:val="single" w:color="000000" w:sz="4" w:space="0"/>
              <w:bottom w:val="single" w:color="000000" w:sz="4" w:space="0"/>
              <w:right w:val="single" w:color="000000" w:sz="4" w:space="0"/>
            </w:tcBorders>
            <w:vAlign w:val="center"/>
          </w:tcPr>
          <w:p w14:paraId="2FDFBA01">
            <w:pPr>
              <w:widowControl/>
              <w:spacing w:line="500" w:lineRule="exact"/>
              <w:jc w:val="center"/>
              <w:rPr>
                <w:rFonts w:ascii="宋体" w:hAnsi="宋体" w:cs="宋体"/>
                <w:kern w:val="0"/>
                <w:sz w:val="24"/>
              </w:rPr>
            </w:pPr>
          </w:p>
        </w:tc>
        <w:tc>
          <w:tcPr>
            <w:tcW w:w="1485" w:type="dxa"/>
            <w:tcBorders>
              <w:top w:val="single" w:color="000000" w:sz="4" w:space="0"/>
              <w:left w:val="nil"/>
              <w:bottom w:val="single" w:color="000000" w:sz="4" w:space="0"/>
              <w:right w:val="single" w:color="000000" w:sz="4" w:space="0"/>
            </w:tcBorders>
            <w:vAlign w:val="center"/>
          </w:tcPr>
          <w:p w14:paraId="06E77B8F">
            <w:pPr>
              <w:widowControl/>
              <w:snapToGrid w:val="0"/>
              <w:spacing w:line="500" w:lineRule="exact"/>
              <w:jc w:val="center"/>
              <w:rPr>
                <w:rFonts w:ascii="宋体" w:hAnsi="宋体" w:cs="宋体"/>
                <w:kern w:val="0"/>
                <w:sz w:val="24"/>
              </w:rPr>
            </w:pPr>
          </w:p>
        </w:tc>
        <w:tc>
          <w:tcPr>
            <w:tcW w:w="1665" w:type="dxa"/>
            <w:tcBorders>
              <w:top w:val="single" w:color="000000" w:sz="4" w:space="0"/>
              <w:left w:val="nil"/>
              <w:bottom w:val="single" w:color="000000" w:sz="4" w:space="0"/>
              <w:right w:val="single" w:color="auto" w:sz="4" w:space="0"/>
            </w:tcBorders>
            <w:vAlign w:val="center"/>
          </w:tcPr>
          <w:p w14:paraId="22483438">
            <w:pPr>
              <w:widowControl/>
              <w:snapToGrid w:val="0"/>
              <w:spacing w:line="500" w:lineRule="exact"/>
              <w:jc w:val="center"/>
              <w:rPr>
                <w:rFonts w:ascii="宋体" w:hAnsi="宋体" w:cs="宋体"/>
                <w:kern w:val="0"/>
                <w:sz w:val="24"/>
              </w:rPr>
            </w:pPr>
          </w:p>
        </w:tc>
        <w:tc>
          <w:tcPr>
            <w:tcW w:w="1399" w:type="dxa"/>
            <w:tcBorders>
              <w:top w:val="single" w:color="000000" w:sz="4" w:space="0"/>
              <w:left w:val="single" w:color="auto" w:sz="4" w:space="0"/>
              <w:bottom w:val="single" w:color="000000" w:sz="4" w:space="0"/>
              <w:right w:val="single" w:color="000000" w:sz="4" w:space="0"/>
            </w:tcBorders>
            <w:vAlign w:val="center"/>
          </w:tcPr>
          <w:p w14:paraId="2B582DBB">
            <w:pPr>
              <w:widowControl/>
              <w:spacing w:line="500" w:lineRule="exact"/>
              <w:jc w:val="left"/>
              <w:rPr>
                <w:rFonts w:ascii="宋体" w:hAnsi="宋体" w:cs="宋体"/>
                <w:kern w:val="0"/>
                <w:sz w:val="24"/>
              </w:rPr>
            </w:pPr>
          </w:p>
        </w:tc>
        <w:tc>
          <w:tcPr>
            <w:tcW w:w="906" w:type="dxa"/>
            <w:tcBorders>
              <w:top w:val="single" w:color="000000" w:sz="4" w:space="0"/>
              <w:left w:val="single" w:color="auto" w:sz="4" w:space="0"/>
              <w:bottom w:val="single" w:color="000000" w:sz="4" w:space="0"/>
              <w:right w:val="single" w:color="000000" w:sz="4" w:space="0"/>
            </w:tcBorders>
            <w:vAlign w:val="center"/>
          </w:tcPr>
          <w:p w14:paraId="599CA5A6">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2D297D1E">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7FCB8B4B">
            <w:pPr>
              <w:widowControl/>
              <w:spacing w:line="500" w:lineRule="exact"/>
              <w:jc w:val="left"/>
              <w:rPr>
                <w:rFonts w:ascii="宋体" w:hAnsi="宋体" w:cs="宋体"/>
                <w:kern w:val="0"/>
                <w:sz w:val="24"/>
              </w:rPr>
            </w:pPr>
          </w:p>
        </w:tc>
        <w:tc>
          <w:tcPr>
            <w:tcW w:w="947" w:type="dxa"/>
            <w:tcBorders>
              <w:top w:val="single" w:color="000000" w:sz="4" w:space="0"/>
              <w:left w:val="nil"/>
              <w:bottom w:val="single" w:color="000000" w:sz="4" w:space="0"/>
              <w:right w:val="single" w:color="000000" w:sz="4" w:space="0"/>
            </w:tcBorders>
            <w:vAlign w:val="center"/>
          </w:tcPr>
          <w:p w14:paraId="1103EA6F">
            <w:pPr>
              <w:widowControl/>
              <w:spacing w:line="500" w:lineRule="exact"/>
              <w:jc w:val="left"/>
              <w:rPr>
                <w:rFonts w:ascii="宋体" w:hAnsi="宋体" w:cs="宋体"/>
                <w:kern w:val="0"/>
                <w:sz w:val="24"/>
              </w:rPr>
            </w:pPr>
          </w:p>
        </w:tc>
        <w:tc>
          <w:tcPr>
            <w:tcW w:w="1042" w:type="dxa"/>
            <w:tcBorders>
              <w:top w:val="single" w:color="000000" w:sz="4" w:space="0"/>
              <w:left w:val="nil"/>
              <w:bottom w:val="single" w:color="000000" w:sz="4" w:space="0"/>
              <w:right w:val="single" w:color="000000" w:sz="4" w:space="0"/>
            </w:tcBorders>
            <w:vAlign w:val="center"/>
          </w:tcPr>
          <w:p w14:paraId="19B3C298">
            <w:pPr>
              <w:widowControl/>
              <w:spacing w:line="500" w:lineRule="exact"/>
              <w:jc w:val="left"/>
              <w:rPr>
                <w:rFonts w:ascii="宋体" w:hAnsi="宋体" w:cs="宋体"/>
                <w:kern w:val="0"/>
                <w:sz w:val="24"/>
              </w:rPr>
            </w:pPr>
          </w:p>
        </w:tc>
      </w:tr>
      <w:tr w14:paraId="70891C91">
        <w:tblPrEx>
          <w:tblCellMar>
            <w:top w:w="0" w:type="dxa"/>
            <w:left w:w="108" w:type="dxa"/>
            <w:bottom w:w="0" w:type="dxa"/>
            <w:right w:w="108" w:type="dxa"/>
          </w:tblCellMar>
        </w:tblPrEx>
        <w:trPr>
          <w:trHeight w:val="1190" w:hRule="atLeast"/>
          <w:jc w:val="center"/>
        </w:trPr>
        <w:tc>
          <w:tcPr>
            <w:tcW w:w="4057" w:type="dxa"/>
            <w:gridSpan w:val="3"/>
            <w:tcBorders>
              <w:top w:val="single" w:color="000000" w:sz="4" w:space="0"/>
              <w:left w:val="single" w:color="000000" w:sz="4" w:space="0"/>
              <w:bottom w:val="single" w:color="000000" w:sz="4" w:space="0"/>
              <w:right w:val="single" w:color="auto" w:sz="4" w:space="0"/>
            </w:tcBorders>
            <w:vAlign w:val="center"/>
          </w:tcPr>
          <w:p w14:paraId="5A09CE67">
            <w:pPr>
              <w:widowControl/>
              <w:snapToGrid w:val="0"/>
              <w:spacing w:before="100" w:beforeAutospacing="1" w:after="100" w:afterAutospacing="1" w:line="500" w:lineRule="exact"/>
              <w:ind w:right="-330"/>
              <w:jc w:val="center"/>
              <w:rPr>
                <w:rFonts w:ascii="宋体" w:hAnsi="宋体" w:cs="宋体"/>
                <w:kern w:val="0"/>
                <w:sz w:val="24"/>
              </w:rPr>
            </w:pPr>
            <w:r>
              <w:rPr>
                <w:rFonts w:hint="eastAsia" w:ascii="宋体" w:hAnsi="宋体" w:cs="宋体"/>
                <w:sz w:val="24"/>
              </w:rPr>
              <w:t>金额合计</w:t>
            </w:r>
            <w:r>
              <w:rPr>
                <w:rFonts w:hint="eastAsia" w:ascii="宋体" w:hAnsi="宋体" w:eastAsia="宋体" w:cs="宋体"/>
                <w:b/>
                <w:bCs/>
                <w:i w:val="0"/>
                <w:iCs w:val="0"/>
                <w:color w:val="000000"/>
                <w:kern w:val="0"/>
                <w:sz w:val="24"/>
                <w:szCs w:val="24"/>
                <w:u w:val="none"/>
                <w:lang w:val="en-US" w:eastAsia="zh-CN" w:bidi="ar"/>
              </w:rPr>
              <w:t>(元)：</w:t>
            </w:r>
          </w:p>
        </w:tc>
        <w:tc>
          <w:tcPr>
            <w:tcW w:w="6188" w:type="dxa"/>
            <w:gridSpan w:val="6"/>
            <w:tcBorders>
              <w:top w:val="single" w:color="000000" w:sz="4" w:space="0"/>
              <w:left w:val="single" w:color="auto" w:sz="4" w:space="0"/>
              <w:bottom w:val="single" w:color="000000" w:sz="4" w:space="0"/>
              <w:right w:val="single" w:color="000000" w:sz="4" w:space="0"/>
            </w:tcBorders>
            <w:vAlign w:val="center"/>
          </w:tcPr>
          <w:p w14:paraId="132FAE27">
            <w:pPr>
              <w:spacing w:line="500" w:lineRule="exact"/>
              <w:rPr>
                <w:rFonts w:ascii="宋体" w:hAnsi="宋体" w:cs="宋体"/>
                <w:sz w:val="24"/>
              </w:rPr>
            </w:pPr>
            <w:r>
              <w:rPr>
                <w:rFonts w:hint="eastAsia" w:ascii="宋体" w:hAnsi="宋体" w:cs="宋体"/>
                <w:sz w:val="24"/>
              </w:rPr>
              <w:t>大写：</w:t>
            </w:r>
          </w:p>
          <w:p w14:paraId="553B1B8D">
            <w:pPr>
              <w:spacing w:line="500" w:lineRule="exact"/>
              <w:rPr>
                <w:rFonts w:ascii="宋体" w:hAnsi="宋体" w:cs="宋体"/>
                <w:sz w:val="24"/>
              </w:rPr>
            </w:pPr>
            <w:r>
              <w:rPr>
                <w:rFonts w:hint="eastAsia" w:ascii="宋体" w:hAnsi="宋体" w:cs="宋体"/>
                <w:sz w:val="24"/>
              </w:rPr>
              <w:t>小写：</w:t>
            </w:r>
          </w:p>
        </w:tc>
      </w:tr>
      <w:tr w14:paraId="2345633F">
        <w:tblPrEx>
          <w:tblCellMar>
            <w:top w:w="0" w:type="dxa"/>
            <w:left w:w="108" w:type="dxa"/>
            <w:bottom w:w="0" w:type="dxa"/>
            <w:right w:w="108" w:type="dxa"/>
          </w:tblCellMar>
        </w:tblPrEx>
        <w:trPr>
          <w:trHeight w:val="837" w:hRule="atLeast"/>
          <w:jc w:val="center"/>
        </w:trPr>
        <w:tc>
          <w:tcPr>
            <w:tcW w:w="10245" w:type="dxa"/>
            <w:gridSpan w:val="9"/>
            <w:tcBorders>
              <w:top w:val="single" w:color="000000" w:sz="4" w:space="0"/>
              <w:left w:val="single" w:color="000000" w:sz="4" w:space="0"/>
              <w:bottom w:val="single" w:color="000000" w:sz="4" w:space="0"/>
              <w:right w:val="single" w:color="000000" w:sz="4" w:space="0"/>
            </w:tcBorders>
            <w:vAlign w:val="center"/>
          </w:tcPr>
          <w:p w14:paraId="3A1F0515">
            <w:pPr>
              <w:widowControl/>
              <w:snapToGrid w:val="0"/>
              <w:spacing w:before="100" w:beforeAutospacing="1" w:after="100" w:afterAutospacing="1" w:line="500" w:lineRule="exact"/>
              <w:ind w:right="-330"/>
              <w:rPr>
                <w:rFonts w:ascii="宋体" w:hAnsi="宋体" w:cs="宋体"/>
                <w:b/>
                <w:kern w:val="0"/>
                <w:sz w:val="24"/>
              </w:rPr>
            </w:pPr>
            <w:r>
              <w:rPr>
                <w:rFonts w:hint="eastAsia" w:ascii="宋体" w:hAnsi="宋体" w:cs="宋体"/>
                <w:b/>
                <w:kern w:val="0"/>
                <w:sz w:val="24"/>
              </w:rPr>
              <w:t xml:space="preserve">备注： </w:t>
            </w:r>
          </w:p>
        </w:tc>
      </w:tr>
    </w:tbl>
    <w:p w14:paraId="59E55D35">
      <w:pPr>
        <w:widowControl/>
        <w:wordWrap/>
        <w:autoSpaceDE w:val="0"/>
        <w:autoSpaceDN w:val="0"/>
        <w:adjustRightInd w:val="0"/>
        <w:snapToGrid w:val="0"/>
        <w:spacing w:after="0" w:afterLine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注：1.投标人</w:t>
      </w:r>
      <w:r>
        <w:rPr>
          <w:rFonts w:hint="eastAsia" w:ascii="宋体" w:hAnsi="宋体" w:eastAsia="宋体" w:cs="宋体"/>
          <w:color w:val="000000"/>
          <w:sz w:val="24"/>
          <w:szCs w:val="24"/>
          <w:lang w:eastAsia="zh-CN"/>
        </w:rPr>
        <w:t>供应商</w:t>
      </w:r>
      <w:r>
        <w:rPr>
          <w:rFonts w:hint="eastAsia" w:ascii="宋体" w:hAnsi="宋体" w:eastAsia="宋体" w:cs="宋体"/>
          <w:color w:val="000000"/>
          <w:sz w:val="24"/>
          <w:szCs w:val="24"/>
        </w:rPr>
        <w:t>应按本表“列”的内容要求逐项认真填报；无品牌型号的定制产品，“品牌型号”填“</w:t>
      </w:r>
      <w:r>
        <w:rPr>
          <w:rFonts w:hint="eastAsia" w:ascii="宋体" w:hAnsi="宋体" w:eastAsia="宋体" w:cs="宋体"/>
          <w:color w:val="000000"/>
          <w:sz w:val="24"/>
          <w:szCs w:val="24"/>
          <w:lang w:val="en-US" w:eastAsia="zh-CN"/>
        </w:rPr>
        <w:t>定制</w:t>
      </w:r>
      <w:r>
        <w:rPr>
          <w:rFonts w:hint="eastAsia" w:ascii="宋体" w:hAnsi="宋体" w:eastAsia="宋体" w:cs="宋体"/>
          <w:color w:val="000000"/>
          <w:sz w:val="24"/>
          <w:szCs w:val="24"/>
        </w:rPr>
        <w:t>”；因填报不完整而引起的投标风险,由供应商承担；</w:t>
      </w:r>
      <w:r>
        <w:rPr>
          <w:rFonts w:hint="eastAsia" w:ascii="宋体" w:hAnsi="宋体" w:eastAsia="宋体" w:cs="宋体"/>
          <w:color w:val="000000"/>
          <w:sz w:val="24"/>
          <w:szCs w:val="24"/>
          <w:lang w:eastAsia="zh-CN"/>
        </w:rPr>
        <w:t>以上报价包含本项目采购需求内所有内容，未列入项视为包含在所列内容内，</w:t>
      </w:r>
      <w:r>
        <w:rPr>
          <w:rFonts w:hint="eastAsia" w:ascii="宋体" w:hAnsi="宋体" w:eastAsia="宋体" w:cs="宋体"/>
          <w:color w:val="000000"/>
          <w:sz w:val="24"/>
          <w:szCs w:val="24"/>
        </w:rPr>
        <w:t>请各供应商对各种类型的物品单价进行详细填报，根据实际情况需要自行增减表格行数</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此表可延续；</w:t>
      </w:r>
    </w:p>
    <w:p w14:paraId="47CC0C3A">
      <w:pPr>
        <w:spacing w:line="480" w:lineRule="exact"/>
        <w:ind w:firstLine="480" w:firstLineChars="200"/>
        <w:rPr>
          <w:rFonts w:ascii="宋体" w:hAnsi="宋体" w:cs="宋体"/>
          <w:bCs/>
          <w:sz w:val="24"/>
        </w:rPr>
      </w:pPr>
    </w:p>
    <w:p w14:paraId="1201DBCA">
      <w:pPr>
        <w:pStyle w:val="4"/>
      </w:pPr>
    </w:p>
    <w:p w14:paraId="32159C0B">
      <w:pPr>
        <w:spacing w:line="480" w:lineRule="auto"/>
        <w:ind w:firstLine="480" w:firstLineChars="200"/>
        <w:rPr>
          <w:rFonts w:ascii="宋体" w:hAnsi="宋体" w:cs="宋体"/>
          <w:bCs/>
          <w:sz w:val="24"/>
        </w:rPr>
      </w:pPr>
      <w:r>
        <w:rPr>
          <w:rFonts w:hint="eastAsia" w:ascii="宋体" w:hAnsi="宋体" w:cs="宋体"/>
          <w:bCs/>
          <w:sz w:val="24"/>
        </w:rPr>
        <w:t>供应商名称：（公章签章）</w:t>
      </w:r>
    </w:p>
    <w:p w14:paraId="3CEB2B97">
      <w:pPr>
        <w:spacing w:line="480" w:lineRule="auto"/>
        <w:ind w:firstLine="480" w:firstLineChars="200"/>
        <w:rPr>
          <w:rFonts w:ascii="宋体" w:hAnsi="宋体" w:cs="宋体"/>
          <w:bCs/>
          <w:sz w:val="24"/>
        </w:rPr>
      </w:pPr>
      <w:r>
        <w:rPr>
          <w:rFonts w:hint="eastAsia" w:ascii="宋体" w:hAnsi="宋体" w:cs="宋体"/>
          <w:bCs/>
          <w:sz w:val="24"/>
        </w:rPr>
        <w:t xml:space="preserve">法定代表人或委托代理人：（法人签章）                                                                     </w:t>
      </w:r>
    </w:p>
    <w:p w14:paraId="5CAF92A3">
      <w:pPr>
        <w:spacing w:line="480" w:lineRule="auto"/>
        <w:ind w:firstLine="480" w:firstLineChars="200"/>
        <w:rPr>
          <w:rFonts w:ascii="宋体" w:hAnsi="宋体" w:cs="宋体"/>
          <w:bCs/>
          <w:sz w:val="24"/>
        </w:rPr>
      </w:pPr>
      <w:r>
        <w:rPr>
          <w:rFonts w:hint="eastAsia" w:ascii="宋体" w:hAnsi="宋体" w:cs="宋体"/>
          <w:bCs/>
          <w:sz w:val="24"/>
        </w:rPr>
        <w:t>日期：      年    月    日</w:t>
      </w:r>
    </w:p>
    <w:p w14:paraId="5EDB96C3">
      <w:pPr>
        <w:ind w:firstLine="843" w:firstLineChars="300"/>
        <w:jc w:val="center"/>
        <w:rPr>
          <w:rFonts w:hint="eastAsia" w:ascii="宋体" w:hAnsi="宋体" w:eastAsia="宋体"/>
          <w:b/>
          <w:bCs/>
          <w:sz w:val="28"/>
          <w:szCs w:val="28"/>
          <w:lang w:eastAsia="zh-CN"/>
        </w:rPr>
      </w:pPr>
    </w:p>
    <w:p w14:paraId="67895413">
      <w:pPr>
        <w:ind w:firstLine="843" w:firstLineChars="300"/>
        <w:jc w:val="center"/>
        <w:rPr>
          <w:rFonts w:ascii="宋体" w:hAnsi="宋体" w:cs="宋体"/>
        </w:rPr>
      </w:pPr>
      <w:r>
        <w:rPr>
          <w:rFonts w:hint="eastAsia" w:ascii="宋体" w:hAnsi="宋体" w:eastAsia="宋体"/>
          <w:b/>
          <w:bCs/>
          <w:sz w:val="28"/>
          <w:szCs w:val="28"/>
          <w:lang w:val="en-US" w:eastAsia="zh-CN"/>
        </w:rPr>
        <w:t>3、</w:t>
      </w:r>
      <w:r>
        <w:rPr>
          <w:rFonts w:hint="eastAsia" w:ascii="宋体" w:hAnsi="宋体" w:eastAsia="宋体"/>
          <w:b/>
          <w:bCs/>
          <w:sz w:val="28"/>
          <w:szCs w:val="28"/>
        </w:rPr>
        <w:t>投标产品（</w:t>
      </w:r>
      <w:r>
        <w:rPr>
          <w:rFonts w:hint="eastAsia" w:ascii="宋体" w:hAnsi="宋体" w:eastAsia="宋体"/>
          <w:b/>
          <w:bCs/>
          <w:sz w:val="28"/>
          <w:szCs w:val="28"/>
          <w:lang w:eastAsia="zh-CN"/>
        </w:rPr>
        <w:t>生物质</w:t>
      </w:r>
      <w:r>
        <w:rPr>
          <w:rFonts w:hint="eastAsia" w:ascii="宋体" w:hAnsi="宋体" w:eastAsia="宋体"/>
          <w:b/>
          <w:bCs/>
          <w:sz w:val="28"/>
          <w:szCs w:val="28"/>
        </w:rPr>
        <w:t>烤房）详细技术参数</w:t>
      </w:r>
      <w:r>
        <w:rPr>
          <w:rFonts w:hint="eastAsia" w:ascii="宋体" w:hAnsi="宋体" w:cs="宋体"/>
        </w:rPr>
        <w:br w:type="page"/>
      </w:r>
      <w:bookmarkStart w:id="168" w:name="_Toc26862"/>
      <w:bookmarkEnd w:id="168"/>
    </w:p>
    <w:p w14:paraId="7FE6401C">
      <w:pPr>
        <w:ind w:firstLine="964" w:firstLineChars="300"/>
        <w:jc w:val="center"/>
        <w:rPr>
          <w:rFonts w:ascii="宋体" w:hAnsi="宋体" w:cs="宋体"/>
          <w:b/>
          <w:bCs/>
          <w:sz w:val="32"/>
          <w:szCs w:val="32"/>
        </w:rPr>
      </w:pPr>
      <w:r>
        <w:rPr>
          <w:rFonts w:hint="eastAsia" w:ascii="宋体" w:hAnsi="宋体" w:cs="宋体"/>
          <w:b/>
          <w:bCs/>
          <w:sz w:val="32"/>
          <w:szCs w:val="40"/>
          <w:lang w:val="en-US" w:eastAsia="zh-CN"/>
        </w:rPr>
        <w:t>4</w:t>
      </w:r>
      <w:r>
        <w:rPr>
          <w:rFonts w:hint="eastAsia" w:ascii="宋体" w:hAnsi="宋体" w:cs="宋体"/>
          <w:b/>
          <w:bCs/>
          <w:sz w:val="32"/>
          <w:szCs w:val="40"/>
        </w:rPr>
        <w:t>.技术要求响应与偏差表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366"/>
        <w:gridCol w:w="2355"/>
        <w:gridCol w:w="2625"/>
        <w:gridCol w:w="780"/>
        <w:gridCol w:w="686"/>
      </w:tblGrid>
      <w:tr w14:paraId="14B8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restart"/>
            <w:tcBorders>
              <w:top w:val="single" w:color="auto" w:sz="4" w:space="0"/>
              <w:left w:val="single" w:color="auto" w:sz="4" w:space="0"/>
              <w:bottom w:val="single" w:color="auto" w:sz="4" w:space="0"/>
              <w:right w:val="single" w:color="auto" w:sz="4" w:space="0"/>
            </w:tcBorders>
            <w:vAlign w:val="center"/>
          </w:tcPr>
          <w:p w14:paraId="5AB7150C">
            <w:pPr>
              <w:autoSpaceDE w:val="0"/>
              <w:autoSpaceDN w:val="0"/>
              <w:adjustRightInd w:val="0"/>
              <w:spacing w:line="360" w:lineRule="auto"/>
              <w:rPr>
                <w:rFonts w:ascii="宋体" w:hAnsi="宋体" w:cs="宋体"/>
                <w:spacing w:val="10"/>
                <w:sz w:val="24"/>
              </w:rPr>
            </w:pPr>
            <w:r>
              <w:rPr>
                <w:rFonts w:hint="eastAsia" w:ascii="宋体" w:hAnsi="宋体" w:cs="宋体"/>
                <w:spacing w:val="10"/>
                <w:sz w:val="24"/>
              </w:rPr>
              <w:t>序号</w:t>
            </w:r>
          </w:p>
        </w:tc>
        <w:tc>
          <w:tcPr>
            <w:tcW w:w="1366" w:type="dxa"/>
            <w:vMerge w:val="restart"/>
            <w:tcBorders>
              <w:top w:val="single" w:color="auto" w:sz="4" w:space="0"/>
              <w:left w:val="nil"/>
              <w:bottom w:val="single" w:color="auto" w:sz="4" w:space="0"/>
              <w:right w:val="single" w:color="auto" w:sz="4" w:space="0"/>
            </w:tcBorders>
            <w:vAlign w:val="center"/>
          </w:tcPr>
          <w:p w14:paraId="4E079CC1">
            <w:pPr>
              <w:autoSpaceDE w:val="0"/>
              <w:autoSpaceDN w:val="0"/>
              <w:adjustRightInd w:val="0"/>
              <w:spacing w:line="360" w:lineRule="auto"/>
              <w:rPr>
                <w:rFonts w:ascii="宋体" w:hAnsi="宋体" w:cs="宋体"/>
                <w:spacing w:val="10"/>
                <w:sz w:val="24"/>
              </w:rPr>
            </w:pPr>
            <w:r>
              <w:rPr>
                <w:rFonts w:hint="eastAsia" w:ascii="宋体" w:hAnsi="宋体" w:cs="宋体"/>
                <w:spacing w:val="10"/>
                <w:sz w:val="24"/>
              </w:rPr>
              <w:t>名称</w:t>
            </w:r>
          </w:p>
        </w:tc>
        <w:tc>
          <w:tcPr>
            <w:tcW w:w="4980" w:type="dxa"/>
            <w:gridSpan w:val="2"/>
            <w:tcBorders>
              <w:top w:val="single" w:color="auto" w:sz="4" w:space="0"/>
              <w:left w:val="nil"/>
              <w:right w:val="single" w:color="auto" w:sz="4" w:space="0"/>
            </w:tcBorders>
            <w:vAlign w:val="center"/>
          </w:tcPr>
          <w:p w14:paraId="59EEFCA9">
            <w:pPr>
              <w:autoSpaceDE w:val="0"/>
              <w:autoSpaceDN w:val="0"/>
              <w:adjustRightInd w:val="0"/>
              <w:spacing w:line="360" w:lineRule="auto"/>
              <w:jc w:val="center"/>
              <w:rPr>
                <w:rFonts w:ascii="宋体" w:hAnsi="宋体" w:cs="宋体"/>
                <w:spacing w:val="10"/>
                <w:sz w:val="24"/>
              </w:rPr>
            </w:pPr>
            <w:r>
              <w:rPr>
                <w:rFonts w:hint="eastAsia" w:ascii="宋体" w:hAnsi="宋体" w:cs="宋体"/>
                <w:spacing w:val="10"/>
                <w:sz w:val="24"/>
              </w:rPr>
              <w:t>投标产品</w:t>
            </w:r>
          </w:p>
        </w:tc>
        <w:tc>
          <w:tcPr>
            <w:tcW w:w="780" w:type="dxa"/>
            <w:vMerge w:val="restart"/>
            <w:tcBorders>
              <w:top w:val="single" w:color="auto" w:sz="4" w:space="0"/>
              <w:left w:val="nil"/>
              <w:bottom w:val="single" w:color="auto" w:sz="4" w:space="0"/>
              <w:right w:val="single" w:color="auto" w:sz="4" w:space="0"/>
            </w:tcBorders>
            <w:vAlign w:val="center"/>
          </w:tcPr>
          <w:p w14:paraId="2DAD12B9">
            <w:pPr>
              <w:autoSpaceDE w:val="0"/>
              <w:autoSpaceDN w:val="0"/>
              <w:adjustRightInd w:val="0"/>
              <w:spacing w:line="360" w:lineRule="auto"/>
              <w:rPr>
                <w:rFonts w:ascii="宋体" w:hAnsi="宋体" w:cs="宋体"/>
                <w:spacing w:val="10"/>
                <w:sz w:val="24"/>
              </w:rPr>
            </w:pPr>
            <w:r>
              <w:rPr>
                <w:rFonts w:hint="eastAsia" w:ascii="宋体" w:hAnsi="宋体" w:cs="宋体"/>
                <w:spacing w:val="10"/>
                <w:sz w:val="24"/>
              </w:rPr>
              <w:t>偏差描述</w:t>
            </w:r>
          </w:p>
        </w:tc>
        <w:tc>
          <w:tcPr>
            <w:tcW w:w="686" w:type="dxa"/>
            <w:vMerge w:val="restart"/>
            <w:tcBorders>
              <w:top w:val="single" w:color="auto" w:sz="4" w:space="0"/>
              <w:left w:val="nil"/>
              <w:bottom w:val="single" w:color="auto" w:sz="4" w:space="0"/>
              <w:right w:val="single" w:color="auto" w:sz="4" w:space="0"/>
            </w:tcBorders>
            <w:vAlign w:val="center"/>
          </w:tcPr>
          <w:p w14:paraId="4F648D19">
            <w:pPr>
              <w:autoSpaceDE w:val="0"/>
              <w:autoSpaceDN w:val="0"/>
              <w:adjustRightInd w:val="0"/>
              <w:spacing w:line="360" w:lineRule="auto"/>
              <w:rPr>
                <w:rFonts w:ascii="宋体" w:hAnsi="宋体" w:cs="宋体"/>
                <w:spacing w:val="10"/>
                <w:sz w:val="24"/>
              </w:rPr>
            </w:pPr>
            <w:r>
              <w:rPr>
                <w:rFonts w:hint="eastAsia" w:ascii="宋体" w:hAnsi="宋体" w:cs="宋体"/>
                <w:spacing w:val="10"/>
                <w:sz w:val="24"/>
              </w:rPr>
              <w:t>结论</w:t>
            </w:r>
          </w:p>
        </w:tc>
      </w:tr>
      <w:tr w14:paraId="3872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Borders>
              <w:top w:val="single" w:color="auto" w:sz="4" w:space="0"/>
              <w:left w:val="single" w:color="auto" w:sz="4" w:space="0"/>
              <w:bottom w:val="single" w:color="auto" w:sz="4" w:space="0"/>
              <w:right w:val="single" w:color="auto" w:sz="4" w:space="0"/>
            </w:tcBorders>
            <w:vAlign w:val="center"/>
          </w:tcPr>
          <w:p w14:paraId="6EE5013E">
            <w:pPr>
              <w:autoSpaceDE w:val="0"/>
              <w:autoSpaceDN w:val="0"/>
              <w:adjustRightInd w:val="0"/>
              <w:spacing w:line="360" w:lineRule="auto"/>
              <w:rPr>
                <w:rFonts w:ascii="宋体" w:hAnsi="宋体" w:cs="宋体"/>
                <w:spacing w:val="10"/>
                <w:sz w:val="24"/>
              </w:rPr>
            </w:pPr>
          </w:p>
        </w:tc>
        <w:tc>
          <w:tcPr>
            <w:tcW w:w="1366" w:type="dxa"/>
            <w:vMerge w:val="continue"/>
            <w:tcBorders>
              <w:top w:val="single" w:color="auto" w:sz="4" w:space="0"/>
              <w:left w:val="nil"/>
              <w:bottom w:val="single" w:color="auto" w:sz="4" w:space="0"/>
              <w:right w:val="single" w:color="auto" w:sz="4" w:space="0"/>
            </w:tcBorders>
            <w:vAlign w:val="center"/>
          </w:tcPr>
          <w:p w14:paraId="4B75D6F6">
            <w:pPr>
              <w:autoSpaceDE w:val="0"/>
              <w:autoSpaceDN w:val="0"/>
              <w:adjustRightInd w:val="0"/>
              <w:spacing w:line="360" w:lineRule="auto"/>
              <w:rPr>
                <w:rFonts w:ascii="宋体" w:hAnsi="宋体" w:cs="宋体"/>
                <w:spacing w:val="10"/>
                <w:sz w:val="24"/>
              </w:rPr>
            </w:pPr>
          </w:p>
        </w:tc>
        <w:tc>
          <w:tcPr>
            <w:tcW w:w="2355" w:type="dxa"/>
            <w:tcBorders>
              <w:left w:val="nil"/>
              <w:bottom w:val="single" w:color="auto" w:sz="4" w:space="0"/>
              <w:right w:val="single" w:color="auto" w:sz="4" w:space="0"/>
            </w:tcBorders>
            <w:vAlign w:val="center"/>
          </w:tcPr>
          <w:p w14:paraId="30B21C88">
            <w:pPr>
              <w:autoSpaceDE w:val="0"/>
              <w:autoSpaceDN w:val="0"/>
              <w:adjustRightInd w:val="0"/>
              <w:spacing w:line="360" w:lineRule="auto"/>
              <w:jc w:val="center"/>
              <w:rPr>
                <w:rFonts w:ascii="宋体" w:hAnsi="宋体" w:cs="宋体"/>
                <w:spacing w:val="10"/>
                <w:sz w:val="24"/>
              </w:rPr>
            </w:pPr>
            <w:r>
              <w:rPr>
                <w:rFonts w:hint="eastAsia" w:ascii="宋体" w:hAnsi="宋体" w:cs="宋体"/>
                <w:spacing w:val="10"/>
                <w:sz w:val="24"/>
              </w:rPr>
              <w:t>招标文件要求的技术指标要求</w:t>
            </w:r>
          </w:p>
        </w:tc>
        <w:tc>
          <w:tcPr>
            <w:tcW w:w="2625" w:type="dxa"/>
            <w:tcBorders>
              <w:top w:val="single" w:color="auto" w:sz="4" w:space="0"/>
              <w:left w:val="nil"/>
              <w:bottom w:val="single" w:color="auto" w:sz="4" w:space="0"/>
              <w:right w:val="single" w:color="auto" w:sz="4" w:space="0"/>
            </w:tcBorders>
            <w:vAlign w:val="center"/>
          </w:tcPr>
          <w:p w14:paraId="62D12037">
            <w:pPr>
              <w:autoSpaceDE w:val="0"/>
              <w:autoSpaceDN w:val="0"/>
              <w:adjustRightInd w:val="0"/>
              <w:spacing w:line="360" w:lineRule="auto"/>
              <w:jc w:val="center"/>
              <w:rPr>
                <w:rFonts w:ascii="宋体" w:hAnsi="宋体" w:cs="宋体"/>
                <w:spacing w:val="10"/>
                <w:sz w:val="24"/>
              </w:rPr>
            </w:pPr>
            <w:r>
              <w:rPr>
                <w:rFonts w:hint="eastAsia" w:ascii="宋体" w:hAnsi="宋体" w:cs="宋体"/>
                <w:spacing w:val="10"/>
                <w:sz w:val="24"/>
              </w:rPr>
              <w:t>投标文件技术性能指标和参数</w:t>
            </w:r>
          </w:p>
        </w:tc>
        <w:tc>
          <w:tcPr>
            <w:tcW w:w="780" w:type="dxa"/>
            <w:vMerge w:val="continue"/>
            <w:tcBorders>
              <w:top w:val="single" w:color="auto" w:sz="4" w:space="0"/>
              <w:left w:val="nil"/>
              <w:bottom w:val="single" w:color="auto" w:sz="4" w:space="0"/>
              <w:right w:val="single" w:color="auto" w:sz="4" w:space="0"/>
            </w:tcBorders>
            <w:vAlign w:val="center"/>
          </w:tcPr>
          <w:p w14:paraId="49BC9918">
            <w:pPr>
              <w:autoSpaceDE w:val="0"/>
              <w:autoSpaceDN w:val="0"/>
              <w:adjustRightInd w:val="0"/>
              <w:spacing w:line="360" w:lineRule="auto"/>
              <w:rPr>
                <w:rFonts w:ascii="宋体" w:hAnsi="宋体" w:cs="宋体"/>
                <w:spacing w:val="10"/>
                <w:sz w:val="24"/>
              </w:rPr>
            </w:pPr>
          </w:p>
        </w:tc>
        <w:tc>
          <w:tcPr>
            <w:tcW w:w="686" w:type="dxa"/>
            <w:vMerge w:val="continue"/>
            <w:tcBorders>
              <w:top w:val="single" w:color="auto" w:sz="4" w:space="0"/>
              <w:left w:val="nil"/>
              <w:bottom w:val="single" w:color="auto" w:sz="4" w:space="0"/>
              <w:right w:val="single" w:color="auto" w:sz="4" w:space="0"/>
            </w:tcBorders>
            <w:vAlign w:val="center"/>
          </w:tcPr>
          <w:p w14:paraId="458FCC86">
            <w:pPr>
              <w:autoSpaceDE w:val="0"/>
              <w:autoSpaceDN w:val="0"/>
              <w:adjustRightInd w:val="0"/>
              <w:spacing w:line="360" w:lineRule="auto"/>
              <w:rPr>
                <w:rFonts w:ascii="宋体" w:hAnsi="宋体" w:cs="宋体"/>
                <w:spacing w:val="10"/>
                <w:sz w:val="24"/>
              </w:rPr>
            </w:pPr>
          </w:p>
        </w:tc>
      </w:tr>
      <w:tr w14:paraId="1F9D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op w:val="single" w:color="auto" w:sz="4" w:space="0"/>
              <w:left w:val="single" w:color="auto" w:sz="4" w:space="0"/>
              <w:bottom w:val="single" w:color="auto" w:sz="4" w:space="0"/>
              <w:right w:val="single" w:color="auto" w:sz="4" w:space="0"/>
            </w:tcBorders>
          </w:tcPr>
          <w:p w14:paraId="66FCC0F9">
            <w:pPr>
              <w:autoSpaceDE w:val="0"/>
              <w:autoSpaceDN w:val="0"/>
              <w:adjustRightInd w:val="0"/>
              <w:spacing w:line="360" w:lineRule="auto"/>
              <w:rPr>
                <w:rFonts w:ascii="宋体" w:hAnsi="宋体" w:cs="宋体"/>
                <w:spacing w:val="10"/>
                <w:sz w:val="24"/>
              </w:rPr>
            </w:pPr>
          </w:p>
        </w:tc>
        <w:tc>
          <w:tcPr>
            <w:tcW w:w="1366" w:type="dxa"/>
            <w:tcBorders>
              <w:top w:val="single" w:color="auto" w:sz="4" w:space="0"/>
              <w:left w:val="nil"/>
              <w:bottom w:val="single" w:color="auto" w:sz="4" w:space="0"/>
              <w:right w:val="single" w:color="auto" w:sz="4" w:space="0"/>
            </w:tcBorders>
          </w:tcPr>
          <w:p w14:paraId="2BC402B1">
            <w:pPr>
              <w:autoSpaceDE w:val="0"/>
              <w:autoSpaceDN w:val="0"/>
              <w:adjustRightInd w:val="0"/>
              <w:spacing w:line="360" w:lineRule="auto"/>
              <w:rPr>
                <w:rFonts w:ascii="宋体" w:hAnsi="宋体" w:cs="宋体"/>
                <w:spacing w:val="10"/>
                <w:sz w:val="24"/>
              </w:rPr>
            </w:pPr>
          </w:p>
        </w:tc>
        <w:tc>
          <w:tcPr>
            <w:tcW w:w="2355" w:type="dxa"/>
            <w:tcBorders>
              <w:top w:val="single" w:color="auto" w:sz="4" w:space="0"/>
              <w:left w:val="nil"/>
              <w:bottom w:val="single" w:color="auto" w:sz="4" w:space="0"/>
              <w:right w:val="single" w:color="auto" w:sz="4" w:space="0"/>
            </w:tcBorders>
          </w:tcPr>
          <w:p w14:paraId="61381877">
            <w:pPr>
              <w:autoSpaceDE w:val="0"/>
              <w:autoSpaceDN w:val="0"/>
              <w:adjustRightInd w:val="0"/>
              <w:spacing w:line="360" w:lineRule="auto"/>
              <w:rPr>
                <w:rFonts w:ascii="宋体" w:hAnsi="宋体" w:cs="宋体"/>
                <w:spacing w:val="10"/>
                <w:sz w:val="24"/>
              </w:rPr>
            </w:pPr>
          </w:p>
        </w:tc>
        <w:tc>
          <w:tcPr>
            <w:tcW w:w="2625" w:type="dxa"/>
            <w:tcBorders>
              <w:top w:val="single" w:color="auto" w:sz="4" w:space="0"/>
              <w:left w:val="nil"/>
              <w:bottom w:val="single" w:color="auto" w:sz="4" w:space="0"/>
              <w:right w:val="single" w:color="auto" w:sz="4" w:space="0"/>
            </w:tcBorders>
          </w:tcPr>
          <w:p w14:paraId="12A54FAD">
            <w:pPr>
              <w:autoSpaceDE w:val="0"/>
              <w:autoSpaceDN w:val="0"/>
              <w:adjustRightInd w:val="0"/>
              <w:spacing w:line="360" w:lineRule="auto"/>
              <w:rPr>
                <w:rFonts w:ascii="宋体" w:hAnsi="宋体" w:cs="宋体"/>
                <w:spacing w:val="10"/>
                <w:sz w:val="24"/>
              </w:rPr>
            </w:pPr>
          </w:p>
        </w:tc>
        <w:tc>
          <w:tcPr>
            <w:tcW w:w="780" w:type="dxa"/>
            <w:tcBorders>
              <w:top w:val="single" w:color="auto" w:sz="4" w:space="0"/>
              <w:left w:val="nil"/>
              <w:bottom w:val="single" w:color="auto" w:sz="4" w:space="0"/>
              <w:right w:val="single" w:color="auto" w:sz="4" w:space="0"/>
            </w:tcBorders>
          </w:tcPr>
          <w:p w14:paraId="022FC46C">
            <w:pPr>
              <w:autoSpaceDE w:val="0"/>
              <w:autoSpaceDN w:val="0"/>
              <w:adjustRightInd w:val="0"/>
              <w:spacing w:line="360" w:lineRule="auto"/>
              <w:rPr>
                <w:rFonts w:ascii="宋体" w:hAnsi="宋体" w:cs="宋体"/>
                <w:spacing w:val="10"/>
                <w:sz w:val="24"/>
              </w:rPr>
            </w:pPr>
          </w:p>
        </w:tc>
        <w:tc>
          <w:tcPr>
            <w:tcW w:w="686" w:type="dxa"/>
            <w:tcBorders>
              <w:top w:val="single" w:color="auto" w:sz="4" w:space="0"/>
              <w:left w:val="nil"/>
              <w:bottom w:val="single" w:color="auto" w:sz="4" w:space="0"/>
              <w:right w:val="single" w:color="auto" w:sz="4" w:space="0"/>
            </w:tcBorders>
          </w:tcPr>
          <w:p w14:paraId="58DA2BBB">
            <w:pPr>
              <w:autoSpaceDE w:val="0"/>
              <w:autoSpaceDN w:val="0"/>
              <w:adjustRightInd w:val="0"/>
              <w:spacing w:line="360" w:lineRule="auto"/>
              <w:rPr>
                <w:rFonts w:ascii="宋体" w:hAnsi="宋体" w:cs="宋体"/>
                <w:spacing w:val="10"/>
                <w:sz w:val="24"/>
              </w:rPr>
            </w:pPr>
          </w:p>
        </w:tc>
      </w:tr>
      <w:tr w14:paraId="6A74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op w:val="single" w:color="auto" w:sz="4" w:space="0"/>
              <w:left w:val="single" w:color="auto" w:sz="4" w:space="0"/>
              <w:bottom w:val="single" w:color="auto" w:sz="4" w:space="0"/>
              <w:right w:val="single" w:color="auto" w:sz="4" w:space="0"/>
            </w:tcBorders>
          </w:tcPr>
          <w:p w14:paraId="6CF0A44A">
            <w:pPr>
              <w:autoSpaceDE w:val="0"/>
              <w:autoSpaceDN w:val="0"/>
              <w:adjustRightInd w:val="0"/>
              <w:spacing w:line="360" w:lineRule="auto"/>
              <w:rPr>
                <w:rFonts w:ascii="宋体" w:hAnsi="宋体" w:cs="宋体"/>
                <w:spacing w:val="10"/>
                <w:sz w:val="24"/>
              </w:rPr>
            </w:pPr>
          </w:p>
        </w:tc>
        <w:tc>
          <w:tcPr>
            <w:tcW w:w="1366" w:type="dxa"/>
            <w:tcBorders>
              <w:top w:val="single" w:color="auto" w:sz="4" w:space="0"/>
              <w:left w:val="nil"/>
              <w:bottom w:val="single" w:color="auto" w:sz="4" w:space="0"/>
              <w:right w:val="single" w:color="auto" w:sz="4" w:space="0"/>
            </w:tcBorders>
          </w:tcPr>
          <w:p w14:paraId="5C4A5C2E">
            <w:pPr>
              <w:autoSpaceDE w:val="0"/>
              <w:autoSpaceDN w:val="0"/>
              <w:adjustRightInd w:val="0"/>
              <w:spacing w:line="360" w:lineRule="auto"/>
              <w:rPr>
                <w:rFonts w:ascii="宋体" w:hAnsi="宋体" w:cs="宋体"/>
                <w:spacing w:val="10"/>
                <w:sz w:val="24"/>
              </w:rPr>
            </w:pPr>
          </w:p>
        </w:tc>
        <w:tc>
          <w:tcPr>
            <w:tcW w:w="2355" w:type="dxa"/>
            <w:tcBorders>
              <w:top w:val="single" w:color="auto" w:sz="4" w:space="0"/>
              <w:left w:val="nil"/>
              <w:bottom w:val="single" w:color="auto" w:sz="4" w:space="0"/>
              <w:right w:val="single" w:color="auto" w:sz="4" w:space="0"/>
            </w:tcBorders>
          </w:tcPr>
          <w:p w14:paraId="2C5FDDA2">
            <w:pPr>
              <w:autoSpaceDE w:val="0"/>
              <w:autoSpaceDN w:val="0"/>
              <w:adjustRightInd w:val="0"/>
              <w:spacing w:line="360" w:lineRule="auto"/>
              <w:rPr>
                <w:rFonts w:ascii="宋体" w:hAnsi="宋体" w:cs="宋体"/>
                <w:spacing w:val="10"/>
                <w:sz w:val="24"/>
              </w:rPr>
            </w:pPr>
          </w:p>
        </w:tc>
        <w:tc>
          <w:tcPr>
            <w:tcW w:w="2625" w:type="dxa"/>
            <w:tcBorders>
              <w:top w:val="single" w:color="auto" w:sz="4" w:space="0"/>
              <w:left w:val="nil"/>
              <w:bottom w:val="single" w:color="auto" w:sz="4" w:space="0"/>
              <w:right w:val="single" w:color="auto" w:sz="4" w:space="0"/>
            </w:tcBorders>
          </w:tcPr>
          <w:p w14:paraId="4D9FBE38">
            <w:pPr>
              <w:autoSpaceDE w:val="0"/>
              <w:autoSpaceDN w:val="0"/>
              <w:adjustRightInd w:val="0"/>
              <w:spacing w:line="360" w:lineRule="auto"/>
              <w:rPr>
                <w:rFonts w:ascii="宋体" w:hAnsi="宋体" w:cs="宋体"/>
                <w:spacing w:val="10"/>
                <w:sz w:val="24"/>
              </w:rPr>
            </w:pPr>
          </w:p>
        </w:tc>
        <w:tc>
          <w:tcPr>
            <w:tcW w:w="780" w:type="dxa"/>
            <w:tcBorders>
              <w:top w:val="single" w:color="auto" w:sz="4" w:space="0"/>
              <w:left w:val="nil"/>
              <w:bottom w:val="single" w:color="auto" w:sz="4" w:space="0"/>
              <w:right w:val="single" w:color="auto" w:sz="4" w:space="0"/>
            </w:tcBorders>
          </w:tcPr>
          <w:p w14:paraId="38F597A4">
            <w:pPr>
              <w:autoSpaceDE w:val="0"/>
              <w:autoSpaceDN w:val="0"/>
              <w:adjustRightInd w:val="0"/>
              <w:spacing w:line="360" w:lineRule="auto"/>
              <w:rPr>
                <w:rFonts w:ascii="宋体" w:hAnsi="宋体" w:cs="宋体"/>
                <w:spacing w:val="10"/>
                <w:sz w:val="24"/>
              </w:rPr>
            </w:pPr>
          </w:p>
        </w:tc>
        <w:tc>
          <w:tcPr>
            <w:tcW w:w="686" w:type="dxa"/>
            <w:tcBorders>
              <w:top w:val="single" w:color="auto" w:sz="4" w:space="0"/>
              <w:left w:val="nil"/>
              <w:bottom w:val="single" w:color="auto" w:sz="4" w:space="0"/>
              <w:right w:val="single" w:color="auto" w:sz="4" w:space="0"/>
            </w:tcBorders>
          </w:tcPr>
          <w:p w14:paraId="51349376">
            <w:pPr>
              <w:autoSpaceDE w:val="0"/>
              <w:autoSpaceDN w:val="0"/>
              <w:adjustRightInd w:val="0"/>
              <w:spacing w:line="360" w:lineRule="auto"/>
              <w:rPr>
                <w:rFonts w:ascii="宋体" w:hAnsi="宋体" w:cs="宋体"/>
                <w:spacing w:val="10"/>
                <w:sz w:val="24"/>
              </w:rPr>
            </w:pPr>
          </w:p>
        </w:tc>
      </w:tr>
      <w:tr w14:paraId="6E2F6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op w:val="single" w:color="auto" w:sz="4" w:space="0"/>
              <w:left w:val="single" w:color="auto" w:sz="4" w:space="0"/>
              <w:bottom w:val="single" w:color="auto" w:sz="4" w:space="0"/>
              <w:right w:val="single" w:color="auto" w:sz="4" w:space="0"/>
            </w:tcBorders>
          </w:tcPr>
          <w:p w14:paraId="40A2DCC0">
            <w:pPr>
              <w:autoSpaceDE w:val="0"/>
              <w:autoSpaceDN w:val="0"/>
              <w:adjustRightInd w:val="0"/>
              <w:spacing w:line="360" w:lineRule="auto"/>
              <w:rPr>
                <w:rFonts w:ascii="宋体" w:hAnsi="宋体" w:cs="宋体"/>
                <w:spacing w:val="10"/>
                <w:sz w:val="24"/>
              </w:rPr>
            </w:pPr>
          </w:p>
        </w:tc>
        <w:tc>
          <w:tcPr>
            <w:tcW w:w="1366" w:type="dxa"/>
            <w:tcBorders>
              <w:top w:val="single" w:color="auto" w:sz="4" w:space="0"/>
              <w:left w:val="nil"/>
              <w:bottom w:val="single" w:color="auto" w:sz="4" w:space="0"/>
              <w:right w:val="single" w:color="auto" w:sz="4" w:space="0"/>
            </w:tcBorders>
          </w:tcPr>
          <w:p w14:paraId="35C0AFD5">
            <w:pPr>
              <w:autoSpaceDE w:val="0"/>
              <w:autoSpaceDN w:val="0"/>
              <w:adjustRightInd w:val="0"/>
              <w:spacing w:line="360" w:lineRule="auto"/>
              <w:rPr>
                <w:rFonts w:ascii="宋体" w:hAnsi="宋体" w:cs="宋体"/>
                <w:spacing w:val="10"/>
                <w:sz w:val="24"/>
              </w:rPr>
            </w:pPr>
          </w:p>
        </w:tc>
        <w:tc>
          <w:tcPr>
            <w:tcW w:w="2355" w:type="dxa"/>
            <w:tcBorders>
              <w:top w:val="single" w:color="auto" w:sz="4" w:space="0"/>
              <w:left w:val="nil"/>
              <w:bottom w:val="single" w:color="auto" w:sz="4" w:space="0"/>
              <w:right w:val="single" w:color="auto" w:sz="4" w:space="0"/>
            </w:tcBorders>
          </w:tcPr>
          <w:p w14:paraId="292E15DE">
            <w:pPr>
              <w:autoSpaceDE w:val="0"/>
              <w:autoSpaceDN w:val="0"/>
              <w:adjustRightInd w:val="0"/>
              <w:spacing w:line="360" w:lineRule="auto"/>
              <w:rPr>
                <w:rFonts w:ascii="宋体" w:hAnsi="宋体" w:cs="宋体"/>
                <w:spacing w:val="10"/>
                <w:sz w:val="24"/>
              </w:rPr>
            </w:pPr>
          </w:p>
        </w:tc>
        <w:tc>
          <w:tcPr>
            <w:tcW w:w="2625" w:type="dxa"/>
            <w:tcBorders>
              <w:top w:val="single" w:color="auto" w:sz="4" w:space="0"/>
              <w:left w:val="nil"/>
              <w:bottom w:val="single" w:color="auto" w:sz="4" w:space="0"/>
              <w:right w:val="single" w:color="auto" w:sz="4" w:space="0"/>
            </w:tcBorders>
          </w:tcPr>
          <w:p w14:paraId="0C553784">
            <w:pPr>
              <w:autoSpaceDE w:val="0"/>
              <w:autoSpaceDN w:val="0"/>
              <w:adjustRightInd w:val="0"/>
              <w:spacing w:line="360" w:lineRule="auto"/>
              <w:rPr>
                <w:rFonts w:ascii="宋体" w:hAnsi="宋体" w:cs="宋体"/>
                <w:spacing w:val="10"/>
                <w:sz w:val="24"/>
              </w:rPr>
            </w:pPr>
          </w:p>
        </w:tc>
        <w:tc>
          <w:tcPr>
            <w:tcW w:w="780" w:type="dxa"/>
            <w:tcBorders>
              <w:top w:val="single" w:color="auto" w:sz="4" w:space="0"/>
              <w:left w:val="nil"/>
              <w:bottom w:val="single" w:color="auto" w:sz="4" w:space="0"/>
              <w:right w:val="single" w:color="auto" w:sz="4" w:space="0"/>
            </w:tcBorders>
          </w:tcPr>
          <w:p w14:paraId="1A4E5CB2">
            <w:pPr>
              <w:autoSpaceDE w:val="0"/>
              <w:autoSpaceDN w:val="0"/>
              <w:adjustRightInd w:val="0"/>
              <w:spacing w:line="360" w:lineRule="auto"/>
              <w:rPr>
                <w:rFonts w:ascii="宋体" w:hAnsi="宋体" w:cs="宋体"/>
                <w:spacing w:val="10"/>
                <w:sz w:val="24"/>
              </w:rPr>
            </w:pPr>
          </w:p>
        </w:tc>
        <w:tc>
          <w:tcPr>
            <w:tcW w:w="686" w:type="dxa"/>
            <w:tcBorders>
              <w:top w:val="single" w:color="auto" w:sz="4" w:space="0"/>
              <w:left w:val="nil"/>
              <w:bottom w:val="single" w:color="auto" w:sz="4" w:space="0"/>
              <w:right w:val="single" w:color="auto" w:sz="4" w:space="0"/>
            </w:tcBorders>
          </w:tcPr>
          <w:p w14:paraId="154C03D0">
            <w:pPr>
              <w:autoSpaceDE w:val="0"/>
              <w:autoSpaceDN w:val="0"/>
              <w:adjustRightInd w:val="0"/>
              <w:spacing w:line="360" w:lineRule="auto"/>
              <w:rPr>
                <w:rFonts w:ascii="宋体" w:hAnsi="宋体" w:cs="宋体"/>
                <w:spacing w:val="10"/>
                <w:sz w:val="24"/>
              </w:rPr>
            </w:pPr>
          </w:p>
        </w:tc>
      </w:tr>
      <w:tr w14:paraId="19B2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op w:val="single" w:color="auto" w:sz="4" w:space="0"/>
              <w:left w:val="single" w:color="auto" w:sz="4" w:space="0"/>
              <w:bottom w:val="single" w:color="auto" w:sz="4" w:space="0"/>
              <w:right w:val="single" w:color="auto" w:sz="4" w:space="0"/>
            </w:tcBorders>
          </w:tcPr>
          <w:p w14:paraId="37585590">
            <w:pPr>
              <w:autoSpaceDE w:val="0"/>
              <w:autoSpaceDN w:val="0"/>
              <w:adjustRightInd w:val="0"/>
              <w:spacing w:line="360" w:lineRule="auto"/>
              <w:rPr>
                <w:rFonts w:ascii="宋体" w:hAnsi="宋体" w:cs="宋体"/>
                <w:spacing w:val="10"/>
                <w:sz w:val="24"/>
              </w:rPr>
            </w:pPr>
          </w:p>
        </w:tc>
        <w:tc>
          <w:tcPr>
            <w:tcW w:w="1366" w:type="dxa"/>
            <w:tcBorders>
              <w:top w:val="single" w:color="auto" w:sz="4" w:space="0"/>
              <w:left w:val="nil"/>
              <w:bottom w:val="single" w:color="auto" w:sz="4" w:space="0"/>
              <w:right w:val="single" w:color="auto" w:sz="4" w:space="0"/>
            </w:tcBorders>
          </w:tcPr>
          <w:p w14:paraId="009667AB">
            <w:pPr>
              <w:autoSpaceDE w:val="0"/>
              <w:autoSpaceDN w:val="0"/>
              <w:adjustRightInd w:val="0"/>
              <w:spacing w:line="360" w:lineRule="auto"/>
              <w:rPr>
                <w:rFonts w:ascii="宋体" w:hAnsi="宋体" w:cs="宋体"/>
                <w:spacing w:val="10"/>
                <w:sz w:val="24"/>
              </w:rPr>
            </w:pPr>
          </w:p>
        </w:tc>
        <w:tc>
          <w:tcPr>
            <w:tcW w:w="2355" w:type="dxa"/>
            <w:tcBorders>
              <w:top w:val="single" w:color="auto" w:sz="4" w:space="0"/>
              <w:left w:val="nil"/>
              <w:bottom w:val="single" w:color="auto" w:sz="4" w:space="0"/>
              <w:right w:val="single" w:color="auto" w:sz="4" w:space="0"/>
            </w:tcBorders>
          </w:tcPr>
          <w:p w14:paraId="28F9DDFE">
            <w:pPr>
              <w:autoSpaceDE w:val="0"/>
              <w:autoSpaceDN w:val="0"/>
              <w:adjustRightInd w:val="0"/>
              <w:spacing w:line="360" w:lineRule="auto"/>
              <w:rPr>
                <w:rFonts w:ascii="宋体" w:hAnsi="宋体" w:cs="宋体"/>
                <w:spacing w:val="10"/>
                <w:sz w:val="24"/>
              </w:rPr>
            </w:pPr>
          </w:p>
        </w:tc>
        <w:tc>
          <w:tcPr>
            <w:tcW w:w="2625" w:type="dxa"/>
            <w:tcBorders>
              <w:top w:val="single" w:color="auto" w:sz="4" w:space="0"/>
              <w:left w:val="nil"/>
              <w:bottom w:val="single" w:color="auto" w:sz="4" w:space="0"/>
              <w:right w:val="single" w:color="auto" w:sz="4" w:space="0"/>
            </w:tcBorders>
          </w:tcPr>
          <w:p w14:paraId="42AE17D8">
            <w:pPr>
              <w:autoSpaceDE w:val="0"/>
              <w:autoSpaceDN w:val="0"/>
              <w:adjustRightInd w:val="0"/>
              <w:spacing w:line="360" w:lineRule="auto"/>
              <w:rPr>
                <w:rFonts w:ascii="宋体" w:hAnsi="宋体" w:cs="宋体"/>
                <w:spacing w:val="10"/>
                <w:sz w:val="24"/>
              </w:rPr>
            </w:pPr>
          </w:p>
        </w:tc>
        <w:tc>
          <w:tcPr>
            <w:tcW w:w="780" w:type="dxa"/>
            <w:tcBorders>
              <w:top w:val="single" w:color="auto" w:sz="4" w:space="0"/>
              <w:left w:val="nil"/>
              <w:bottom w:val="single" w:color="auto" w:sz="4" w:space="0"/>
              <w:right w:val="single" w:color="auto" w:sz="4" w:space="0"/>
            </w:tcBorders>
          </w:tcPr>
          <w:p w14:paraId="1EFC4A55">
            <w:pPr>
              <w:autoSpaceDE w:val="0"/>
              <w:autoSpaceDN w:val="0"/>
              <w:adjustRightInd w:val="0"/>
              <w:spacing w:line="360" w:lineRule="auto"/>
              <w:rPr>
                <w:rFonts w:ascii="宋体" w:hAnsi="宋体" w:cs="宋体"/>
                <w:spacing w:val="10"/>
                <w:sz w:val="24"/>
              </w:rPr>
            </w:pPr>
          </w:p>
        </w:tc>
        <w:tc>
          <w:tcPr>
            <w:tcW w:w="686" w:type="dxa"/>
            <w:tcBorders>
              <w:top w:val="single" w:color="auto" w:sz="4" w:space="0"/>
              <w:left w:val="nil"/>
              <w:bottom w:val="single" w:color="auto" w:sz="4" w:space="0"/>
              <w:right w:val="single" w:color="auto" w:sz="4" w:space="0"/>
            </w:tcBorders>
          </w:tcPr>
          <w:p w14:paraId="38CDB56F">
            <w:pPr>
              <w:autoSpaceDE w:val="0"/>
              <w:autoSpaceDN w:val="0"/>
              <w:adjustRightInd w:val="0"/>
              <w:spacing w:line="360" w:lineRule="auto"/>
              <w:rPr>
                <w:rFonts w:ascii="宋体" w:hAnsi="宋体" w:cs="宋体"/>
                <w:spacing w:val="10"/>
                <w:sz w:val="24"/>
              </w:rPr>
            </w:pPr>
          </w:p>
        </w:tc>
      </w:tr>
      <w:tr w14:paraId="4E09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op w:val="single" w:color="auto" w:sz="4" w:space="0"/>
              <w:left w:val="single" w:color="auto" w:sz="4" w:space="0"/>
              <w:bottom w:val="single" w:color="auto" w:sz="4" w:space="0"/>
              <w:right w:val="single" w:color="auto" w:sz="4" w:space="0"/>
            </w:tcBorders>
          </w:tcPr>
          <w:p w14:paraId="3506E667">
            <w:pPr>
              <w:autoSpaceDE w:val="0"/>
              <w:autoSpaceDN w:val="0"/>
              <w:adjustRightInd w:val="0"/>
              <w:spacing w:line="360" w:lineRule="auto"/>
              <w:rPr>
                <w:rFonts w:ascii="宋体" w:hAnsi="宋体" w:cs="宋体"/>
                <w:spacing w:val="10"/>
                <w:sz w:val="24"/>
              </w:rPr>
            </w:pPr>
          </w:p>
        </w:tc>
        <w:tc>
          <w:tcPr>
            <w:tcW w:w="1366" w:type="dxa"/>
            <w:tcBorders>
              <w:top w:val="single" w:color="auto" w:sz="4" w:space="0"/>
              <w:left w:val="nil"/>
              <w:bottom w:val="single" w:color="auto" w:sz="4" w:space="0"/>
              <w:right w:val="single" w:color="auto" w:sz="4" w:space="0"/>
            </w:tcBorders>
          </w:tcPr>
          <w:p w14:paraId="72EA64F6">
            <w:pPr>
              <w:autoSpaceDE w:val="0"/>
              <w:autoSpaceDN w:val="0"/>
              <w:adjustRightInd w:val="0"/>
              <w:spacing w:line="360" w:lineRule="auto"/>
              <w:rPr>
                <w:rFonts w:ascii="宋体" w:hAnsi="宋体" w:cs="宋体"/>
                <w:spacing w:val="10"/>
                <w:sz w:val="24"/>
              </w:rPr>
            </w:pPr>
          </w:p>
        </w:tc>
        <w:tc>
          <w:tcPr>
            <w:tcW w:w="2355" w:type="dxa"/>
            <w:tcBorders>
              <w:top w:val="single" w:color="auto" w:sz="4" w:space="0"/>
              <w:left w:val="nil"/>
              <w:bottom w:val="single" w:color="auto" w:sz="4" w:space="0"/>
              <w:right w:val="single" w:color="auto" w:sz="4" w:space="0"/>
            </w:tcBorders>
          </w:tcPr>
          <w:p w14:paraId="40AE5968">
            <w:pPr>
              <w:autoSpaceDE w:val="0"/>
              <w:autoSpaceDN w:val="0"/>
              <w:adjustRightInd w:val="0"/>
              <w:spacing w:line="360" w:lineRule="auto"/>
              <w:rPr>
                <w:rFonts w:ascii="宋体" w:hAnsi="宋体" w:cs="宋体"/>
                <w:spacing w:val="10"/>
                <w:sz w:val="24"/>
              </w:rPr>
            </w:pPr>
          </w:p>
        </w:tc>
        <w:tc>
          <w:tcPr>
            <w:tcW w:w="2625" w:type="dxa"/>
            <w:tcBorders>
              <w:top w:val="single" w:color="auto" w:sz="4" w:space="0"/>
              <w:left w:val="nil"/>
              <w:bottom w:val="single" w:color="auto" w:sz="4" w:space="0"/>
              <w:right w:val="single" w:color="auto" w:sz="4" w:space="0"/>
            </w:tcBorders>
          </w:tcPr>
          <w:p w14:paraId="3378BAB2">
            <w:pPr>
              <w:autoSpaceDE w:val="0"/>
              <w:autoSpaceDN w:val="0"/>
              <w:adjustRightInd w:val="0"/>
              <w:spacing w:line="360" w:lineRule="auto"/>
              <w:rPr>
                <w:rFonts w:ascii="宋体" w:hAnsi="宋体" w:cs="宋体"/>
                <w:spacing w:val="10"/>
                <w:sz w:val="24"/>
              </w:rPr>
            </w:pPr>
          </w:p>
        </w:tc>
        <w:tc>
          <w:tcPr>
            <w:tcW w:w="780" w:type="dxa"/>
            <w:tcBorders>
              <w:top w:val="single" w:color="auto" w:sz="4" w:space="0"/>
              <w:left w:val="nil"/>
              <w:bottom w:val="single" w:color="auto" w:sz="4" w:space="0"/>
              <w:right w:val="single" w:color="auto" w:sz="4" w:space="0"/>
            </w:tcBorders>
          </w:tcPr>
          <w:p w14:paraId="72235E71">
            <w:pPr>
              <w:autoSpaceDE w:val="0"/>
              <w:autoSpaceDN w:val="0"/>
              <w:adjustRightInd w:val="0"/>
              <w:spacing w:line="360" w:lineRule="auto"/>
              <w:rPr>
                <w:rFonts w:ascii="宋体" w:hAnsi="宋体" w:cs="宋体"/>
                <w:spacing w:val="10"/>
                <w:sz w:val="24"/>
              </w:rPr>
            </w:pPr>
          </w:p>
        </w:tc>
        <w:tc>
          <w:tcPr>
            <w:tcW w:w="686" w:type="dxa"/>
            <w:tcBorders>
              <w:top w:val="single" w:color="auto" w:sz="4" w:space="0"/>
              <w:left w:val="nil"/>
              <w:bottom w:val="single" w:color="auto" w:sz="4" w:space="0"/>
              <w:right w:val="single" w:color="auto" w:sz="4" w:space="0"/>
            </w:tcBorders>
          </w:tcPr>
          <w:p w14:paraId="3F9B164B">
            <w:pPr>
              <w:autoSpaceDE w:val="0"/>
              <w:autoSpaceDN w:val="0"/>
              <w:adjustRightInd w:val="0"/>
              <w:spacing w:line="360" w:lineRule="auto"/>
              <w:rPr>
                <w:rFonts w:ascii="宋体" w:hAnsi="宋体" w:cs="宋体"/>
                <w:spacing w:val="10"/>
                <w:sz w:val="24"/>
              </w:rPr>
            </w:pPr>
          </w:p>
        </w:tc>
      </w:tr>
      <w:tr w14:paraId="0312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Borders>
              <w:top w:val="single" w:color="auto" w:sz="4" w:space="0"/>
              <w:left w:val="single" w:color="auto" w:sz="4" w:space="0"/>
              <w:bottom w:val="single" w:color="auto" w:sz="4" w:space="0"/>
              <w:right w:val="single" w:color="auto" w:sz="4" w:space="0"/>
            </w:tcBorders>
          </w:tcPr>
          <w:p w14:paraId="6B8366BA">
            <w:pPr>
              <w:autoSpaceDE w:val="0"/>
              <w:autoSpaceDN w:val="0"/>
              <w:adjustRightInd w:val="0"/>
              <w:spacing w:line="360" w:lineRule="auto"/>
              <w:rPr>
                <w:rFonts w:ascii="宋体" w:hAnsi="宋体" w:cs="宋体"/>
                <w:spacing w:val="10"/>
                <w:sz w:val="24"/>
              </w:rPr>
            </w:pPr>
          </w:p>
        </w:tc>
        <w:tc>
          <w:tcPr>
            <w:tcW w:w="1366" w:type="dxa"/>
            <w:tcBorders>
              <w:top w:val="single" w:color="auto" w:sz="4" w:space="0"/>
              <w:left w:val="nil"/>
              <w:bottom w:val="single" w:color="auto" w:sz="4" w:space="0"/>
              <w:right w:val="single" w:color="auto" w:sz="4" w:space="0"/>
            </w:tcBorders>
          </w:tcPr>
          <w:p w14:paraId="31B87041">
            <w:pPr>
              <w:autoSpaceDE w:val="0"/>
              <w:autoSpaceDN w:val="0"/>
              <w:adjustRightInd w:val="0"/>
              <w:spacing w:line="360" w:lineRule="auto"/>
              <w:rPr>
                <w:rFonts w:ascii="宋体" w:hAnsi="宋体" w:cs="宋体"/>
                <w:spacing w:val="10"/>
                <w:sz w:val="24"/>
              </w:rPr>
            </w:pPr>
          </w:p>
        </w:tc>
        <w:tc>
          <w:tcPr>
            <w:tcW w:w="2355" w:type="dxa"/>
            <w:tcBorders>
              <w:top w:val="single" w:color="auto" w:sz="4" w:space="0"/>
              <w:left w:val="nil"/>
              <w:bottom w:val="single" w:color="auto" w:sz="4" w:space="0"/>
              <w:right w:val="single" w:color="auto" w:sz="4" w:space="0"/>
            </w:tcBorders>
          </w:tcPr>
          <w:p w14:paraId="1C4DCE43">
            <w:pPr>
              <w:autoSpaceDE w:val="0"/>
              <w:autoSpaceDN w:val="0"/>
              <w:adjustRightInd w:val="0"/>
              <w:spacing w:line="360" w:lineRule="auto"/>
              <w:rPr>
                <w:rFonts w:ascii="宋体" w:hAnsi="宋体" w:cs="宋体"/>
                <w:spacing w:val="10"/>
                <w:sz w:val="24"/>
              </w:rPr>
            </w:pPr>
          </w:p>
        </w:tc>
        <w:tc>
          <w:tcPr>
            <w:tcW w:w="2625" w:type="dxa"/>
            <w:tcBorders>
              <w:top w:val="single" w:color="auto" w:sz="4" w:space="0"/>
              <w:left w:val="nil"/>
              <w:bottom w:val="single" w:color="auto" w:sz="4" w:space="0"/>
              <w:right w:val="single" w:color="auto" w:sz="4" w:space="0"/>
            </w:tcBorders>
          </w:tcPr>
          <w:p w14:paraId="09172AB4">
            <w:pPr>
              <w:autoSpaceDE w:val="0"/>
              <w:autoSpaceDN w:val="0"/>
              <w:adjustRightInd w:val="0"/>
              <w:spacing w:line="360" w:lineRule="auto"/>
              <w:rPr>
                <w:rFonts w:ascii="宋体" w:hAnsi="宋体" w:cs="宋体"/>
                <w:spacing w:val="10"/>
                <w:sz w:val="24"/>
              </w:rPr>
            </w:pPr>
          </w:p>
        </w:tc>
        <w:tc>
          <w:tcPr>
            <w:tcW w:w="780" w:type="dxa"/>
            <w:tcBorders>
              <w:top w:val="single" w:color="auto" w:sz="4" w:space="0"/>
              <w:left w:val="nil"/>
              <w:bottom w:val="single" w:color="auto" w:sz="4" w:space="0"/>
              <w:right w:val="single" w:color="auto" w:sz="4" w:space="0"/>
            </w:tcBorders>
          </w:tcPr>
          <w:p w14:paraId="34A6FFE8">
            <w:pPr>
              <w:autoSpaceDE w:val="0"/>
              <w:autoSpaceDN w:val="0"/>
              <w:adjustRightInd w:val="0"/>
              <w:spacing w:line="360" w:lineRule="auto"/>
              <w:rPr>
                <w:rFonts w:ascii="宋体" w:hAnsi="宋体" w:cs="宋体"/>
                <w:spacing w:val="10"/>
                <w:sz w:val="24"/>
              </w:rPr>
            </w:pPr>
          </w:p>
        </w:tc>
        <w:tc>
          <w:tcPr>
            <w:tcW w:w="686" w:type="dxa"/>
            <w:tcBorders>
              <w:top w:val="single" w:color="auto" w:sz="4" w:space="0"/>
              <w:left w:val="nil"/>
              <w:bottom w:val="single" w:color="auto" w:sz="4" w:space="0"/>
              <w:right w:val="single" w:color="auto" w:sz="4" w:space="0"/>
            </w:tcBorders>
          </w:tcPr>
          <w:p w14:paraId="565511FA">
            <w:pPr>
              <w:autoSpaceDE w:val="0"/>
              <w:autoSpaceDN w:val="0"/>
              <w:adjustRightInd w:val="0"/>
              <w:spacing w:line="360" w:lineRule="auto"/>
              <w:rPr>
                <w:rFonts w:ascii="宋体" w:hAnsi="宋体" w:cs="宋体"/>
                <w:spacing w:val="10"/>
                <w:sz w:val="24"/>
              </w:rPr>
            </w:pPr>
          </w:p>
        </w:tc>
      </w:tr>
    </w:tbl>
    <w:p w14:paraId="62A4F49B">
      <w:pPr>
        <w:autoSpaceDE w:val="0"/>
        <w:autoSpaceDN w:val="0"/>
        <w:adjustRightInd w:val="0"/>
        <w:spacing w:line="360" w:lineRule="auto"/>
        <w:rPr>
          <w:rFonts w:ascii="宋体" w:hAnsi="宋体" w:cs="宋体"/>
          <w:spacing w:val="10"/>
          <w:sz w:val="24"/>
        </w:rPr>
      </w:pPr>
    </w:p>
    <w:p w14:paraId="176D54B8">
      <w:pPr>
        <w:autoSpaceDE w:val="0"/>
        <w:autoSpaceDN w:val="0"/>
        <w:adjustRightInd w:val="0"/>
        <w:spacing w:line="360" w:lineRule="auto"/>
        <w:rPr>
          <w:rFonts w:ascii="宋体" w:hAnsi="宋体" w:cs="宋体"/>
          <w:spacing w:val="10"/>
          <w:sz w:val="24"/>
          <w:lang w:val="zh-CN"/>
        </w:rPr>
      </w:pPr>
      <w:r>
        <w:rPr>
          <w:rFonts w:hint="eastAsia" w:ascii="宋体" w:hAnsi="宋体" w:cs="宋体"/>
          <w:spacing w:val="10"/>
          <w:sz w:val="24"/>
          <w:lang w:val="zh-CN"/>
        </w:rPr>
        <w:t>注：供应商应按本表“列”的内容要求逐项认真填报，可根据需要自行增减表格行数。</w:t>
      </w:r>
    </w:p>
    <w:p w14:paraId="4D65F936">
      <w:pPr>
        <w:rPr>
          <w:rFonts w:ascii="宋体" w:hAnsi="宋体" w:cs="宋体"/>
        </w:rPr>
      </w:pPr>
    </w:p>
    <w:p w14:paraId="72FD75E1">
      <w:pPr>
        <w:spacing w:line="480" w:lineRule="auto"/>
        <w:ind w:firstLine="4252" w:firstLineChars="1772"/>
        <w:rPr>
          <w:rFonts w:ascii="宋体" w:hAnsi="宋体" w:cs="宋体"/>
          <w:bCs/>
          <w:sz w:val="24"/>
        </w:rPr>
      </w:pPr>
      <w:r>
        <w:rPr>
          <w:rFonts w:hint="eastAsia" w:ascii="宋体" w:hAnsi="宋体" w:cs="宋体"/>
          <w:bCs/>
          <w:sz w:val="24"/>
        </w:rPr>
        <w:t>供应商：（</w:t>
      </w:r>
      <w:r>
        <w:rPr>
          <w:rFonts w:hint="eastAsia" w:ascii="宋体" w:hAnsi="宋体" w:cs="宋体"/>
          <w:sz w:val="24"/>
        </w:rPr>
        <w:t>盖单位公章</w:t>
      </w:r>
      <w:r>
        <w:rPr>
          <w:rFonts w:hint="eastAsia" w:ascii="宋体" w:hAnsi="宋体" w:cs="宋体"/>
          <w:bCs/>
          <w:sz w:val="24"/>
        </w:rPr>
        <w:t>）</w:t>
      </w:r>
    </w:p>
    <w:p w14:paraId="73A55CAE">
      <w:pPr>
        <w:spacing w:line="480" w:lineRule="auto"/>
        <w:ind w:firstLine="4252" w:firstLineChars="1772"/>
        <w:rPr>
          <w:rFonts w:ascii="宋体" w:hAnsi="宋体" w:cs="宋体"/>
          <w:bCs/>
          <w:sz w:val="24"/>
        </w:rPr>
      </w:pPr>
      <w:r>
        <w:rPr>
          <w:rFonts w:hint="eastAsia" w:ascii="宋体" w:hAnsi="宋体" w:cs="宋体"/>
          <w:bCs/>
          <w:sz w:val="24"/>
        </w:rPr>
        <w:t>法定代表人：（</w:t>
      </w:r>
      <w:r>
        <w:rPr>
          <w:rFonts w:hint="eastAsia" w:ascii="宋体" w:hAnsi="宋体" w:eastAsia="宋体" w:cs="宋体"/>
          <w:sz w:val="24"/>
          <w:szCs w:val="24"/>
        </w:rPr>
        <w:t>电子签章</w:t>
      </w:r>
      <w:r>
        <w:rPr>
          <w:rFonts w:hint="eastAsia" w:ascii="宋体" w:hAnsi="宋体" w:cs="宋体"/>
          <w:bCs/>
          <w:sz w:val="24"/>
        </w:rPr>
        <w:t>）</w:t>
      </w:r>
    </w:p>
    <w:p w14:paraId="18CA9EAC">
      <w:pPr>
        <w:spacing w:line="480" w:lineRule="auto"/>
        <w:jc w:val="center"/>
        <w:rPr>
          <w:rFonts w:ascii="宋体" w:hAnsi="宋体" w:cs="宋体"/>
          <w:sz w:val="24"/>
        </w:rPr>
      </w:pPr>
      <w:r>
        <w:rPr>
          <w:rFonts w:hint="eastAsia" w:ascii="宋体" w:hAnsi="宋体" w:cs="宋体"/>
          <w:bCs/>
          <w:sz w:val="24"/>
        </w:rPr>
        <w:t xml:space="preserve">                 日  期：</w:t>
      </w:r>
      <w:r>
        <w:rPr>
          <w:rFonts w:hint="eastAsia" w:ascii="宋体" w:hAnsi="宋体" w:cs="宋体"/>
          <w:sz w:val="24"/>
        </w:rPr>
        <w:t>年   月   日</w:t>
      </w:r>
    </w:p>
    <w:p w14:paraId="0F76CD2E">
      <w:pPr>
        <w:spacing w:line="360" w:lineRule="auto"/>
        <w:jc w:val="center"/>
        <w:rPr>
          <w:rFonts w:ascii="宋体" w:hAnsi="宋体" w:cs="宋体"/>
          <w:bCs/>
          <w:sz w:val="24"/>
        </w:rPr>
      </w:pPr>
      <w:r>
        <w:rPr>
          <w:rFonts w:hint="eastAsia" w:ascii="宋体" w:hAnsi="宋体" w:cs="宋体"/>
          <w:sz w:val="24"/>
        </w:rPr>
        <w:br w:type="page"/>
      </w:r>
    </w:p>
    <w:p w14:paraId="703C2E96">
      <w:pPr>
        <w:pStyle w:val="2"/>
        <w:keepLines w:val="0"/>
        <w:widowControl/>
        <w:numPr>
          <w:ilvl w:val="0"/>
          <w:numId w:val="0"/>
        </w:numPr>
        <w:spacing w:before="0"/>
        <w:ind w:left="420"/>
        <w:rPr>
          <w:rFonts w:ascii="宋体" w:hAnsi="宋体" w:cs="宋体"/>
          <w:b w:val="0"/>
          <w:szCs w:val="24"/>
        </w:rPr>
      </w:pPr>
      <w:r>
        <w:rPr>
          <w:rFonts w:hint="eastAsia" w:ascii="宋体" w:hAnsi="宋体" w:cs="宋体"/>
          <w:bCs/>
          <w:szCs w:val="24"/>
        </w:rPr>
        <w:t>二、法定代表人身份证明</w:t>
      </w:r>
    </w:p>
    <w:p w14:paraId="380F8FE2">
      <w:pPr>
        <w:spacing w:line="500" w:lineRule="exact"/>
        <w:rPr>
          <w:rFonts w:ascii="宋体" w:hAnsi="宋体" w:cs="宋体"/>
          <w:sz w:val="24"/>
        </w:rPr>
      </w:pPr>
      <w:r>
        <w:rPr>
          <w:rFonts w:hint="eastAsia" w:ascii="宋体" w:hAnsi="宋体" w:cs="宋体"/>
          <w:sz w:val="24"/>
        </w:rPr>
        <w:t>供应商：</w:t>
      </w:r>
    </w:p>
    <w:p w14:paraId="6C3B7597">
      <w:pPr>
        <w:spacing w:line="500" w:lineRule="exact"/>
        <w:rPr>
          <w:rFonts w:ascii="宋体" w:hAnsi="宋体" w:cs="宋体"/>
          <w:sz w:val="24"/>
        </w:rPr>
      </w:pPr>
      <w:r>
        <w:rPr>
          <w:rFonts w:hint="eastAsia" w:ascii="宋体" w:hAnsi="宋体" w:cs="宋体"/>
          <w:sz w:val="24"/>
        </w:rPr>
        <w:t>单位性质：</w:t>
      </w:r>
    </w:p>
    <w:p w14:paraId="2EB95617">
      <w:pPr>
        <w:spacing w:line="500" w:lineRule="exact"/>
        <w:rPr>
          <w:rFonts w:ascii="宋体" w:hAnsi="宋体" w:cs="宋体"/>
          <w:sz w:val="24"/>
        </w:rPr>
      </w:pPr>
      <w:r>
        <w:rPr>
          <w:rFonts w:hint="eastAsia" w:ascii="宋体" w:hAnsi="宋体" w:cs="宋体"/>
          <w:sz w:val="24"/>
        </w:rPr>
        <w:t>地址：</w:t>
      </w:r>
    </w:p>
    <w:p w14:paraId="2D24DB7E">
      <w:pPr>
        <w:spacing w:line="500" w:lineRule="exact"/>
        <w:rPr>
          <w:rFonts w:ascii="宋体" w:hAnsi="宋体" w:cs="宋体"/>
          <w:sz w:val="24"/>
        </w:rPr>
      </w:pPr>
      <w:r>
        <w:rPr>
          <w:rFonts w:hint="eastAsia" w:ascii="宋体" w:hAnsi="宋体" w:cs="宋体"/>
          <w:sz w:val="24"/>
        </w:rPr>
        <w:t>成立时间：年月日</w:t>
      </w:r>
    </w:p>
    <w:p w14:paraId="1F984E55">
      <w:pPr>
        <w:spacing w:line="500" w:lineRule="exact"/>
        <w:rPr>
          <w:rFonts w:ascii="宋体" w:hAnsi="宋体" w:cs="宋体"/>
          <w:sz w:val="24"/>
        </w:rPr>
      </w:pPr>
      <w:r>
        <w:rPr>
          <w:rFonts w:hint="eastAsia" w:ascii="宋体" w:hAnsi="宋体" w:cs="宋体"/>
          <w:sz w:val="24"/>
        </w:rPr>
        <w:t>经营期限：</w:t>
      </w:r>
    </w:p>
    <w:p w14:paraId="07C2CFC2">
      <w:pPr>
        <w:spacing w:line="500" w:lineRule="exact"/>
        <w:rPr>
          <w:rFonts w:ascii="宋体" w:hAnsi="宋体" w:cs="宋体"/>
          <w:sz w:val="24"/>
        </w:rPr>
      </w:pPr>
      <w:r>
        <w:rPr>
          <w:rFonts w:hint="eastAsia" w:ascii="宋体" w:hAnsi="宋体" w:cs="宋体"/>
          <w:sz w:val="24"/>
        </w:rPr>
        <w:t>姓名：性别：</w:t>
      </w:r>
    </w:p>
    <w:p w14:paraId="2CE9D953">
      <w:pPr>
        <w:spacing w:line="500" w:lineRule="exact"/>
        <w:rPr>
          <w:rFonts w:ascii="宋体" w:hAnsi="宋体" w:cs="宋体"/>
          <w:sz w:val="24"/>
        </w:rPr>
      </w:pPr>
      <w:r>
        <w:rPr>
          <w:rFonts w:hint="eastAsia" w:ascii="宋体" w:hAnsi="宋体" w:cs="宋体"/>
          <w:sz w:val="24"/>
        </w:rPr>
        <w:t>年龄：职务：</w:t>
      </w:r>
    </w:p>
    <w:p w14:paraId="2C0DB470">
      <w:pPr>
        <w:spacing w:line="500" w:lineRule="exact"/>
        <w:rPr>
          <w:rFonts w:ascii="宋体" w:hAnsi="宋体" w:cs="宋体"/>
          <w:sz w:val="24"/>
        </w:rPr>
      </w:pPr>
      <w:r>
        <w:rPr>
          <w:rFonts w:hint="eastAsia" w:ascii="宋体" w:hAnsi="宋体" w:cs="宋体"/>
          <w:sz w:val="24"/>
        </w:rPr>
        <w:t>系（供应商名称）的法定代表人。</w:t>
      </w:r>
    </w:p>
    <w:p w14:paraId="58947BEE">
      <w:pPr>
        <w:spacing w:line="500" w:lineRule="exact"/>
        <w:rPr>
          <w:rFonts w:ascii="宋体" w:hAnsi="宋体" w:cs="宋体"/>
          <w:sz w:val="24"/>
        </w:rPr>
      </w:pPr>
      <w:r>
        <w:rPr>
          <w:rFonts w:hint="eastAsia" w:ascii="宋体" w:hAnsi="宋体" w:cs="宋体"/>
          <w:sz w:val="24"/>
        </w:rPr>
        <w:t>特此证明。</w:t>
      </w:r>
    </w:p>
    <w:p w14:paraId="3DB2BB86">
      <w:pPr>
        <w:spacing w:line="500" w:lineRule="exact"/>
        <w:rPr>
          <w:rFonts w:ascii="宋体" w:hAnsi="宋体" w:cs="宋体"/>
          <w:sz w:val="24"/>
        </w:rPr>
      </w:pPr>
      <w:r>
        <w:rPr>
          <w:rFonts w:hint="eastAsia" w:ascii="宋体" w:hAnsi="宋体" w:cs="宋体"/>
          <w:sz w:val="24"/>
        </w:rPr>
        <w:t xml:space="preserve"> </w:t>
      </w:r>
    </w:p>
    <w:p w14:paraId="5782F31C">
      <w:pPr>
        <w:spacing w:line="500" w:lineRule="exact"/>
        <w:rPr>
          <w:rFonts w:ascii="宋体" w:hAnsi="宋体" w:cs="宋体"/>
          <w:sz w:val="24"/>
        </w:rPr>
      </w:pPr>
      <w:r>
        <w:rPr>
          <w:rFonts w:hint="eastAsia" w:ascii="宋体" w:hAnsi="宋体" w:cs="宋体"/>
          <w:sz w:val="24"/>
        </w:rPr>
        <w:t xml:space="preserve"> </w:t>
      </w:r>
    </w:p>
    <w:p w14:paraId="39C010D2">
      <w:pPr>
        <w:spacing w:line="500" w:lineRule="exact"/>
        <w:jc w:val="right"/>
        <w:rPr>
          <w:rFonts w:ascii="宋体" w:hAnsi="宋体" w:cs="宋体"/>
          <w:sz w:val="24"/>
        </w:rPr>
      </w:pPr>
      <w:r>
        <w:rPr>
          <w:rFonts w:hint="eastAsia" w:ascii="宋体" w:hAnsi="宋体" w:cs="宋体"/>
          <w:sz w:val="24"/>
        </w:rPr>
        <w:t>供应商：（盖单位章）</w:t>
      </w:r>
    </w:p>
    <w:p w14:paraId="1438E7A5">
      <w:pPr>
        <w:spacing w:line="500" w:lineRule="exact"/>
        <w:jc w:val="right"/>
        <w:rPr>
          <w:rFonts w:ascii="宋体" w:hAnsi="宋体" w:cs="宋体"/>
          <w:sz w:val="24"/>
        </w:rPr>
      </w:pPr>
      <w:r>
        <w:rPr>
          <w:rFonts w:hint="eastAsia" w:ascii="宋体" w:hAnsi="宋体" w:cs="宋体"/>
          <w:sz w:val="24"/>
        </w:rPr>
        <w:t>年  月  日</w:t>
      </w:r>
    </w:p>
    <w:p w14:paraId="68A06DFC">
      <w:pPr>
        <w:pStyle w:val="2"/>
        <w:numPr>
          <w:ilvl w:val="0"/>
          <w:numId w:val="0"/>
        </w:numPr>
        <w:ind w:left="420"/>
        <w:rPr>
          <w:rFonts w:ascii="宋体" w:hAnsi="宋体" w:cs="宋体"/>
          <w:b w:val="0"/>
          <w:szCs w:val="24"/>
        </w:rPr>
      </w:pPr>
      <w:r>
        <w:rPr>
          <w:rFonts w:hint="eastAsia" w:ascii="宋体" w:hAnsi="宋体" w:cs="宋体"/>
          <w:szCs w:val="24"/>
        </w:rPr>
        <w:br w:type="page"/>
      </w:r>
      <w:bookmarkStart w:id="169" w:name="_Toc528078069"/>
      <w:bookmarkEnd w:id="169"/>
      <w:bookmarkStart w:id="170" w:name="_Toc23204"/>
      <w:r>
        <w:rPr>
          <w:rFonts w:hint="eastAsia" w:ascii="宋体" w:hAnsi="宋体" w:cs="宋体"/>
          <w:bCs/>
          <w:szCs w:val="24"/>
        </w:rPr>
        <w:t>三、授权委托书</w:t>
      </w:r>
      <w:bookmarkEnd w:id="170"/>
    </w:p>
    <w:p w14:paraId="03EFDD02">
      <w:pPr>
        <w:spacing w:line="500" w:lineRule="exact"/>
        <w:ind w:firstLine="480" w:firstLineChars="200"/>
        <w:rPr>
          <w:rFonts w:ascii="宋体" w:hAnsi="宋体" w:cs="宋体"/>
          <w:sz w:val="24"/>
        </w:rPr>
      </w:pPr>
      <w:r>
        <w:rPr>
          <w:rFonts w:hint="eastAsia" w:ascii="宋体" w:hAnsi="宋体" w:cs="宋体"/>
          <w:sz w:val="24"/>
        </w:rPr>
        <w:t>本人</w:t>
      </w:r>
      <w:r>
        <w:rPr>
          <w:rFonts w:hint="eastAsia" w:ascii="宋体" w:hAnsi="宋体" w:cs="宋体"/>
          <w:sz w:val="24"/>
          <w:u w:val="single"/>
        </w:rPr>
        <w:t>（姓名）</w:t>
      </w:r>
      <w:r>
        <w:rPr>
          <w:rFonts w:hint="eastAsia" w:ascii="宋体" w:hAnsi="宋体" w:cs="宋体"/>
          <w:sz w:val="24"/>
        </w:rPr>
        <w:t>系</w:t>
      </w:r>
      <w:r>
        <w:rPr>
          <w:rFonts w:hint="eastAsia" w:ascii="宋体" w:hAnsi="宋体" w:cs="宋体"/>
          <w:sz w:val="24"/>
          <w:u w:val="single"/>
        </w:rPr>
        <w:t>（供应商名称）</w:t>
      </w:r>
      <w:r>
        <w:rPr>
          <w:rFonts w:hint="eastAsia" w:ascii="宋体" w:hAnsi="宋体" w:cs="宋体"/>
          <w:sz w:val="24"/>
        </w:rPr>
        <w:t>的法定代表人，现委托</w:t>
      </w:r>
      <w:r>
        <w:rPr>
          <w:rFonts w:hint="eastAsia" w:ascii="宋体" w:hAnsi="宋体" w:cs="宋体"/>
          <w:sz w:val="24"/>
          <w:u w:val="single"/>
        </w:rPr>
        <w:t>（姓名）</w:t>
      </w:r>
      <w:r>
        <w:rPr>
          <w:rFonts w:hint="eastAsia" w:ascii="宋体" w:hAnsi="宋体" w:cs="宋体"/>
          <w:sz w:val="24"/>
        </w:rPr>
        <w:t>为我方代理人。代理人根据授权，以我方名义签署、澄清、说明、补正、递交、撤回、修改</w:t>
      </w:r>
      <w:r>
        <w:rPr>
          <w:rFonts w:hint="eastAsia" w:ascii="宋体" w:hAnsi="宋体" w:cs="宋体"/>
          <w:sz w:val="24"/>
          <w:u w:val="single"/>
        </w:rPr>
        <w:t>（项目名称）</w:t>
      </w:r>
      <w:r>
        <w:rPr>
          <w:rFonts w:hint="eastAsia" w:ascii="宋体" w:hAnsi="宋体" w:cs="宋体"/>
          <w:sz w:val="24"/>
          <w:u w:val="single"/>
          <w:lang w:val="en-US" w:eastAsia="zh-CN"/>
        </w:rPr>
        <w:t>标段</w:t>
      </w:r>
      <w:r>
        <w:rPr>
          <w:rFonts w:hint="eastAsia" w:ascii="宋体" w:hAnsi="宋体" w:cs="宋体"/>
          <w:sz w:val="24"/>
        </w:rPr>
        <w:t>投标文件、签订合同和处理有关事宜，其法律后果由我方承担。</w:t>
      </w:r>
    </w:p>
    <w:p w14:paraId="0D536819">
      <w:pPr>
        <w:spacing w:line="500" w:lineRule="exact"/>
        <w:ind w:firstLine="480" w:firstLineChars="200"/>
        <w:rPr>
          <w:rFonts w:ascii="宋体" w:hAnsi="宋体" w:cs="宋体"/>
          <w:sz w:val="24"/>
        </w:rPr>
      </w:pPr>
      <w:r>
        <w:rPr>
          <w:rFonts w:hint="eastAsia" w:ascii="宋体" w:hAnsi="宋体" w:cs="宋体"/>
          <w:sz w:val="24"/>
        </w:rPr>
        <w:t>委托期限：</w:t>
      </w:r>
    </w:p>
    <w:p w14:paraId="0ABA55C3">
      <w:pPr>
        <w:spacing w:line="500" w:lineRule="exact"/>
        <w:ind w:firstLine="480" w:firstLineChars="200"/>
        <w:rPr>
          <w:rFonts w:ascii="宋体" w:hAnsi="宋体" w:cs="宋体"/>
          <w:sz w:val="24"/>
        </w:rPr>
      </w:pPr>
      <w:r>
        <w:rPr>
          <w:rFonts w:hint="eastAsia" w:ascii="宋体" w:hAnsi="宋体" w:cs="宋体"/>
          <w:sz w:val="24"/>
        </w:rPr>
        <w:t>代理人无转委托权。</w:t>
      </w:r>
    </w:p>
    <w:p w14:paraId="0F14C0EC">
      <w:pPr>
        <w:spacing w:line="500" w:lineRule="exact"/>
        <w:ind w:firstLine="480" w:firstLineChars="200"/>
        <w:rPr>
          <w:rFonts w:ascii="宋体" w:hAnsi="宋体" w:cs="宋体"/>
          <w:sz w:val="24"/>
        </w:rPr>
      </w:pPr>
      <w:r>
        <w:rPr>
          <w:rFonts w:hint="eastAsia" w:ascii="宋体" w:hAnsi="宋体" w:cs="宋体"/>
          <w:sz w:val="24"/>
        </w:rPr>
        <w:t>附：法定代表人身份证明及授权代理人身份证明</w:t>
      </w:r>
    </w:p>
    <w:p w14:paraId="5A07F1C9">
      <w:pPr>
        <w:spacing w:line="500" w:lineRule="exact"/>
        <w:rPr>
          <w:rFonts w:ascii="宋体" w:hAnsi="宋体" w:cs="宋体"/>
          <w:sz w:val="24"/>
        </w:rPr>
      </w:pPr>
      <w:r>
        <w:rPr>
          <w:rFonts w:hint="eastAsia" w:ascii="宋体" w:hAnsi="宋体" w:cs="宋体"/>
          <w:sz w:val="24"/>
        </w:rPr>
        <w:t xml:space="preserve"> </w:t>
      </w:r>
    </w:p>
    <w:p w14:paraId="3712DCD0">
      <w:pPr>
        <w:spacing w:line="400" w:lineRule="exact"/>
        <w:ind w:firstLine="4080" w:firstLineChars="1700"/>
        <w:rPr>
          <w:rFonts w:ascii="宋体" w:hAnsi="宋体" w:cs="宋体"/>
          <w:sz w:val="24"/>
        </w:rPr>
      </w:pPr>
      <w:r>
        <w:rPr>
          <w:rFonts w:hint="eastAsia" w:ascii="宋体" w:hAnsi="宋体" w:cs="宋体"/>
          <w:sz w:val="24"/>
        </w:rPr>
        <w:t>供应商：（盖单位章）</w:t>
      </w:r>
    </w:p>
    <w:p w14:paraId="18D55FFB">
      <w:pPr>
        <w:spacing w:line="400" w:lineRule="exact"/>
        <w:ind w:firstLine="4080" w:firstLineChars="1700"/>
        <w:rPr>
          <w:rFonts w:ascii="宋体" w:hAnsi="宋体" w:cs="宋体"/>
          <w:sz w:val="24"/>
        </w:rPr>
      </w:pPr>
      <w:r>
        <w:rPr>
          <w:rFonts w:hint="eastAsia" w:ascii="宋体" w:hAnsi="宋体" w:cs="宋体"/>
          <w:sz w:val="24"/>
        </w:rPr>
        <w:t xml:space="preserve"> </w:t>
      </w:r>
    </w:p>
    <w:p w14:paraId="648CE710">
      <w:pPr>
        <w:spacing w:line="400" w:lineRule="exact"/>
        <w:ind w:firstLine="4080" w:firstLineChars="1700"/>
        <w:rPr>
          <w:rFonts w:ascii="宋体" w:hAnsi="宋体" w:cs="宋体"/>
          <w:sz w:val="24"/>
        </w:rPr>
      </w:pPr>
      <w:r>
        <w:rPr>
          <w:rFonts w:hint="eastAsia" w:ascii="宋体" w:hAnsi="宋体" w:cs="宋体"/>
          <w:sz w:val="24"/>
        </w:rPr>
        <w:t>法定代表人：（</w:t>
      </w:r>
      <w:r>
        <w:rPr>
          <w:rFonts w:hint="eastAsia" w:ascii="宋体" w:hAnsi="宋体" w:eastAsia="宋体" w:cs="宋体"/>
          <w:sz w:val="24"/>
          <w:szCs w:val="24"/>
        </w:rPr>
        <w:t>电子签章</w:t>
      </w:r>
      <w:r>
        <w:rPr>
          <w:rFonts w:hint="eastAsia" w:ascii="宋体" w:hAnsi="宋体" w:cs="宋体"/>
          <w:sz w:val="24"/>
        </w:rPr>
        <w:t>）</w:t>
      </w:r>
    </w:p>
    <w:p w14:paraId="15694AF8">
      <w:pPr>
        <w:spacing w:line="400" w:lineRule="exact"/>
        <w:ind w:firstLine="4096" w:firstLineChars="1700"/>
        <w:rPr>
          <w:rFonts w:ascii="宋体" w:hAnsi="宋体" w:cs="宋体"/>
          <w:b/>
          <w:bCs/>
          <w:sz w:val="24"/>
        </w:rPr>
      </w:pPr>
      <w:r>
        <w:rPr>
          <w:rFonts w:hint="eastAsia" w:ascii="宋体" w:hAnsi="宋体" w:cs="宋体"/>
          <w:b/>
          <w:bCs/>
          <w:sz w:val="24"/>
        </w:rPr>
        <w:t xml:space="preserve"> </w:t>
      </w:r>
    </w:p>
    <w:p w14:paraId="40EF399C">
      <w:pPr>
        <w:spacing w:line="400" w:lineRule="exact"/>
        <w:ind w:firstLine="4080" w:firstLineChars="1700"/>
        <w:rPr>
          <w:rFonts w:ascii="宋体" w:hAnsi="宋体" w:cs="宋体"/>
          <w:sz w:val="24"/>
          <w:u w:val="single"/>
        </w:rPr>
      </w:pPr>
      <w:r>
        <w:rPr>
          <w:rFonts w:hint="eastAsia" w:ascii="宋体" w:hAnsi="宋体" w:cs="宋体"/>
          <w:sz w:val="24"/>
        </w:rPr>
        <w:t>身份证号码：</w:t>
      </w:r>
    </w:p>
    <w:p w14:paraId="5EB509FE">
      <w:pPr>
        <w:spacing w:line="400" w:lineRule="exact"/>
        <w:ind w:firstLine="4096" w:firstLineChars="1700"/>
        <w:rPr>
          <w:rFonts w:ascii="宋体" w:hAnsi="宋体" w:cs="宋体"/>
          <w:b/>
          <w:bCs/>
          <w:sz w:val="24"/>
        </w:rPr>
      </w:pPr>
      <w:r>
        <w:rPr>
          <w:rFonts w:hint="eastAsia" w:ascii="宋体" w:hAnsi="宋体" w:cs="宋体"/>
          <w:b/>
          <w:bCs/>
          <w:sz w:val="24"/>
        </w:rPr>
        <w:t xml:space="preserve"> </w:t>
      </w:r>
    </w:p>
    <w:p w14:paraId="2E9C39C9">
      <w:pPr>
        <w:spacing w:line="400" w:lineRule="exact"/>
        <w:ind w:firstLine="4080" w:firstLineChars="1700"/>
        <w:rPr>
          <w:rFonts w:ascii="宋体" w:hAnsi="宋体" w:cs="宋体"/>
          <w:sz w:val="24"/>
        </w:rPr>
      </w:pPr>
      <w:r>
        <w:rPr>
          <w:rFonts w:hint="eastAsia" w:ascii="宋体" w:hAnsi="宋体" w:cs="宋体"/>
          <w:sz w:val="24"/>
        </w:rPr>
        <w:t>委托代理人： （签字）</w:t>
      </w:r>
    </w:p>
    <w:p w14:paraId="7250B6C5">
      <w:pPr>
        <w:spacing w:line="400" w:lineRule="exact"/>
        <w:ind w:firstLine="4080" w:firstLineChars="1700"/>
        <w:rPr>
          <w:rFonts w:ascii="宋体" w:hAnsi="宋体" w:cs="宋体"/>
          <w:sz w:val="24"/>
        </w:rPr>
      </w:pPr>
      <w:r>
        <w:rPr>
          <w:rFonts w:hint="eastAsia" w:ascii="宋体" w:hAnsi="宋体" w:cs="宋体"/>
          <w:sz w:val="24"/>
        </w:rPr>
        <w:t xml:space="preserve"> </w:t>
      </w:r>
    </w:p>
    <w:p w14:paraId="5B6108DA">
      <w:pPr>
        <w:spacing w:line="400" w:lineRule="exact"/>
        <w:ind w:firstLine="4080" w:firstLineChars="1700"/>
        <w:rPr>
          <w:rFonts w:ascii="宋体" w:hAnsi="宋体" w:cs="宋体"/>
          <w:sz w:val="24"/>
        </w:rPr>
      </w:pPr>
      <w:r>
        <w:rPr>
          <w:rFonts w:hint="eastAsia" w:ascii="宋体" w:hAnsi="宋体" w:cs="宋体"/>
          <w:sz w:val="24"/>
        </w:rPr>
        <w:t>身份证号码：</w:t>
      </w:r>
    </w:p>
    <w:p w14:paraId="7E362B01">
      <w:pPr>
        <w:pStyle w:val="4"/>
      </w:pPr>
    </w:p>
    <w:p w14:paraId="3A55ECBD">
      <w:pPr>
        <w:spacing w:line="400" w:lineRule="exact"/>
        <w:ind w:firstLine="4080" w:firstLineChars="1700"/>
        <w:rPr>
          <w:rFonts w:ascii="宋体" w:hAnsi="宋体" w:cs="宋体"/>
          <w:sz w:val="24"/>
        </w:rPr>
      </w:pPr>
      <w:r>
        <w:rPr>
          <w:rFonts w:hint="eastAsia" w:ascii="宋体" w:hAnsi="宋体" w:cs="宋体"/>
          <w:sz w:val="24"/>
        </w:rPr>
        <w:t>年  月   日</w:t>
      </w:r>
    </w:p>
    <w:p w14:paraId="2F5F5543">
      <w:pPr>
        <w:spacing w:line="400" w:lineRule="exact"/>
        <w:rPr>
          <w:rFonts w:ascii="宋体" w:hAnsi="宋体" w:cs="宋体"/>
          <w:b/>
          <w:bCs/>
          <w:sz w:val="24"/>
        </w:rPr>
      </w:pPr>
      <w:r>
        <w:rPr>
          <w:rFonts w:hint="eastAsia" w:ascii="宋体" w:hAnsi="宋体" w:cs="宋体"/>
          <w:b/>
          <w:bCs/>
          <w:sz w:val="24"/>
        </w:rPr>
        <w:t xml:space="preserve"> </w:t>
      </w:r>
    </w:p>
    <w:p w14:paraId="1B3BEBC1">
      <w:pPr>
        <w:spacing w:line="400" w:lineRule="exact"/>
        <w:rPr>
          <w:rFonts w:ascii="宋体" w:hAnsi="宋体" w:cs="宋体"/>
          <w:b/>
          <w:bCs/>
          <w:sz w:val="24"/>
        </w:rPr>
      </w:pPr>
      <w:r>
        <w:rPr>
          <w:rFonts w:hint="eastAsia" w:ascii="宋体" w:hAnsi="宋体" w:cs="宋体"/>
          <w:b/>
          <w:bCs/>
          <w:sz w:val="24"/>
        </w:rPr>
        <w:t>注：因投标文件中授权委托书授权代理人无法手写签字，可以以印刷体代替（印刷体为电脑打出的字体）。</w:t>
      </w:r>
      <w:bookmarkStart w:id="171" w:name="_Toc466566810"/>
      <w:bookmarkEnd w:id="171"/>
    </w:p>
    <w:p w14:paraId="5F6FD7CC">
      <w:pPr>
        <w:rPr>
          <w:rFonts w:ascii="宋体" w:hAnsi="宋体" w:cs="宋体"/>
          <w:b/>
          <w:bCs/>
          <w:sz w:val="24"/>
        </w:rPr>
      </w:pPr>
      <w:r>
        <w:rPr>
          <w:rFonts w:hint="eastAsia" w:ascii="宋体" w:hAnsi="宋体" w:cs="宋体"/>
          <w:b/>
          <w:bCs/>
          <w:sz w:val="24"/>
        </w:rPr>
        <w:t xml:space="preserve"> </w:t>
      </w:r>
    </w:p>
    <w:p w14:paraId="2A6B76C7">
      <w:pPr>
        <w:rPr>
          <w:rFonts w:ascii="宋体" w:hAnsi="宋体" w:cs="宋体"/>
          <w:b/>
          <w:bCs/>
          <w:sz w:val="24"/>
        </w:rPr>
      </w:pPr>
      <w:r>
        <w:rPr>
          <w:rFonts w:hint="eastAsia" w:ascii="宋体" w:hAnsi="宋体" w:cs="宋体"/>
          <w:b/>
          <w:bCs/>
          <w:sz w:val="24"/>
        </w:rPr>
        <w:t xml:space="preserve"> </w:t>
      </w:r>
    </w:p>
    <w:p w14:paraId="2F0B877C">
      <w:pPr>
        <w:rPr>
          <w:rFonts w:ascii="宋体" w:hAnsi="宋体" w:cs="宋体"/>
          <w:b/>
          <w:bCs/>
          <w:sz w:val="24"/>
        </w:rPr>
      </w:pPr>
      <w:r>
        <w:rPr>
          <w:rFonts w:hint="eastAsia" w:ascii="宋体" w:hAnsi="宋体" w:cs="宋体"/>
          <w:b/>
          <w:bCs/>
          <w:sz w:val="24"/>
        </w:rPr>
        <w:t xml:space="preserve"> </w:t>
      </w:r>
    </w:p>
    <w:p w14:paraId="6B56E4E3">
      <w:pPr>
        <w:rPr>
          <w:rFonts w:ascii="宋体" w:hAnsi="宋体" w:cs="宋体"/>
          <w:b/>
          <w:bCs/>
          <w:sz w:val="24"/>
        </w:rPr>
      </w:pPr>
      <w:r>
        <w:rPr>
          <w:rFonts w:hint="eastAsia" w:ascii="宋体" w:hAnsi="宋体" w:cs="宋体"/>
          <w:b/>
          <w:bCs/>
          <w:sz w:val="24"/>
        </w:rPr>
        <w:t xml:space="preserve"> </w:t>
      </w:r>
    </w:p>
    <w:p w14:paraId="4EBD9984">
      <w:pPr>
        <w:rPr>
          <w:rFonts w:ascii="宋体" w:hAnsi="宋体" w:cs="宋体"/>
          <w:b/>
          <w:bCs/>
          <w:sz w:val="24"/>
        </w:rPr>
      </w:pPr>
      <w:r>
        <w:rPr>
          <w:rFonts w:hint="eastAsia" w:ascii="宋体" w:hAnsi="宋体" w:cs="宋体"/>
          <w:b/>
          <w:bCs/>
          <w:sz w:val="24"/>
        </w:rPr>
        <w:t xml:space="preserve"> </w:t>
      </w:r>
    </w:p>
    <w:p w14:paraId="72F80B84">
      <w:pPr>
        <w:rPr>
          <w:rFonts w:ascii="宋体" w:hAnsi="宋体" w:cs="宋体"/>
          <w:b/>
          <w:bCs/>
          <w:sz w:val="24"/>
        </w:rPr>
      </w:pPr>
      <w:r>
        <w:rPr>
          <w:rFonts w:hint="eastAsia" w:ascii="宋体" w:hAnsi="宋体" w:cs="宋体"/>
          <w:b/>
          <w:bCs/>
          <w:sz w:val="24"/>
        </w:rPr>
        <w:t xml:space="preserve"> </w:t>
      </w:r>
    </w:p>
    <w:p w14:paraId="53DF2BB3">
      <w:pPr>
        <w:rPr>
          <w:rFonts w:ascii="宋体" w:hAnsi="宋体" w:cs="宋体"/>
          <w:b/>
          <w:bCs/>
          <w:sz w:val="24"/>
        </w:rPr>
      </w:pPr>
      <w:r>
        <w:rPr>
          <w:rFonts w:hint="eastAsia" w:ascii="宋体" w:hAnsi="宋体" w:cs="宋体"/>
          <w:b/>
          <w:bCs/>
          <w:sz w:val="24"/>
        </w:rPr>
        <w:t xml:space="preserve"> </w:t>
      </w:r>
    </w:p>
    <w:p w14:paraId="16A62BBE">
      <w:pPr>
        <w:rPr>
          <w:rFonts w:ascii="宋体" w:hAnsi="宋体" w:cs="宋体"/>
          <w:b/>
          <w:bCs/>
          <w:sz w:val="24"/>
        </w:rPr>
      </w:pPr>
      <w:r>
        <w:rPr>
          <w:rFonts w:hint="eastAsia" w:ascii="宋体" w:hAnsi="宋体" w:cs="宋体"/>
          <w:b/>
          <w:bCs/>
          <w:sz w:val="24"/>
        </w:rPr>
        <w:t xml:space="preserve"> </w:t>
      </w:r>
    </w:p>
    <w:p w14:paraId="17B8F8EF">
      <w:pPr>
        <w:pStyle w:val="2"/>
        <w:numPr>
          <w:ilvl w:val="0"/>
          <w:numId w:val="0"/>
        </w:numPr>
        <w:spacing w:line="560" w:lineRule="exact"/>
        <w:rPr>
          <w:rFonts w:ascii="宋体" w:hAnsi="宋体" w:cs="宋体"/>
          <w:bCs/>
          <w:szCs w:val="24"/>
        </w:rPr>
      </w:pPr>
      <w:bookmarkStart w:id="172" w:name="_Toc10352"/>
      <w:bookmarkEnd w:id="172"/>
      <w:r>
        <w:rPr>
          <w:rFonts w:hint="eastAsia" w:ascii="宋体" w:hAnsi="宋体" w:cs="宋体"/>
          <w:bCs/>
          <w:szCs w:val="24"/>
        </w:rPr>
        <w:br w:type="page"/>
      </w:r>
      <w:r>
        <w:rPr>
          <w:rFonts w:hint="eastAsia" w:ascii="宋体" w:hAnsi="宋体" w:cs="宋体"/>
          <w:bCs/>
          <w:szCs w:val="24"/>
        </w:rPr>
        <w:t>四、投标承诺函</w:t>
      </w:r>
    </w:p>
    <w:p w14:paraId="1077719D">
      <w:pPr>
        <w:spacing w:line="560" w:lineRule="exact"/>
        <w:rPr>
          <w:rFonts w:ascii="宋体" w:hAnsi="宋体" w:cs="宋体"/>
          <w:sz w:val="24"/>
        </w:rPr>
      </w:pPr>
      <w:r>
        <w:rPr>
          <w:rFonts w:hint="eastAsia" w:ascii="宋体" w:hAnsi="宋体" w:cs="宋体"/>
          <w:sz w:val="24"/>
        </w:rPr>
        <w:t>致（采购人）：</w:t>
      </w:r>
    </w:p>
    <w:p w14:paraId="556D2DF8">
      <w:pPr>
        <w:spacing w:line="560" w:lineRule="exact"/>
        <w:ind w:firstLine="480" w:firstLineChars="200"/>
        <w:rPr>
          <w:rFonts w:ascii="宋体" w:hAnsi="宋体" w:cs="宋体"/>
          <w:sz w:val="24"/>
        </w:rPr>
      </w:pPr>
      <w:r>
        <w:rPr>
          <w:rFonts w:hint="eastAsia" w:ascii="宋体" w:hAnsi="宋体" w:cs="宋体"/>
          <w:sz w:val="24"/>
        </w:rPr>
        <w:t>我公司作为本次采购项目的供应商，根据招标文件要求，现郑重承诺如下：</w:t>
      </w:r>
    </w:p>
    <w:p w14:paraId="1385C349">
      <w:pPr>
        <w:spacing w:line="560" w:lineRule="exact"/>
        <w:ind w:firstLine="480" w:firstLineChars="200"/>
        <w:rPr>
          <w:rFonts w:ascii="宋体" w:hAnsi="宋体" w:cs="宋体"/>
          <w:sz w:val="24"/>
        </w:rPr>
      </w:pPr>
      <w:r>
        <w:rPr>
          <w:rFonts w:hint="eastAsia" w:ascii="宋体" w:hAnsi="宋体" w:cs="宋体"/>
          <w:sz w:val="24"/>
        </w:rPr>
        <w:t>一、具备《中华人民共和国政府采购法》第二十二条第一款和本项目规定的条件：</w:t>
      </w:r>
    </w:p>
    <w:p w14:paraId="45AEF12A">
      <w:pPr>
        <w:spacing w:line="560" w:lineRule="exact"/>
        <w:ind w:firstLine="480" w:firstLineChars="200"/>
        <w:rPr>
          <w:rFonts w:ascii="宋体" w:hAnsi="宋体" w:cs="宋体"/>
          <w:sz w:val="24"/>
        </w:rPr>
      </w:pPr>
      <w:r>
        <w:rPr>
          <w:rFonts w:hint="eastAsia" w:ascii="宋体" w:hAnsi="宋体" w:cs="宋体"/>
          <w:sz w:val="24"/>
        </w:rPr>
        <w:t>（一）具有独立承担民事责任的能力；</w:t>
      </w:r>
    </w:p>
    <w:p w14:paraId="7AB64BDD">
      <w:pPr>
        <w:spacing w:line="560" w:lineRule="exact"/>
        <w:ind w:firstLine="480" w:firstLineChars="200"/>
        <w:rPr>
          <w:rFonts w:ascii="宋体" w:hAnsi="宋体" w:cs="宋体"/>
          <w:sz w:val="24"/>
        </w:rPr>
      </w:pPr>
      <w:r>
        <w:rPr>
          <w:rFonts w:hint="eastAsia" w:ascii="宋体" w:hAnsi="宋体" w:cs="宋体"/>
          <w:sz w:val="24"/>
        </w:rPr>
        <w:t>（二）具有良好的商业信誉和健全的财务会计制度；</w:t>
      </w:r>
    </w:p>
    <w:p w14:paraId="2B445302">
      <w:pPr>
        <w:spacing w:line="560" w:lineRule="exact"/>
        <w:ind w:firstLine="480" w:firstLineChars="200"/>
        <w:rPr>
          <w:rFonts w:ascii="宋体" w:hAnsi="宋体" w:cs="宋体"/>
          <w:sz w:val="24"/>
        </w:rPr>
      </w:pPr>
      <w:r>
        <w:rPr>
          <w:rFonts w:hint="eastAsia" w:ascii="宋体" w:hAnsi="宋体" w:cs="宋体"/>
          <w:sz w:val="24"/>
        </w:rPr>
        <w:t>（三）具有履行合同所必需的设备和专业技术能力；</w:t>
      </w:r>
    </w:p>
    <w:p w14:paraId="32AD3401">
      <w:pPr>
        <w:spacing w:line="560" w:lineRule="exact"/>
        <w:ind w:firstLine="480" w:firstLineChars="200"/>
        <w:rPr>
          <w:rFonts w:ascii="宋体" w:hAnsi="宋体" w:cs="宋体"/>
          <w:sz w:val="24"/>
        </w:rPr>
      </w:pPr>
      <w:r>
        <w:rPr>
          <w:rFonts w:hint="eastAsia" w:ascii="宋体" w:hAnsi="宋体" w:cs="宋体"/>
          <w:sz w:val="24"/>
        </w:rPr>
        <w:t>（四）有依法缴纳税收和社会保障资金的良好记录；</w:t>
      </w:r>
    </w:p>
    <w:p w14:paraId="70616958">
      <w:pPr>
        <w:spacing w:line="560" w:lineRule="exact"/>
        <w:ind w:firstLine="480" w:firstLineChars="200"/>
        <w:rPr>
          <w:rFonts w:ascii="宋体" w:hAnsi="宋体" w:cs="宋体"/>
          <w:sz w:val="24"/>
        </w:rPr>
      </w:pPr>
      <w:r>
        <w:rPr>
          <w:rFonts w:hint="eastAsia" w:ascii="宋体" w:hAnsi="宋体" w:cs="宋体"/>
          <w:sz w:val="24"/>
        </w:rPr>
        <w:t>（五）参加政府采购活动前三年内，在经营活动中没有重大违法记录；</w:t>
      </w:r>
    </w:p>
    <w:p w14:paraId="0E5221D1">
      <w:pPr>
        <w:spacing w:line="560" w:lineRule="exact"/>
        <w:ind w:firstLine="480" w:firstLineChars="200"/>
        <w:rPr>
          <w:rFonts w:ascii="宋体" w:hAnsi="宋体" w:cs="宋体"/>
          <w:sz w:val="24"/>
        </w:rPr>
      </w:pPr>
      <w:r>
        <w:rPr>
          <w:rFonts w:hint="eastAsia" w:ascii="宋体" w:hAnsi="宋体" w:cs="宋体"/>
          <w:sz w:val="24"/>
        </w:rPr>
        <w:t>（六）法律、行政法规规定的其他条件；</w:t>
      </w:r>
    </w:p>
    <w:p w14:paraId="797F0379">
      <w:pPr>
        <w:spacing w:line="560" w:lineRule="exact"/>
        <w:ind w:firstLine="480" w:firstLineChars="200"/>
        <w:rPr>
          <w:rFonts w:ascii="宋体" w:hAnsi="宋体" w:cs="宋体"/>
          <w:sz w:val="24"/>
        </w:rPr>
      </w:pPr>
      <w:r>
        <w:rPr>
          <w:rFonts w:hint="eastAsia" w:ascii="宋体" w:hAnsi="宋体" w:cs="宋体"/>
          <w:sz w:val="24"/>
        </w:rPr>
        <w:t>（七）根据采购项目提出的特殊条件。</w:t>
      </w:r>
    </w:p>
    <w:p w14:paraId="4E34EF87">
      <w:pPr>
        <w:spacing w:line="560" w:lineRule="exact"/>
        <w:ind w:firstLine="480" w:firstLineChars="200"/>
        <w:rPr>
          <w:rFonts w:ascii="宋体" w:hAnsi="宋体" w:cs="宋体"/>
          <w:sz w:val="24"/>
        </w:rPr>
      </w:pPr>
      <w:r>
        <w:rPr>
          <w:rFonts w:hint="eastAsia" w:ascii="宋体" w:hAnsi="宋体" w:cs="宋体"/>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03006577">
      <w:pPr>
        <w:spacing w:line="560" w:lineRule="exact"/>
        <w:ind w:firstLine="480" w:firstLineChars="200"/>
        <w:rPr>
          <w:rFonts w:ascii="宋体" w:hAnsi="宋体" w:cs="宋体"/>
          <w:sz w:val="24"/>
        </w:rPr>
      </w:pPr>
      <w:r>
        <w:rPr>
          <w:rFonts w:hint="eastAsia" w:ascii="宋体" w:hAnsi="宋体" w:cs="宋体"/>
          <w:sz w:val="24"/>
        </w:rPr>
        <w:t>三、参加本次招标采购活动，不存在与单位负责人为同一人或者存在直接控股、管理关系的其他供应商参与同一合同项下的政府采购活动的行为。</w:t>
      </w:r>
    </w:p>
    <w:p w14:paraId="17628A2B">
      <w:pPr>
        <w:spacing w:line="560" w:lineRule="exact"/>
        <w:ind w:firstLine="480" w:firstLineChars="200"/>
        <w:rPr>
          <w:rFonts w:ascii="宋体" w:hAnsi="宋体" w:cs="宋体"/>
          <w:sz w:val="24"/>
        </w:rPr>
      </w:pPr>
      <w:r>
        <w:rPr>
          <w:rFonts w:hint="eastAsia" w:ascii="宋体" w:hAnsi="宋体" w:cs="宋体"/>
          <w:sz w:val="24"/>
        </w:rPr>
        <w:t>四、参加本次招标采购活动，不存在为采购项目提供整体设计、规范编制或者项目管理、监理、检测等服务的行为。</w:t>
      </w:r>
    </w:p>
    <w:p w14:paraId="458AA221">
      <w:pPr>
        <w:spacing w:line="560" w:lineRule="exact"/>
        <w:ind w:firstLine="480" w:firstLineChars="200"/>
        <w:rPr>
          <w:rFonts w:ascii="宋体" w:hAnsi="宋体" w:cs="宋体"/>
          <w:sz w:val="24"/>
        </w:rPr>
      </w:pPr>
      <w:r>
        <w:rPr>
          <w:rFonts w:hint="eastAsia" w:ascii="宋体" w:hAnsi="宋体" w:cs="宋体"/>
          <w:sz w:val="24"/>
        </w:rPr>
        <w:t>五、参加本次招标采购活动，不存在和其他供应商在同一合同项下的采购项目中，同时委托同一个自然人、同一家庭的人员、同一单位的人员作为代理人的行为。</w:t>
      </w:r>
    </w:p>
    <w:p w14:paraId="2591DDE2">
      <w:pPr>
        <w:spacing w:line="560" w:lineRule="exact"/>
        <w:ind w:firstLine="480" w:firstLineChars="200"/>
        <w:rPr>
          <w:rFonts w:ascii="宋体" w:hAnsi="宋体" w:cs="宋体"/>
          <w:sz w:val="24"/>
        </w:rPr>
      </w:pPr>
      <w:r>
        <w:rPr>
          <w:rFonts w:hint="eastAsia" w:ascii="宋体" w:hAnsi="宋体" w:cs="宋体"/>
          <w:sz w:val="24"/>
        </w:rPr>
        <w:t>六、供应商参加本次政府采购活动要求在近三年内供应商和其法定代表人没有行贿犯罪行为。</w:t>
      </w:r>
    </w:p>
    <w:p w14:paraId="42379215">
      <w:pPr>
        <w:spacing w:line="560" w:lineRule="exact"/>
        <w:ind w:firstLine="480" w:firstLineChars="200"/>
        <w:rPr>
          <w:rFonts w:ascii="宋体" w:hAnsi="宋体" w:cs="宋体"/>
          <w:sz w:val="24"/>
        </w:rPr>
      </w:pPr>
      <w:r>
        <w:rPr>
          <w:rFonts w:hint="eastAsia" w:ascii="宋体" w:hAnsi="宋体" w:cs="宋体"/>
          <w:sz w:val="24"/>
        </w:rPr>
        <w:t>七、参加本次招标采购活动，不存在联合体投标。</w:t>
      </w:r>
    </w:p>
    <w:p w14:paraId="56B1B64B">
      <w:pPr>
        <w:spacing w:line="560" w:lineRule="exact"/>
        <w:ind w:firstLine="480" w:firstLineChars="200"/>
        <w:rPr>
          <w:rFonts w:ascii="宋体" w:hAnsi="宋体" w:cs="宋体"/>
          <w:sz w:val="24"/>
        </w:rPr>
      </w:pPr>
      <w:r>
        <w:rPr>
          <w:rFonts w:hint="eastAsia" w:ascii="宋体" w:hAnsi="宋体" w:cs="宋体"/>
          <w:sz w:val="24"/>
        </w:rPr>
        <w:t>八、投标文件中提供的能够给予我公司带来优惠、好处的任何材料资料和技术、服务、商务等响应承诺情况都是真实的、有效的、合法的。</w:t>
      </w:r>
    </w:p>
    <w:p w14:paraId="6FD58240">
      <w:pPr>
        <w:spacing w:line="560" w:lineRule="exact"/>
        <w:ind w:firstLine="480" w:firstLineChars="200"/>
        <w:rPr>
          <w:rFonts w:ascii="宋体" w:hAnsi="宋体" w:cs="宋体"/>
          <w:sz w:val="24"/>
        </w:rPr>
      </w:pPr>
      <w:r>
        <w:rPr>
          <w:rFonts w:hint="eastAsia" w:ascii="宋体" w:hAnsi="宋体" w:cs="宋体"/>
          <w:sz w:val="24"/>
        </w:rPr>
        <w:t>九、存在以下行为之一的愿意接受相关部门的处理：</w:t>
      </w:r>
    </w:p>
    <w:p w14:paraId="2A52DA58">
      <w:pPr>
        <w:spacing w:line="560" w:lineRule="exact"/>
        <w:ind w:firstLine="480" w:firstLineChars="200"/>
        <w:rPr>
          <w:rFonts w:ascii="宋体" w:hAnsi="宋体" w:cs="宋体"/>
          <w:sz w:val="24"/>
        </w:rPr>
      </w:pPr>
      <w:r>
        <w:rPr>
          <w:rFonts w:hint="eastAsia" w:ascii="宋体" w:hAnsi="宋体" w:cs="宋体"/>
          <w:sz w:val="24"/>
        </w:rPr>
        <w:t>（一）投标有效期内撤销投标文件的；</w:t>
      </w:r>
    </w:p>
    <w:p w14:paraId="19E4418B">
      <w:pPr>
        <w:spacing w:line="560" w:lineRule="exact"/>
        <w:ind w:firstLine="480" w:firstLineChars="200"/>
        <w:rPr>
          <w:rFonts w:ascii="宋体" w:hAnsi="宋体" w:cs="宋体"/>
          <w:sz w:val="24"/>
        </w:rPr>
      </w:pPr>
      <w:r>
        <w:rPr>
          <w:rFonts w:hint="eastAsia" w:ascii="宋体" w:hAnsi="宋体" w:cs="宋体"/>
          <w:sz w:val="24"/>
        </w:rPr>
        <w:t>（二）在采购人确定中标人以前放弃中标候选资格的；</w:t>
      </w:r>
    </w:p>
    <w:p w14:paraId="02C73790">
      <w:pPr>
        <w:spacing w:line="560" w:lineRule="exact"/>
        <w:ind w:firstLine="480" w:firstLineChars="200"/>
        <w:rPr>
          <w:rFonts w:ascii="宋体" w:hAnsi="宋体" w:cs="宋体"/>
          <w:sz w:val="24"/>
        </w:rPr>
      </w:pPr>
      <w:r>
        <w:rPr>
          <w:rFonts w:hint="eastAsia" w:ascii="宋体" w:hAnsi="宋体" w:cs="宋体"/>
          <w:sz w:val="24"/>
        </w:rPr>
        <w:t>（三）由于中标人的原因未能按照招标文件的规定与采购人签订合同；</w:t>
      </w:r>
    </w:p>
    <w:p w14:paraId="5E8DE5A9">
      <w:pPr>
        <w:spacing w:line="560" w:lineRule="exact"/>
        <w:ind w:firstLine="480" w:firstLineChars="200"/>
        <w:rPr>
          <w:rFonts w:ascii="宋体" w:hAnsi="宋体" w:cs="宋体"/>
          <w:sz w:val="24"/>
        </w:rPr>
      </w:pPr>
      <w:r>
        <w:rPr>
          <w:rFonts w:hint="eastAsia" w:ascii="宋体" w:hAnsi="宋体" w:cs="宋体"/>
          <w:sz w:val="24"/>
        </w:rPr>
        <w:t>（四）在投标文件中提供虚假材料谋取中标；</w:t>
      </w:r>
    </w:p>
    <w:p w14:paraId="68F88AFA">
      <w:pPr>
        <w:spacing w:line="560" w:lineRule="exact"/>
        <w:ind w:firstLine="480" w:firstLineChars="200"/>
        <w:rPr>
          <w:rFonts w:ascii="宋体" w:hAnsi="宋体" w:cs="宋体"/>
          <w:sz w:val="24"/>
        </w:rPr>
      </w:pPr>
      <w:r>
        <w:rPr>
          <w:rFonts w:hint="eastAsia" w:ascii="宋体" w:hAnsi="宋体" w:cs="宋体"/>
          <w:sz w:val="24"/>
        </w:rPr>
        <w:t>（五）与采购人、其他供应商或者采购代理机构恶意串通的；</w:t>
      </w:r>
    </w:p>
    <w:p w14:paraId="7E3892B8">
      <w:pPr>
        <w:spacing w:line="560" w:lineRule="exact"/>
        <w:ind w:firstLine="480" w:firstLineChars="200"/>
        <w:rPr>
          <w:rFonts w:ascii="宋体" w:hAnsi="宋体" w:cs="宋体"/>
          <w:sz w:val="24"/>
        </w:rPr>
      </w:pPr>
      <w:r>
        <w:rPr>
          <w:rFonts w:hint="eastAsia" w:ascii="宋体" w:hAnsi="宋体" w:cs="宋体"/>
          <w:sz w:val="24"/>
        </w:rPr>
        <w:t>（六）投标有效期内，供应商在政府采购活动中有违法、违规、违纪行为。</w:t>
      </w:r>
    </w:p>
    <w:p w14:paraId="46D0A674">
      <w:pPr>
        <w:spacing w:line="560" w:lineRule="exact"/>
        <w:ind w:firstLine="480" w:firstLineChars="200"/>
        <w:rPr>
          <w:rFonts w:ascii="宋体" w:hAnsi="宋体" w:cs="宋体"/>
          <w:sz w:val="24"/>
        </w:rPr>
      </w:pPr>
      <w:r>
        <w:rPr>
          <w:rFonts w:hint="eastAsia" w:ascii="宋体" w:hAnsi="宋体" w:cs="宋体"/>
          <w:sz w:val="24"/>
        </w:rPr>
        <w:t>由此产生的一切法律后果和责任由我公司承担。我公司声明放弃对此提出任何异议和追索的权利。</w:t>
      </w:r>
    </w:p>
    <w:p w14:paraId="6F3365F4">
      <w:pPr>
        <w:spacing w:line="560" w:lineRule="exact"/>
        <w:ind w:firstLine="480" w:firstLineChars="200"/>
        <w:rPr>
          <w:rFonts w:ascii="宋体" w:hAnsi="宋体" w:cs="宋体"/>
          <w:sz w:val="24"/>
        </w:rPr>
      </w:pPr>
      <w:r>
        <w:rPr>
          <w:rFonts w:hint="eastAsia" w:ascii="宋体" w:hAnsi="宋体" w:cs="宋体"/>
          <w:sz w:val="24"/>
        </w:rPr>
        <w:t>本公司对上述承诺的内容事项真实性负责。如经查实上述承诺的内容事项存在虚假，我公司愿意接受以提供虚假材料谋取中标追究法律责任。</w:t>
      </w:r>
    </w:p>
    <w:p w14:paraId="1AFE8CB6">
      <w:pPr>
        <w:spacing w:line="560" w:lineRule="exact"/>
        <w:rPr>
          <w:rFonts w:ascii="宋体" w:hAnsi="宋体" w:cs="宋体"/>
          <w:sz w:val="24"/>
        </w:rPr>
      </w:pPr>
      <w:r>
        <w:rPr>
          <w:rFonts w:hint="eastAsia" w:ascii="宋体" w:hAnsi="宋体" w:cs="宋体"/>
          <w:sz w:val="24"/>
        </w:rPr>
        <w:t xml:space="preserve"> </w:t>
      </w:r>
    </w:p>
    <w:p w14:paraId="1C338E0E">
      <w:pPr>
        <w:spacing w:line="560" w:lineRule="exact"/>
        <w:rPr>
          <w:rFonts w:ascii="宋体" w:hAnsi="宋体" w:cs="宋体"/>
          <w:sz w:val="24"/>
        </w:rPr>
      </w:pPr>
      <w:r>
        <w:rPr>
          <w:rFonts w:hint="eastAsia" w:ascii="宋体" w:hAnsi="宋体" w:cs="宋体"/>
          <w:sz w:val="24"/>
        </w:rPr>
        <w:t>供应商名称：               （盖章）</w:t>
      </w:r>
    </w:p>
    <w:p w14:paraId="267FF56E">
      <w:pPr>
        <w:spacing w:line="560" w:lineRule="exact"/>
        <w:rPr>
          <w:rFonts w:hint="eastAsia" w:ascii="宋体" w:hAnsi="宋体" w:cs="宋体"/>
          <w:sz w:val="24"/>
        </w:rPr>
      </w:pPr>
      <w:r>
        <w:rPr>
          <w:rFonts w:hint="eastAsia" w:ascii="宋体" w:hAnsi="宋体" w:cs="宋体"/>
          <w:sz w:val="24"/>
        </w:rPr>
        <w:t>法定代表人：               （电子签章）</w:t>
      </w:r>
    </w:p>
    <w:p w14:paraId="6756D406">
      <w:pPr>
        <w:spacing w:line="560" w:lineRule="exact"/>
        <w:rPr>
          <w:rFonts w:ascii="宋体" w:hAnsi="宋体" w:cs="宋体"/>
          <w:sz w:val="24"/>
        </w:rPr>
      </w:pPr>
      <w:r>
        <w:rPr>
          <w:rFonts w:hint="eastAsia" w:ascii="宋体" w:hAnsi="宋体" w:cs="宋体"/>
          <w:sz w:val="24"/>
        </w:rPr>
        <w:t xml:space="preserve">日期：               </w:t>
      </w:r>
      <w:bookmarkStart w:id="173" w:name="_Toc394651926"/>
      <w:bookmarkEnd w:id="173"/>
      <w:bookmarkStart w:id="174" w:name="_Toc144974862"/>
      <w:bookmarkEnd w:id="174"/>
      <w:bookmarkStart w:id="175" w:name="_Toc246996362"/>
      <w:bookmarkEnd w:id="175"/>
      <w:bookmarkStart w:id="176" w:name="_Toc152045794"/>
      <w:bookmarkEnd w:id="176"/>
      <w:bookmarkStart w:id="177" w:name="_Toc152042583"/>
      <w:bookmarkEnd w:id="177"/>
      <w:bookmarkStart w:id="178" w:name="_Toc179632814"/>
      <w:bookmarkEnd w:id="178"/>
      <w:bookmarkStart w:id="179" w:name="_Toc247085880"/>
      <w:bookmarkEnd w:id="179"/>
      <w:bookmarkStart w:id="180" w:name="_Toc246997105"/>
      <w:bookmarkEnd w:id="180"/>
    </w:p>
    <w:p w14:paraId="4C2E5F06">
      <w:pPr>
        <w:pStyle w:val="2"/>
        <w:numPr>
          <w:ilvl w:val="0"/>
          <w:numId w:val="0"/>
        </w:numPr>
        <w:spacing w:line="560" w:lineRule="exact"/>
        <w:ind w:left="420" w:leftChars="0" w:hanging="420" w:firstLineChars="0"/>
        <w:rPr>
          <w:rStyle w:val="20"/>
          <w:rFonts w:hint="eastAsia"/>
          <w:b/>
          <w:bCs/>
          <w:lang w:val="en-US" w:eastAsia="zh-CN"/>
        </w:rPr>
      </w:pPr>
      <w:bookmarkStart w:id="181" w:name="_Toc361989462"/>
      <w:bookmarkEnd w:id="181"/>
      <w:bookmarkStart w:id="182" w:name="_Toc361989463"/>
      <w:bookmarkEnd w:id="182"/>
      <w:bookmarkStart w:id="183" w:name="_Hlk3282331"/>
      <w:bookmarkEnd w:id="183"/>
      <w:bookmarkStart w:id="184" w:name="_Toc244934212"/>
      <w:bookmarkEnd w:id="184"/>
      <w:bookmarkStart w:id="185" w:name="_Toc528078071"/>
      <w:bookmarkEnd w:id="185"/>
      <w:bookmarkStart w:id="186" w:name="_Toc244934213"/>
      <w:bookmarkEnd w:id="186"/>
      <w:bookmarkStart w:id="187" w:name="_Toc25298"/>
      <w:bookmarkStart w:id="188" w:name="_Toc10655"/>
      <w:bookmarkStart w:id="189" w:name="_Toc17010"/>
    </w:p>
    <w:p w14:paraId="4CF409BE">
      <w:pPr>
        <w:pStyle w:val="2"/>
        <w:numPr>
          <w:ilvl w:val="0"/>
          <w:numId w:val="0"/>
        </w:numPr>
        <w:spacing w:line="560" w:lineRule="exact"/>
        <w:ind w:left="420" w:leftChars="0" w:hanging="420" w:firstLineChars="0"/>
        <w:rPr>
          <w:rStyle w:val="20"/>
          <w:rFonts w:hint="eastAsia"/>
          <w:b/>
          <w:bCs/>
          <w:lang w:val="en-US" w:eastAsia="zh-CN"/>
        </w:rPr>
      </w:pPr>
    </w:p>
    <w:p w14:paraId="37AC8185">
      <w:pPr>
        <w:pStyle w:val="2"/>
        <w:numPr>
          <w:ilvl w:val="0"/>
          <w:numId w:val="0"/>
        </w:numPr>
        <w:spacing w:line="560" w:lineRule="exact"/>
        <w:ind w:left="420" w:leftChars="0" w:hanging="420" w:firstLineChars="0"/>
        <w:rPr>
          <w:rStyle w:val="20"/>
          <w:rFonts w:hint="eastAsia"/>
          <w:b/>
          <w:bCs/>
          <w:lang w:val="en-US" w:eastAsia="zh-CN"/>
        </w:rPr>
      </w:pPr>
    </w:p>
    <w:p w14:paraId="047EBE9B">
      <w:pPr>
        <w:bidi w:val="0"/>
        <w:rPr>
          <w:rStyle w:val="20"/>
          <w:rFonts w:hint="eastAsia"/>
          <w:b/>
          <w:bCs/>
          <w:lang w:val="en-US" w:eastAsia="zh-CN"/>
        </w:rPr>
      </w:pPr>
    </w:p>
    <w:bookmarkEnd w:id="187"/>
    <w:bookmarkEnd w:id="188"/>
    <w:bookmarkEnd w:id="189"/>
    <w:p w14:paraId="10DE3305">
      <w:pPr>
        <w:jc w:val="both"/>
      </w:pPr>
      <w:bookmarkStart w:id="190" w:name="_Toc2770"/>
      <w:bookmarkEnd w:id="190"/>
      <w:bookmarkStart w:id="191" w:name="_Toc20210"/>
      <w:bookmarkStart w:id="192" w:name="_Toc4724"/>
    </w:p>
    <w:p w14:paraId="5C586AD5">
      <w:pPr>
        <w:pStyle w:val="2"/>
        <w:numPr>
          <w:ilvl w:val="0"/>
          <w:numId w:val="0"/>
        </w:numPr>
        <w:tabs>
          <w:tab w:val="left" w:pos="425"/>
        </w:tabs>
        <w:spacing w:line="480" w:lineRule="exact"/>
        <w:ind w:left="420" w:leftChars="0" w:hanging="420" w:firstLineChars="0"/>
        <w:rPr>
          <w:rFonts w:ascii="宋体" w:hAnsi="宋体"/>
          <w:sz w:val="28"/>
          <w:szCs w:val="28"/>
        </w:rPr>
      </w:pPr>
      <w:r>
        <w:rPr>
          <w:rFonts w:hint="eastAsia" w:ascii="宋体" w:hAnsi="宋体" w:cstheme="minorBidi"/>
          <w:b/>
          <w:kern w:val="2"/>
          <w:sz w:val="28"/>
          <w:szCs w:val="28"/>
          <w:lang w:val="en-US" w:eastAsia="zh-CN" w:bidi="ar-SA"/>
        </w:rPr>
        <w:t>五</w:t>
      </w:r>
      <w:r>
        <w:rPr>
          <w:rFonts w:hint="eastAsia" w:ascii="宋体" w:hAnsi="宋体" w:eastAsia="宋体" w:cstheme="minorBidi"/>
          <w:b/>
          <w:kern w:val="2"/>
          <w:sz w:val="28"/>
          <w:szCs w:val="28"/>
          <w:lang w:val="en-US" w:eastAsia="zh-CN" w:bidi="ar-SA"/>
        </w:rPr>
        <w:t>、</w:t>
      </w:r>
      <w:r>
        <w:rPr>
          <w:rFonts w:ascii="宋体" w:hAnsi="宋体"/>
          <w:sz w:val="28"/>
          <w:szCs w:val="28"/>
        </w:rPr>
        <w:t>供应商基本情况表</w:t>
      </w:r>
    </w:p>
    <w:p w14:paraId="2714A7F7">
      <w:pPr>
        <w:pStyle w:val="2"/>
        <w:numPr>
          <w:ilvl w:val="0"/>
          <w:numId w:val="0"/>
        </w:numPr>
        <w:tabs>
          <w:tab w:val="left" w:pos="425"/>
        </w:tabs>
        <w:spacing w:line="480" w:lineRule="exact"/>
        <w:ind w:left="420" w:leftChars="0" w:hanging="420" w:firstLineChars="0"/>
        <w:rPr>
          <w:rFonts w:ascii="宋体" w:hAnsi="宋体"/>
          <w:bCs/>
          <w:sz w:val="28"/>
          <w:szCs w:val="28"/>
        </w:rPr>
      </w:pPr>
      <w:r>
        <w:rPr>
          <w:rFonts w:hint="eastAsia" w:ascii="宋体" w:hAnsi="宋体"/>
          <w:sz w:val="28"/>
          <w:szCs w:val="28"/>
          <w:lang w:eastAsia="zh-CN"/>
        </w:rPr>
        <w:t>（</w:t>
      </w:r>
      <w:r>
        <w:rPr>
          <w:rFonts w:hint="eastAsia" w:ascii="宋体" w:hAnsi="宋体"/>
          <w:sz w:val="28"/>
          <w:szCs w:val="28"/>
          <w:lang w:val="en-US" w:eastAsia="zh-CN"/>
        </w:rPr>
        <w:t>1</w:t>
      </w:r>
      <w:r>
        <w:rPr>
          <w:rFonts w:hint="eastAsia" w:ascii="宋体" w:hAnsi="宋体"/>
          <w:sz w:val="28"/>
          <w:szCs w:val="28"/>
          <w:lang w:eastAsia="zh-CN"/>
        </w:rPr>
        <w:t>）、</w:t>
      </w:r>
      <w:r>
        <w:rPr>
          <w:rFonts w:ascii="宋体" w:hAnsi="宋体"/>
          <w:sz w:val="28"/>
          <w:szCs w:val="28"/>
        </w:rPr>
        <w:t>供应商基本情况</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0"/>
        <w:gridCol w:w="1048"/>
        <w:gridCol w:w="1757"/>
        <w:gridCol w:w="1222"/>
        <w:gridCol w:w="793"/>
        <w:gridCol w:w="439"/>
        <w:gridCol w:w="2098"/>
      </w:tblGrid>
      <w:tr w14:paraId="6F153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5AB226CD">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供应商名称</w:t>
            </w:r>
          </w:p>
        </w:tc>
        <w:tc>
          <w:tcPr>
            <w:tcW w:w="7357" w:type="dxa"/>
            <w:gridSpan w:val="6"/>
            <w:tcBorders>
              <w:top w:val="single" w:color="auto" w:sz="4" w:space="0"/>
              <w:left w:val="nil"/>
              <w:bottom w:val="single" w:color="auto" w:sz="4" w:space="0"/>
              <w:right w:val="single" w:color="auto" w:sz="4" w:space="0"/>
            </w:tcBorders>
            <w:noWrap w:val="0"/>
            <w:vAlign w:val="center"/>
          </w:tcPr>
          <w:p w14:paraId="499F4DF9">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155BF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49A1AE3E">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注册地址</w:t>
            </w:r>
          </w:p>
        </w:tc>
        <w:tc>
          <w:tcPr>
            <w:tcW w:w="4027" w:type="dxa"/>
            <w:gridSpan w:val="3"/>
            <w:tcBorders>
              <w:top w:val="single" w:color="auto" w:sz="4" w:space="0"/>
              <w:left w:val="nil"/>
              <w:bottom w:val="single" w:color="auto" w:sz="4" w:space="0"/>
              <w:right w:val="single" w:color="auto" w:sz="4" w:space="0"/>
            </w:tcBorders>
            <w:noWrap w:val="0"/>
            <w:vAlign w:val="center"/>
          </w:tcPr>
          <w:p w14:paraId="67C2F5E9">
            <w:pPr>
              <w:widowControl/>
              <w:spacing w:before="0" w:beforeLines="0" w:beforeAutospacing="0" w:afterAutospacing="0" w:line="360" w:lineRule="auto"/>
              <w:ind w:left="0" w:right="0"/>
              <w:jc w:val="center"/>
              <w:rPr>
                <w:rFonts w:ascii="宋体" w:hAnsi="宋体" w:eastAsia="宋体" w:cs="Calibri"/>
                <w:kern w:val="2"/>
                <w:sz w:val="24"/>
                <w:szCs w:val="24"/>
              </w:rPr>
            </w:pPr>
          </w:p>
        </w:tc>
        <w:tc>
          <w:tcPr>
            <w:tcW w:w="1232" w:type="dxa"/>
            <w:gridSpan w:val="2"/>
            <w:tcBorders>
              <w:top w:val="single" w:color="auto" w:sz="4" w:space="0"/>
              <w:left w:val="nil"/>
              <w:bottom w:val="single" w:color="auto" w:sz="4" w:space="0"/>
              <w:right w:val="single" w:color="auto" w:sz="4" w:space="0"/>
            </w:tcBorders>
            <w:noWrap w:val="0"/>
            <w:vAlign w:val="center"/>
          </w:tcPr>
          <w:p w14:paraId="430D6AD3">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邮政编码</w:t>
            </w:r>
          </w:p>
        </w:tc>
        <w:tc>
          <w:tcPr>
            <w:tcW w:w="2098" w:type="dxa"/>
            <w:tcBorders>
              <w:top w:val="single" w:color="auto" w:sz="4" w:space="0"/>
              <w:left w:val="nil"/>
              <w:bottom w:val="single" w:color="auto" w:sz="4" w:space="0"/>
              <w:right w:val="single" w:color="auto" w:sz="4" w:space="0"/>
            </w:tcBorders>
            <w:noWrap w:val="0"/>
            <w:vAlign w:val="center"/>
          </w:tcPr>
          <w:p w14:paraId="2998D1D1">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08C15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930" w:type="dxa"/>
            <w:vMerge w:val="restart"/>
            <w:tcBorders>
              <w:top w:val="nil"/>
              <w:left w:val="single" w:color="auto" w:sz="4" w:space="0"/>
              <w:bottom w:val="single" w:color="auto" w:sz="4" w:space="0"/>
              <w:right w:val="single" w:color="auto" w:sz="4" w:space="0"/>
            </w:tcBorders>
            <w:noWrap w:val="0"/>
            <w:vAlign w:val="center"/>
          </w:tcPr>
          <w:p w14:paraId="16ACD470">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联系方式</w:t>
            </w:r>
          </w:p>
        </w:tc>
        <w:tc>
          <w:tcPr>
            <w:tcW w:w="1048" w:type="dxa"/>
            <w:tcBorders>
              <w:top w:val="single" w:color="auto" w:sz="4" w:space="0"/>
              <w:left w:val="nil"/>
              <w:bottom w:val="single" w:color="auto" w:sz="4" w:space="0"/>
              <w:right w:val="single" w:color="auto" w:sz="4" w:space="0"/>
            </w:tcBorders>
            <w:noWrap w:val="0"/>
            <w:vAlign w:val="center"/>
          </w:tcPr>
          <w:p w14:paraId="3CDED817">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联系人</w:t>
            </w:r>
          </w:p>
        </w:tc>
        <w:tc>
          <w:tcPr>
            <w:tcW w:w="2979" w:type="dxa"/>
            <w:gridSpan w:val="2"/>
            <w:tcBorders>
              <w:top w:val="single" w:color="auto" w:sz="4" w:space="0"/>
              <w:left w:val="nil"/>
              <w:bottom w:val="single" w:color="auto" w:sz="4" w:space="0"/>
              <w:right w:val="single" w:color="auto" w:sz="4" w:space="0"/>
            </w:tcBorders>
            <w:noWrap w:val="0"/>
            <w:vAlign w:val="center"/>
          </w:tcPr>
          <w:p w14:paraId="6FDA221A">
            <w:pPr>
              <w:widowControl/>
              <w:spacing w:before="0" w:beforeLines="0" w:beforeAutospacing="0" w:afterAutospacing="0" w:line="360" w:lineRule="auto"/>
              <w:ind w:left="0" w:right="0"/>
              <w:jc w:val="center"/>
              <w:rPr>
                <w:rFonts w:ascii="宋体" w:hAnsi="宋体" w:eastAsia="宋体" w:cs="Calibri"/>
                <w:kern w:val="2"/>
                <w:sz w:val="24"/>
                <w:szCs w:val="24"/>
              </w:rPr>
            </w:pPr>
          </w:p>
        </w:tc>
        <w:tc>
          <w:tcPr>
            <w:tcW w:w="1232" w:type="dxa"/>
            <w:gridSpan w:val="2"/>
            <w:tcBorders>
              <w:top w:val="single" w:color="auto" w:sz="4" w:space="0"/>
              <w:left w:val="nil"/>
              <w:bottom w:val="single" w:color="auto" w:sz="4" w:space="0"/>
              <w:right w:val="single" w:color="auto" w:sz="4" w:space="0"/>
            </w:tcBorders>
            <w:noWrap w:val="0"/>
            <w:vAlign w:val="center"/>
          </w:tcPr>
          <w:p w14:paraId="3161F292">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电话</w:t>
            </w:r>
          </w:p>
        </w:tc>
        <w:tc>
          <w:tcPr>
            <w:tcW w:w="2098" w:type="dxa"/>
            <w:tcBorders>
              <w:top w:val="single" w:color="auto" w:sz="4" w:space="0"/>
              <w:left w:val="nil"/>
              <w:bottom w:val="single" w:color="auto" w:sz="4" w:space="0"/>
              <w:right w:val="single" w:color="auto" w:sz="4" w:space="0"/>
            </w:tcBorders>
            <w:noWrap w:val="0"/>
            <w:vAlign w:val="center"/>
          </w:tcPr>
          <w:p w14:paraId="36B3AAE0">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2BD0F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jc w:val="center"/>
        </w:trPr>
        <w:tc>
          <w:tcPr>
            <w:tcW w:w="1930" w:type="dxa"/>
            <w:vMerge w:val="continue"/>
            <w:tcBorders>
              <w:top w:val="nil"/>
              <w:left w:val="single" w:color="auto" w:sz="4" w:space="0"/>
              <w:bottom w:val="single" w:color="auto" w:sz="4" w:space="0"/>
              <w:right w:val="single" w:color="auto" w:sz="4" w:space="0"/>
            </w:tcBorders>
            <w:noWrap w:val="0"/>
            <w:vAlign w:val="center"/>
          </w:tcPr>
          <w:p w14:paraId="1F058FAC">
            <w:pPr>
              <w:widowControl/>
              <w:spacing w:before="0" w:beforeLines="0" w:beforeAutospacing="0" w:afterAutospacing="0"/>
              <w:ind w:left="0" w:right="0"/>
              <w:rPr>
                <w:rFonts w:ascii="宋体" w:hAnsi="宋体" w:eastAsia="宋体" w:cs="Calibri"/>
                <w:kern w:val="2"/>
                <w:sz w:val="24"/>
                <w:szCs w:val="24"/>
              </w:rPr>
            </w:pPr>
          </w:p>
        </w:tc>
        <w:tc>
          <w:tcPr>
            <w:tcW w:w="1048" w:type="dxa"/>
            <w:tcBorders>
              <w:top w:val="single" w:color="auto" w:sz="4" w:space="0"/>
              <w:left w:val="nil"/>
              <w:bottom w:val="single" w:color="auto" w:sz="4" w:space="0"/>
              <w:right w:val="single" w:color="auto" w:sz="4" w:space="0"/>
            </w:tcBorders>
            <w:noWrap w:val="0"/>
            <w:vAlign w:val="center"/>
          </w:tcPr>
          <w:p w14:paraId="71F3114A">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传真</w:t>
            </w:r>
          </w:p>
        </w:tc>
        <w:tc>
          <w:tcPr>
            <w:tcW w:w="2979" w:type="dxa"/>
            <w:gridSpan w:val="2"/>
            <w:tcBorders>
              <w:top w:val="single" w:color="auto" w:sz="4" w:space="0"/>
              <w:left w:val="nil"/>
              <w:bottom w:val="single" w:color="auto" w:sz="4" w:space="0"/>
              <w:right w:val="single" w:color="auto" w:sz="4" w:space="0"/>
            </w:tcBorders>
            <w:noWrap w:val="0"/>
            <w:vAlign w:val="center"/>
          </w:tcPr>
          <w:p w14:paraId="4C41BEEC">
            <w:pPr>
              <w:widowControl/>
              <w:spacing w:before="0" w:beforeLines="0" w:beforeAutospacing="0" w:afterAutospacing="0" w:line="360" w:lineRule="auto"/>
              <w:ind w:left="0" w:right="0"/>
              <w:jc w:val="center"/>
              <w:rPr>
                <w:rFonts w:ascii="宋体" w:hAnsi="宋体" w:eastAsia="宋体" w:cs="Calibri"/>
                <w:kern w:val="2"/>
                <w:sz w:val="24"/>
                <w:szCs w:val="24"/>
              </w:rPr>
            </w:pPr>
          </w:p>
        </w:tc>
        <w:tc>
          <w:tcPr>
            <w:tcW w:w="1232" w:type="dxa"/>
            <w:gridSpan w:val="2"/>
            <w:tcBorders>
              <w:top w:val="single" w:color="auto" w:sz="4" w:space="0"/>
              <w:left w:val="nil"/>
              <w:bottom w:val="single" w:color="auto" w:sz="4" w:space="0"/>
              <w:right w:val="single" w:color="auto" w:sz="4" w:space="0"/>
            </w:tcBorders>
            <w:noWrap w:val="0"/>
            <w:vAlign w:val="center"/>
          </w:tcPr>
          <w:p w14:paraId="7EE5796E">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网址</w:t>
            </w:r>
          </w:p>
        </w:tc>
        <w:tc>
          <w:tcPr>
            <w:tcW w:w="2098" w:type="dxa"/>
            <w:tcBorders>
              <w:top w:val="single" w:color="auto" w:sz="4" w:space="0"/>
              <w:left w:val="nil"/>
              <w:bottom w:val="single" w:color="auto" w:sz="4" w:space="0"/>
              <w:right w:val="single" w:color="auto" w:sz="4" w:space="0"/>
            </w:tcBorders>
            <w:noWrap w:val="0"/>
            <w:vAlign w:val="center"/>
          </w:tcPr>
          <w:p w14:paraId="4B140FDC">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4B52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29055260">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组织结构</w:t>
            </w:r>
          </w:p>
        </w:tc>
        <w:tc>
          <w:tcPr>
            <w:tcW w:w="7357" w:type="dxa"/>
            <w:gridSpan w:val="6"/>
            <w:tcBorders>
              <w:top w:val="single" w:color="auto" w:sz="4" w:space="0"/>
              <w:left w:val="nil"/>
              <w:bottom w:val="single" w:color="auto" w:sz="4" w:space="0"/>
              <w:right w:val="single" w:color="auto" w:sz="4" w:space="0"/>
            </w:tcBorders>
            <w:noWrap w:val="0"/>
            <w:vAlign w:val="center"/>
          </w:tcPr>
          <w:p w14:paraId="1968BDA5">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41952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51709829">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法定代表人</w:t>
            </w:r>
          </w:p>
        </w:tc>
        <w:tc>
          <w:tcPr>
            <w:tcW w:w="1048" w:type="dxa"/>
            <w:tcBorders>
              <w:top w:val="single" w:color="auto" w:sz="4" w:space="0"/>
              <w:left w:val="nil"/>
              <w:bottom w:val="single" w:color="auto" w:sz="4" w:space="0"/>
              <w:right w:val="single" w:color="auto" w:sz="4" w:space="0"/>
            </w:tcBorders>
            <w:noWrap w:val="0"/>
            <w:vAlign w:val="center"/>
          </w:tcPr>
          <w:p w14:paraId="279EEDFE">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姓名</w:t>
            </w:r>
          </w:p>
        </w:tc>
        <w:tc>
          <w:tcPr>
            <w:tcW w:w="1757" w:type="dxa"/>
            <w:tcBorders>
              <w:top w:val="single" w:color="auto" w:sz="4" w:space="0"/>
              <w:left w:val="nil"/>
              <w:bottom w:val="single" w:color="auto" w:sz="4" w:space="0"/>
              <w:right w:val="single" w:color="auto" w:sz="4" w:space="0"/>
            </w:tcBorders>
            <w:noWrap w:val="0"/>
            <w:vAlign w:val="center"/>
          </w:tcPr>
          <w:p w14:paraId="5CDB2255">
            <w:pPr>
              <w:widowControl/>
              <w:spacing w:before="0" w:beforeLines="0" w:beforeAutospacing="0" w:afterAutospacing="0" w:line="360" w:lineRule="auto"/>
              <w:ind w:left="0" w:right="0"/>
              <w:jc w:val="center"/>
              <w:rPr>
                <w:rFonts w:ascii="宋体" w:hAnsi="宋体" w:eastAsia="宋体" w:cs="Calibri"/>
                <w:kern w:val="2"/>
                <w:sz w:val="24"/>
                <w:szCs w:val="24"/>
              </w:rPr>
            </w:pPr>
          </w:p>
        </w:tc>
        <w:tc>
          <w:tcPr>
            <w:tcW w:w="2015" w:type="dxa"/>
            <w:gridSpan w:val="2"/>
            <w:tcBorders>
              <w:top w:val="single" w:color="auto" w:sz="4" w:space="0"/>
              <w:left w:val="nil"/>
              <w:bottom w:val="single" w:color="auto" w:sz="4" w:space="0"/>
              <w:right w:val="single" w:color="auto" w:sz="4" w:space="0"/>
            </w:tcBorders>
            <w:noWrap w:val="0"/>
            <w:vAlign w:val="center"/>
          </w:tcPr>
          <w:p w14:paraId="6B371C3C">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联系方式</w:t>
            </w:r>
          </w:p>
        </w:tc>
        <w:tc>
          <w:tcPr>
            <w:tcW w:w="2537" w:type="dxa"/>
            <w:gridSpan w:val="2"/>
            <w:tcBorders>
              <w:top w:val="single" w:color="auto" w:sz="4" w:space="0"/>
              <w:left w:val="nil"/>
              <w:bottom w:val="single" w:color="auto" w:sz="4" w:space="0"/>
              <w:right w:val="single" w:color="auto" w:sz="4" w:space="0"/>
            </w:tcBorders>
            <w:noWrap w:val="0"/>
            <w:vAlign w:val="center"/>
          </w:tcPr>
          <w:p w14:paraId="578D957B">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7E324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3ADA8FF1">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项目负责人</w:t>
            </w:r>
          </w:p>
        </w:tc>
        <w:tc>
          <w:tcPr>
            <w:tcW w:w="1048" w:type="dxa"/>
            <w:tcBorders>
              <w:top w:val="single" w:color="auto" w:sz="4" w:space="0"/>
              <w:left w:val="nil"/>
              <w:bottom w:val="single" w:color="auto" w:sz="4" w:space="0"/>
              <w:right w:val="single" w:color="auto" w:sz="4" w:space="0"/>
            </w:tcBorders>
            <w:noWrap w:val="0"/>
            <w:vAlign w:val="center"/>
          </w:tcPr>
          <w:p w14:paraId="02885846">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姓名</w:t>
            </w:r>
          </w:p>
        </w:tc>
        <w:tc>
          <w:tcPr>
            <w:tcW w:w="1757" w:type="dxa"/>
            <w:tcBorders>
              <w:top w:val="single" w:color="auto" w:sz="4" w:space="0"/>
              <w:left w:val="nil"/>
              <w:bottom w:val="single" w:color="auto" w:sz="4" w:space="0"/>
              <w:right w:val="single" w:color="auto" w:sz="4" w:space="0"/>
            </w:tcBorders>
            <w:noWrap w:val="0"/>
            <w:vAlign w:val="center"/>
          </w:tcPr>
          <w:p w14:paraId="12F07B95">
            <w:pPr>
              <w:widowControl/>
              <w:spacing w:before="0" w:beforeLines="0" w:beforeAutospacing="0" w:afterAutospacing="0" w:line="360" w:lineRule="auto"/>
              <w:ind w:left="0" w:right="0"/>
              <w:jc w:val="center"/>
              <w:rPr>
                <w:rFonts w:ascii="宋体" w:hAnsi="宋体" w:eastAsia="宋体" w:cs="Calibri"/>
                <w:kern w:val="2"/>
                <w:sz w:val="24"/>
                <w:szCs w:val="24"/>
              </w:rPr>
            </w:pPr>
          </w:p>
        </w:tc>
        <w:tc>
          <w:tcPr>
            <w:tcW w:w="2015" w:type="dxa"/>
            <w:gridSpan w:val="2"/>
            <w:tcBorders>
              <w:top w:val="single" w:color="auto" w:sz="4" w:space="0"/>
              <w:left w:val="nil"/>
              <w:bottom w:val="single" w:color="auto" w:sz="4" w:space="0"/>
              <w:right w:val="single" w:color="auto" w:sz="4" w:space="0"/>
            </w:tcBorders>
            <w:noWrap w:val="0"/>
            <w:vAlign w:val="center"/>
          </w:tcPr>
          <w:p w14:paraId="581EF3EA">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联系方式</w:t>
            </w:r>
          </w:p>
        </w:tc>
        <w:tc>
          <w:tcPr>
            <w:tcW w:w="2537" w:type="dxa"/>
            <w:gridSpan w:val="2"/>
            <w:tcBorders>
              <w:top w:val="single" w:color="auto" w:sz="4" w:space="0"/>
              <w:left w:val="nil"/>
              <w:bottom w:val="single" w:color="auto" w:sz="4" w:space="0"/>
              <w:right w:val="single" w:color="auto" w:sz="4" w:space="0"/>
            </w:tcBorders>
            <w:noWrap w:val="0"/>
            <w:vAlign w:val="center"/>
          </w:tcPr>
          <w:p w14:paraId="115FEADB">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6DD1E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389FE3F5">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成立时间</w:t>
            </w:r>
          </w:p>
        </w:tc>
        <w:tc>
          <w:tcPr>
            <w:tcW w:w="2805" w:type="dxa"/>
            <w:gridSpan w:val="2"/>
            <w:tcBorders>
              <w:top w:val="single" w:color="auto" w:sz="4" w:space="0"/>
              <w:left w:val="nil"/>
              <w:bottom w:val="single" w:color="auto" w:sz="4" w:space="0"/>
              <w:right w:val="single" w:color="auto" w:sz="4" w:space="0"/>
            </w:tcBorders>
            <w:noWrap w:val="0"/>
            <w:vAlign w:val="center"/>
          </w:tcPr>
          <w:p w14:paraId="0B5352E1">
            <w:pPr>
              <w:widowControl/>
              <w:spacing w:before="0" w:beforeLines="0" w:beforeAutospacing="0" w:afterAutospacing="0" w:line="360" w:lineRule="auto"/>
              <w:ind w:left="0" w:right="0"/>
              <w:jc w:val="center"/>
              <w:rPr>
                <w:rFonts w:ascii="宋体" w:hAnsi="宋体" w:eastAsia="宋体" w:cs="Calibri"/>
                <w:kern w:val="2"/>
                <w:sz w:val="24"/>
                <w:szCs w:val="24"/>
              </w:rPr>
            </w:pPr>
          </w:p>
        </w:tc>
        <w:tc>
          <w:tcPr>
            <w:tcW w:w="4552" w:type="dxa"/>
            <w:gridSpan w:val="4"/>
            <w:tcBorders>
              <w:top w:val="single" w:color="auto" w:sz="4" w:space="0"/>
              <w:left w:val="nil"/>
              <w:bottom w:val="single" w:color="auto" w:sz="4" w:space="0"/>
              <w:right w:val="single" w:color="auto" w:sz="4" w:space="0"/>
            </w:tcBorders>
            <w:noWrap w:val="0"/>
            <w:vAlign w:val="center"/>
          </w:tcPr>
          <w:p w14:paraId="4813C817">
            <w:pPr>
              <w:widowControl/>
              <w:spacing w:before="0" w:beforeLines="0" w:beforeAutospacing="0" w:afterAutospacing="0" w:line="360" w:lineRule="auto"/>
              <w:ind w:left="0" w:right="0"/>
              <w:rPr>
                <w:rFonts w:ascii="宋体" w:hAnsi="宋体" w:eastAsia="宋体" w:cs="Calibri"/>
                <w:kern w:val="2"/>
                <w:sz w:val="24"/>
                <w:szCs w:val="24"/>
              </w:rPr>
            </w:pPr>
            <w:r>
              <w:rPr>
                <w:rFonts w:hint="eastAsia" w:ascii="宋体" w:hAnsi="宋体" w:eastAsia="宋体" w:cs="Calibri"/>
                <w:kern w:val="2"/>
                <w:sz w:val="24"/>
                <w:szCs w:val="24"/>
              </w:rPr>
              <w:t>员工总人数：</w:t>
            </w:r>
          </w:p>
        </w:tc>
      </w:tr>
      <w:tr w14:paraId="76F29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60E2DEA1">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营业执照号</w:t>
            </w:r>
          </w:p>
        </w:tc>
        <w:tc>
          <w:tcPr>
            <w:tcW w:w="7357" w:type="dxa"/>
            <w:gridSpan w:val="6"/>
            <w:tcBorders>
              <w:top w:val="single" w:color="auto" w:sz="4" w:space="0"/>
              <w:left w:val="nil"/>
              <w:bottom w:val="single" w:color="auto" w:sz="4" w:space="0"/>
              <w:right w:val="single" w:color="auto" w:sz="4" w:space="0"/>
            </w:tcBorders>
            <w:noWrap w:val="0"/>
            <w:vAlign w:val="center"/>
          </w:tcPr>
          <w:p w14:paraId="61C2FFC9">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754E3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181D8606">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注册资金</w:t>
            </w:r>
          </w:p>
        </w:tc>
        <w:tc>
          <w:tcPr>
            <w:tcW w:w="7357" w:type="dxa"/>
            <w:gridSpan w:val="6"/>
            <w:tcBorders>
              <w:top w:val="single" w:color="auto" w:sz="4" w:space="0"/>
              <w:left w:val="nil"/>
              <w:bottom w:val="single" w:color="auto" w:sz="4" w:space="0"/>
              <w:right w:val="single" w:color="auto" w:sz="4" w:space="0"/>
            </w:tcBorders>
            <w:noWrap w:val="0"/>
            <w:vAlign w:val="center"/>
          </w:tcPr>
          <w:p w14:paraId="689EFB09">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638D8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7109194E">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开户银行</w:t>
            </w:r>
          </w:p>
        </w:tc>
        <w:tc>
          <w:tcPr>
            <w:tcW w:w="7357" w:type="dxa"/>
            <w:gridSpan w:val="6"/>
            <w:tcBorders>
              <w:top w:val="single" w:color="auto" w:sz="4" w:space="0"/>
              <w:left w:val="nil"/>
              <w:bottom w:val="single" w:color="auto" w:sz="4" w:space="0"/>
              <w:right w:val="single" w:color="auto" w:sz="4" w:space="0"/>
            </w:tcBorders>
            <w:noWrap w:val="0"/>
            <w:vAlign w:val="center"/>
          </w:tcPr>
          <w:p w14:paraId="1C553FE8">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0746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52D71DFA">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账号</w:t>
            </w:r>
          </w:p>
        </w:tc>
        <w:tc>
          <w:tcPr>
            <w:tcW w:w="7357" w:type="dxa"/>
            <w:gridSpan w:val="6"/>
            <w:tcBorders>
              <w:top w:val="single" w:color="auto" w:sz="4" w:space="0"/>
              <w:left w:val="nil"/>
              <w:bottom w:val="single" w:color="auto" w:sz="4" w:space="0"/>
              <w:right w:val="single" w:color="auto" w:sz="4" w:space="0"/>
            </w:tcBorders>
            <w:noWrap w:val="0"/>
            <w:vAlign w:val="center"/>
          </w:tcPr>
          <w:p w14:paraId="1262D57B">
            <w:pPr>
              <w:widowControl/>
              <w:spacing w:before="0" w:beforeLines="0" w:beforeAutospacing="0" w:afterAutospacing="0" w:line="360" w:lineRule="auto"/>
              <w:ind w:left="0" w:right="0"/>
              <w:jc w:val="center"/>
              <w:rPr>
                <w:rFonts w:ascii="宋体" w:hAnsi="宋体" w:eastAsia="宋体" w:cs="Calibri"/>
                <w:kern w:val="2"/>
                <w:sz w:val="24"/>
                <w:szCs w:val="24"/>
              </w:rPr>
            </w:pPr>
          </w:p>
        </w:tc>
      </w:tr>
      <w:tr w14:paraId="6A391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08A2CFEB">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经营范围</w:t>
            </w:r>
          </w:p>
        </w:tc>
        <w:tc>
          <w:tcPr>
            <w:tcW w:w="7357" w:type="dxa"/>
            <w:gridSpan w:val="6"/>
            <w:tcBorders>
              <w:top w:val="single" w:color="auto" w:sz="4" w:space="0"/>
              <w:left w:val="nil"/>
              <w:bottom w:val="single" w:color="auto" w:sz="4" w:space="0"/>
              <w:right w:val="single" w:color="auto" w:sz="4" w:space="0"/>
            </w:tcBorders>
            <w:noWrap w:val="0"/>
            <w:vAlign w:val="center"/>
          </w:tcPr>
          <w:p w14:paraId="163F9454">
            <w:pPr>
              <w:widowControl/>
              <w:spacing w:before="0" w:beforeLines="0" w:beforeAutospacing="0" w:afterAutospacing="0" w:line="360" w:lineRule="auto"/>
              <w:ind w:left="0" w:right="0" w:firstLine="480" w:firstLineChars="200"/>
              <w:jc w:val="center"/>
              <w:rPr>
                <w:rFonts w:ascii="宋体" w:hAnsi="宋体" w:eastAsia="宋体" w:cs="Calibri"/>
                <w:kern w:val="2"/>
                <w:sz w:val="24"/>
                <w:szCs w:val="24"/>
              </w:rPr>
            </w:pPr>
          </w:p>
        </w:tc>
      </w:tr>
      <w:tr w14:paraId="08F87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1"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039C19A2">
            <w:pPr>
              <w:widowControl/>
              <w:spacing w:before="0" w:beforeLines="0" w:beforeAutospacing="0" w:afterAutospacing="0" w:line="360" w:lineRule="auto"/>
              <w:ind w:left="0" w:right="0"/>
              <w:jc w:val="center"/>
              <w:rPr>
                <w:rFonts w:ascii="宋体" w:hAnsi="宋体" w:eastAsia="宋体" w:cs="Calibri"/>
                <w:kern w:val="2"/>
                <w:sz w:val="24"/>
                <w:szCs w:val="24"/>
              </w:rPr>
            </w:pPr>
            <w:r>
              <w:rPr>
                <w:rFonts w:hint="eastAsia" w:ascii="宋体" w:hAnsi="宋体" w:eastAsia="宋体" w:cs="Calibri"/>
                <w:kern w:val="2"/>
                <w:sz w:val="24"/>
                <w:szCs w:val="24"/>
              </w:rPr>
              <w:t>备注</w:t>
            </w:r>
          </w:p>
        </w:tc>
        <w:tc>
          <w:tcPr>
            <w:tcW w:w="7357" w:type="dxa"/>
            <w:gridSpan w:val="6"/>
            <w:tcBorders>
              <w:top w:val="single" w:color="auto" w:sz="4" w:space="0"/>
              <w:left w:val="nil"/>
              <w:bottom w:val="single" w:color="auto" w:sz="4" w:space="0"/>
              <w:right w:val="single" w:color="auto" w:sz="4" w:space="0"/>
            </w:tcBorders>
            <w:noWrap w:val="0"/>
            <w:vAlign w:val="center"/>
          </w:tcPr>
          <w:p w14:paraId="10AC64C3">
            <w:pPr>
              <w:widowControl/>
              <w:spacing w:before="0" w:beforeLines="0" w:beforeAutospacing="0" w:afterAutospacing="0" w:line="360" w:lineRule="auto"/>
              <w:ind w:left="0" w:right="0" w:firstLine="480" w:firstLineChars="200"/>
              <w:jc w:val="center"/>
              <w:rPr>
                <w:rFonts w:ascii="宋体" w:hAnsi="宋体" w:eastAsia="宋体" w:cs="Calibri"/>
                <w:kern w:val="2"/>
                <w:sz w:val="24"/>
                <w:szCs w:val="24"/>
              </w:rPr>
            </w:pPr>
          </w:p>
        </w:tc>
      </w:tr>
    </w:tbl>
    <w:p w14:paraId="1806CFA4">
      <w:pPr>
        <w:pStyle w:val="2"/>
        <w:numPr>
          <w:ilvl w:val="0"/>
          <w:numId w:val="0"/>
        </w:numPr>
        <w:spacing w:before="0" w:after="0" w:line="240" w:lineRule="auto"/>
        <w:ind w:left="0" w:leftChars="0" w:firstLine="0" w:firstLineChars="0"/>
        <w:rPr>
          <w:rFonts w:hint="eastAsia"/>
        </w:rPr>
      </w:pPr>
    </w:p>
    <w:p w14:paraId="265EF738">
      <w:pPr>
        <w:pStyle w:val="2"/>
        <w:numPr>
          <w:ilvl w:val="0"/>
          <w:numId w:val="0"/>
        </w:numPr>
        <w:spacing w:before="0" w:after="0" w:line="240" w:lineRule="auto"/>
        <w:ind w:left="0" w:leftChars="0" w:firstLine="0" w:firstLineChars="0"/>
        <w:rPr>
          <w:rFonts w:hint="eastAsia"/>
        </w:rPr>
      </w:pPr>
    </w:p>
    <w:p w14:paraId="66B2C567">
      <w:pPr>
        <w:bidi w:val="0"/>
        <w:rPr>
          <w:rFonts w:hint="eastAsia"/>
        </w:rPr>
      </w:pPr>
    </w:p>
    <w:p w14:paraId="50952B2D">
      <w:pPr>
        <w:bidi w:val="0"/>
        <w:rPr>
          <w:rFonts w:hint="eastAsia"/>
        </w:rPr>
      </w:pPr>
    </w:p>
    <w:p w14:paraId="214AC004">
      <w:pPr>
        <w:bidi w:val="0"/>
        <w:rPr>
          <w:rFonts w:hint="eastAsia"/>
        </w:rPr>
      </w:pPr>
    </w:p>
    <w:p w14:paraId="294C9209">
      <w:pPr>
        <w:bidi w:val="0"/>
        <w:rPr>
          <w:rFonts w:hint="eastAsia"/>
        </w:rPr>
      </w:pPr>
    </w:p>
    <w:p w14:paraId="279D8144">
      <w:pPr>
        <w:bidi w:val="0"/>
        <w:rPr>
          <w:rFonts w:hint="eastAsia"/>
        </w:rPr>
      </w:pPr>
    </w:p>
    <w:p w14:paraId="0F5E340C">
      <w:pPr>
        <w:bidi w:val="0"/>
        <w:rPr>
          <w:rFonts w:hint="eastAsia"/>
        </w:rPr>
      </w:pPr>
    </w:p>
    <w:p w14:paraId="715C70D8">
      <w:pPr>
        <w:bidi w:val="0"/>
        <w:jc w:val="center"/>
        <w:rPr>
          <w:b/>
          <w:bCs/>
          <w:sz w:val="28"/>
          <w:szCs w:val="36"/>
        </w:rPr>
      </w:pPr>
      <w:r>
        <w:rPr>
          <w:rFonts w:hint="eastAsia"/>
          <w:b/>
          <w:bCs/>
          <w:sz w:val="28"/>
          <w:szCs w:val="36"/>
          <w:lang w:eastAsia="zh-CN"/>
        </w:rPr>
        <w:t>（</w:t>
      </w:r>
      <w:r>
        <w:rPr>
          <w:rFonts w:hint="eastAsia"/>
          <w:b/>
          <w:bCs/>
          <w:sz w:val="28"/>
          <w:szCs w:val="36"/>
          <w:lang w:val="en-US" w:eastAsia="zh-CN"/>
        </w:rPr>
        <w:t>2</w:t>
      </w:r>
      <w:r>
        <w:rPr>
          <w:rFonts w:hint="eastAsia"/>
          <w:b/>
          <w:bCs/>
          <w:sz w:val="28"/>
          <w:szCs w:val="36"/>
          <w:lang w:eastAsia="zh-CN"/>
        </w:rPr>
        <w:t>）、</w:t>
      </w:r>
      <w:r>
        <w:rPr>
          <w:rFonts w:hint="eastAsia"/>
          <w:b/>
          <w:bCs/>
          <w:sz w:val="28"/>
          <w:szCs w:val="36"/>
        </w:rPr>
        <w:t>供应商资格证明</w:t>
      </w:r>
      <w:bookmarkEnd w:id="191"/>
      <w:bookmarkEnd w:id="192"/>
      <w:r>
        <w:rPr>
          <w:rFonts w:hint="eastAsia"/>
          <w:b/>
          <w:bCs/>
          <w:sz w:val="28"/>
          <w:szCs w:val="36"/>
        </w:rPr>
        <w:t>材料</w:t>
      </w:r>
    </w:p>
    <w:p w14:paraId="25655A89">
      <w:pPr>
        <w:jc w:val="center"/>
        <w:rPr>
          <w:rFonts w:ascii="宋体" w:hAnsi="宋体" w:eastAsia="宋体"/>
          <w:b/>
          <w:bCs/>
          <w:sz w:val="28"/>
          <w:szCs w:val="28"/>
        </w:rPr>
      </w:pPr>
      <w:r>
        <w:rPr>
          <w:rFonts w:hint="eastAsia" w:ascii="宋体" w:hAnsi="宋体" w:eastAsia="宋体"/>
          <w:b/>
          <w:bCs/>
          <w:sz w:val="28"/>
          <w:szCs w:val="28"/>
        </w:rPr>
        <w:t>（招标文件评分标准中相关证明资料）格式自拟</w:t>
      </w:r>
    </w:p>
    <w:p w14:paraId="2F1F8E58"/>
    <w:p w14:paraId="6F7CC259">
      <w:pPr>
        <w:jc w:val="center"/>
        <w:rPr>
          <w:rFonts w:ascii="宋体" w:hAnsi="宋体" w:cs="宋体"/>
          <w:sz w:val="24"/>
        </w:rPr>
      </w:pPr>
      <w:bookmarkStart w:id="193" w:name="_Toc361989464"/>
      <w:bookmarkEnd w:id="193"/>
      <w:r>
        <w:rPr>
          <w:rFonts w:hint="eastAsia" w:ascii="宋体" w:hAnsi="宋体" w:cs="宋体"/>
          <w:sz w:val="24"/>
        </w:rPr>
        <w:br w:type="page"/>
      </w:r>
      <w:bookmarkStart w:id="194" w:name="_Toc244934216"/>
      <w:bookmarkEnd w:id="194"/>
      <w:bookmarkStart w:id="195" w:name="_Toc361989466"/>
      <w:bookmarkEnd w:id="195"/>
      <w:bookmarkStart w:id="196" w:name="_Toc361989467"/>
      <w:bookmarkEnd w:id="196"/>
      <w:bookmarkStart w:id="197" w:name="_Toc528078075"/>
      <w:bookmarkEnd w:id="197"/>
      <w:bookmarkStart w:id="198" w:name="_Toc234213567"/>
      <w:bookmarkEnd w:id="198"/>
      <w:bookmarkStart w:id="199" w:name="_Toc7868"/>
    </w:p>
    <w:p w14:paraId="25B3DF4A">
      <w:pPr>
        <w:pStyle w:val="2"/>
        <w:numPr>
          <w:ilvl w:val="0"/>
          <w:numId w:val="0"/>
        </w:numPr>
        <w:ind w:left="420"/>
        <w:rPr>
          <w:sz w:val="28"/>
          <w:szCs w:val="21"/>
        </w:rPr>
      </w:pPr>
      <w:r>
        <w:rPr>
          <w:rFonts w:hint="eastAsia"/>
          <w:sz w:val="28"/>
          <w:szCs w:val="21"/>
          <w:lang w:val="en-US" w:eastAsia="zh-CN"/>
        </w:rPr>
        <w:t>六</w:t>
      </w:r>
      <w:r>
        <w:rPr>
          <w:rFonts w:hint="eastAsia"/>
          <w:sz w:val="28"/>
          <w:szCs w:val="21"/>
        </w:rPr>
        <w:t>、</w:t>
      </w:r>
      <w:bookmarkEnd w:id="199"/>
      <w:r>
        <w:rPr>
          <w:rFonts w:hint="eastAsia"/>
          <w:sz w:val="28"/>
          <w:szCs w:val="21"/>
        </w:rPr>
        <w:t>商务标部分</w:t>
      </w:r>
    </w:p>
    <w:p w14:paraId="4F536C82">
      <w:pPr>
        <w:spacing w:line="360" w:lineRule="auto"/>
        <w:jc w:val="center"/>
        <w:outlineLvl w:val="1"/>
        <w:rPr>
          <w:rFonts w:ascii="宋体" w:hAnsi="宋体" w:eastAsia="宋体"/>
          <w:b/>
          <w:bCs/>
          <w:sz w:val="28"/>
          <w:szCs w:val="28"/>
        </w:rPr>
      </w:pPr>
      <w:bookmarkStart w:id="200" w:name="_Toc17349"/>
      <w:bookmarkStart w:id="201" w:name="_Toc4059"/>
      <w:bookmarkStart w:id="202" w:name="_Toc31838"/>
      <w:bookmarkStart w:id="203" w:name="_Toc17684"/>
      <w:r>
        <w:rPr>
          <w:rFonts w:hint="eastAsia" w:ascii="宋体" w:hAnsi="宋体" w:eastAsia="宋体"/>
          <w:b/>
          <w:bCs/>
          <w:sz w:val="28"/>
          <w:szCs w:val="28"/>
        </w:rPr>
        <w:t>（一）20</w:t>
      </w:r>
      <w:r>
        <w:rPr>
          <w:rFonts w:hint="eastAsia" w:ascii="宋体" w:hAnsi="宋体" w:eastAsia="宋体"/>
          <w:b/>
          <w:bCs/>
          <w:sz w:val="28"/>
          <w:szCs w:val="28"/>
          <w:lang w:val="en-US" w:eastAsia="zh-CN"/>
        </w:rPr>
        <w:t>22</w:t>
      </w:r>
      <w:r>
        <w:rPr>
          <w:rFonts w:hint="eastAsia" w:ascii="宋体" w:hAnsi="宋体" w:eastAsia="宋体"/>
          <w:b/>
          <w:bCs/>
          <w:sz w:val="28"/>
          <w:szCs w:val="28"/>
        </w:rPr>
        <w:t>年以来完成的类似项目情况表</w:t>
      </w:r>
      <w:bookmarkEnd w:id="200"/>
      <w:bookmarkEnd w:id="201"/>
      <w:bookmarkEnd w:id="202"/>
      <w:bookmarkEnd w:id="203"/>
    </w:p>
    <w:p w14:paraId="2D9C2B05">
      <w:pPr>
        <w:spacing w:line="360" w:lineRule="auto"/>
        <w:jc w:val="center"/>
        <w:rPr>
          <w:rFonts w:ascii="宋体" w:hAnsi="宋体" w:eastAsia="宋体"/>
          <w:sz w:val="21"/>
          <w:szCs w:val="21"/>
        </w:rPr>
      </w:pP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87"/>
        <w:gridCol w:w="6007"/>
      </w:tblGrid>
      <w:tr w14:paraId="740E1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4109C9D3">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项目名称</w:t>
            </w:r>
          </w:p>
        </w:tc>
        <w:tc>
          <w:tcPr>
            <w:tcW w:w="6007" w:type="dxa"/>
            <w:tcBorders>
              <w:top w:val="single" w:color="auto" w:sz="4" w:space="0"/>
              <w:left w:val="nil"/>
              <w:bottom w:val="single" w:color="auto" w:sz="4" w:space="0"/>
              <w:right w:val="single" w:color="auto" w:sz="4" w:space="0"/>
            </w:tcBorders>
            <w:noWrap w:val="0"/>
            <w:vAlign w:val="top"/>
          </w:tcPr>
          <w:p w14:paraId="7D384F57">
            <w:pPr>
              <w:widowControl/>
              <w:topLinePunct/>
              <w:spacing w:before="0" w:beforeLines="0" w:beforeAutospacing="0" w:afterAutospacing="0" w:line="440" w:lineRule="exact"/>
              <w:ind w:left="0" w:right="0"/>
              <w:rPr>
                <w:rFonts w:ascii="宋体" w:hAnsi="宋体" w:eastAsia="宋体" w:cs="Calibri"/>
                <w:kern w:val="2"/>
                <w:sz w:val="24"/>
                <w:szCs w:val="24"/>
                <w:highlight w:val="black"/>
              </w:rPr>
            </w:pPr>
          </w:p>
        </w:tc>
      </w:tr>
      <w:tr w14:paraId="6CCE3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12F0E0CD">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项目所在地</w:t>
            </w:r>
          </w:p>
        </w:tc>
        <w:tc>
          <w:tcPr>
            <w:tcW w:w="6007" w:type="dxa"/>
            <w:tcBorders>
              <w:top w:val="single" w:color="auto" w:sz="4" w:space="0"/>
              <w:left w:val="nil"/>
              <w:bottom w:val="single" w:color="auto" w:sz="4" w:space="0"/>
              <w:right w:val="single" w:color="auto" w:sz="4" w:space="0"/>
            </w:tcBorders>
            <w:noWrap w:val="0"/>
            <w:vAlign w:val="top"/>
          </w:tcPr>
          <w:p w14:paraId="06189B39">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38774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1978560C">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采购人名称</w:t>
            </w:r>
          </w:p>
        </w:tc>
        <w:tc>
          <w:tcPr>
            <w:tcW w:w="6007" w:type="dxa"/>
            <w:tcBorders>
              <w:top w:val="single" w:color="auto" w:sz="4" w:space="0"/>
              <w:left w:val="nil"/>
              <w:bottom w:val="single" w:color="auto" w:sz="4" w:space="0"/>
              <w:right w:val="single" w:color="auto" w:sz="4" w:space="0"/>
            </w:tcBorders>
            <w:noWrap w:val="0"/>
            <w:vAlign w:val="top"/>
          </w:tcPr>
          <w:p w14:paraId="3177BEF0">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5F08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44D06F30">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采购人地址</w:t>
            </w:r>
          </w:p>
        </w:tc>
        <w:tc>
          <w:tcPr>
            <w:tcW w:w="6007" w:type="dxa"/>
            <w:tcBorders>
              <w:top w:val="single" w:color="auto" w:sz="4" w:space="0"/>
              <w:left w:val="nil"/>
              <w:bottom w:val="single" w:color="auto" w:sz="4" w:space="0"/>
              <w:right w:val="single" w:color="auto" w:sz="4" w:space="0"/>
            </w:tcBorders>
            <w:noWrap w:val="0"/>
            <w:vAlign w:val="top"/>
          </w:tcPr>
          <w:p w14:paraId="02A2245A">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1CAF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7A448950">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采购人电话</w:t>
            </w:r>
          </w:p>
        </w:tc>
        <w:tc>
          <w:tcPr>
            <w:tcW w:w="6007" w:type="dxa"/>
            <w:tcBorders>
              <w:top w:val="single" w:color="auto" w:sz="4" w:space="0"/>
              <w:left w:val="nil"/>
              <w:bottom w:val="single" w:color="auto" w:sz="4" w:space="0"/>
              <w:right w:val="single" w:color="auto" w:sz="4" w:space="0"/>
            </w:tcBorders>
            <w:noWrap w:val="0"/>
            <w:vAlign w:val="top"/>
          </w:tcPr>
          <w:p w14:paraId="7C815033">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15941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5C06357C">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合同价格</w:t>
            </w:r>
          </w:p>
        </w:tc>
        <w:tc>
          <w:tcPr>
            <w:tcW w:w="6007" w:type="dxa"/>
            <w:tcBorders>
              <w:top w:val="single" w:color="auto" w:sz="4" w:space="0"/>
              <w:left w:val="nil"/>
              <w:bottom w:val="single" w:color="auto" w:sz="4" w:space="0"/>
              <w:right w:val="single" w:color="auto" w:sz="4" w:space="0"/>
            </w:tcBorders>
            <w:noWrap w:val="0"/>
            <w:vAlign w:val="top"/>
          </w:tcPr>
          <w:p w14:paraId="6AF94242">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0DFC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16F40E37">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供货期限</w:t>
            </w:r>
          </w:p>
        </w:tc>
        <w:tc>
          <w:tcPr>
            <w:tcW w:w="6007" w:type="dxa"/>
            <w:tcBorders>
              <w:top w:val="single" w:color="auto" w:sz="4" w:space="0"/>
              <w:left w:val="nil"/>
              <w:bottom w:val="single" w:color="auto" w:sz="4" w:space="0"/>
              <w:right w:val="single" w:color="auto" w:sz="4" w:space="0"/>
            </w:tcBorders>
            <w:noWrap w:val="0"/>
            <w:vAlign w:val="center"/>
          </w:tcPr>
          <w:p w14:paraId="7E2448EF">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从               至</w:t>
            </w:r>
          </w:p>
        </w:tc>
      </w:tr>
      <w:tr w14:paraId="41AE7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9"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53F1F4FE">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采购内容</w:t>
            </w:r>
          </w:p>
        </w:tc>
        <w:tc>
          <w:tcPr>
            <w:tcW w:w="6007" w:type="dxa"/>
            <w:tcBorders>
              <w:top w:val="single" w:color="auto" w:sz="4" w:space="0"/>
              <w:left w:val="nil"/>
              <w:bottom w:val="single" w:color="auto" w:sz="4" w:space="0"/>
              <w:right w:val="single" w:color="auto" w:sz="4" w:space="0"/>
            </w:tcBorders>
            <w:noWrap w:val="0"/>
            <w:vAlign w:val="top"/>
          </w:tcPr>
          <w:p w14:paraId="0BDA8305">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4DBAC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22F48FEE">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质量要求</w:t>
            </w:r>
          </w:p>
        </w:tc>
        <w:tc>
          <w:tcPr>
            <w:tcW w:w="6007" w:type="dxa"/>
            <w:tcBorders>
              <w:top w:val="single" w:color="auto" w:sz="4" w:space="0"/>
              <w:left w:val="nil"/>
              <w:bottom w:val="single" w:color="auto" w:sz="4" w:space="0"/>
              <w:right w:val="single" w:color="auto" w:sz="4" w:space="0"/>
            </w:tcBorders>
            <w:noWrap w:val="0"/>
            <w:vAlign w:val="top"/>
          </w:tcPr>
          <w:p w14:paraId="137FE5F0">
            <w:pPr>
              <w:widowControl/>
              <w:topLinePunct/>
              <w:spacing w:before="0" w:beforeLines="0" w:beforeAutospacing="0" w:afterAutospacing="0" w:line="440" w:lineRule="exact"/>
              <w:ind w:left="0" w:right="0"/>
              <w:rPr>
                <w:rFonts w:ascii="宋体" w:hAnsi="宋体" w:eastAsia="宋体" w:cs="Calibri"/>
                <w:kern w:val="2"/>
                <w:sz w:val="24"/>
                <w:szCs w:val="24"/>
              </w:rPr>
            </w:pPr>
          </w:p>
        </w:tc>
      </w:tr>
      <w:tr w14:paraId="3746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2987" w:type="dxa"/>
            <w:tcBorders>
              <w:top w:val="single" w:color="auto" w:sz="4" w:space="0"/>
              <w:left w:val="single" w:color="auto" w:sz="4" w:space="0"/>
              <w:bottom w:val="single" w:color="auto" w:sz="4" w:space="0"/>
              <w:right w:val="single" w:color="auto" w:sz="4" w:space="0"/>
            </w:tcBorders>
            <w:noWrap w:val="0"/>
            <w:vAlign w:val="center"/>
          </w:tcPr>
          <w:p w14:paraId="7D3744A3">
            <w:pPr>
              <w:widowControl/>
              <w:topLinePunct/>
              <w:spacing w:before="0" w:beforeLines="0" w:beforeAutospacing="0" w:afterAutospacing="0" w:line="440" w:lineRule="exact"/>
              <w:ind w:left="0" w:right="0"/>
              <w:jc w:val="center"/>
              <w:rPr>
                <w:rFonts w:ascii="宋体" w:hAnsi="宋体" w:eastAsia="宋体" w:cs="Calibri"/>
                <w:kern w:val="2"/>
                <w:sz w:val="24"/>
                <w:szCs w:val="24"/>
              </w:rPr>
            </w:pPr>
            <w:r>
              <w:rPr>
                <w:rFonts w:hint="eastAsia" w:ascii="宋体" w:hAnsi="宋体" w:eastAsia="宋体" w:cs="Calibri"/>
                <w:kern w:val="2"/>
                <w:sz w:val="24"/>
                <w:szCs w:val="24"/>
              </w:rPr>
              <w:t>备注</w:t>
            </w:r>
          </w:p>
        </w:tc>
        <w:tc>
          <w:tcPr>
            <w:tcW w:w="6007" w:type="dxa"/>
            <w:tcBorders>
              <w:top w:val="single" w:color="auto" w:sz="4" w:space="0"/>
              <w:left w:val="nil"/>
              <w:bottom w:val="single" w:color="auto" w:sz="4" w:space="0"/>
              <w:right w:val="single" w:color="auto" w:sz="4" w:space="0"/>
            </w:tcBorders>
            <w:noWrap w:val="0"/>
            <w:vAlign w:val="top"/>
          </w:tcPr>
          <w:p w14:paraId="67D0BD07">
            <w:pPr>
              <w:widowControl/>
              <w:topLinePunct/>
              <w:spacing w:before="0" w:beforeLines="0" w:beforeAutospacing="0" w:afterAutospacing="0" w:line="440" w:lineRule="exact"/>
              <w:ind w:left="0" w:right="0"/>
              <w:rPr>
                <w:rFonts w:ascii="宋体" w:hAnsi="宋体" w:eastAsia="宋体" w:cs="Calibri"/>
                <w:kern w:val="2"/>
                <w:sz w:val="24"/>
                <w:szCs w:val="24"/>
              </w:rPr>
            </w:pPr>
          </w:p>
        </w:tc>
      </w:tr>
    </w:tbl>
    <w:p w14:paraId="6E6CBFA0">
      <w:pPr>
        <w:spacing w:line="360" w:lineRule="auto"/>
        <w:ind w:firstLine="105" w:firstLineChars="50"/>
        <w:rPr>
          <w:rFonts w:ascii="宋体" w:hAnsi="宋体" w:eastAsia="宋体"/>
          <w:b/>
          <w:bCs/>
          <w:color w:val="auto"/>
          <w:sz w:val="21"/>
          <w:szCs w:val="21"/>
        </w:rPr>
        <w:sectPr>
          <w:pgSz w:w="11906" w:h="16838"/>
          <w:pgMar w:top="1440" w:right="1800" w:bottom="1440" w:left="1800" w:header="720" w:footer="720" w:gutter="0"/>
          <w:pgNumType w:fmt="decimal"/>
          <w:cols w:space="720" w:num="1"/>
          <w:docGrid w:type="lines" w:linePitch="312" w:charSpace="0"/>
        </w:sectPr>
      </w:pPr>
      <w:r>
        <w:rPr>
          <w:rFonts w:hint="eastAsia" w:ascii="宋体" w:hAnsi="宋体" w:eastAsia="宋体"/>
          <w:b/>
          <w:bCs/>
          <w:color w:val="auto"/>
          <w:sz w:val="21"/>
          <w:szCs w:val="21"/>
        </w:rPr>
        <w:t>后附：合同协议书</w:t>
      </w:r>
      <w:r>
        <w:rPr>
          <w:rFonts w:hint="eastAsia" w:ascii="宋体" w:hAnsi="宋体" w:eastAsia="宋体"/>
          <w:b/>
          <w:bCs/>
          <w:color w:val="auto"/>
          <w:sz w:val="21"/>
          <w:szCs w:val="21"/>
          <w:lang w:val="en-US" w:eastAsia="zh-CN"/>
        </w:rPr>
        <w:t>或</w:t>
      </w:r>
      <w:r>
        <w:rPr>
          <w:rFonts w:hint="eastAsia" w:ascii="宋体" w:hAnsi="宋体" w:eastAsia="宋体"/>
          <w:b/>
          <w:bCs/>
          <w:color w:val="auto"/>
          <w:sz w:val="21"/>
          <w:szCs w:val="21"/>
        </w:rPr>
        <w:t>中标通知书的</w:t>
      </w:r>
      <w:r>
        <w:rPr>
          <w:rFonts w:hint="eastAsia" w:ascii="宋体" w:hAnsi="宋体" w:eastAsia="宋体"/>
          <w:b/>
          <w:bCs/>
          <w:color w:val="auto"/>
          <w:sz w:val="21"/>
          <w:szCs w:val="21"/>
          <w:lang w:eastAsia="zh-CN"/>
        </w:rPr>
        <w:t>原件扫描件</w:t>
      </w:r>
    </w:p>
    <w:p w14:paraId="0B3BA72C">
      <w:pPr>
        <w:jc w:val="both"/>
        <w:rPr>
          <w:rFonts w:ascii="宋体" w:hAnsi="宋体" w:eastAsia="宋体"/>
          <w:b/>
          <w:bCs/>
          <w:sz w:val="21"/>
          <w:szCs w:val="21"/>
        </w:rPr>
      </w:pPr>
    </w:p>
    <w:p w14:paraId="736C3D67">
      <w:pPr>
        <w:jc w:val="center"/>
        <w:rPr>
          <w:rFonts w:ascii="宋体" w:hAnsi="宋体" w:eastAsia="宋体"/>
          <w:b/>
          <w:bCs/>
          <w:sz w:val="21"/>
          <w:szCs w:val="21"/>
        </w:rPr>
      </w:pPr>
    </w:p>
    <w:p w14:paraId="03A7E2D2">
      <w:pPr>
        <w:numPr>
          <w:ilvl w:val="0"/>
          <w:numId w:val="0"/>
        </w:numPr>
        <w:jc w:val="center"/>
        <w:rPr>
          <w:rFonts w:hint="eastAsia" w:ascii="宋体" w:hAnsi="宋体" w:eastAsia="宋体" w:cs="仿宋"/>
          <w:b/>
          <w:bCs/>
          <w:sz w:val="28"/>
          <w:szCs w:val="28"/>
        </w:rPr>
      </w:pPr>
      <w:r>
        <w:rPr>
          <w:rFonts w:hint="eastAsia" w:ascii="宋体" w:hAnsi="宋体" w:eastAsia="宋体" w:cs="仿宋"/>
          <w:b/>
          <w:bCs/>
          <w:kern w:val="2"/>
          <w:sz w:val="28"/>
          <w:szCs w:val="28"/>
          <w:lang w:val="en-US" w:eastAsia="zh-CN" w:bidi="ar-SA"/>
        </w:rPr>
        <w:t>（二）</w:t>
      </w:r>
      <w:r>
        <w:rPr>
          <w:rFonts w:hint="eastAsia" w:ascii="宋体" w:hAnsi="宋体" w:eastAsia="宋体" w:cs="仿宋"/>
          <w:b/>
          <w:bCs/>
          <w:sz w:val="28"/>
          <w:szCs w:val="28"/>
        </w:rPr>
        <w:t>近年发生的诉讼及仲裁情况</w:t>
      </w:r>
    </w:p>
    <w:p w14:paraId="4437483A">
      <w:pPr>
        <w:spacing w:line="480" w:lineRule="exact"/>
        <w:jc w:val="center"/>
        <w:outlineLvl w:val="0"/>
        <w:rPr>
          <w:rFonts w:ascii="宋体" w:hAnsi="宋体"/>
          <w:b/>
          <w:bCs/>
          <w:color w:val="000000"/>
          <w:sz w:val="24"/>
          <w:szCs w:val="24"/>
          <w:highlight w:val="none"/>
        </w:rPr>
      </w:pPr>
      <w:r>
        <w:rPr>
          <w:rFonts w:hint="eastAsia" w:ascii="宋体" w:hAnsi="宋体" w:eastAsia="宋体"/>
          <w:b w:val="0"/>
          <w:bCs w:val="0"/>
          <w:sz w:val="22"/>
          <w:szCs w:val="22"/>
          <w:lang w:eastAsia="zh-CN"/>
        </w:rPr>
        <w:t>格式自拟</w:t>
      </w:r>
      <w:r>
        <w:rPr>
          <w:rFonts w:ascii="宋体" w:hAnsi="宋体" w:eastAsia="宋体"/>
          <w:b/>
          <w:bCs/>
          <w:sz w:val="28"/>
          <w:szCs w:val="28"/>
        </w:rPr>
        <w:br w:type="page"/>
      </w:r>
      <w:r>
        <w:rPr>
          <w:rFonts w:hint="eastAsia" w:ascii="宋体" w:hAnsi="宋体" w:cs="宋体"/>
          <w:b/>
          <w:sz w:val="28"/>
          <w:szCs w:val="28"/>
          <w:lang w:val="en-US" w:eastAsia="zh-CN"/>
        </w:rPr>
        <w:t>七、技术标部分</w:t>
      </w:r>
    </w:p>
    <w:p w14:paraId="7F5421F1">
      <w:pPr>
        <w:pStyle w:val="2"/>
        <w:numPr>
          <w:ilvl w:val="0"/>
          <w:numId w:val="0"/>
        </w:numPr>
        <w:ind w:left="420"/>
      </w:pPr>
      <w:r>
        <w:rPr>
          <w:rFonts w:hint="eastAsia" w:ascii="宋体" w:hAnsi="宋体"/>
          <w:color w:val="000000"/>
          <w:kern w:val="2"/>
          <w:sz w:val="24"/>
          <w:szCs w:val="24"/>
          <w:highlight w:val="none"/>
        </w:rPr>
        <w:t>此项格式自理，内容应包括但不限制于评分办法提到的内容。</w:t>
      </w:r>
      <w:r>
        <w:rPr>
          <w:rFonts w:hint="eastAsia" w:ascii="宋体" w:hAnsi="宋体" w:cs="宋体"/>
          <w:b w:val="0"/>
          <w:bCs/>
        </w:rPr>
        <w:br w:type="page"/>
      </w:r>
      <w:bookmarkStart w:id="204" w:name="_Toc361989468"/>
      <w:bookmarkEnd w:id="204"/>
      <w:bookmarkStart w:id="205" w:name="_Toc528078076"/>
      <w:bookmarkEnd w:id="205"/>
      <w:bookmarkStart w:id="206" w:name="_Toc244934217"/>
      <w:bookmarkEnd w:id="206"/>
      <w:bookmarkStart w:id="207" w:name="_Toc23775"/>
      <w:r>
        <w:rPr>
          <w:rFonts w:hint="eastAsia"/>
          <w:lang w:val="en-US" w:eastAsia="zh-CN"/>
        </w:rPr>
        <w:t>八</w:t>
      </w:r>
      <w:r>
        <w:rPr>
          <w:rFonts w:hint="eastAsia"/>
        </w:rPr>
        <w:t>、其他资料</w:t>
      </w:r>
      <w:bookmarkEnd w:id="207"/>
    </w:p>
    <w:p w14:paraId="73302234">
      <w:pPr>
        <w:jc w:val="center"/>
        <w:rPr>
          <w:rFonts w:ascii="宋体" w:hAnsi="宋体" w:cs="宋体"/>
          <w:b/>
          <w:bCs/>
          <w:sz w:val="24"/>
        </w:rPr>
      </w:pPr>
      <w:r>
        <w:rPr>
          <w:rFonts w:hint="eastAsia" w:ascii="宋体" w:hAnsi="宋体" w:cs="宋体"/>
          <w:b/>
          <w:bCs/>
          <w:sz w:val="24"/>
        </w:rPr>
        <w:t>（供应商认为应该提交的资料）</w:t>
      </w:r>
    </w:p>
    <w:p w14:paraId="3CF8EA53">
      <w:pPr>
        <w:pStyle w:val="3"/>
        <w:wordWrap w:val="0"/>
        <w:rPr>
          <w:rFonts w:eastAsia="宋体" w:cs="宋体"/>
          <w:b/>
          <w:bCs/>
          <w:lang w:val="zh-CN"/>
        </w:rPr>
      </w:pPr>
      <w:bookmarkStart w:id="208" w:name="_Toc64995450"/>
      <w:r>
        <w:rPr>
          <w:rFonts w:hint="eastAsia" w:eastAsia="宋体" w:cs="宋体"/>
          <w:b/>
          <w:bCs/>
          <w:lang w:val="zh-CN"/>
        </w:rPr>
        <w:t>1、中小企业声明函</w:t>
      </w:r>
      <w:bookmarkEnd w:id="208"/>
    </w:p>
    <w:p w14:paraId="7ACF6352">
      <w:pPr>
        <w:wordWrap w:val="0"/>
        <w:autoSpaceDE w:val="0"/>
        <w:autoSpaceDN w:val="0"/>
        <w:spacing w:before="226" w:line="360" w:lineRule="auto"/>
        <w:ind w:right="535" w:rightChars="255" w:firstLine="518" w:firstLineChars="216"/>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 xml:space="preserve">  （单位名称）  </w:t>
      </w:r>
      <w:r>
        <w:rPr>
          <w:rFonts w:hint="eastAsia" w:ascii="宋体" w:hAnsi="宋体" w:cs="宋体"/>
          <w:sz w:val="24"/>
        </w:rPr>
        <w:t>的</w:t>
      </w:r>
      <w:r>
        <w:rPr>
          <w:rFonts w:hint="eastAsia" w:ascii="宋体" w:hAnsi="宋体" w:cs="宋体"/>
          <w:sz w:val="24"/>
          <w:u w:val="single"/>
        </w:rPr>
        <w:t xml:space="preserve">   （项目名称）   </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14:paraId="03052A1F">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 xml:space="preserve">1. </w:t>
      </w:r>
      <w:r>
        <w:rPr>
          <w:rFonts w:hint="eastAsia" w:ascii="宋体" w:hAnsi="宋体" w:cs="宋体"/>
          <w:sz w:val="24"/>
          <w:u w:val="single"/>
        </w:rPr>
        <w:t xml:space="preserve">（标的名称）  </w:t>
      </w:r>
      <w:r>
        <w:rPr>
          <w:rFonts w:hint="eastAsia" w:ascii="宋体" w:hAnsi="宋体" w:cs="宋体"/>
          <w:sz w:val="24"/>
        </w:rPr>
        <w:t xml:space="preserve"> ，属于 </w:t>
      </w:r>
      <w:r>
        <w:rPr>
          <w:rFonts w:hint="eastAsia" w:ascii="宋体" w:hAnsi="宋体" w:cs="宋体"/>
          <w:sz w:val="24"/>
          <w:lang w:val="en-US" w:eastAsia="zh-CN"/>
        </w:rPr>
        <w:t xml:space="preserve"> </w:t>
      </w:r>
      <w:r>
        <w:rPr>
          <w:rFonts w:hint="eastAsia" w:ascii="宋体" w:hAnsi="宋体" w:cs="宋体"/>
          <w:sz w:val="24"/>
          <w:u w:val="single"/>
        </w:rPr>
        <w:t xml:space="preserve">（采购文件中明确的所属行业）  </w:t>
      </w:r>
      <w:r>
        <w:rPr>
          <w:rFonts w:hint="eastAsia" w:ascii="宋体" w:hAnsi="宋体" w:cs="宋体"/>
          <w:sz w:val="24"/>
        </w:rPr>
        <w:t xml:space="preserve">行业 ；制造商为 </w:t>
      </w:r>
      <w:r>
        <w:rPr>
          <w:rFonts w:hint="eastAsia" w:ascii="宋体" w:hAnsi="宋体" w:cs="宋体"/>
          <w:sz w:val="24"/>
          <w:u w:val="single"/>
        </w:rPr>
        <w:t xml:space="preserve">（企业名称）   </w:t>
      </w:r>
      <w:r>
        <w:rPr>
          <w:rFonts w:hint="eastAsia" w:ascii="宋体" w:hAnsi="宋体" w:cs="宋体"/>
          <w:sz w:val="24"/>
        </w:rPr>
        <w:t xml:space="preserve">，从业人员人，营业收入为万元，资产总额为万元，属于 </w:t>
      </w:r>
      <w:r>
        <w:rPr>
          <w:rFonts w:hint="eastAsia" w:ascii="宋体" w:hAnsi="宋体" w:cs="宋体"/>
          <w:sz w:val="24"/>
          <w:u w:val="single"/>
        </w:rPr>
        <w:t xml:space="preserve">（中型企业、小型企业、微型企业）   </w:t>
      </w:r>
      <w:r>
        <w:rPr>
          <w:rFonts w:hint="eastAsia" w:ascii="宋体" w:hAnsi="宋体" w:cs="宋体"/>
          <w:sz w:val="24"/>
        </w:rPr>
        <w:t xml:space="preserve"> ；</w:t>
      </w:r>
    </w:p>
    <w:p w14:paraId="27C2330D">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 xml:space="preserve">2. </w:t>
      </w:r>
      <w:r>
        <w:rPr>
          <w:rFonts w:hint="eastAsia" w:ascii="宋体" w:hAnsi="宋体" w:cs="宋体"/>
          <w:sz w:val="24"/>
          <w:u w:val="single"/>
        </w:rPr>
        <w:t xml:space="preserve">（标的名称）  </w:t>
      </w:r>
      <w:r>
        <w:rPr>
          <w:rFonts w:hint="eastAsia" w:ascii="宋体" w:hAnsi="宋体" w:cs="宋体"/>
          <w:sz w:val="24"/>
        </w:rPr>
        <w:t xml:space="preserve"> ，属于 </w:t>
      </w:r>
      <w:r>
        <w:rPr>
          <w:rFonts w:hint="eastAsia" w:ascii="宋体" w:hAnsi="宋体" w:cs="宋体"/>
          <w:sz w:val="24"/>
          <w:u w:val="single"/>
        </w:rPr>
        <w:t xml:space="preserve">（采购文件中明确的所属行业）  </w:t>
      </w:r>
      <w:r>
        <w:rPr>
          <w:rFonts w:hint="eastAsia" w:ascii="宋体" w:hAnsi="宋体" w:cs="宋体"/>
          <w:sz w:val="24"/>
        </w:rPr>
        <w:t xml:space="preserve">行业 ；制造商为 </w:t>
      </w:r>
      <w:r>
        <w:rPr>
          <w:rFonts w:hint="eastAsia" w:ascii="宋体" w:hAnsi="宋体" w:cs="宋体"/>
          <w:sz w:val="24"/>
          <w:u w:val="single"/>
        </w:rPr>
        <w:t xml:space="preserve">（企业名称）   </w:t>
      </w:r>
      <w:r>
        <w:rPr>
          <w:rFonts w:hint="eastAsia" w:ascii="宋体" w:hAnsi="宋体" w:cs="宋体"/>
          <w:sz w:val="24"/>
        </w:rPr>
        <w:t xml:space="preserve">，从业人员人，营业收入为万元，资产总额为万元，属于 </w:t>
      </w:r>
      <w:r>
        <w:rPr>
          <w:rFonts w:hint="eastAsia" w:ascii="宋体" w:hAnsi="宋体" w:cs="宋体"/>
          <w:sz w:val="24"/>
          <w:u w:val="single"/>
        </w:rPr>
        <w:t xml:space="preserve">（中型企业、小型企业、微型企业）   </w:t>
      </w:r>
      <w:r>
        <w:rPr>
          <w:rFonts w:hint="eastAsia" w:ascii="宋体" w:hAnsi="宋体" w:cs="宋体"/>
          <w:sz w:val="24"/>
        </w:rPr>
        <w:t xml:space="preserve"> ；</w:t>
      </w:r>
    </w:p>
    <w:p w14:paraId="78E51FEE">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w:t>
      </w:r>
    </w:p>
    <w:p w14:paraId="679A0450">
      <w:pPr>
        <w:wordWrap w:val="0"/>
        <w:autoSpaceDE w:val="0"/>
        <w:autoSpaceDN w:val="0"/>
        <w:spacing w:line="360" w:lineRule="auto"/>
        <w:ind w:right="535" w:rightChars="255" w:firstLine="518" w:firstLineChars="216"/>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68BA39CB">
      <w:pPr>
        <w:wordWrap w:val="0"/>
        <w:autoSpaceDE w:val="0"/>
        <w:autoSpaceDN w:val="0"/>
        <w:spacing w:before="118" w:line="360" w:lineRule="auto"/>
        <w:ind w:right="535" w:rightChars="255" w:firstLine="518" w:firstLineChars="216"/>
        <w:jc w:val="left"/>
        <w:rPr>
          <w:rFonts w:ascii="宋体" w:hAnsi="宋体" w:cs="宋体"/>
          <w:sz w:val="24"/>
        </w:rPr>
      </w:pPr>
      <w:r>
        <w:rPr>
          <w:rFonts w:hint="eastAsia" w:ascii="宋体" w:hAnsi="宋体" w:cs="宋体"/>
          <w:sz w:val="24"/>
        </w:rPr>
        <w:t>本企业对上述声明内容的真实性负责。如有虚假，将依法承担相应责任。</w:t>
      </w:r>
    </w:p>
    <w:p w14:paraId="62503006">
      <w:pPr>
        <w:tabs>
          <w:tab w:val="left" w:pos="6218"/>
          <w:tab w:val="left" w:pos="7058"/>
          <w:tab w:val="left" w:pos="7687"/>
          <w:tab w:val="left" w:pos="8475"/>
        </w:tabs>
        <w:wordWrap w:val="0"/>
        <w:autoSpaceDE w:val="0"/>
        <w:autoSpaceDN w:val="0"/>
        <w:spacing w:before="159" w:line="360" w:lineRule="auto"/>
        <w:ind w:right="1983" w:firstLine="518" w:firstLineChars="216"/>
        <w:jc w:val="left"/>
        <w:rPr>
          <w:rFonts w:ascii="宋体" w:hAnsi="宋体" w:cs="宋体"/>
          <w:sz w:val="24"/>
        </w:rPr>
      </w:pPr>
      <w:r>
        <w:rPr>
          <w:rFonts w:hint="eastAsia" w:ascii="宋体" w:hAnsi="宋体" w:cs="宋体"/>
          <w:sz w:val="24"/>
        </w:rPr>
        <w:t>企业名称（盖章）：</w:t>
      </w:r>
      <w:r>
        <w:rPr>
          <w:rFonts w:hint="eastAsia" w:ascii="宋体" w:hAnsi="宋体" w:cs="宋体"/>
          <w:sz w:val="24"/>
        </w:rPr>
        <w:tab/>
      </w:r>
      <w:r>
        <w:rPr>
          <w:rFonts w:hint="eastAsia" w:ascii="宋体" w:hAnsi="宋体" w:cs="宋体"/>
          <w:sz w:val="24"/>
        </w:rPr>
        <w:tab/>
      </w:r>
    </w:p>
    <w:p w14:paraId="7F040B9C">
      <w:pPr>
        <w:tabs>
          <w:tab w:val="left" w:pos="5275"/>
          <w:tab w:val="left" w:pos="7058"/>
          <w:tab w:val="left" w:pos="7687"/>
          <w:tab w:val="left" w:pos="8475"/>
        </w:tabs>
        <w:wordWrap w:val="0"/>
        <w:autoSpaceDE w:val="0"/>
        <w:autoSpaceDN w:val="0"/>
        <w:spacing w:before="159" w:line="360" w:lineRule="auto"/>
        <w:ind w:right="1983" w:firstLine="518" w:firstLineChars="216"/>
        <w:jc w:val="left"/>
        <w:rPr>
          <w:rFonts w:ascii="宋体" w:hAnsi="宋体" w:cs="宋体"/>
          <w:sz w:val="24"/>
        </w:rPr>
      </w:pPr>
      <w:r>
        <w:rPr>
          <w:rFonts w:hint="eastAsia" w:ascii="宋体" w:hAnsi="宋体" w:cs="宋体"/>
          <w:sz w:val="24"/>
        </w:rPr>
        <w:t>日期：  年  月   日</w:t>
      </w:r>
    </w:p>
    <w:p w14:paraId="7CAC85E5">
      <w:pPr>
        <w:wordWrap w:val="0"/>
        <w:autoSpaceDE w:val="0"/>
        <w:autoSpaceDN w:val="0"/>
        <w:spacing w:line="400" w:lineRule="exact"/>
        <w:ind w:firstLine="518" w:firstLineChars="216"/>
        <w:jc w:val="left"/>
        <w:rPr>
          <w:rFonts w:ascii="宋体" w:hAnsi="宋体" w:cs="宋体"/>
          <w:sz w:val="24"/>
        </w:rPr>
      </w:pPr>
      <w:r>
        <w:rPr>
          <w:rFonts w:hint="eastAsia" w:ascii="宋体" w:hAnsi="宋体" w:cs="宋体"/>
          <w:sz w:val="24"/>
        </w:rPr>
        <w:t>说明：1、填写前请认真阅读《财政部、工业和信息化部关于印发《政府采购促进中小企业发展管理办法》的通知（财库[2020]46 号）相关规定。</w:t>
      </w:r>
    </w:p>
    <w:p w14:paraId="336F9F29">
      <w:pPr>
        <w:wordWrap w:val="0"/>
        <w:autoSpaceDE w:val="0"/>
        <w:autoSpaceDN w:val="0"/>
        <w:spacing w:line="400" w:lineRule="exact"/>
        <w:ind w:firstLine="518" w:firstLineChars="216"/>
        <w:jc w:val="left"/>
        <w:rPr>
          <w:rFonts w:ascii="宋体" w:hAnsi="宋体" w:cs="宋体"/>
          <w:sz w:val="24"/>
        </w:rPr>
      </w:pPr>
      <w:r>
        <w:rPr>
          <w:rFonts w:hint="eastAsia" w:ascii="宋体" w:hAnsi="宋体" w:cs="宋体"/>
          <w:sz w:val="24"/>
        </w:rPr>
        <w:t>2、从业人员、营业收入、资产总额填报上一年度数据，无上一年度数据的新成立企业可不填报。</w:t>
      </w:r>
    </w:p>
    <w:p w14:paraId="3FA3392E">
      <w:pPr>
        <w:wordWrap w:val="0"/>
        <w:autoSpaceDE w:val="0"/>
        <w:autoSpaceDN w:val="0"/>
        <w:spacing w:before="139" w:line="400" w:lineRule="exact"/>
        <w:ind w:firstLine="518" w:firstLineChars="216"/>
        <w:jc w:val="left"/>
        <w:rPr>
          <w:rFonts w:hint="eastAsia" w:ascii="宋体" w:hAnsi="宋体" w:cs="宋体" w:eastAsiaTheme="minorEastAsia"/>
          <w:sz w:val="24"/>
          <w:lang w:eastAsia="zh-CN"/>
        </w:rPr>
        <w:sectPr>
          <w:pgSz w:w="11906" w:h="16838"/>
          <w:pgMar w:top="1440" w:right="1800" w:bottom="1440" w:left="1800" w:header="0" w:footer="506" w:gutter="0"/>
          <w:pgNumType w:fmt="decimal"/>
          <w:cols w:space="720" w:num="1"/>
        </w:sectPr>
      </w:pPr>
      <w:r>
        <w:rPr>
          <w:rFonts w:hint="eastAsia" w:ascii="宋体" w:hAnsi="宋体" w:cs="宋体"/>
          <w:sz w:val="24"/>
        </w:rPr>
        <w:t>3、未按上述要求提供、填写的，评审时不予以考虑</w:t>
      </w:r>
      <w:r>
        <w:rPr>
          <w:rFonts w:hint="eastAsia" w:ascii="宋体" w:hAnsi="宋体" w:cs="宋体"/>
          <w:sz w:val="24"/>
          <w:lang w:eastAsia="zh-CN"/>
        </w:rPr>
        <w:t>。</w:t>
      </w:r>
    </w:p>
    <w:p w14:paraId="0EFC0C24">
      <w:pPr>
        <w:jc w:val="both"/>
        <w:rPr>
          <w:rFonts w:ascii="宋体" w:hAnsi="宋体" w:cs="宋体"/>
          <w:b/>
          <w:bCs/>
          <w:sz w:val="24"/>
        </w:rPr>
      </w:pPr>
      <w:r>
        <w:rPr>
          <w:rFonts w:hint="eastAsia" w:ascii="宋体" w:hAnsi="宋体" w:cs="宋体"/>
          <w:b/>
          <w:bCs/>
          <w:sz w:val="24"/>
          <w:lang w:val="en-US" w:eastAsia="zh-CN"/>
        </w:rPr>
        <w:t>2、</w:t>
      </w:r>
      <w:r>
        <w:rPr>
          <w:rFonts w:hint="eastAsia" w:ascii="宋体" w:hAnsi="宋体" w:cs="宋体"/>
          <w:b/>
          <w:bCs/>
          <w:sz w:val="24"/>
        </w:rPr>
        <w:t>供应商认为应该提交的</w:t>
      </w:r>
      <w:r>
        <w:rPr>
          <w:rFonts w:hint="eastAsia" w:ascii="宋体" w:hAnsi="宋体" w:cs="宋体"/>
          <w:b/>
          <w:bCs/>
          <w:sz w:val="24"/>
          <w:lang w:val="en-US" w:eastAsia="zh-CN"/>
        </w:rPr>
        <w:t>其他</w:t>
      </w:r>
      <w:r>
        <w:rPr>
          <w:rFonts w:hint="eastAsia" w:ascii="宋体" w:hAnsi="宋体" w:cs="宋体"/>
          <w:b/>
          <w:bCs/>
          <w:sz w:val="24"/>
        </w:rPr>
        <w:t>资料</w:t>
      </w:r>
    </w:p>
    <w:p w14:paraId="76BA02F6">
      <w:pPr>
        <w:pStyle w:val="29"/>
        <w:bidi w:val="0"/>
        <w:rPr>
          <w:rFonts w:hint="eastAsia" w:ascii="仿宋" w:hAnsi="仿宋" w:eastAsia="仿宋" w:cs="仿宋"/>
          <w:b/>
          <w:color w:val="000000"/>
          <w:kern w:val="0"/>
          <w:sz w:val="32"/>
          <w:szCs w:val="24"/>
          <w:highlight w:val="none"/>
          <w:lang w:bidi="ar-SA"/>
        </w:rPr>
      </w:pPr>
      <w:r>
        <w:rPr>
          <w:rFonts w:hint="eastAsia" w:ascii="仿宋" w:hAnsi="仿宋" w:eastAsia="仿宋" w:cs="仿宋"/>
          <w:b/>
          <w:color w:val="000000"/>
          <w:kern w:val="0"/>
          <w:sz w:val="32"/>
          <w:szCs w:val="24"/>
          <w:highlight w:val="none"/>
          <w:lang w:val="en-US" w:eastAsia="zh-CN" w:bidi="ar-SA"/>
        </w:rPr>
        <w:t>附件1</w:t>
      </w:r>
      <w:r>
        <w:rPr>
          <w:rFonts w:hint="eastAsia" w:ascii="仿宋" w:hAnsi="仿宋" w:eastAsia="仿宋" w:cs="仿宋"/>
          <w:b/>
          <w:color w:val="000000"/>
          <w:kern w:val="0"/>
          <w:sz w:val="32"/>
          <w:szCs w:val="24"/>
          <w:highlight w:val="none"/>
          <w:lang w:bidi="ar-SA"/>
        </w:rPr>
        <w:t>、残疾人福利性单位声明函</w:t>
      </w:r>
    </w:p>
    <w:p w14:paraId="24456BF1">
      <w:pPr>
        <w:pStyle w:val="30"/>
        <w:rPr>
          <w:rFonts w:hint="eastAsia" w:ascii="仿宋" w:hAnsi="仿宋" w:eastAsia="仿宋" w:cs="仿宋"/>
          <w:color w:val="000000"/>
          <w:highlight w:val="none"/>
        </w:rPr>
      </w:pPr>
      <w:bookmarkStart w:id="210" w:name="_GoBack"/>
      <w:bookmarkEnd w:id="210"/>
    </w:p>
    <w:p w14:paraId="6F9BD986">
      <w:pPr>
        <w:pStyle w:val="31"/>
        <w:spacing w:line="276" w:lineRule="auto"/>
        <w:jc w:val="center"/>
        <w:rPr>
          <w:rFonts w:hint="eastAsia" w:ascii="宋体" w:hAnsi="宋体" w:eastAsia="宋体" w:cs="宋体"/>
          <w:b w:val="0"/>
          <w:bCs/>
          <w:color w:val="000000"/>
          <w:spacing w:val="14"/>
          <w:sz w:val="24"/>
          <w:szCs w:val="24"/>
          <w:highlight w:val="none"/>
          <w:lang w:val="en-US" w:eastAsia="zh-CN" w:bidi="ar-SA"/>
        </w:rPr>
      </w:pPr>
      <w:r>
        <w:rPr>
          <w:rFonts w:hint="eastAsia" w:ascii="宋体" w:hAnsi="宋体" w:eastAsia="宋体" w:cs="宋体"/>
          <w:b w:val="0"/>
          <w:bCs/>
          <w:color w:val="000000"/>
          <w:spacing w:val="14"/>
          <w:sz w:val="24"/>
          <w:szCs w:val="24"/>
          <w:highlight w:val="none"/>
          <w:lang w:val="en-US" w:eastAsia="zh-CN" w:bidi="ar-SA"/>
        </w:rPr>
        <w:t>残疾人福利性单位声明函</w:t>
      </w:r>
    </w:p>
    <w:p w14:paraId="63FF1DF2">
      <w:pPr>
        <w:pStyle w:val="32"/>
        <w:spacing w:line="276" w:lineRule="auto"/>
        <w:jc w:val="center"/>
        <w:rPr>
          <w:rFonts w:hint="eastAsia" w:ascii="宋体" w:hAnsi="宋体" w:eastAsia="宋体" w:cs="宋体"/>
          <w:color w:val="000000"/>
          <w:spacing w:val="14"/>
          <w:sz w:val="24"/>
          <w:szCs w:val="24"/>
          <w:highlight w:val="none"/>
        </w:rPr>
      </w:pPr>
    </w:p>
    <w:p w14:paraId="0F343270">
      <w:pPr>
        <w:pStyle w:val="32"/>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14:paraId="4C72FE4A">
      <w:pPr>
        <w:pStyle w:val="32"/>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本单位对上述声明的真实性负责。如有虚假，将依法承担相应责任。</w:t>
      </w:r>
    </w:p>
    <w:p w14:paraId="63F81C58">
      <w:pPr>
        <w:pStyle w:val="32"/>
        <w:spacing w:line="276" w:lineRule="auto"/>
        <w:rPr>
          <w:rFonts w:hint="eastAsia" w:ascii="宋体" w:hAnsi="宋体" w:eastAsia="宋体" w:cs="宋体"/>
          <w:color w:val="000000"/>
          <w:spacing w:val="14"/>
          <w:sz w:val="24"/>
          <w:szCs w:val="24"/>
          <w:highlight w:val="none"/>
        </w:rPr>
      </w:pPr>
    </w:p>
    <w:p w14:paraId="48FD425A">
      <w:pPr>
        <w:pStyle w:val="32"/>
        <w:spacing w:line="276" w:lineRule="auto"/>
        <w:rPr>
          <w:rFonts w:hint="eastAsia" w:ascii="宋体" w:hAnsi="宋体" w:eastAsia="宋体" w:cs="宋体"/>
          <w:color w:val="000000"/>
          <w:spacing w:val="14"/>
          <w:sz w:val="24"/>
          <w:szCs w:val="24"/>
          <w:highlight w:val="none"/>
        </w:rPr>
      </w:pPr>
    </w:p>
    <w:p w14:paraId="5C8E5CED">
      <w:pPr>
        <w:pStyle w:val="32"/>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 xml:space="preserve">                                     投标人（企业电子章）：</w:t>
      </w:r>
    </w:p>
    <w:p w14:paraId="7517145C">
      <w:pPr>
        <w:pStyle w:val="33"/>
        <w:outlineLvl w:val="2"/>
        <w:rPr>
          <w:rFonts w:hint="eastAsia" w:ascii="仿宋" w:hAnsi="仿宋" w:eastAsia="仿宋" w:cs="仿宋"/>
          <w:color w:val="000000"/>
          <w:highlight w:val="none"/>
        </w:rPr>
      </w:pPr>
      <w:r>
        <w:rPr>
          <w:rFonts w:hint="eastAsia" w:ascii="宋体" w:hAnsi="宋体" w:eastAsia="宋体" w:cs="宋体"/>
          <w:color w:val="000000"/>
          <w:sz w:val="24"/>
          <w:szCs w:val="24"/>
          <w:highlight w:val="none"/>
        </w:rPr>
        <w:br w:type="page"/>
      </w:r>
      <w:bookmarkStart w:id="209" w:name="_Toc26775"/>
      <w:r>
        <w:rPr>
          <w:rFonts w:hint="eastAsia" w:ascii="仿宋" w:hAnsi="仿宋" w:eastAsia="仿宋" w:cs="仿宋"/>
          <w:color w:val="000000"/>
          <w:highlight w:val="none"/>
        </w:rPr>
        <w:t>附件</w:t>
      </w:r>
      <w:r>
        <w:rPr>
          <w:rFonts w:hint="eastAsia" w:ascii="仿宋" w:hAnsi="仿宋" w:eastAsia="仿宋" w:cs="仿宋"/>
          <w:color w:val="000000"/>
          <w:highlight w:val="none"/>
          <w:lang w:val="en-US" w:eastAsia="zh-CN"/>
        </w:rPr>
        <w:t>2</w:t>
      </w:r>
      <w:r>
        <w:rPr>
          <w:rFonts w:hint="eastAsia" w:ascii="仿宋" w:hAnsi="仿宋" w:eastAsia="仿宋" w:cs="仿宋"/>
          <w:color w:val="000000"/>
          <w:highlight w:val="none"/>
        </w:rPr>
        <w:t>、监狱企业证明文件</w:t>
      </w:r>
      <w:bookmarkEnd w:id="209"/>
    </w:p>
    <w:p w14:paraId="02FA3476">
      <w:pPr>
        <w:pStyle w:val="34"/>
        <w:spacing w:line="276" w:lineRule="auto"/>
        <w:jc w:val="center"/>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监狱企业证明文件</w:t>
      </w:r>
    </w:p>
    <w:p w14:paraId="270CB73F">
      <w:pPr>
        <w:pStyle w:val="34"/>
        <w:spacing w:line="276" w:lineRule="auto"/>
        <w:jc w:val="center"/>
        <w:rPr>
          <w:rFonts w:hint="eastAsia" w:ascii="宋体" w:hAnsi="宋体" w:eastAsia="宋体" w:cs="宋体"/>
          <w:color w:val="000000"/>
          <w:spacing w:val="14"/>
          <w:sz w:val="24"/>
          <w:szCs w:val="24"/>
          <w:highlight w:val="none"/>
        </w:rPr>
      </w:pPr>
    </w:p>
    <w:p w14:paraId="6FE19801">
      <w:pPr>
        <w:pStyle w:val="34"/>
        <w:spacing w:line="276" w:lineRule="auto"/>
        <w:ind w:firstLine="420"/>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（监狱企业参加政府采购活动时，应当提供由省级以上监狱管理局、戒毒管理局(含新疆生产建设兵团)出具的属于监狱企业的证明文件。</w:t>
      </w:r>
    </w:p>
    <w:p w14:paraId="68D44996">
      <w:pPr>
        <w:pStyle w:val="34"/>
        <w:spacing w:line="276" w:lineRule="auto"/>
        <w:rPr>
          <w:rFonts w:hint="eastAsia" w:ascii="宋体" w:hAnsi="宋体" w:eastAsia="宋体" w:cs="宋体"/>
          <w:color w:val="000000"/>
          <w:spacing w:val="14"/>
          <w:sz w:val="24"/>
          <w:szCs w:val="24"/>
          <w:highlight w:val="none"/>
        </w:rPr>
      </w:pPr>
    </w:p>
    <w:p w14:paraId="7E17C4D8">
      <w:pPr>
        <w:pStyle w:val="34"/>
        <w:spacing w:line="276" w:lineRule="auto"/>
        <w:rPr>
          <w:rFonts w:hint="eastAsia" w:ascii="宋体" w:hAnsi="宋体" w:eastAsia="宋体" w:cs="宋体"/>
          <w:color w:val="000000"/>
          <w:spacing w:val="14"/>
          <w:sz w:val="24"/>
          <w:szCs w:val="24"/>
          <w:highlight w:val="none"/>
        </w:rPr>
      </w:pPr>
    </w:p>
    <w:p w14:paraId="1463F5C9">
      <w:pPr>
        <w:pStyle w:val="34"/>
        <w:spacing w:line="276" w:lineRule="auto"/>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注：在投标文件中附扫描件</w:t>
      </w:r>
    </w:p>
    <w:p w14:paraId="546F7E4C">
      <w:pPr>
        <w:pStyle w:val="35"/>
        <w:widowControl/>
        <w:spacing w:line="276" w:lineRule="auto"/>
        <w:rPr>
          <w:rFonts w:hint="default"/>
          <w:color w:val="000000"/>
          <w:highlight w:val="none"/>
          <w:lang w:val="en-US"/>
        </w:rPr>
      </w:pPr>
    </w:p>
    <w:p w14:paraId="454D4B0B">
      <w:pPr>
        <w:spacing w:line="600" w:lineRule="exact"/>
        <w:jc w:val="left"/>
        <w:rPr>
          <w:rFonts w:hint="eastAsia" w:ascii="宋体" w:hAnsi="宋体"/>
          <w:b/>
          <w:bCs/>
          <w:color w:val="000000"/>
          <w:sz w:val="28"/>
          <w:szCs w:val="28"/>
          <w:highlight w:val="none"/>
        </w:rPr>
      </w:pPr>
    </w:p>
    <w:p w14:paraId="7BC3B59C">
      <w:pPr>
        <w:pStyle w:val="4"/>
        <w:rPr>
          <w:color w:val="000000"/>
          <w:highlight w:val="none"/>
        </w:rPr>
      </w:pPr>
    </w:p>
    <w:p w14:paraId="3FDEC9E7"/>
    <w:p w14:paraId="24D3DB26"/>
    <w:sectPr>
      <w:footerReference r:id="rId7" w:type="first"/>
      <w:footerReference r:id="rId6" w:type="default"/>
      <w:pgSz w:w="11906" w:h="16838"/>
      <w:pgMar w:top="1440" w:right="1080" w:bottom="1440" w:left="1080" w:header="851" w:footer="850" w:gutter="0"/>
      <w:pgNumType w:fmt="decimal"/>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006F1">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CB5F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B3CB5F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7D50E">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A75E8">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1DA75E8">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E9FC">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9D848">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CA9D848">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C4989">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FC407">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AFFC407">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F5A9C">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7C88D">
                          <w:pPr>
                            <w:pStyle w:val="8"/>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27C88D">
                    <w:pPr>
                      <w:pStyle w:val="8"/>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CD640A"/>
    <w:multiLevelType w:val="multilevel"/>
    <w:tmpl w:val="0BCD640A"/>
    <w:lvl w:ilvl="0" w:tentative="0">
      <w:start w:val="1"/>
      <w:numFmt w:val="decimal"/>
      <w:lvlText w:val="%1)"/>
      <w:lvlJc w:val="left"/>
      <w:pPr>
        <w:tabs>
          <w:tab w:val="left" w:pos="420"/>
        </w:tabs>
        <w:ind w:left="420" w:hanging="420"/>
      </w:pPr>
    </w:lvl>
    <w:lvl w:ilvl="1" w:tentative="0">
      <w:start w:val="1"/>
      <w:numFmt w:val="decimal"/>
      <w:pStyle w:val="2"/>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75809B4"/>
    <w:multiLevelType w:val="singleLevel"/>
    <w:tmpl w:val="475809B4"/>
    <w:lvl w:ilvl="0" w:tentative="0">
      <w:start w:val="1"/>
      <w:numFmt w:val="chineseCounting"/>
      <w:suff w:val="nothing"/>
      <w:lvlText w:val="%1、"/>
      <w:lvlJc w:val="left"/>
      <w:rPr>
        <w:rFonts w:hint="eastAsia"/>
      </w:rPr>
    </w:lvl>
  </w:abstractNum>
  <w:abstractNum w:abstractNumId="2">
    <w:nsid w:val="4F8E4461"/>
    <w:multiLevelType w:val="singleLevel"/>
    <w:tmpl w:val="4F8E4461"/>
    <w:lvl w:ilvl="0" w:tentative="0">
      <w:start w:val="2"/>
      <w:numFmt w:val="decimal"/>
      <w:suff w:val="nothing"/>
      <w:lvlText w:val="%1、"/>
      <w:lvlJc w:val="left"/>
    </w:lvl>
  </w:abstractNum>
  <w:abstractNum w:abstractNumId="3">
    <w:nsid w:val="614DB1B1"/>
    <w:multiLevelType w:val="singleLevel"/>
    <w:tmpl w:val="614DB1B1"/>
    <w:lvl w:ilvl="0" w:tentative="0">
      <w:start w:val="1"/>
      <w:numFmt w:val="decimal"/>
      <w:suff w:val="nothing"/>
      <w:lvlText w:val="（%1）"/>
      <w:lvlJc w:val="left"/>
    </w:lvl>
  </w:abstractNum>
  <w:abstractNum w:abstractNumId="4">
    <w:nsid w:val="614DB1C1"/>
    <w:multiLevelType w:val="singleLevel"/>
    <w:tmpl w:val="614DB1C1"/>
    <w:lvl w:ilvl="0" w:tentative="0">
      <w:start w:val="3"/>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lZWVmNTI4OWI1M2VkNjM2NDE3YjU2M2Q5NzAwZTIifQ=="/>
  </w:docVars>
  <w:rsids>
    <w:rsidRoot w:val="00000000"/>
    <w:rsid w:val="057A2E1D"/>
    <w:rsid w:val="05BF041D"/>
    <w:rsid w:val="0C1B4661"/>
    <w:rsid w:val="0D117C61"/>
    <w:rsid w:val="0FF41E7A"/>
    <w:rsid w:val="16A22675"/>
    <w:rsid w:val="19B30173"/>
    <w:rsid w:val="1BCB4EBA"/>
    <w:rsid w:val="1C1044A8"/>
    <w:rsid w:val="1D967A3C"/>
    <w:rsid w:val="25BE0296"/>
    <w:rsid w:val="26BE0860"/>
    <w:rsid w:val="27EA1F1E"/>
    <w:rsid w:val="2A492F82"/>
    <w:rsid w:val="2B5737F8"/>
    <w:rsid w:val="36E73A01"/>
    <w:rsid w:val="40021E10"/>
    <w:rsid w:val="46B65D84"/>
    <w:rsid w:val="4D6047D5"/>
    <w:rsid w:val="4D894111"/>
    <w:rsid w:val="4FF02DE9"/>
    <w:rsid w:val="5C992962"/>
    <w:rsid w:val="69812EA9"/>
    <w:rsid w:val="6A083E4C"/>
    <w:rsid w:val="7C892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20"/>
    <w:autoRedefine/>
    <w:qFormat/>
    <w:uiPriority w:val="0"/>
    <w:pPr>
      <w:keepNext/>
      <w:keepLines/>
      <w:numPr>
        <w:ilvl w:val="1"/>
        <w:numId w:val="1"/>
      </w:numPr>
      <w:spacing w:before="260" w:after="260" w:line="416" w:lineRule="auto"/>
      <w:jc w:val="center"/>
      <w:outlineLvl w:val="1"/>
    </w:pPr>
    <w:rPr>
      <w:rFonts w:ascii="Arial" w:hAnsi="Arial" w:eastAsia="宋体"/>
      <w:b/>
      <w:sz w:val="24"/>
      <w:szCs w:val="20"/>
    </w:rPr>
  </w:style>
  <w:style w:type="paragraph" w:styleId="3">
    <w:name w:val="heading 4"/>
    <w:basedOn w:val="1"/>
    <w:next w:val="1"/>
    <w:autoRedefine/>
    <w:qFormat/>
    <w:uiPriority w:val="0"/>
    <w:pPr>
      <w:keepNext/>
      <w:outlineLvl w:val="3"/>
    </w:pPr>
    <w:rPr>
      <w:rFonts w:ascii="宋体" w:hAnsi="宋体"/>
      <w:b/>
      <w:bCs/>
      <w:sz w:val="2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style>
  <w:style w:type="paragraph" w:styleId="5">
    <w:name w:val="Body Text Indent"/>
    <w:basedOn w:val="1"/>
    <w:next w:val="6"/>
    <w:autoRedefine/>
    <w:qFormat/>
    <w:uiPriority w:val="0"/>
    <w:pPr>
      <w:ind w:firstLine="640" w:firstLineChars="200"/>
    </w:pPr>
    <w:rPr>
      <w:rFonts w:ascii="仿宋_GB2312" w:eastAsia="仿宋_GB2312"/>
      <w:sz w:val="32"/>
    </w:rPr>
  </w:style>
  <w:style w:type="paragraph" w:styleId="6">
    <w:name w:val="envelope return"/>
    <w:basedOn w:val="1"/>
    <w:qFormat/>
    <w:uiPriority w:val="99"/>
    <w:rPr>
      <w:rFonts w:ascii="Arial" w:hAnsi="Arial"/>
    </w:rPr>
  </w:style>
  <w:style w:type="paragraph" w:styleId="7">
    <w:name w:val="Plain Text"/>
    <w:basedOn w:val="1"/>
    <w:qFormat/>
    <w:uiPriority w:val="0"/>
    <w:rPr>
      <w:rFonts w:ascii="宋体" w:hAnsi="宋体"/>
      <w:sz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2"/>
    <w:basedOn w:val="1"/>
    <w:next w:val="1"/>
    <w:autoRedefine/>
    <w:qFormat/>
    <w:uiPriority w:val="0"/>
    <w:pPr>
      <w:spacing w:line="440" w:lineRule="exact"/>
      <w:ind w:firstLine="300"/>
    </w:pPr>
    <w:rPr>
      <w:rFonts w:ascii="Calibri" w:hAnsi="Calibri" w:eastAsia="宋体" w:cs="Calibri"/>
      <w:smallCaps/>
      <w:sz w:val="20"/>
      <w:szCs w:val="20"/>
    </w:rPr>
  </w:style>
  <w:style w:type="paragraph" w:styleId="11">
    <w:name w:val="Body Text 2"/>
    <w:basedOn w:val="1"/>
    <w:next w:val="7"/>
    <w:autoRedefine/>
    <w:qFormat/>
    <w:uiPriority w:val="0"/>
    <w:pPr>
      <w:spacing w:after="120" w:line="480" w:lineRule="auto"/>
    </w:pPr>
  </w:style>
  <w:style w:type="paragraph" w:styleId="12">
    <w:name w:val="Message Header"/>
    <w:basedOn w:val="1"/>
    <w:next w:val="1"/>
    <w:autoRedefine/>
    <w:qFormat/>
    <w:uiPriority w:val="0"/>
    <w:pPr>
      <w:pBdr>
        <w:top w:val="single" w:color="000000" w:sz="6" w:space="1"/>
        <w:left w:val="single" w:color="000000" w:sz="6" w:space="1"/>
        <w:bottom w:val="single" w:color="000000" w:sz="6" w:space="1"/>
        <w:right w:val="single" w:color="000000" w:sz="6" w:space="1"/>
        <w:between w:val="none" w:color="000000" w:sz="0" w:space="0"/>
      </w:pBdr>
      <w:shd w:val="pct20" w:color="000000" w:fill="FFFFFF"/>
      <w:ind w:left="1080" w:hanging="1080"/>
    </w:pPr>
    <w:rPr>
      <w:rFonts w:ascii="Cambria" w:hAnsi="Cambria"/>
      <w:kern w:val="1"/>
      <w:sz w:val="24"/>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Title"/>
    <w:basedOn w:val="10"/>
    <w:next w:val="1"/>
    <w:qFormat/>
    <w:uiPriority w:val="0"/>
    <w:pPr>
      <w:spacing w:before="240" w:after="60"/>
      <w:jc w:val="center"/>
      <w:outlineLvl w:val="0"/>
    </w:pPr>
    <w:rPr>
      <w:rFonts w:ascii="Cambria" w:hAnsi="Cambria" w:cs="Times New Roman"/>
      <w:b/>
      <w:bCs/>
      <w:sz w:val="32"/>
      <w:szCs w:val="32"/>
    </w:rPr>
  </w:style>
  <w:style w:type="paragraph" w:styleId="15">
    <w:name w:val="Body Text First Indent"/>
    <w:basedOn w:val="4"/>
    <w:autoRedefine/>
    <w:qFormat/>
    <w:uiPriority w:val="0"/>
    <w:pPr>
      <w:spacing w:after="120"/>
      <w:ind w:firstLine="420"/>
    </w:pPr>
    <w:rPr>
      <w:rFonts w:ascii="Times New Roman"/>
      <w:sz w:val="32"/>
    </w:rPr>
  </w:style>
  <w:style w:type="paragraph" w:styleId="16">
    <w:name w:val="Body Text First Indent 2"/>
    <w:basedOn w:val="5"/>
    <w:next w:val="1"/>
    <w:unhideWhenUsed/>
    <w:qFormat/>
    <w:uiPriority w:val="99"/>
    <w:pPr>
      <w:ind w:firstLine="420" w:firstLineChars="200"/>
    </w:pPr>
  </w:style>
  <w:style w:type="table" w:styleId="18">
    <w:name w:val="Table Grid"/>
    <w:basedOn w:val="17"/>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标题 2 字符"/>
    <w:link w:val="2"/>
    <w:qFormat/>
    <w:locked/>
    <w:uiPriority w:val="0"/>
    <w:rPr>
      <w:rFonts w:ascii="Arial" w:hAnsi="Arial" w:eastAsia="宋体"/>
      <w:b/>
      <w:sz w:val="24"/>
      <w:szCs w:val="20"/>
    </w:rPr>
  </w:style>
  <w:style w:type="paragraph" w:customStyle="1" w:styleId="21">
    <w:name w:val="我的正文"/>
    <w:basedOn w:val="5"/>
    <w:autoRedefine/>
    <w:qFormat/>
    <w:uiPriority w:val="0"/>
    <w:pPr>
      <w:ind w:firstLine="480" w:firstLineChars="200"/>
    </w:pPr>
    <w:rPr>
      <w:szCs w:val="20"/>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styleId="23">
    <w:name w:val="List Paragraph"/>
    <w:basedOn w:val="1"/>
    <w:qFormat/>
    <w:uiPriority w:val="1"/>
    <w:pPr>
      <w:ind w:left="320" w:firstLine="420"/>
    </w:pPr>
  </w:style>
  <w:style w:type="paragraph" w:customStyle="1" w:styleId="24">
    <w:name w:val="Default"/>
    <w:basedOn w:val="14"/>
    <w:qFormat/>
    <w:uiPriority w:val="99"/>
    <w:pPr>
      <w:autoSpaceDE w:val="0"/>
      <w:autoSpaceDN w:val="0"/>
      <w:adjustRightInd w:val="0"/>
    </w:pPr>
    <w:rPr>
      <w:rFonts w:ascii="宋体" w:hAnsi="Times New Roman" w:cs="宋体"/>
      <w:color w:val="000000"/>
      <w:sz w:val="24"/>
      <w:szCs w:val="24"/>
    </w:rPr>
  </w:style>
  <w:style w:type="paragraph" w:customStyle="1" w:styleId="25">
    <w:name w:val="Table Paragraph"/>
    <w:basedOn w:val="1"/>
    <w:qFormat/>
    <w:uiPriority w:val="1"/>
  </w:style>
  <w:style w:type="paragraph" w:customStyle="1" w:styleId="26">
    <w:name w:val="文档正文"/>
    <w:basedOn w:val="1"/>
    <w:qFormat/>
    <w:uiPriority w:val="0"/>
    <w:pPr>
      <w:widowControl w:val="0"/>
      <w:adjustRightInd/>
      <w:snapToGrid/>
      <w:spacing w:after="0" w:afterLines="0" w:line="480" w:lineRule="atLeast"/>
      <w:ind w:firstLine="567"/>
      <w:jc w:val="both"/>
      <w:textAlignment w:val="baseline"/>
    </w:pPr>
    <w:rPr>
      <w:rFonts w:ascii="仿宋_GB2312" w:hAnsi="Times New Roman" w:eastAsia="仿宋_GB2312" w:cs="Times New Roman"/>
      <w:kern w:val="2"/>
      <w:sz w:val="28"/>
      <w:szCs w:val="24"/>
    </w:rPr>
  </w:style>
  <w:style w:type="character" w:customStyle="1" w:styleId="27">
    <w:name w:val="font61"/>
    <w:basedOn w:val="19"/>
    <w:autoRedefine/>
    <w:qFormat/>
    <w:uiPriority w:val="0"/>
    <w:rPr>
      <w:rFonts w:hint="eastAsia" w:ascii="仿宋" w:hAnsi="仿宋" w:eastAsia="仿宋" w:cs="仿宋"/>
      <w:color w:val="000000"/>
      <w:sz w:val="18"/>
      <w:szCs w:val="18"/>
      <w:u w:val="none"/>
    </w:rPr>
  </w:style>
  <w:style w:type="character" w:customStyle="1" w:styleId="28">
    <w:name w:val="font101"/>
    <w:basedOn w:val="19"/>
    <w:qFormat/>
    <w:uiPriority w:val="0"/>
    <w:rPr>
      <w:rFonts w:ascii="宋体" w:hAnsi="宋体" w:eastAsia="宋体" w:cs="宋体"/>
      <w:color w:val="000000"/>
      <w:sz w:val="18"/>
      <w:szCs w:val="18"/>
      <w:u w:val="none"/>
    </w:rPr>
  </w:style>
  <w:style w:type="paragraph" w:customStyle="1" w:styleId="29">
    <w:name w:val="Normal_9"/>
    <w:qFormat/>
    <w:uiPriority w:val="0"/>
    <w:rPr>
      <w:rFonts w:ascii="黑体" w:hAnsi="黑体" w:eastAsia="黑体" w:cs="Times New Roman"/>
      <w:b/>
      <w:sz w:val="32"/>
      <w:szCs w:val="24"/>
      <w:lang w:bidi="ar-SA"/>
    </w:rPr>
  </w:style>
  <w:style w:type="paragraph" w:customStyle="1" w:styleId="30">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4_0_0"/>
    <w:basedOn w:val="30"/>
    <w:next w:val="30"/>
    <w:qFormat/>
    <w:uiPriority w:val="0"/>
    <w:pPr>
      <w:widowControl/>
      <w:ind w:firstLine="482"/>
    </w:pPr>
    <w:rPr>
      <w:rFonts w:ascii="微软雅黑" w:hAnsi="微软雅黑" w:eastAsia="微软雅黑"/>
      <w:kern w:val="0"/>
      <w:szCs w:val="20"/>
    </w:rPr>
  </w:style>
  <w:style w:type="paragraph" w:customStyle="1" w:styleId="32">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Normal_10"/>
    <w:qFormat/>
    <w:uiPriority w:val="0"/>
    <w:rPr>
      <w:rFonts w:ascii="黑体" w:hAnsi="黑体" w:eastAsia="黑体" w:cs="Times New Roman"/>
      <w:b/>
      <w:sz w:val="32"/>
      <w:szCs w:val="24"/>
      <w:lang w:bidi="ar-SA"/>
    </w:rPr>
  </w:style>
  <w:style w:type="paragraph" w:customStyle="1" w:styleId="34">
    <w:name w:val="正文_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正文_11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3.bin"/><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jpeg"/><Relationship Id="rId17" Type="http://schemas.openxmlformats.org/officeDocument/2006/relationships/image" Target="media/image7.wmf"/><Relationship Id="rId16" Type="http://schemas.openxmlformats.org/officeDocument/2006/relationships/oleObject" Target="embeddings/oleObject2.bin"/><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18383</Words>
  <Characters>20852</Characters>
  <Lines>0</Lines>
  <Paragraphs>0</Paragraphs>
  <TotalTime>0</TotalTime>
  <ScaleCrop>false</ScaleCrop>
  <LinksUpToDate>false</LinksUpToDate>
  <CharactersWithSpaces>22369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2024-11-05T10:55:00Z</dcterms:created>
  <dc:creator>Administrator</dc:creator>
  <cp:lastModifiedBy>华杰</cp:lastModifiedBy>
  <cp:lastPrinted>2024-12-30T01:59:00Z</cp:lastPrinted>
  <dcterms:modified xsi:type="dcterms:W3CDTF">2025-08-13T11:15:25Z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BF1020A00C0441F9BDEBD4EB514AEBB9_12</vt:lpwstr>
  </property>
  <property fmtid="{D5CDD505-2E9C-101B-9397-08002B2CF9AE}" pid="4" name="KSOTemplateDocerSaveRecord">
    <vt:lpwstr>eyJoZGlkIjoiODEwNmIyMTA4YmIzZmUzNDVlODFhZTQ3ZGQ4MDRmMDAiLCJ1c2VySWQiOiI1MDgzMTA3MjgifQ==</vt:lpwstr>
  </property>
</Properties>
</file>