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fill lighten(0)" focus="100%" focussize="0f,0f" focusposition="0f,0f" method="linear sigma"/>
    </v:background>
  </w:background>
  <w:body>
    <w:p w14:paraId="46F59034">
      <w:pPr>
        <w:pStyle w:val="2"/>
        <w:jc w:val="center"/>
        <w:rPr>
          <w:rFonts w:hint="eastAsia" w:asciiTheme="majorEastAsia" w:hAnsiTheme="majorEastAsia" w:eastAsiaTheme="majorEastAsia" w:cstheme="majorEastAsia"/>
          <w:b/>
          <w:bCs/>
          <w:sz w:val="44"/>
          <w:szCs w:val="44"/>
          <w:lang w:val="en-US" w:eastAsia="zh-CN"/>
        </w:rPr>
      </w:pPr>
      <w:bookmarkStart w:id="0" w:name="_Toc144974495"/>
      <w:bookmarkEnd w:id="0"/>
      <w:bookmarkStart w:id="1" w:name="_Toc179632544"/>
      <w:bookmarkEnd w:id="1"/>
      <w:bookmarkStart w:id="2" w:name="_Toc152042303"/>
      <w:bookmarkEnd w:id="2"/>
      <w:bookmarkStart w:id="140" w:name="_GoBack"/>
      <w:bookmarkEnd w:id="140"/>
      <w:r>
        <w:rPr>
          <w:rFonts w:hint="eastAsia" w:asciiTheme="majorEastAsia" w:hAnsiTheme="majorEastAsia" w:eastAsiaTheme="majorEastAsia" w:cstheme="majorEastAsia"/>
          <w:b/>
          <w:bCs/>
          <w:sz w:val="44"/>
          <w:szCs w:val="44"/>
          <w:lang w:val="en-US" w:eastAsia="zh-CN"/>
        </w:rPr>
        <w:t>2025年卢氏县范里镇涧底村中药材加工</w:t>
      </w:r>
    </w:p>
    <w:p w14:paraId="4BD17C76">
      <w:pPr>
        <w:pStyle w:val="2"/>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项目</w:t>
      </w:r>
    </w:p>
    <w:p w14:paraId="670853C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44"/>
          <w:szCs w:val="44"/>
          <w:highlight w:val="none"/>
        </w:rPr>
      </w:pPr>
    </w:p>
    <w:p w14:paraId="63C704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竞争性磋商文件</w:t>
      </w:r>
    </w:p>
    <w:p w14:paraId="16DA5430">
      <w:pPr>
        <w:pStyle w:val="1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项目编号：三卢竞磋采购-2025-62、LSGZ[2025]140-ZC098</w:t>
      </w:r>
    </w:p>
    <w:p w14:paraId="09724924">
      <w:pPr>
        <w:rPr>
          <w:rFonts w:hint="eastAsia"/>
          <w:lang w:eastAsia="zh-CN"/>
        </w:rPr>
      </w:pPr>
    </w:p>
    <w:p w14:paraId="3D61BCEC">
      <w:pPr>
        <w:pStyle w:val="32"/>
        <w:rPr>
          <w:rFonts w:hint="eastAsia"/>
          <w:lang w:val="en-US" w:eastAsia="zh-CN"/>
        </w:rPr>
      </w:pPr>
    </w:p>
    <w:p w14:paraId="01682019">
      <w:pPr>
        <w:pStyle w:val="11"/>
        <w:rPr>
          <w:rFonts w:hint="eastAsia"/>
          <w:lang w:val="en-US" w:eastAsia="zh-CN"/>
        </w:rPr>
      </w:pPr>
    </w:p>
    <w:p w14:paraId="2B4A1FD8">
      <w:pPr>
        <w:spacing w:line="600" w:lineRule="exact"/>
        <w:ind w:firstLine="1200" w:firstLineChars="500"/>
        <w:jc w:val="both"/>
        <w:rPr>
          <w:rFonts w:ascii="宋体" w:hAnsi="宋体" w:cs="宋体"/>
          <w:color w:val="auto"/>
          <w:kern w:val="2"/>
          <w:sz w:val="24"/>
          <w:szCs w:val="24"/>
          <w:highlight w:val="none"/>
        </w:rPr>
      </w:pPr>
    </w:p>
    <w:p w14:paraId="6A62CDA5">
      <w:pPr>
        <w:spacing w:line="600" w:lineRule="exact"/>
        <w:ind w:firstLine="1200" w:firstLineChars="500"/>
        <w:jc w:val="both"/>
        <w:rPr>
          <w:rFonts w:ascii="宋体" w:hAnsi="宋体" w:cs="宋体"/>
          <w:color w:val="auto"/>
          <w:kern w:val="2"/>
          <w:sz w:val="24"/>
          <w:szCs w:val="24"/>
          <w:highlight w:val="none"/>
        </w:rPr>
      </w:pPr>
    </w:p>
    <w:p w14:paraId="53406908">
      <w:pPr>
        <w:pStyle w:val="15"/>
        <w:jc w:val="center"/>
        <w:rPr>
          <w:rFonts w:ascii="宋体" w:hAnsi="宋体" w:cs="宋体"/>
          <w:color w:val="auto"/>
          <w:sz w:val="24"/>
          <w:szCs w:val="24"/>
          <w:highlight w:val="none"/>
        </w:rPr>
      </w:pPr>
      <w:r>
        <w:rPr>
          <w:b w:val="0"/>
          <w:bCs w:val="0"/>
          <w:sz w:val="20"/>
          <w:szCs w:val="20"/>
        </w:rPr>
        <w:drawing>
          <wp:inline distT="0" distB="0" distL="0" distR="0">
            <wp:extent cx="3284855" cy="2731135"/>
            <wp:effectExtent l="0" t="0" r="10795" b="12065"/>
            <wp:docPr id="4" name="图片 0" descr="微信图片_20210709095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微信图片_20210709095058.png"/>
                    <pic:cNvPicPr>
                      <a:picLocks noChangeAspect="1"/>
                    </pic:cNvPicPr>
                  </pic:nvPicPr>
                  <pic:blipFill>
                    <a:blip r:embed="rId9" cstate="print"/>
                    <a:stretch>
                      <a:fillRect/>
                    </a:stretch>
                  </pic:blipFill>
                  <pic:spPr>
                    <a:xfrm>
                      <a:off x="0" y="0"/>
                      <a:ext cx="3284855" cy="2731135"/>
                    </a:xfrm>
                    <a:prstGeom prst="rect">
                      <a:avLst/>
                    </a:prstGeom>
                  </pic:spPr>
                </pic:pic>
              </a:graphicData>
            </a:graphic>
          </wp:inline>
        </w:drawing>
      </w:r>
    </w:p>
    <w:p w14:paraId="15DC4291">
      <w:pPr>
        <w:rPr>
          <w:color w:val="auto"/>
          <w:highlight w:val="none"/>
        </w:rPr>
      </w:pPr>
    </w:p>
    <w:p w14:paraId="49CD0473">
      <w:pPr>
        <w:spacing w:line="600" w:lineRule="exact"/>
        <w:jc w:val="both"/>
        <w:rPr>
          <w:rFonts w:hint="eastAsia" w:ascii="宋体" w:hAnsi="宋体"/>
          <w:bCs/>
          <w:color w:val="auto"/>
          <w:spacing w:val="-20"/>
          <w:sz w:val="30"/>
          <w:szCs w:val="30"/>
          <w:highlight w:val="none"/>
        </w:rPr>
      </w:pPr>
    </w:p>
    <w:p w14:paraId="34274F62">
      <w:pPr>
        <w:spacing w:line="600" w:lineRule="exact"/>
        <w:jc w:val="both"/>
        <w:rPr>
          <w:rFonts w:hint="eastAsia" w:ascii="宋体" w:hAnsi="宋体"/>
          <w:bCs/>
          <w:color w:val="auto"/>
          <w:spacing w:val="-20"/>
          <w:sz w:val="30"/>
          <w:szCs w:val="30"/>
          <w:highlight w:val="none"/>
        </w:rPr>
      </w:pPr>
    </w:p>
    <w:p w14:paraId="3D2877AD">
      <w:pPr>
        <w:spacing w:line="600" w:lineRule="exact"/>
        <w:jc w:val="center"/>
        <w:rPr>
          <w:rFonts w:hint="default" w:ascii="宋体" w:hAnsi="宋体"/>
          <w:b/>
          <w:bCs w:val="0"/>
          <w:color w:val="auto"/>
          <w:spacing w:val="-20"/>
          <w:sz w:val="32"/>
          <w:szCs w:val="32"/>
          <w:highlight w:val="none"/>
          <w:lang w:val="en-US"/>
        </w:rPr>
      </w:pPr>
      <w:r>
        <w:rPr>
          <w:rFonts w:hint="eastAsia" w:ascii="宋体" w:hAnsi="宋体"/>
          <w:b/>
          <w:bCs w:val="0"/>
          <w:color w:val="auto"/>
          <w:spacing w:val="-20"/>
          <w:sz w:val="32"/>
          <w:szCs w:val="32"/>
          <w:highlight w:val="none"/>
        </w:rPr>
        <w:t>采购人：</w:t>
      </w:r>
      <w:r>
        <w:rPr>
          <w:rFonts w:hint="eastAsia" w:ascii="宋体" w:hAnsi="宋体"/>
          <w:b/>
          <w:bCs w:val="0"/>
          <w:color w:val="auto"/>
          <w:spacing w:val="-20"/>
          <w:sz w:val="32"/>
          <w:szCs w:val="32"/>
          <w:highlight w:val="none"/>
          <w:lang w:eastAsia="zh-CN"/>
        </w:rPr>
        <w:t>卢氏县范里镇人民政府</w:t>
      </w:r>
    </w:p>
    <w:p w14:paraId="3B0EE7AF">
      <w:pPr>
        <w:spacing w:line="600" w:lineRule="exact"/>
        <w:jc w:val="center"/>
        <w:rPr>
          <w:rFonts w:ascii="宋体" w:hAnsi="宋体"/>
          <w:b/>
          <w:bCs w:val="0"/>
          <w:color w:val="auto"/>
          <w:spacing w:val="-20"/>
          <w:sz w:val="32"/>
          <w:szCs w:val="32"/>
          <w:highlight w:val="none"/>
        </w:rPr>
      </w:pPr>
      <w:r>
        <w:rPr>
          <w:rFonts w:hint="eastAsia" w:ascii="宋体" w:hAnsi="宋体"/>
          <w:b/>
          <w:bCs w:val="0"/>
          <w:color w:val="auto"/>
          <w:spacing w:val="-20"/>
          <w:sz w:val="32"/>
          <w:szCs w:val="32"/>
          <w:highlight w:val="none"/>
          <w:lang w:val="en-US" w:eastAsia="zh-CN"/>
        </w:rPr>
        <w:t xml:space="preserve">   </w:t>
      </w:r>
      <w:r>
        <w:rPr>
          <w:rFonts w:hint="eastAsia" w:ascii="宋体" w:hAnsi="宋体"/>
          <w:b/>
          <w:bCs w:val="0"/>
          <w:color w:val="auto"/>
          <w:spacing w:val="-20"/>
          <w:sz w:val="32"/>
          <w:szCs w:val="32"/>
          <w:highlight w:val="none"/>
        </w:rPr>
        <w:t>代理机构：</w:t>
      </w:r>
      <w:r>
        <w:rPr>
          <w:rFonts w:hint="eastAsia" w:ascii="宋体" w:hAnsi="宋体"/>
          <w:b/>
          <w:bCs w:val="0"/>
          <w:color w:val="auto"/>
          <w:spacing w:val="-20"/>
          <w:sz w:val="32"/>
          <w:szCs w:val="32"/>
          <w:highlight w:val="none"/>
          <w:lang w:eastAsia="zh-CN"/>
        </w:rPr>
        <w:t>河南正晔企业管理有限公司</w:t>
      </w:r>
      <w:r>
        <w:rPr>
          <w:rFonts w:hint="eastAsia" w:ascii="宋体" w:hAnsi="宋体"/>
          <w:b/>
          <w:bCs w:val="0"/>
          <w:color w:val="auto"/>
          <w:spacing w:val="-20"/>
          <w:sz w:val="32"/>
          <w:szCs w:val="32"/>
          <w:highlight w:val="none"/>
        </w:rPr>
        <w:t xml:space="preserve">  </w:t>
      </w:r>
    </w:p>
    <w:p w14:paraId="7C822A74">
      <w:pPr>
        <w:spacing w:line="600" w:lineRule="exact"/>
        <w:jc w:val="center"/>
        <w:rPr>
          <w:rFonts w:ascii="宋体" w:hAnsi="宋体"/>
          <w:b/>
          <w:bCs w:val="0"/>
          <w:color w:val="auto"/>
          <w:spacing w:val="-20"/>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b/>
          <w:bCs w:val="0"/>
          <w:color w:val="auto"/>
          <w:spacing w:val="-20"/>
          <w:sz w:val="32"/>
          <w:szCs w:val="32"/>
          <w:highlight w:val="none"/>
        </w:rPr>
        <w:t>日期：二零二</w:t>
      </w:r>
      <w:r>
        <w:rPr>
          <w:rFonts w:hint="eastAsia" w:ascii="宋体" w:hAnsi="宋体"/>
          <w:b/>
          <w:bCs w:val="0"/>
          <w:color w:val="auto"/>
          <w:spacing w:val="-20"/>
          <w:sz w:val="32"/>
          <w:szCs w:val="32"/>
          <w:highlight w:val="none"/>
          <w:lang w:val="en-US" w:eastAsia="zh-CN"/>
        </w:rPr>
        <w:t>五</w:t>
      </w:r>
      <w:r>
        <w:rPr>
          <w:rFonts w:hint="eastAsia" w:ascii="宋体" w:hAnsi="宋体"/>
          <w:b/>
          <w:bCs w:val="0"/>
          <w:color w:val="auto"/>
          <w:spacing w:val="-20"/>
          <w:sz w:val="32"/>
          <w:szCs w:val="32"/>
          <w:highlight w:val="none"/>
        </w:rPr>
        <w:t>年</w:t>
      </w:r>
      <w:r>
        <w:rPr>
          <w:rFonts w:hint="eastAsia" w:ascii="宋体" w:hAnsi="宋体"/>
          <w:b/>
          <w:bCs w:val="0"/>
          <w:color w:val="auto"/>
          <w:spacing w:val="-20"/>
          <w:sz w:val="32"/>
          <w:szCs w:val="32"/>
          <w:highlight w:val="none"/>
          <w:lang w:val="en-US" w:eastAsia="zh-CN"/>
        </w:rPr>
        <w:t>六</w:t>
      </w:r>
      <w:r>
        <w:rPr>
          <w:rFonts w:hint="eastAsia" w:ascii="宋体" w:hAnsi="宋体"/>
          <w:b/>
          <w:bCs w:val="0"/>
          <w:color w:val="auto"/>
          <w:spacing w:val="-20"/>
          <w:sz w:val="32"/>
          <w:szCs w:val="32"/>
          <w:highlight w:val="none"/>
        </w:rPr>
        <w:t>月</w:t>
      </w:r>
    </w:p>
    <w:p w14:paraId="44CD9EE9">
      <w:pPr>
        <w:pStyle w:val="12"/>
        <w:tabs>
          <w:tab w:val="right" w:leader="dot" w:pos="9628"/>
        </w:tabs>
        <w:spacing w:line="600" w:lineRule="exact"/>
        <w:rPr>
          <w:rFonts w:ascii="宋体" w:hAnsi="宋体" w:cs="宋体"/>
          <w:color w:val="auto"/>
          <w:sz w:val="32"/>
          <w:szCs w:val="32"/>
          <w:highlight w:val="none"/>
        </w:rPr>
      </w:pPr>
      <w:r>
        <w:rPr>
          <w:rFonts w:ascii="Calibri" w:hAnsi="Calibri"/>
          <w:color w:val="auto"/>
          <w:sz w:val="24"/>
          <w:highlight w:val="none"/>
        </w:rPr>
        <w:fldChar w:fldCharType="begin"/>
      </w:r>
      <w:r>
        <w:rPr>
          <w:rFonts w:ascii="Calibri" w:hAnsi="Calibri"/>
          <w:color w:val="auto"/>
          <w:sz w:val="24"/>
          <w:highlight w:val="none"/>
        </w:rPr>
        <w:instrText xml:space="preserve">TOC \o "1-3" \h \u </w:instrText>
      </w:r>
      <w:r>
        <w:rPr>
          <w:rFonts w:ascii="Calibri" w:hAnsi="Calibri"/>
          <w:color w:val="auto"/>
          <w:sz w:val="24"/>
          <w:highlight w:val="none"/>
        </w:rPr>
        <w:fldChar w:fldCharType="separate"/>
      </w:r>
    </w:p>
    <w:sdt>
      <w:sdtPr>
        <w:rPr>
          <w:rFonts w:hint="eastAsia" w:ascii="宋体" w:hAnsi="宋体" w:cs="宋体"/>
          <w:color w:val="auto"/>
          <w:sz w:val="32"/>
          <w:szCs w:val="32"/>
          <w:highlight w:val="none"/>
        </w:rPr>
        <w:id w:val="147457486"/>
        <w:docPartObj>
          <w:docPartGallery w:val="Table of Contents"/>
          <w:docPartUnique/>
        </w:docPartObj>
      </w:sdtPr>
      <w:sdtEndPr>
        <w:rPr>
          <w:rFonts w:hint="eastAsia" w:ascii="宋体" w:hAnsi="宋体" w:cs="宋体"/>
          <w:color w:val="auto"/>
          <w:sz w:val="32"/>
          <w:szCs w:val="32"/>
          <w:highlight w:val="none"/>
        </w:rPr>
      </w:sdtEndPr>
      <w:sdtContent>
        <w:p w14:paraId="002AE0D1">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14:paraId="026BC823">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第一章 竞争性磋商公告.........................................1 </w:t>
          </w:r>
        </w:p>
        <w:p w14:paraId="101A43DD">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第二章 </w:t>
          </w:r>
          <w:r>
            <w:rPr>
              <w:rFonts w:hint="eastAsia" w:ascii="宋体" w:hAnsi="宋体" w:cs="宋体"/>
              <w:color w:val="000000"/>
              <w:kern w:val="0"/>
              <w:sz w:val="28"/>
              <w:szCs w:val="28"/>
              <w:lang w:val="en-US" w:eastAsia="zh-CN" w:bidi="ar"/>
            </w:rPr>
            <w:t>响应人</w:t>
          </w:r>
          <w:r>
            <w:rPr>
              <w:rFonts w:hint="eastAsia" w:ascii="宋体" w:hAnsi="宋体" w:eastAsia="宋体" w:cs="宋体"/>
              <w:color w:val="000000"/>
              <w:kern w:val="0"/>
              <w:sz w:val="28"/>
              <w:szCs w:val="28"/>
              <w:lang w:val="en-US" w:eastAsia="zh-CN" w:bidi="ar"/>
            </w:rPr>
            <w:t>须知.............................................</w:t>
          </w:r>
          <w:r>
            <w:rPr>
              <w:rFonts w:hint="eastAsia" w:ascii="宋体" w:hAnsi="宋体" w:cs="宋体"/>
              <w:color w:val="000000"/>
              <w:kern w:val="0"/>
              <w:sz w:val="28"/>
              <w:szCs w:val="28"/>
              <w:lang w:val="en-US" w:eastAsia="zh-CN" w:bidi="ar"/>
            </w:rPr>
            <w:t>6</w:t>
          </w:r>
        </w:p>
        <w:p w14:paraId="2E2733AE">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第三章 </w:t>
          </w:r>
          <w:r>
            <w:rPr>
              <w:rFonts w:hint="eastAsia" w:ascii="宋体" w:hAnsi="宋体" w:cs="宋体"/>
              <w:color w:val="000000"/>
              <w:kern w:val="0"/>
              <w:sz w:val="28"/>
              <w:szCs w:val="28"/>
              <w:lang w:val="en-US" w:eastAsia="zh-CN" w:bidi="ar"/>
            </w:rPr>
            <w:t>评标办法</w:t>
          </w:r>
          <w:r>
            <w:rPr>
              <w:rFonts w:hint="eastAsia" w:ascii="宋体" w:hAnsi="宋体" w:eastAsia="宋体" w:cs="宋体"/>
              <w:color w:val="000000"/>
              <w:kern w:val="0"/>
              <w:sz w:val="28"/>
              <w:szCs w:val="28"/>
              <w:lang w:val="en-US" w:eastAsia="zh-CN" w:bidi="ar"/>
            </w:rPr>
            <w:t>..............................................2</w:t>
          </w: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 </w:t>
          </w:r>
        </w:p>
        <w:p w14:paraId="59002E87">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第四章 合同条款及格式........................................</w:t>
          </w:r>
          <w:r>
            <w:rPr>
              <w:rFonts w:hint="eastAsia" w:ascii="宋体" w:hAnsi="宋体" w:cs="宋体"/>
              <w:color w:val="000000"/>
              <w:kern w:val="0"/>
              <w:sz w:val="28"/>
              <w:szCs w:val="28"/>
              <w:lang w:val="en-US" w:eastAsia="zh-CN" w:bidi="ar"/>
            </w:rPr>
            <w:t>30</w:t>
          </w:r>
          <w:r>
            <w:rPr>
              <w:rFonts w:hint="eastAsia" w:ascii="宋体" w:hAnsi="宋体" w:eastAsia="宋体" w:cs="宋体"/>
              <w:color w:val="000000"/>
              <w:kern w:val="0"/>
              <w:sz w:val="28"/>
              <w:szCs w:val="28"/>
              <w:lang w:val="en-US" w:eastAsia="zh-CN" w:bidi="ar"/>
            </w:rPr>
            <w:t xml:space="preserve"> </w:t>
          </w:r>
        </w:p>
        <w:p w14:paraId="4A016EDE">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第五章 </w:t>
          </w:r>
          <w:r>
            <w:rPr>
              <w:rFonts w:hint="eastAsia" w:ascii="宋体" w:hAnsi="宋体" w:cs="宋体"/>
              <w:color w:val="000000"/>
              <w:kern w:val="0"/>
              <w:sz w:val="28"/>
              <w:szCs w:val="28"/>
              <w:lang w:val="en-US" w:eastAsia="zh-CN" w:bidi="ar"/>
            </w:rPr>
            <w:t>采购需求</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31</w:t>
          </w:r>
          <w:r>
            <w:rPr>
              <w:rFonts w:hint="eastAsia" w:ascii="宋体" w:hAnsi="宋体" w:eastAsia="宋体" w:cs="宋体"/>
              <w:color w:val="000000"/>
              <w:kern w:val="0"/>
              <w:sz w:val="28"/>
              <w:szCs w:val="28"/>
              <w:lang w:val="en-US" w:eastAsia="zh-CN" w:bidi="ar"/>
            </w:rPr>
            <w:t xml:space="preserve"> </w:t>
          </w:r>
        </w:p>
        <w:p w14:paraId="2CC385C4">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第六章 响应文件格式..........................................34</w:t>
          </w:r>
        </w:p>
        <w:p w14:paraId="29CFF10A">
          <w:pPr>
            <w:rPr>
              <w:color w:val="auto"/>
              <w:highlight w:val="none"/>
            </w:rPr>
          </w:pPr>
        </w:p>
      </w:sdtContent>
    </w:sdt>
    <w:p w14:paraId="430F72E3">
      <w:pPr>
        <w:tabs>
          <w:tab w:val="right" w:leader="dot" w:pos="9628"/>
        </w:tabs>
        <w:spacing w:line="600" w:lineRule="exact"/>
        <w:jc w:val="center"/>
        <w:rPr>
          <w:rFonts w:ascii="Calibri" w:hAnsi="Calibri"/>
          <w:color w:val="auto"/>
          <w:sz w:val="24"/>
          <w:szCs w:val="24"/>
          <w:highlight w:val="none"/>
        </w:rPr>
      </w:pPr>
      <w:r>
        <w:rPr>
          <w:rFonts w:ascii="Calibri" w:hAnsi="Calibri"/>
          <w:color w:val="auto"/>
          <w:szCs w:val="24"/>
          <w:highlight w:val="none"/>
        </w:rPr>
        <w:fldChar w:fldCharType="end"/>
      </w:r>
    </w:p>
    <w:p w14:paraId="35F66EBF">
      <w:pPr>
        <w:spacing w:line="600" w:lineRule="exact"/>
        <w:ind w:left="220"/>
        <w:jc w:val="center"/>
        <w:rPr>
          <w:rFonts w:ascii="Calibri" w:hAnsi="Calibri"/>
          <w:color w:val="auto"/>
          <w:sz w:val="24"/>
          <w:szCs w:val="24"/>
          <w:highlight w:val="none"/>
        </w:rPr>
      </w:pPr>
    </w:p>
    <w:p w14:paraId="7B1CD6DB">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7A695731">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42996CD2">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74168D45">
      <w:pPr>
        <w:shd w:val="clear" w:color="auto" w:fill="FFFFFF"/>
        <w:tabs>
          <w:tab w:val="left" w:pos="7094"/>
        </w:tabs>
        <w:spacing w:line="600" w:lineRule="exact"/>
        <w:ind w:firstLine="360" w:firstLineChars="150"/>
        <w:jc w:val="left"/>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ab/>
      </w:r>
    </w:p>
    <w:p w14:paraId="30A6BAD1">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08FCF730">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125F0743">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605017DA">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2AD39B13">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370CF5BE">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0DC09B6B">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4D7E6312">
      <w:pPr>
        <w:spacing w:line="600" w:lineRule="exact"/>
        <w:jc w:val="center"/>
        <w:outlineLvl w:val="0"/>
        <w:rPr>
          <w:rFonts w:ascii="黑体" w:cs="宋体"/>
          <w:bCs/>
          <w:color w:val="auto"/>
          <w:kern w:val="2"/>
          <w:sz w:val="24"/>
          <w:szCs w:val="24"/>
          <w:highlight w:val="none"/>
        </w:rPr>
        <w:sectPr>
          <w:headerReference r:id="rId4" w:type="default"/>
          <w:footerReference r:id="rId5" w:type="default"/>
          <w:pgSz w:w="11906" w:h="16838"/>
          <w:pgMar w:top="1135" w:right="1196" w:bottom="1135" w:left="1418" w:header="720" w:footer="720" w:gutter="0"/>
          <w:pgBorders>
            <w:top w:val="none" w:sz="0" w:space="0"/>
            <w:left w:val="none" w:sz="0" w:space="0"/>
            <w:bottom w:val="none" w:sz="0" w:space="0"/>
            <w:right w:val="none" w:sz="0" w:space="0"/>
          </w:pgBorders>
          <w:pgNumType w:start="1"/>
          <w:cols w:space="720" w:num="1"/>
          <w:docGrid w:type="lines" w:linePitch="312" w:charSpace="0"/>
        </w:sectPr>
      </w:pPr>
      <w:bookmarkStart w:id="3" w:name="_Toc15562"/>
      <w:bookmarkStart w:id="4" w:name="_Toc16152"/>
    </w:p>
    <w:p w14:paraId="0D9BD095">
      <w:pPr>
        <w:spacing w:line="600" w:lineRule="exact"/>
        <w:jc w:val="center"/>
        <w:outlineLvl w:val="0"/>
        <w:rPr>
          <w:rFonts w:ascii="黑体" w:cs="宋体"/>
          <w:b/>
          <w:bCs w:val="0"/>
          <w:color w:val="auto"/>
          <w:kern w:val="2"/>
          <w:sz w:val="32"/>
          <w:szCs w:val="32"/>
          <w:highlight w:val="none"/>
        </w:rPr>
      </w:pPr>
      <w:r>
        <w:rPr>
          <w:rFonts w:hint="eastAsia" w:ascii="黑体" w:cs="宋体"/>
          <w:b/>
          <w:bCs w:val="0"/>
          <w:color w:val="auto"/>
          <w:kern w:val="2"/>
          <w:sz w:val="32"/>
          <w:szCs w:val="32"/>
          <w:highlight w:val="none"/>
        </w:rPr>
        <w:t>第一章</w:t>
      </w:r>
      <w:r>
        <w:rPr>
          <w:rFonts w:hint="eastAsia" w:ascii="黑体" w:cs="宋体"/>
          <w:b/>
          <w:bCs w:val="0"/>
          <w:color w:val="auto"/>
          <w:kern w:val="2"/>
          <w:sz w:val="32"/>
          <w:szCs w:val="32"/>
          <w:highlight w:val="none"/>
          <w:lang w:val="en-US" w:eastAsia="zh-CN"/>
        </w:rPr>
        <w:t xml:space="preserve"> </w:t>
      </w:r>
      <w:r>
        <w:rPr>
          <w:rFonts w:hint="eastAsia" w:ascii="黑体" w:cs="宋体"/>
          <w:b/>
          <w:bCs w:val="0"/>
          <w:color w:val="auto"/>
          <w:kern w:val="2"/>
          <w:sz w:val="32"/>
          <w:szCs w:val="32"/>
          <w:highlight w:val="none"/>
        </w:rPr>
        <w:t>竞争性磋商公告</w:t>
      </w:r>
      <w:bookmarkEnd w:id="3"/>
      <w:bookmarkEnd w:id="4"/>
    </w:p>
    <w:p w14:paraId="0B22E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bookmarkStart w:id="5" w:name="_Toc14037"/>
      <w:r>
        <w:rPr>
          <w:rFonts w:hint="eastAsia" w:ascii="宋体" w:hAnsi="宋体" w:eastAsia="宋体" w:cs="宋体"/>
          <w:i w:val="0"/>
          <w:iCs w:val="0"/>
          <w:caps w:val="0"/>
          <w:color w:val="3D4B64"/>
          <w:spacing w:val="0"/>
          <w:sz w:val="24"/>
          <w:szCs w:val="24"/>
          <w:highlight w:val="none"/>
          <w:lang w:val="en-US" w:eastAsia="zh-CN"/>
        </w:rPr>
        <w:t>河南正晔企业管理有限公司受卢氏县范里镇人民政府的委托，就2025年卢氏县范里镇涧底村中药材加工项目进行竞争性磋商。该项目已具备磋商条件，欢迎符合资格条件的响应人参加。</w:t>
      </w:r>
    </w:p>
    <w:p w14:paraId="24BB8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一、项目概况与磋商范围</w:t>
      </w:r>
    </w:p>
    <w:p w14:paraId="2C8E1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1、采购人：卢氏县范里镇人民政府</w:t>
      </w:r>
    </w:p>
    <w:p w14:paraId="4B5093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2、项目名称：2025年卢氏县范里镇涧底村中药材加工项目</w:t>
      </w:r>
    </w:p>
    <w:p w14:paraId="2BF2CF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yellow"/>
          <w:lang w:val="en-US" w:eastAsia="zh-CN"/>
        </w:rPr>
      </w:pPr>
      <w:r>
        <w:rPr>
          <w:rFonts w:hint="eastAsia" w:ascii="宋体" w:hAnsi="宋体" w:eastAsia="宋体" w:cs="宋体"/>
          <w:i w:val="0"/>
          <w:iCs w:val="0"/>
          <w:caps w:val="0"/>
          <w:color w:val="3D4B64"/>
          <w:spacing w:val="0"/>
          <w:sz w:val="24"/>
          <w:szCs w:val="24"/>
          <w:highlight w:val="none"/>
          <w:lang w:val="en-US" w:eastAsia="zh-CN"/>
        </w:rPr>
        <w:t>3、项目编号：</w:t>
      </w:r>
      <w:r>
        <w:rPr>
          <w:rFonts w:hint="eastAsia" w:ascii="宋体" w:hAnsi="宋体" w:cs="宋体"/>
          <w:i w:val="0"/>
          <w:iCs w:val="0"/>
          <w:caps w:val="0"/>
          <w:color w:val="3D4B64"/>
          <w:spacing w:val="0"/>
          <w:sz w:val="24"/>
          <w:szCs w:val="24"/>
          <w:highlight w:val="none"/>
          <w:lang w:val="en-US" w:eastAsia="zh-CN"/>
        </w:rPr>
        <w:t>三卢竞磋采购-2025-62</w:t>
      </w:r>
      <w:r>
        <w:rPr>
          <w:rFonts w:hint="eastAsia" w:ascii="宋体" w:hAnsi="宋体" w:eastAsia="宋体" w:cs="宋体"/>
          <w:i w:val="0"/>
          <w:iCs w:val="0"/>
          <w:caps w:val="0"/>
          <w:color w:val="3D4B64"/>
          <w:spacing w:val="0"/>
          <w:sz w:val="24"/>
          <w:szCs w:val="24"/>
          <w:highlight w:val="none"/>
          <w:lang w:val="en-US" w:eastAsia="zh-CN"/>
        </w:rPr>
        <w:t>、</w:t>
      </w:r>
      <w:r>
        <w:rPr>
          <w:rFonts w:hint="eastAsia" w:ascii="宋体" w:hAnsi="宋体" w:cs="宋体"/>
          <w:i w:val="0"/>
          <w:iCs w:val="0"/>
          <w:caps w:val="0"/>
          <w:color w:val="3D4B64"/>
          <w:spacing w:val="0"/>
          <w:sz w:val="24"/>
          <w:szCs w:val="24"/>
          <w:highlight w:val="none"/>
          <w:lang w:val="en-US" w:eastAsia="zh-CN"/>
        </w:rPr>
        <w:t>LSGZ[2025]140-ZC098</w:t>
      </w:r>
    </w:p>
    <w:p w14:paraId="486E9B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4、标段划分：本项目不划分标段</w:t>
      </w:r>
    </w:p>
    <w:p w14:paraId="34BAA9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5、项目内容及规模：2025年卢氏县范里镇涧底村中药材加工项目位于范里镇涧底村。主要采购内容为：中药材札捆机、破捆机、提绒机、卷条机、切粒机、空压机、灌装机、中药材存放基台等设备（具体详见采购需求）</w:t>
      </w:r>
    </w:p>
    <w:p w14:paraId="11900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6、预算金额：￥479980.00元</w:t>
      </w:r>
    </w:p>
    <w:p w14:paraId="52B842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7、资金来源：财政资金，已落实</w:t>
      </w:r>
    </w:p>
    <w:p w14:paraId="0BB36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8、供货期限：自合同签订后30日历天内完成。</w:t>
      </w:r>
    </w:p>
    <w:p w14:paraId="79C70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9、质量要求：符合国家及相关行业标准，满足采购人需求</w:t>
      </w:r>
    </w:p>
    <w:p w14:paraId="69579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10、</w:t>
      </w:r>
      <w:bookmarkStart w:id="6" w:name="_Toc32606"/>
      <w:r>
        <w:rPr>
          <w:rFonts w:hint="eastAsia" w:ascii="宋体" w:hAnsi="宋体" w:eastAsia="宋体" w:cs="宋体"/>
          <w:i w:val="0"/>
          <w:iCs w:val="0"/>
          <w:caps w:val="0"/>
          <w:color w:val="3D4B64"/>
          <w:spacing w:val="0"/>
          <w:sz w:val="24"/>
          <w:szCs w:val="24"/>
          <w:highlight w:val="none"/>
          <w:lang w:val="en-US" w:eastAsia="zh-CN"/>
        </w:rPr>
        <w:t>供货地点：卢氏县范里镇涧底村</w:t>
      </w:r>
    </w:p>
    <w:p w14:paraId="4755F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11、质保期：自验收合格之日起一年</w:t>
      </w:r>
    </w:p>
    <w:p w14:paraId="6FBC8D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二、响应人资格要求</w:t>
      </w:r>
      <w:bookmarkEnd w:id="6"/>
    </w:p>
    <w:p w14:paraId="79ACB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落实政府采购政策满足的资格要求：根据《政府采购促进中小企业发展管理办法》（财库〔2020〕46号）规定，本项目专门面向中小企业采购,同时响应人须提供《中小企业声明函》；</w:t>
      </w:r>
    </w:p>
    <w:p w14:paraId="038D1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1、响应人应符合《中华人民共和国政府采购法》第二十二条的规定（提供承诺书，格式自拟）；</w:t>
      </w:r>
    </w:p>
    <w:p w14:paraId="1B186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2、具有中华人民共和国境内注册的能够独立承担民事责任的独立法人或其他组织，具有有效的营业执照、税务登记证、组织机构代码证(或“三证合一”的营业执照)；</w:t>
      </w:r>
    </w:p>
    <w:p w14:paraId="21D3F9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3、</w:t>
      </w:r>
      <w:r>
        <w:rPr>
          <w:rFonts w:hint="eastAsia" w:ascii="宋体" w:hAnsi="宋体" w:cs="宋体"/>
          <w:i w:val="0"/>
          <w:iCs w:val="0"/>
          <w:caps w:val="0"/>
          <w:color w:val="3D4B64"/>
          <w:spacing w:val="0"/>
          <w:sz w:val="24"/>
          <w:szCs w:val="24"/>
          <w:highlight w:val="none"/>
          <w:lang w:val="en-US" w:eastAsia="zh-CN"/>
        </w:rPr>
        <w:t>具有履行本项目采购内容所必需的设备和专业技术服务能力</w:t>
      </w:r>
      <w:r>
        <w:rPr>
          <w:rFonts w:hint="eastAsia" w:ascii="宋体" w:hAnsi="宋体" w:eastAsia="宋体" w:cs="宋体"/>
          <w:i w:val="0"/>
          <w:iCs w:val="0"/>
          <w:caps w:val="0"/>
          <w:color w:val="3D4B64"/>
          <w:spacing w:val="0"/>
          <w:sz w:val="24"/>
          <w:szCs w:val="24"/>
          <w:highlight w:val="none"/>
          <w:lang w:val="en-US" w:eastAsia="zh-CN"/>
        </w:rPr>
        <w:t>（提供</w:t>
      </w:r>
      <w:r>
        <w:rPr>
          <w:rFonts w:hint="eastAsia" w:ascii="宋体" w:hAnsi="宋体" w:cs="宋体"/>
          <w:i w:val="0"/>
          <w:iCs w:val="0"/>
          <w:caps w:val="0"/>
          <w:color w:val="3D4B64"/>
          <w:spacing w:val="0"/>
          <w:sz w:val="24"/>
          <w:szCs w:val="24"/>
          <w:highlight w:val="none"/>
          <w:lang w:val="en-US" w:eastAsia="zh-CN"/>
        </w:rPr>
        <w:t>证明材料或</w:t>
      </w:r>
      <w:r>
        <w:rPr>
          <w:rFonts w:hint="eastAsia" w:ascii="宋体" w:hAnsi="宋体" w:eastAsia="宋体" w:cs="宋体"/>
          <w:i w:val="0"/>
          <w:iCs w:val="0"/>
          <w:caps w:val="0"/>
          <w:color w:val="3D4B64"/>
          <w:spacing w:val="0"/>
          <w:sz w:val="24"/>
          <w:szCs w:val="24"/>
          <w:highlight w:val="none"/>
          <w:lang w:val="en-US" w:eastAsia="zh-CN"/>
        </w:rPr>
        <w:t>承诺书，格式自拟）；</w:t>
      </w:r>
    </w:p>
    <w:p w14:paraId="65EDB2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4、拟派项目负责人为本单位正式员工且已参加社会保险，提供劳动合同及近半年任意连续三个月参加社会养老保险的证明材料（新成立企业从成立之日起计算）；</w:t>
      </w:r>
    </w:p>
    <w:p w14:paraId="3060A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5、须提供企业近半年任意连续三个月（新成立企业从成立之日起计算）依法缴纳税收证明材料：主要是指缴纳增值税或企业所得税或企业附加税的缴费证明；依法免税企业应提供税务部门出具的依法免税证明文件；</w:t>
      </w:r>
    </w:p>
    <w:p w14:paraId="4F298D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6、具有健全的财务会计制度和良好的财务状况；</w:t>
      </w:r>
    </w:p>
    <w:p w14:paraId="4473B9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7、参加政府采购活动前3年内无行贿犯罪记录、商业贿赂、不正当竞争行为、骗取中标、严重违约及重大工程质量等问题；响应人出具的无行贿犯罪记录在中国裁判文书网自行查询或自行承诺（查询&lt;承诺&gt;对象为“企业，法定代表人”）及工商部门出具的无商业贿赂和不正当竞争证明，若当地工商部门不出具此证明，企业自行承诺无商业贿赂和不正当竞争行为；</w:t>
      </w:r>
    </w:p>
    <w:p w14:paraId="5F91B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8、根据《关于在政府采购活动中查询及使用信用记录有关问题的通知》（财库[2016]125 号）和豫财购【2016】15 号的规定，企业没有被列入“信用中国”网站的“失信被执行人”、“重大税收违法失信主体”及“中国政府采购网”网站的“政府采购严重违法失信行为记录名单”；（查询渠道：“信用中国”网站（www.creditchina.gov.cn）、中国政府采购网（www.ccgp.gov.cn），査询时间必须是本项目磋商公告发布之后至开标截止时间之前，需提供网站查询网页截图，查询结果清晰可见）；</w:t>
      </w:r>
    </w:p>
    <w:p w14:paraId="3F20D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9、响应人单位负责人为同一人或者存在直接控股、管理关系的不同投标人，不得参加同一合同项下的采购活动（提供“国家企业信用信息公示系统”网页查询,需包含公司基本信息、股东信息及股权变更信息内容，查询时间为自本项目磋商公告发布之后至开标截止时间之前）；</w:t>
      </w:r>
    </w:p>
    <w:p w14:paraId="60CB32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10、本项目不接受联合体磋商（提供承诺书，格式自拟）；</w:t>
      </w:r>
    </w:p>
    <w:p w14:paraId="01A88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p>
    <w:p w14:paraId="452FBF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11、本项目实行资格后审。</w:t>
      </w:r>
    </w:p>
    <w:p w14:paraId="4F24E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注：被列入失信被执行人及重大税收违法失信主体的企业做无效标处理。采购人或采购代理机构有权对响应人信用记录进行甄别和复查。</w:t>
      </w:r>
    </w:p>
    <w:p w14:paraId="1F38D6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三、磋商文件获取方式</w:t>
      </w:r>
    </w:p>
    <w:p w14:paraId="46AFA3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bookmarkStart w:id="7" w:name="_Toc12451"/>
      <w:r>
        <w:rPr>
          <w:rFonts w:hint="eastAsia" w:ascii="宋体" w:hAnsi="宋体" w:eastAsia="宋体" w:cs="宋体"/>
          <w:i w:val="0"/>
          <w:iCs w:val="0"/>
          <w:caps w:val="0"/>
          <w:color w:val="3D4B64"/>
          <w:spacing w:val="0"/>
          <w:sz w:val="24"/>
          <w:szCs w:val="24"/>
          <w:highlight w:val="none"/>
          <w:lang w:val="en-US" w:eastAsia="zh-CN"/>
        </w:rPr>
        <w:t>1、本项目没有报名环节，响应人凭CA数字证书通过三门峡市公共资源交易中心网（http://gzjy.smx.gov.cn/），点击交易平台选择“市场主体登录”，在所参与项目右侧点击参与投标，即可直接下载本项目磋商文件及其相关资料。</w:t>
      </w:r>
    </w:p>
    <w:p w14:paraId="6272B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办理CA证书：</w:t>
      </w:r>
      <w:r>
        <w:rPr>
          <w:rFonts w:hint="eastAsia" w:ascii="宋体" w:hAnsi="宋体" w:eastAsia="宋体" w:cs="宋体"/>
          <w:i w:val="0"/>
          <w:iCs w:val="0"/>
          <w:caps w:val="0"/>
          <w:color w:val="3D4B64"/>
          <w:spacing w:val="0"/>
          <w:sz w:val="24"/>
          <w:szCs w:val="24"/>
          <w:highlight w:val="none"/>
          <w:lang w:val="en-US" w:eastAsia="zh-CN"/>
        </w:rPr>
        <w:fldChar w:fldCharType="begin"/>
      </w:r>
      <w:r>
        <w:rPr>
          <w:rFonts w:hint="eastAsia" w:ascii="宋体" w:hAnsi="宋体" w:eastAsia="宋体" w:cs="宋体"/>
          <w:i w:val="0"/>
          <w:iCs w:val="0"/>
          <w:caps w:val="0"/>
          <w:color w:val="3D4B64"/>
          <w:spacing w:val="0"/>
          <w:sz w:val="24"/>
          <w:szCs w:val="24"/>
          <w:highlight w:val="none"/>
          <w:lang w:val="en-US" w:eastAsia="zh-CN"/>
        </w:rPr>
        <w:instrText xml:space="preserve"> HYPERLINK "http://gzjy.smx.gov.cn/bzzx/008001/moreinfo.html" </w:instrText>
      </w:r>
      <w:r>
        <w:rPr>
          <w:rFonts w:hint="eastAsia" w:ascii="宋体" w:hAnsi="宋体" w:eastAsia="宋体" w:cs="宋体"/>
          <w:i w:val="0"/>
          <w:iCs w:val="0"/>
          <w:caps w:val="0"/>
          <w:color w:val="3D4B64"/>
          <w:spacing w:val="0"/>
          <w:sz w:val="24"/>
          <w:szCs w:val="24"/>
          <w:highlight w:val="none"/>
          <w:lang w:val="en-US" w:eastAsia="zh-CN"/>
        </w:rPr>
        <w:fldChar w:fldCharType="separate"/>
      </w:r>
      <w:r>
        <w:rPr>
          <w:rFonts w:hint="eastAsia" w:ascii="宋体" w:hAnsi="宋体" w:eastAsia="宋体" w:cs="宋体"/>
          <w:i w:val="0"/>
          <w:iCs w:val="0"/>
          <w:caps w:val="0"/>
          <w:color w:val="3D4B64"/>
          <w:spacing w:val="0"/>
          <w:sz w:val="24"/>
          <w:szCs w:val="24"/>
          <w:highlight w:val="none"/>
          <w:lang w:val="en-US" w:eastAsia="zh-CN"/>
        </w:rPr>
        <w:t>http://gzjy.smx.gov.cn/bzzx/008001/moreinfo.html</w:t>
      </w:r>
      <w:r>
        <w:rPr>
          <w:rFonts w:hint="eastAsia" w:ascii="宋体" w:hAnsi="宋体" w:eastAsia="宋体" w:cs="宋体"/>
          <w:i w:val="0"/>
          <w:iCs w:val="0"/>
          <w:caps w:val="0"/>
          <w:color w:val="3D4B64"/>
          <w:spacing w:val="0"/>
          <w:sz w:val="24"/>
          <w:szCs w:val="24"/>
          <w:highlight w:val="none"/>
          <w:lang w:val="en-US" w:eastAsia="zh-CN"/>
        </w:rPr>
        <w:fldChar w:fldCharType="end"/>
      </w:r>
    </w:p>
    <w:p w14:paraId="2665C0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2、磋商文件下载时间：2025年0</w:t>
      </w:r>
      <w:r>
        <w:rPr>
          <w:rFonts w:hint="eastAsia" w:ascii="宋体" w:hAnsi="宋体" w:cs="宋体"/>
          <w:i w:val="0"/>
          <w:iCs w:val="0"/>
          <w:caps w:val="0"/>
          <w:color w:val="3D4B64"/>
          <w:spacing w:val="0"/>
          <w:sz w:val="24"/>
          <w:szCs w:val="24"/>
          <w:highlight w:val="none"/>
          <w:lang w:val="en-US" w:eastAsia="zh-CN"/>
        </w:rPr>
        <w:t>6</w:t>
      </w:r>
      <w:r>
        <w:rPr>
          <w:rFonts w:hint="eastAsia" w:ascii="宋体" w:hAnsi="宋体" w:eastAsia="宋体" w:cs="宋体"/>
          <w:i w:val="0"/>
          <w:iCs w:val="0"/>
          <w:caps w:val="0"/>
          <w:color w:val="3D4B64"/>
          <w:spacing w:val="0"/>
          <w:sz w:val="24"/>
          <w:szCs w:val="24"/>
          <w:highlight w:val="none"/>
          <w:lang w:val="en-US" w:eastAsia="zh-CN"/>
        </w:rPr>
        <w:t>月</w:t>
      </w:r>
      <w:r>
        <w:rPr>
          <w:rFonts w:hint="eastAsia" w:ascii="宋体" w:hAnsi="宋体" w:cs="宋体"/>
          <w:i w:val="0"/>
          <w:iCs w:val="0"/>
          <w:caps w:val="0"/>
          <w:color w:val="3D4B64"/>
          <w:spacing w:val="0"/>
          <w:sz w:val="24"/>
          <w:szCs w:val="24"/>
          <w:highlight w:val="none"/>
          <w:lang w:val="en-US" w:eastAsia="zh-CN"/>
        </w:rPr>
        <w:t>26</w:t>
      </w:r>
      <w:r>
        <w:rPr>
          <w:rFonts w:hint="eastAsia" w:ascii="宋体" w:hAnsi="宋体" w:eastAsia="宋体" w:cs="宋体"/>
          <w:i w:val="0"/>
          <w:iCs w:val="0"/>
          <w:caps w:val="0"/>
          <w:color w:val="3D4B64"/>
          <w:spacing w:val="0"/>
          <w:sz w:val="24"/>
          <w:szCs w:val="24"/>
          <w:highlight w:val="none"/>
          <w:lang w:val="en-US" w:eastAsia="zh-CN"/>
        </w:rPr>
        <w:t>日08时00分至2025年</w:t>
      </w:r>
      <w:r>
        <w:rPr>
          <w:rFonts w:hint="eastAsia" w:ascii="宋体" w:hAnsi="宋体" w:cs="宋体"/>
          <w:i w:val="0"/>
          <w:iCs w:val="0"/>
          <w:caps w:val="0"/>
          <w:color w:val="3D4B64"/>
          <w:spacing w:val="0"/>
          <w:sz w:val="24"/>
          <w:szCs w:val="24"/>
          <w:highlight w:val="none"/>
          <w:lang w:val="en-US" w:eastAsia="zh-CN"/>
        </w:rPr>
        <w:t>07</w:t>
      </w:r>
      <w:r>
        <w:rPr>
          <w:rFonts w:hint="eastAsia" w:ascii="宋体" w:hAnsi="宋体" w:eastAsia="宋体" w:cs="宋体"/>
          <w:i w:val="0"/>
          <w:iCs w:val="0"/>
          <w:caps w:val="0"/>
          <w:color w:val="3D4B64"/>
          <w:spacing w:val="0"/>
          <w:sz w:val="24"/>
          <w:szCs w:val="24"/>
          <w:highlight w:val="none"/>
          <w:lang w:val="en-US" w:eastAsia="zh-CN"/>
        </w:rPr>
        <w:t>月1</w:t>
      </w:r>
      <w:r>
        <w:rPr>
          <w:rFonts w:hint="eastAsia" w:ascii="宋体" w:hAnsi="宋体" w:cs="宋体"/>
          <w:i w:val="0"/>
          <w:iCs w:val="0"/>
          <w:caps w:val="0"/>
          <w:color w:val="3D4B64"/>
          <w:spacing w:val="0"/>
          <w:sz w:val="24"/>
          <w:szCs w:val="24"/>
          <w:highlight w:val="none"/>
          <w:lang w:val="en-US" w:eastAsia="zh-CN"/>
        </w:rPr>
        <w:t>5</w:t>
      </w:r>
      <w:r>
        <w:rPr>
          <w:rFonts w:hint="eastAsia" w:ascii="宋体" w:hAnsi="宋体" w:eastAsia="宋体" w:cs="宋体"/>
          <w:i w:val="0"/>
          <w:iCs w:val="0"/>
          <w:caps w:val="0"/>
          <w:color w:val="3D4B64"/>
          <w:spacing w:val="0"/>
          <w:sz w:val="24"/>
          <w:szCs w:val="24"/>
          <w:highlight w:val="none"/>
          <w:lang w:val="en-US" w:eastAsia="zh-CN"/>
        </w:rPr>
        <w:t>日08时40分</w:t>
      </w:r>
    </w:p>
    <w:p w14:paraId="6C550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3、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未按时解密的其响应文件将被否决。因响应人原因未能解密、解密失败或解密超时的将被拒绝。</w:t>
      </w:r>
    </w:p>
    <w:p w14:paraId="5D8AE4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4、本项目为全电子招标，不再收取磋商文件费用。</w:t>
      </w:r>
    </w:p>
    <w:p w14:paraId="2D4B08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四、磋商保证金</w:t>
      </w:r>
      <w:bookmarkEnd w:id="7"/>
    </w:p>
    <w:p w14:paraId="33C1E2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bookmarkStart w:id="8" w:name="_Toc13329"/>
      <w:r>
        <w:rPr>
          <w:rFonts w:hint="eastAsia" w:ascii="宋体" w:hAnsi="宋体" w:eastAsia="宋体" w:cs="宋体"/>
          <w:i w:val="0"/>
          <w:iCs w:val="0"/>
          <w:caps w:val="0"/>
          <w:color w:val="3D4B64"/>
          <w:spacing w:val="0"/>
          <w:sz w:val="24"/>
          <w:szCs w:val="24"/>
          <w:highlight w:val="none"/>
          <w:lang w:val="en-US" w:eastAsia="zh-CN"/>
        </w:rPr>
        <w:t>按照《河南省财政厅关于优化政府采购营商环境有关问题的通知》（豫财购[2019]4号文）的要求本项目不再收取磋商保证金。</w:t>
      </w:r>
    </w:p>
    <w:p w14:paraId="585C7F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五、响应人资料的提交</w:t>
      </w:r>
      <w:bookmarkEnd w:id="8"/>
    </w:p>
    <w:p w14:paraId="4B9B9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bookmarkStart w:id="9" w:name="_Toc8949"/>
      <w:r>
        <w:rPr>
          <w:rFonts w:hint="eastAsia" w:ascii="宋体" w:hAnsi="宋体" w:eastAsia="宋体" w:cs="宋体"/>
          <w:i w:val="0"/>
          <w:iCs w:val="0"/>
          <w:caps w:val="0"/>
          <w:color w:val="3D4B64"/>
          <w:spacing w:val="0"/>
          <w:sz w:val="24"/>
          <w:szCs w:val="24"/>
          <w:highlight w:val="none"/>
          <w:lang w:val="en-US" w:eastAsia="zh-CN"/>
        </w:rPr>
        <w:t>本项目实行资格后审，审查内容以磋商截止时间前在三门峡市公共资源交易系统上传的响应文件的信息为准。其上传资料真实性由响应人自行承担，同时，响应人需要完善主体库信息。否则，由此造成应得分而未得分或资格审查不合格等情况的，由响应人承担责任。</w:t>
      </w:r>
    </w:p>
    <w:p w14:paraId="78A97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六、磋商文件的递交</w:t>
      </w:r>
      <w:bookmarkEnd w:id="9"/>
      <w:r>
        <w:rPr>
          <w:rFonts w:hint="eastAsia" w:ascii="宋体" w:hAnsi="宋体" w:eastAsia="宋体" w:cs="宋体"/>
          <w:i w:val="0"/>
          <w:iCs w:val="0"/>
          <w:caps w:val="0"/>
          <w:color w:val="3D4B64"/>
          <w:spacing w:val="0"/>
          <w:sz w:val="24"/>
          <w:szCs w:val="24"/>
          <w:highlight w:val="none"/>
          <w:lang w:val="en-US" w:eastAsia="zh-CN"/>
        </w:rPr>
        <w:t>截止时间（开标时间）及开评标地点</w:t>
      </w:r>
    </w:p>
    <w:p w14:paraId="50ACF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1、磋商文件递交的截止时间（开标时间）为2025年0</w:t>
      </w:r>
      <w:r>
        <w:rPr>
          <w:rFonts w:hint="eastAsia" w:ascii="宋体" w:hAnsi="宋体" w:cs="宋体"/>
          <w:i w:val="0"/>
          <w:iCs w:val="0"/>
          <w:caps w:val="0"/>
          <w:color w:val="3D4B64"/>
          <w:spacing w:val="0"/>
          <w:sz w:val="24"/>
          <w:szCs w:val="24"/>
          <w:highlight w:val="none"/>
          <w:lang w:val="en-US" w:eastAsia="zh-CN"/>
        </w:rPr>
        <w:t>7</w:t>
      </w:r>
      <w:r>
        <w:rPr>
          <w:rFonts w:hint="eastAsia" w:ascii="宋体" w:hAnsi="宋体" w:eastAsia="宋体" w:cs="宋体"/>
          <w:i w:val="0"/>
          <w:iCs w:val="0"/>
          <w:caps w:val="0"/>
          <w:color w:val="3D4B64"/>
          <w:spacing w:val="0"/>
          <w:sz w:val="24"/>
          <w:szCs w:val="24"/>
          <w:highlight w:val="none"/>
          <w:lang w:val="en-US" w:eastAsia="zh-CN"/>
        </w:rPr>
        <w:t>月1</w:t>
      </w:r>
      <w:r>
        <w:rPr>
          <w:rFonts w:hint="eastAsia" w:ascii="宋体" w:hAnsi="宋体" w:cs="宋体"/>
          <w:i w:val="0"/>
          <w:iCs w:val="0"/>
          <w:caps w:val="0"/>
          <w:color w:val="3D4B64"/>
          <w:spacing w:val="0"/>
          <w:sz w:val="24"/>
          <w:szCs w:val="24"/>
          <w:highlight w:val="none"/>
          <w:lang w:val="en-US" w:eastAsia="zh-CN"/>
        </w:rPr>
        <w:t>5</w:t>
      </w:r>
      <w:r>
        <w:rPr>
          <w:rFonts w:hint="eastAsia" w:ascii="宋体" w:hAnsi="宋体" w:eastAsia="宋体" w:cs="宋体"/>
          <w:i w:val="0"/>
          <w:iCs w:val="0"/>
          <w:caps w:val="0"/>
          <w:color w:val="3D4B64"/>
          <w:spacing w:val="0"/>
          <w:sz w:val="24"/>
          <w:szCs w:val="24"/>
          <w:highlight w:val="none"/>
          <w:lang w:val="en-US" w:eastAsia="zh-CN"/>
        </w:rPr>
        <w:t>日08时40分；</w:t>
      </w:r>
    </w:p>
    <w:p w14:paraId="71A4A7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2、开标地点：</w:t>
      </w:r>
      <w:bookmarkStart w:id="10" w:name="_Toc19627"/>
      <w:r>
        <w:rPr>
          <w:rFonts w:hint="eastAsia" w:ascii="宋体" w:hAnsi="宋体" w:eastAsia="宋体" w:cs="宋体"/>
          <w:i w:val="0"/>
          <w:iCs w:val="0"/>
          <w:caps w:val="0"/>
          <w:color w:val="3D4B64"/>
          <w:spacing w:val="0"/>
          <w:sz w:val="24"/>
          <w:szCs w:val="24"/>
          <w:highlight w:val="none"/>
          <w:lang w:val="en-US" w:eastAsia="zh-CN"/>
        </w:rPr>
        <w:t>卢氏县公共资源交易中心四楼第</w:t>
      </w:r>
      <w:r>
        <w:rPr>
          <w:rFonts w:hint="eastAsia" w:ascii="宋体" w:hAnsi="宋体" w:cs="宋体"/>
          <w:i w:val="0"/>
          <w:iCs w:val="0"/>
          <w:caps w:val="0"/>
          <w:color w:val="3D4B64"/>
          <w:spacing w:val="0"/>
          <w:sz w:val="24"/>
          <w:szCs w:val="24"/>
          <w:highlight w:val="none"/>
          <w:lang w:val="en-US" w:eastAsia="zh-CN"/>
        </w:rPr>
        <w:t>二</w:t>
      </w:r>
      <w:r>
        <w:rPr>
          <w:rFonts w:hint="eastAsia" w:ascii="宋体" w:hAnsi="宋体" w:eastAsia="宋体" w:cs="宋体"/>
          <w:i w:val="0"/>
          <w:iCs w:val="0"/>
          <w:caps w:val="0"/>
          <w:color w:val="3D4B64"/>
          <w:spacing w:val="0"/>
          <w:sz w:val="24"/>
          <w:szCs w:val="24"/>
          <w:highlight w:val="none"/>
          <w:lang w:val="en-US" w:eastAsia="zh-CN"/>
        </w:rPr>
        <w:t>开标室；</w:t>
      </w:r>
    </w:p>
    <w:p w14:paraId="270454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yellow"/>
          <w:lang w:val="en-US" w:eastAsia="zh-CN"/>
        </w:rPr>
      </w:pPr>
      <w:r>
        <w:rPr>
          <w:rFonts w:hint="eastAsia" w:ascii="宋体" w:hAnsi="宋体" w:eastAsia="宋体" w:cs="宋体"/>
          <w:i w:val="0"/>
          <w:iCs w:val="0"/>
          <w:caps w:val="0"/>
          <w:color w:val="3D4B64"/>
          <w:spacing w:val="0"/>
          <w:sz w:val="24"/>
          <w:szCs w:val="24"/>
          <w:highlight w:val="none"/>
          <w:lang w:val="en-US" w:eastAsia="zh-CN"/>
        </w:rPr>
        <w:t>3、评标地点：卢氏县公共资源交易中心二楼第</w:t>
      </w:r>
      <w:r>
        <w:rPr>
          <w:rFonts w:hint="eastAsia" w:ascii="宋体" w:hAnsi="宋体" w:cs="宋体"/>
          <w:i w:val="0"/>
          <w:iCs w:val="0"/>
          <w:caps w:val="0"/>
          <w:color w:val="3D4B64"/>
          <w:spacing w:val="0"/>
          <w:sz w:val="24"/>
          <w:szCs w:val="24"/>
          <w:highlight w:val="none"/>
          <w:lang w:val="en-US" w:eastAsia="zh-CN"/>
        </w:rPr>
        <w:t>二</w:t>
      </w:r>
      <w:r>
        <w:rPr>
          <w:rFonts w:hint="eastAsia" w:ascii="宋体" w:hAnsi="宋体" w:eastAsia="宋体" w:cs="宋体"/>
          <w:i w:val="0"/>
          <w:iCs w:val="0"/>
          <w:caps w:val="0"/>
          <w:color w:val="3D4B64"/>
          <w:spacing w:val="0"/>
          <w:sz w:val="24"/>
          <w:szCs w:val="24"/>
          <w:highlight w:val="none"/>
          <w:lang w:val="en-US" w:eastAsia="zh-CN"/>
        </w:rPr>
        <w:t>评标室</w:t>
      </w:r>
    </w:p>
    <w:p w14:paraId="134FF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七、其他事项</w:t>
      </w:r>
      <w:bookmarkEnd w:id="10"/>
    </w:p>
    <w:p w14:paraId="7E1B1D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1、响应人应仔细阅读操作手册，在本公告中要求的截止时间前完成响应文件的上传工作，并充分考虑人为操作等因素，因响应人操作不当等问题造成的无法报名、无法下载磋商文件、无法投标等一切后果，由响应人自行承担；</w:t>
      </w:r>
    </w:p>
    <w:p w14:paraId="5942A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2、投标所发生一切费用由各响应人自行承担，并承担相应的风险和责任；</w:t>
      </w:r>
    </w:p>
    <w:p w14:paraId="744AD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3、响应人递交的响应文件不论中标与否均不予退还；</w:t>
      </w:r>
    </w:p>
    <w:p w14:paraId="2A68F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4、采购人不组织响应人踏勘现场。</w:t>
      </w:r>
    </w:p>
    <w:p w14:paraId="039F4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温馨提示：本项目为电子化、无纸化交易项目，开标时不再接受任何纸质资料，为保证您能投标成功，请需仔细阅读磋商文件和三门峡市公共资源交易中心官网业务办理指南。</w:t>
      </w:r>
    </w:p>
    <w:p w14:paraId="4D76B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八、发布公告的媒介</w:t>
      </w:r>
    </w:p>
    <w:p w14:paraId="5CFB2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本次磋商公告同时在《河南省政府采购网》、《三门峡市公共资源交易中心网》、《中国采购与招标网》上发布。</w:t>
      </w:r>
    </w:p>
    <w:p w14:paraId="339C3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九、联系方式 </w:t>
      </w:r>
    </w:p>
    <w:p w14:paraId="44651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1.监督单位：卢氏县政府采购办公室 </w:t>
      </w:r>
    </w:p>
    <w:p w14:paraId="296341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联系人：郭伟静 </w:t>
      </w:r>
    </w:p>
    <w:p w14:paraId="3BDECB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电话：0398-7863556 </w:t>
      </w:r>
    </w:p>
    <w:p w14:paraId="09D75F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地址：卢氏县城关镇解放路中段 </w:t>
      </w:r>
    </w:p>
    <w:p w14:paraId="56CD22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监督单位：卢氏县农业农村局 </w:t>
      </w:r>
    </w:p>
    <w:p w14:paraId="33926E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联系人：董雷鹏 </w:t>
      </w:r>
    </w:p>
    <w:p w14:paraId="59212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 xml:space="preserve">电话：18239883962、0398-7872655 </w:t>
      </w:r>
    </w:p>
    <w:p w14:paraId="31F73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地址：卢氏县西街二街坊 62 号</w:t>
      </w:r>
    </w:p>
    <w:p w14:paraId="701DD2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2.采购人：卢氏县范里镇人民政府</w:t>
      </w:r>
    </w:p>
    <w:p w14:paraId="639244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rPr>
      </w:pPr>
      <w:r>
        <w:rPr>
          <w:rFonts w:hint="eastAsia" w:ascii="宋体" w:hAnsi="宋体" w:eastAsia="宋体" w:cs="宋体"/>
          <w:i w:val="0"/>
          <w:iCs w:val="0"/>
          <w:caps w:val="0"/>
          <w:color w:val="3D4B64"/>
          <w:spacing w:val="0"/>
          <w:sz w:val="24"/>
          <w:szCs w:val="24"/>
          <w:highlight w:val="none"/>
          <w:lang w:val="en-US" w:eastAsia="zh-CN"/>
        </w:rPr>
        <w:t>联系人：范晓华</w:t>
      </w:r>
    </w:p>
    <w:p w14:paraId="30ED37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eastAsia="zh-CN"/>
        </w:rPr>
      </w:pPr>
      <w:r>
        <w:rPr>
          <w:rFonts w:hint="eastAsia" w:ascii="宋体" w:hAnsi="宋体" w:eastAsia="宋体" w:cs="宋体"/>
          <w:i w:val="0"/>
          <w:iCs w:val="0"/>
          <w:caps w:val="0"/>
          <w:color w:val="3D4B64"/>
          <w:spacing w:val="0"/>
          <w:sz w:val="24"/>
          <w:szCs w:val="24"/>
          <w:highlight w:val="none"/>
          <w:lang w:val="en-US" w:eastAsia="zh-CN"/>
        </w:rPr>
        <w:t>电话：15303755868、0398-7166123</w:t>
      </w:r>
    </w:p>
    <w:p w14:paraId="09C5F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地址：河南省三门峡市卢氏县范里镇后峪村</w:t>
      </w:r>
    </w:p>
    <w:p w14:paraId="50ADB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3.代理机构：河南正晔企业管理有限公司</w:t>
      </w:r>
    </w:p>
    <w:p w14:paraId="35D21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联系人：高辉辉</w:t>
      </w:r>
    </w:p>
    <w:p w14:paraId="6F713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lang w:val="en-US"/>
        </w:rPr>
      </w:pPr>
      <w:r>
        <w:rPr>
          <w:rFonts w:hint="eastAsia" w:ascii="宋体" w:hAnsi="宋体" w:eastAsia="宋体" w:cs="宋体"/>
          <w:i w:val="0"/>
          <w:iCs w:val="0"/>
          <w:caps w:val="0"/>
          <w:color w:val="3D4B64"/>
          <w:spacing w:val="0"/>
          <w:sz w:val="24"/>
          <w:szCs w:val="24"/>
          <w:highlight w:val="none"/>
          <w:lang w:val="en-US" w:eastAsia="zh-CN"/>
        </w:rPr>
        <w:t>电话：15936890993、18530500012</w:t>
      </w:r>
    </w:p>
    <w:p w14:paraId="21739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宋体" w:hAnsi="宋体" w:eastAsia="宋体" w:cs="宋体"/>
          <w:i w:val="0"/>
          <w:iCs w:val="0"/>
          <w:caps w:val="0"/>
          <w:color w:val="3D4B64"/>
          <w:spacing w:val="0"/>
          <w:sz w:val="24"/>
          <w:szCs w:val="24"/>
          <w:highlight w:val="none"/>
        </w:rPr>
      </w:pPr>
      <w:r>
        <w:rPr>
          <w:rFonts w:hint="eastAsia" w:ascii="宋体" w:hAnsi="宋体" w:eastAsia="宋体" w:cs="宋体"/>
          <w:i w:val="0"/>
          <w:iCs w:val="0"/>
          <w:caps w:val="0"/>
          <w:color w:val="3D4B64"/>
          <w:spacing w:val="0"/>
          <w:sz w:val="24"/>
          <w:szCs w:val="24"/>
          <w:highlight w:val="none"/>
          <w:lang w:val="en-US" w:eastAsia="zh-CN"/>
        </w:rPr>
        <w:t>地址：卢氏县建材市场中段</w:t>
      </w:r>
    </w:p>
    <w:p w14:paraId="222F0228"/>
    <w:p w14:paraId="4E855765">
      <w:pPr>
        <w:ind w:firstLine="560" w:firstLineChars="200"/>
        <w:rPr>
          <w:rFonts w:hint="eastAsia" w:ascii="宋体" w:hAnsi="宋体" w:eastAsia="宋体" w:cs="宋体"/>
          <w:bCs/>
          <w:color w:val="auto"/>
          <w:kern w:val="2"/>
          <w:sz w:val="28"/>
          <w:szCs w:val="28"/>
          <w:highlight w:val="none"/>
        </w:rPr>
      </w:pPr>
    </w:p>
    <w:p w14:paraId="7C87F1DE">
      <w:pPr>
        <w:rPr>
          <w:rFonts w:ascii="黑体" w:cs="宋体"/>
          <w:bCs/>
          <w:color w:val="auto"/>
          <w:kern w:val="2"/>
          <w:sz w:val="24"/>
          <w:szCs w:val="24"/>
          <w:highlight w:val="none"/>
        </w:rPr>
      </w:pPr>
      <w:r>
        <w:rPr>
          <w:rFonts w:hint="eastAsia" w:ascii="黑体" w:cs="宋体"/>
          <w:bCs/>
          <w:color w:val="auto"/>
          <w:kern w:val="2"/>
          <w:sz w:val="24"/>
          <w:szCs w:val="24"/>
          <w:highlight w:val="none"/>
        </w:rPr>
        <w:br w:type="page"/>
      </w:r>
    </w:p>
    <w:p w14:paraId="7CEC2261">
      <w:pPr>
        <w:spacing w:line="600" w:lineRule="exact"/>
        <w:jc w:val="center"/>
        <w:outlineLvl w:val="0"/>
        <w:rPr>
          <w:rFonts w:ascii="黑体" w:cs="宋体"/>
          <w:b/>
          <w:bCs w:val="0"/>
          <w:color w:val="auto"/>
          <w:kern w:val="2"/>
          <w:sz w:val="28"/>
          <w:szCs w:val="28"/>
          <w:highlight w:val="none"/>
        </w:rPr>
      </w:pPr>
      <w:bookmarkStart w:id="11" w:name="_Toc6968"/>
      <w:r>
        <w:rPr>
          <w:rFonts w:hint="eastAsia" w:ascii="黑体" w:cs="宋体"/>
          <w:b/>
          <w:bCs w:val="0"/>
          <w:color w:val="auto"/>
          <w:kern w:val="2"/>
          <w:sz w:val="28"/>
          <w:szCs w:val="28"/>
          <w:highlight w:val="none"/>
        </w:rPr>
        <w:t>第二章</w:t>
      </w:r>
      <w:r>
        <w:rPr>
          <w:rFonts w:hint="eastAsia" w:ascii="黑体" w:cs="宋体"/>
          <w:b/>
          <w:bCs w:val="0"/>
          <w:color w:val="auto"/>
          <w:kern w:val="2"/>
          <w:sz w:val="28"/>
          <w:szCs w:val="28"/>
          <w:highlight w:val="none"/>
          <w:lang w:val="en-US" w:eastAsia="zh-CN"/>
        </w:rPr>
        <w:t xml:space="preserve"> 响应人</w:t>
      </w:r>
      <w:r>
        <w:rPr>
          <w:rFonts w:hint="eastAsia" w:ascii="黑体" w:cs="宋体"/>
          <w:b/>
          <w:bCs w:val="0"/>
          <w:color w:val="auto"/>
          <w:kern w:val="2"/>
          <w:sz w:val="28"/>
          <w:szCs w:val="28"/>
          <w:highlight w:val="none"/>
        </w:rPr>
        <w:t>须知</w:t>
      </w:r>
      <w:bookmarkEnd w:id="5"/>
      <w:bookmarkEnd w:id="11"/>
    </w:p>
    <w:p w14:paraId="3257B34C">
      <w:pPr>
        <w:keepNext/>
        <w:keepLines/>
        <w:widowControl w:val="0"/>
        <w:spacing w:line="600" w:lineRule="exact"/>
        <w:jc w:val="center"/>
        <w:outlineLvl w:val="1"/>
        <w:rPr>
          <w:rFonts w:ascii="宋体" w:hAnsi="宋体"/>
          <w:b/>
          <w:color w:val="auto"/>
          <w:sz w:val="28"/>
          <w:szCs w:val="28"/>
          <w:highlight w:val="none"/>
        </w:rPr>
      </w:pPr>
      <w:bookmarkStart w:id="12" w:name="_Toc461977413"/>
      <w:bookmarkEnd w:id="12"/>
      <w:bookmarkStart w:id="13" w:name="_Toc18723"/>
      <w:bookmarkStart w:id="14" w:name="_Toc5034"/>
      <w:r>
        <w:rPr>
          <w:rFonts w:hint="eastAsia" w:ascii="宋体" w:hAnsi="宋体" w:cs="宋体"/>
          <w:b/>
          <w:color w:val="auto"/>
          <w:kern w:val="2"/>
          <w:sz w:val="28"/>
          <w:szCs w:val="28"/>
          <w:highlight w:val="none"/>
          <w:lang w:eastAsia="zh-CN"/>
        </w:rPr>
        <w:t>响应人</w:t>
      </w:r>
      <w:r>
        <w:rPr>
          <w:rFonts w:hint="eastAsia" w:ascii="宋体" w:hAnsi="宋体" w:cs="宋体"/>
          <w:b/>
          <w:color w:val="auto"/>
          <w:kern w:val="2"/>
          <w:sz w:val="28"/>
          <w:szCs w:val="28"/>
          <w:highlight w:val="none"/>
        </w:rPr>
        <w:t>须知前附表</w:t>
      </w:r>
      <w:bookmarkEnd w:id="13"/>
      <w:bookmarkEnd w:id="14"/>
    </w:p>
    <w:tbl>
      <w:tblPr>
        <w:tblStyle w:val="17"/>
        <w:tblW w:w="5042" w:type="pct"/>
        <w:jc w:val="center"/>
        <w:tblLayout w:type="fixed"/>
        <w:tblCellMar>
          <w:top w:w="0" w:type="dxa"/>
          <w:left w:w="108" w:type="dxa"/>
          <w:bottom w:w="0" w:type="dxa"/>
          <w:right w:w="108" w:type="dxa"/>
        </w:tblCellMar>
      </w:tblPr>
      <w:tblGrid>
        <w:gridCol w:w="887"/>
        <w:gridCol w:w="2285"/>
        <w:gridCol w:w="6188"/>
      </w:tblGrid>
      <w:tr w14:paraId="35905781">
        <w:tblPrEx>
          <w:tblCellMar>
            <w:top w:w="0" w:type="dxa"/>
            <w:left w:w="108" w:type="dxa"/>
            <w:bottom w:w="0" w:type="dxa"/>
            <w:right w:w="108" w:type="dxa"/>
          </w:tblCellMar>
        </w:tblPrEx>
        <w:trPr>
          <w:cantSplit/>
          <w:trHeight w:val="697" w:hRule="atLeast"/>
          <w:jc w:val="center"/>
        </w:trPr>
        <w:tc>
          <w:tcPr>
            <w:tcW w:w="473" w:type="pct"/>
            <w:tcBorders>
              <w:top w:val="single" w:color="auto" w:sz="12" w:space="0"/>
              <w:left w:val="single" w:color="auto" w:sz="12" w:space="0"/>
              <w:bottom w:val="single" w:color="auto" w:sz="6" w:space="0"/>
              <w:right w:val="single" w:color="auto" w:sz="6" w:space="0"/>
            </w:tcBorders>
            <w:vAlign w:val="center"/>
          </w:tcPr>
          <w:p w14:paraId="747B3DFF">
            <w:pPr>
              <w:adjustRightInd w:val="0"/>
              <w:spacing w:line="600" w:lineRule="exact"/>
              <w:ind w:left="3" w:hanging="2" w:hangingChars="1"/>
              <w:jc w:val="center"/>
              <w:rPr>
                <w:rFonts w:hint="eastAsia" w:ascii="宋体" w:hAnsi="宋体" w:eastAsia="宋体" w:cs="宋体"/>
                <w:color w:val="auto"/>
                <w:spacing w:val="6"/>
                <w:kern w:val="2"/>
                <w:sz w:val="24"/>
                <w:szCs w:val="24"/>
                <w:highlight w:val="none"/>
                <w:lang w:eastAsia="zh-CN"/>
              </w:rPr>
            </w:pPr>
            <w:r>
              <w:rPr>
                <w:rFonts w:ascii="宋体" w:hAnsi="宋体" w:cs="宋体"/>
                <w:color w:val="auto"/>
                <w:spacing w:val="6"/>
                <w:kern w:val="2"/>
                <w:sz w:val="24"/>
                <w:szCs w:val="24"/>
                <w:highlight w:val="none"/>
              </w:rPr>
              <w:t>条款</w:t>
            </w:r>
          </w:p>
        </w:tc>
        <w:tc>
          <w:tcPr>
            <w:tcW w:w="1220" w:type="pct"/>
            <w:tcBorders>
              <w:top w:val="single" w:color="auto" w:sz="12" w:space="0"/>
              <w:left w:val="single" w:color="auto" w:sz="6" w:space="0"/>
              <w:bottom w:val="single" w:color="auto" w:sz="6" w:space="0"/>
              <w:right w:val="single" w:color="auto" w:sz="6" w:space="0"/>
            </w:tcBorders>
            <w:vAlign w:val="center"/>
          </w:tcPr>
          <w:p w14:paraId="688E9DB9">
            <w:pPr>
              <w:adjustRightInd w:val="0"/>
              <w:spacing w:line="600" w:lineRule="exact"/>
              <w:ind w:left="3" w:hanging="2" w:hangingChars="1"/>
              <w:jc w:val="center"/>
              <w:rPr>
                <w:rFonts w:hint="eastAsia" w:ascii="宋体" w:hAnsi="宋体" w:eastAsia="宋体" w:cs="宋体"/>
                <w:color w:val="auto"/>
                <w:spacing w:val="6"/>
                <w:kern w:val="2"/>
                <w:sz w:val="24"/>
                <w:szCs w:val="24"/>
                <w:highlight w:val="none"/>
                <w:lang w:eastAsia="zh-CN"/>
              </w:rPr>
            </w:pPr>
            <w:r>
              <w:rPr>
                <w:rFonts w:ascii="宋体" w:hAnsi="宋体" w:cs="宋体"/>
                <w:color w:val="auto"/>
                <w:spacing w:val="6"/>
                <w:kern w:val="2"/>
                <w:sz w:val="24"/>
                <w:szCs w:val="24"/>
                <w:highlight w:val="none"/>
              </w:rPr>
              <w:t>条款</w:t>
            </w:r>
            <w:r>
              <w:rPr>
                <w:rFonts w:hint="eastAsia" w:ascii="宋体" w:hAnsi="宋体" w:cs="宋体"/>
                <w:color w:val="auto"/>
                <w:spacing w:val="6"/>
                <w:kern w:val="2"/>
                <w:sz w:val="24"/>
                <w:szCs w:val="24"/>
                <w:highlight w:val="none"/>
                <w:lang w:eastAsia="zh-CN"/>
              </w:rPr>
              <w:t>号</w:t>
            </w:r>
          </w:p>
        </w:tc>
        <w:tc>
          <w:tcPr>
            <w:tcW w:w="3305" w:type="pct"/>
            <w:tcBorders>
              <w:top w:val="single" w:color="auto" w:sz="12" w:space="0"/>
              <w:left w:val="single" w:color="auto" w:sz="6" w:space="0"/>
              <w:bottom w:val="single" w:color="auto" w:sz="6" w:space="0"/>
              <w:right w:val="single" w:color="auto" w:sz="12" w:space="0"/>
            </w:tcBorders>
            <w:vAlign w:val="center"/>
          </w:tcPr>
          <w:p w14:paraId="5AD7F2C3">
            <w:pPr>
              <w:adjustRightInd w:val="0"/>
              <w:spacing w:line="600" w:lineRule="exact"/>
              <w:ind w:left="3" w:hanging="2" w:hangingChars="1"/>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编列内容</w:t>
            </w:r>
          </w:p>
        </w:tc>
      </w:tr>
      <w:tr w14:paraId="1C224461">
        <w:tblPrEx>
          <w:tblCellMar>
            <w:top w:w="0" w:type="dxa"/>
            <w:left w:w="108" w:type="dxa"/>
            <w:bottom w:w="0" w:type="dxa"/>
            <w:right w:w="108" w:type="dxa"/>
          </w:tblCellMar>
        </w:tblPrEx>
        <w:trPr>
          <w:cantSplit/>
          <w:trHeight w:val="563"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6D95F5E">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1</w:t>
            </w:r>
          </w:p>
        </w:tc>
        <w:tc>
          <w:tcPr>
            <w:tcW w:w="1220" w:type="pct"/>
            <w:tcBorders>
              <w:top w:val="single" w:color="auto" w:sz="6" w:space="0"/>
              <w:left w:val="single" w:color="auto" w:sz="6" w:space="0"/>
              <w:bottom w:val="single" w:color="auto" w:sz="6" w:space="0"/>
              <w:right w:val="single" w:color="auto" w:sz="6" w:space="0"/>
            </w:tcBorders>
            <w:vAlign w:val="center"/>
          </w:tcPr>
          <w:p w14:paraId="7F4FC1E1">
            <w:pPr>
              <w:adjustRightInd w:val="0"/>
              <w:spacing w:line="600" w:lineRule="exact"/>
              <w:ind w:left="3" w:hanging="2" w:hangingChars="1"/>
              <w:jc w:val="center"/>
              <w:rPr>
                <w:rFonts w:ascii="宋体" w:hAnsi="宋体" w:cs="宋体"/>
                <w:color w:val="auto"/>
                <w:spacing w:val="6"/>
                <w:kern w:val="2"/>
                <w:sz w:val="24"/>
                <w:szCs w:val="24"/>
                <w:highlight w:val="none"/>
              </w:rPr>
            </w:pPr>
            <w:r>
              <w:rPr>
                <w:rFonts w:hint="eastAsia" w:cs="宋体" w:asciiTheme="minorEastAsia" w:hAnsiTheme="minorEastAsia" w:eastAsiaTheme="minorEastAsia"/>
                <w:kern w:val="2"/>
                <w:sz w:val="24"/>
                <w:szCs w:val="24"/>
              </w:rPr>
              <w:t>监督单位和采购人</w:t>
            </w:r>
          </w:p>
        </w:tc>
        <w:tc>
          <w:tcPr>
            <w:tcW w:w="3305" w:type="pct"/>
            <w:tcBorders>
              <w:top w:val="single" w:color="auto" w:sz="6" w:space="0"/>
              <w:left w:val="single" w:color="auto" w:sz="6" w:space="0"/>
              <w:bottom w:val="single" w:color="auto" w:sz="6" w:space="0"/>
              <w:right w:val="single" w:color="auto" w:sz="12" w:space="0"/>
            </w:tcBorders>
            <w:vAlign w:val="center"/>
          </w:tcPr>
          <w:p w14:paraId="039D7121">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监督单位：卢氏县政府采购办公室 </w:t>
            </w:r>
          </w:p>
          <w:p w14:paraId="3E2DDD3C">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联系人：郭伟静 </w:t>
            </w:r>
          </w:p>
          <w:p w14:paraId="00A3AB0B">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电话：0398-7863556 </w:t>
            </w:r>
          </w:p>
          <w:p w14:paraId="02536022">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地址：卢氏县城关镇解放路中段 </w:t>
            </w:r>
          </w:p>
          <w:p w14:paraId="06BEB66F">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监督单位：卢氏县农业农村局 </w:t>
            </w:r>
          </w:p>
          <w:p w14:paraId="5D656936">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联系人：董雷鹏 </w:t>
            </w:r>
          </w:p>
          <w:p w14:paraId="7B7B70A9">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电话：18239883962、0398-7872655 </w:t>
            </w:r>
          </w:p>
          <w:p w14:paraId="5E5A1E5E">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地址：卢氏县西街二街坊 62 号</w:t>
            </w:r>
          </w:p>
          <w:p w14:paraId="485F4137">
            <w:pPr>
              <w:widowControl w:val="0"/>
              <w:spacing w:line="360" w:lineRule="exact"/>
              <w:jc w:val="left"/>
              <w:rPr>
                <w:rFonts w:hint="eastAsia"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采购人：卢氏县范里镇人民政府</w:t>
            </w:r>
          </w:p>
          <w:p w14:paraId="696B5450">
            <w:pPr>
              <w:widowControl w:val="0"/>
              <w:spacing w:line="360" w:lineRule="exact"/>
              <w:jc w:val="left"/>
              <w:rPr>
                <w:rFonts w:hint="eastAsia" w:ascii="宋体" w:hAnsi="宋体" w:cs="宋体"/>
                <w:color w:val="auto"/>
                <w:spacing w:val="6"/>
                <w:kern w:val="2"/>
                <w:sz w:val="24"/>
                <w:szCs w:val="24"/>
                <w:highlight w:val="none"/>
                <w:lang w:val="en-US"/>
              </w:rPr>
            </w:pPr>
            <w:r>
              <w:rPr>
                <w:rFonts w:hint="eastAsia" w:ascii="宋体" w:hAnsi="宋体" w:cs="宋体"/>
                <w:color w:val="auto"/>
                <w:spacing w:val="6"/>
                <w:kern w:val="2"/>
                <w:sz w:val="24"/>
                <w:szCs w:val="24"/>
                <w:highlight w:val="none"/>
                <w:lang w:val="en-US" w:eastAsia="zh-CN"/>
              </w:rPr>
              <w:t>联系人：范晓华</w:t>
            </w:r>
          </w:p>
          <w:p w14:paraId="1527869A">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电话：15303755868、0398-7166123</w:t>
            </w:r>
          </w:p>
          <w:p w14:paraId="2D4714D9">
            <w:pPr>
              <w:widowControl w:val="0"/>
              <w:spacing w:line="360" w:lineRule="exact"/>
              <w:jc w:val="lef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地址：河南省三门峡市卢氏县范里镇后峪村</w:t>
            </w:r>
          </w:p>
        </w:tc>
      </w:tr>
      <w:tr w14:paraId="70086403">
        <w:tblPrEx>
          <w:tblCellMar>
            <w:top w:w="0" w:type="dxa"/>
            <w:left w:w="108" w:type="dxa"/>
            <w:bottom w:w="0" w:type="dxa"/>
            <w:right w:w="108" w:type="dxa"/>
          </w:tblCellMar>
        </w:tblPrEx>
        <w:trPr>
          <w:cantSplit/>
          <w:trHeight w:val="563"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AC260B2">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w:t>
            </w:r>
          </w:p>
        </w:tc>
        <w:tc>
          <w:tcPr>
            <w:tcW w:w="1220" w:type="pct"/>
            <w:tcBorders>
              <w:top w:val="single" w:color="auto" w:sz="6" w:space="0"/>
              <w:left w:val="single" w:color="auto" w:sz="6" w:space="0"/>
              <w:bottom w:val="single" w:color="auto" w:sz="6" w:space="0"/>
              <w:right w:val="single" w:color="auto" w:sz="6" w:space="0"/>
            </w:tcBorders>
            <w:vAlign w:val="center"/>
          </w:tcPr>
          <w:p w14:paraId="3AE273C3">
            <w:pPr>
              <w:adjustRightInd w:val="0"/>
              <w:spacing w:line="600" w:lineRule="exact"/>
              <w:ind w:left="3" w:hanging="2" w:hangingChars="1"/>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代理机构</w:t>
            </w:r>
          </w:p>
        </w:tc>
        <w:tc>
          <w:tcPr>
            <w:tcW w:w="3305" w:type="pct"/>
            <w:tcBorders>
              <w:top w:val="single" w:color="auto" w:sz="6" w:space="0"/>
              <w:left w:val="single" w:color="auto" w:sz="6" w:space="0"/>
              <w:bottom w:val="single" w:color="auto" w:sz="6" w:space="0"/>
              <w:right w:val="single" w:color="auto" w:sz="12" w:space="0"/>
            </w:tcBorders>
            <w:vAlign w:val="center"/>
          </w:tcPr>
          <w:p w14:paraId="7A51E09A">
            <w:pPr>
              <w:widowControl w:val="0"/>
              <w:spacing w:line="360" w:lineRule="exact"/>
              <w:jc w:val="left"/>
              <w:rPr>
                <w:rFonts w:hint="eastAsia" w:ascii="宋体" w:hAnsi="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eastAsia="zh-CN"/>
              </w:rPr>
              <w:t>代理机构：河南正晔企业管理有限公司</w:t>
            </w:r>
          </w:p>
          <w:p w14:paraId="35F98F4F">
            <w:pPr>
              <w:widowControl w:val="0"/>
              <w:spacing w:line="360" w:lineRule="exact"/>
              <w:jc w:val="left"/>
              <w:rPr>
                <w:rFonts w:hint="eastAsia" w:ascii="宋体" w:hAnsi="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eastAsia="zh-CN"/>
              </w:rPr>
              <w:t>联系人：</w:t>
            </w:r>
            <w:r>
              <w:rPr>
                <w:rFonts w:hint="eastAsia" w:ascii="宋体" w:hAnsi="宋体" w:cs="宋体"/>
                <w:color w:val="auto"/>
                <w:spacing w:val="6"/>
                <w:kern w:val="2"/>
                <w:sz w:val="24"/>
                <w:szCs w:val="24"/>
                <w:highlight w:val="none"/>
                <w:lang w:val="en-US" w:eastAsia="zh-CN"/>
              </w:rPr>
              <w:t>高辉辉</w:t>
            </w:r>
          </w:p>
          <w:p w14:paraId="5F077268">
            <w:pPr>
              <w:widowControl w:val="0"/>
              <w:spacing w:line="360" w:lineRule="exact"/>
              <w:jc w:val="left"/>
              <w:rPr>
                <w:rFonts w:hint="default"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电话：15936890993、18530500012</w:t>
            </w:r>
          </w:p>
          <w:p w14:paraId="2227E4C9">
            <w:pPr>
              <w:widowControl w:val="0"/>
              <w:spacing w:line="360" w:lineRule="exact"/>
              <w:jc w:val="lef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地址：卢氏县建材市场中段</w:t>
            </w:r>
          </w:p>
        </w:tc>
      </w:tr>
      <w:tr w14:paraId="35759340">
        <w:tblPrEx>
          <w:tblCellMar>
            <w:top w:w="0" w:type="dxa"/>
            <w:left w:w="108" w:type="dxa"/>
            <w:bottom w:w="0" w:type="dxa"/>
            <w:right w:w="108" w:type="dxa"/>
          </w:tblCellMar>
        </w:tblPrEx>
        <w:trPr>
          <w:cantSplit/>
          <w:trHeight w:val="52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B4AB450">
            <w:pPr>
              <w:widowControl w:val="0"/>
              <w:adjustRightInd w:val="0"/>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3</w:t>
            </w:r>
          </w:p>
        </w:tc>
        <w:tc>
          <w:tcPr>
            <w:tcW w:w="1220" w:type="pct"/>
            <w:tcBorders>
              <w:top w:val="single" w:color="auto" w:sz="6" w:space="0"/>
              <w:left w:val="single" w:color="auto" w:sz="6" w:space="0"/>
              <w:bottom w:val="single" w:color="auto" w:sz="6" w:space="0"/>
              <w:right w:val="single" w:color="auto" w:sz="6" w:space="0"/>
            </w:tcBorders>
            <w:vAlign w:val="center"/>
          </w:tcPr>
          <w:p w14:paraId="5484455E">
            <w:pPr>
              <w:widowControl w:val="0"/>
              <w:adjustRightInd w:val="0"/>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项目名称</w:t>
            </w:r>
          </w:p>
        </w:tc>
        <w:tc>
          <w:tcPr>
            <w:tcW w:w="3305" w:type="pct"/>
            <w:tcBorders>
              <w:top w:val="single" w:color="auto" w:sz="6" w:space="0"/>
              <w:left w:val="single" w:color="auto" w:sz="6" w:space="0"/>
              <w:bottom w:val="single" w:color="auto" w:sz="6" w:space="0"/>
              <w:right w:val="single" w:color="auto" w:sz="12" w:space="0"/>
            </w:tcBorders>
            <w:vAlign w:val="center"/>
          </w:tcPr>
          <w:p w14:paraId="61BABFFE">
            <w:pPr>
              <w:widowControl w:val="0"/>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2025年卢氏县范里镇涧底村中药材加工项目</w:t>
            </w:r>
          </w:p>
        </w:tc>
      </w:tr>
      <w:tr w14:paraId="6D93887B">
        <w:tblPrEx>
          <w:tblCellMar>
            <w:top w:w="0" w:type="dxa"/>
            <w:left w:w="108" w:type="dxa"/>
            <w:bottom w:w="0" w:type="dxa"/>
            <w:right w:w="108" w:type="dxa"/>
          </w:tblCellMar>
        </w:tblPrEx>
        <w:trPr>
          <w:cantSplit/>
          <w:trHeight w:val="528"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4732A86">
            <w:pPr>
              <w:adjustRightInd w:val="0"/>
              <w:ind w:left="3" w:hanging="2" w:hangingChars="1"/>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w:t>
            </w:r>
          </w:p>
        </w:tc>
        <w:tc>
          <w:tcPr>
            <w:tcW w:w="1220" w:type="pct"/>
            <w:tcBorders>
              <w:top w:val="single" w:color="auto" w:sz="6" w:space="0"/>
              <w:left w:val="single" w:color="auto" w:sz="6" w:space="0"/>
              <w:bottom w:val="single" w:color="auto" w:sz="6" w:space="0"/>
              <w:right w:val="single" w:color="auto" w:sz="6" w:space="0"/>
            </w:tcBorders>
            <w:vAlign w:val="center"/>
          </w:tcPr>
          <w:p w14:paraId="79D2CE64">
            <w:pPr>
              <w:adjustRightInd w:val="0"/>
              <w:ind w:left="2" w:hanging="2" w:hangingChars="1"/>
              <w:jc w:val="center"/>
              <w:rPr>
                <w:rFonts w:ascii="宋体" w:hAnsi="宋体" w:cs="宋体"/>
                <w:color w:val="auto"/>
                <w:kern w:val="2"/>
                <w:sz w:val="24"/>
                <w:szCs w:val="24"/>
                <w:highlight w:val="none"/>
              </w:rPr>
            </w:pPr>
            <w:r>
              <w:rPr>
                <w:rFonts w:ascii="宋体" w:hAnsi="宋体" w:cs="宋体"/>
                <w:color w:val="auto"/>
                <w:kern w:val="2"/>
                <w:sz w:val="24"/>
                <w:szCs w:val="24"/>
                <w:highlight w:val="none"/>
              </w:rPr>
              <w:t>项目编号</w:t>
            </w:r>
          </w:p>
        </w:tc>
        <w:tc>
          <w:tcPr>
            <w:tcW w:w="3305" w:type="pct"/>
            <w:tcBorders>
              <w:top w:val="single" w:color="auto" w:sz="6" w:space="0"/>
              <w:left w:val="single" w:color="auto" w:sz="6" w:space="0"/>
              <w:bottom w:val="single" w:color="auto" w:sz="6" w:space="0"/>
              <w:right w:val="single" w:color="auto" w:sz="12" w:space="0"/>
            </w:tcBorders>
            <w:vAlign w:val="center"/>
          </w:tcPr>
          <w:p w14:paraId="0EEBA922">
            <w:pPr>
              <w:jc w:val="both"/>
              <w:rPr>
                <w:rFonts w:ascii="宋体" w:hAnsi="宋体" w:cs="宋体"/>
                <w:color w:val="auto"/>
                <w:spacing w:val="6"/>
                <w:kern w:val="2"/>
                <w:sz w:val="24"/>
                <w:szCs w:val="24"/>
                <w:highlight w:val="none"/>
              </w:rPr>
            </w:pPr>
            <w:r>
              <w:rPr>
                <w:rFonts w:hint="eastAsia" w:ascii="宋体" w:hAnsi="宋体" w:cs="宋体"/>
                <w:color w:val="auto"/>
                <w:kern w:val="2"/>
                <w:sz w:val="24"/>
                <w:szCs w:val="24"/>
                <w:highlight w:val="none"/>
                <w:lang w:val="en-US" w:eastAsia="zh-CN"/>
              </w:rPr>
              <w:t>三卢竞磋采购-2025-62、LSGZ[2025]140-ZC098</w:t>
            </w:r>
          </w:p>
        </w:tc>
      </w:tr>
      <w:tr w14:paraId="05A91030">
        <w:tblPrEx>
          <w:tblCellMar>
            <w:top w:w="0" w:type="dxa"/>
            <w:left w:w="108" w:type="dxa"/>
            <w:bottom w:w="0" w:type="dxa"/>
            <w:right w:w="108" w:type="dxa"/>
          </w:tblCellMar>
        </w:tblPrEx>
        <w:trPr>
          <w:cantSplit/>
          <w:trHeight w:val="51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026FC53">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5</w:t>
            </w:r>
          </w:p>
        </w:tc>
        <w:tc>
          <w:tcPr>
            <w:tcW w:w="1220" w:type="pct"/>
            <w:tcBorders>
              <w:top w:val="single" w:color="auto" w:sz="6" w:space="0"/>
              <w:left w:val="single" w:color="auto" w:sz="6" w:space="0"/>
              <w:bottom w:val="single" w:color="auto" w:sz="6" w:space="0"/>
              <w:right w:val="single" w:color="auto" w:sz="6" w:space="0"/>
            </w:tcBorders>
            <w:vAlign w:val="center"/>
          </w:tcPr>
          <w:p w14:paraId="5D68C73E">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项目内容及规模</w:t>
            </w:r>
          </w:p>
        </w:tc>
        <w:tc>
          <w:tcPr>
            <w:tcW w:w="3305" w:type="pct"/>
            <w:tcBorders>
              <w:top w:val="single" w:color="auto" w:sz="6" w:space="0"/>
              <w:left w:val="single" w:color="auto" w:sz="6" w:space="0"/>
              <w:bottom w:val="single" w:color="auto" w:sz="6" w:space="0"/>
              <w:right w:val="single" w:color="auto" w:sz="12" w:space="0"/>
            </w:tcBorders>
            <w:vAlign w:val="center"/>
          </w:tcPr>
          <w:p w14:paraId="18D07FD5">
            <w:pPr>
              <w:widowControl w:val="0"/>
              <w:spacing w:line="360" w:lineRule="exact"/>
              <w:jc w:val="lef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中药材札捆机、破捆机、提绒机、卷条机、切粒机、空压机、灌装机、中药材存放基台等设备（具体详见采购需求）</w:t>
            </w:r>
          </w:p>
        </w:tc>
      </w:tr>
      <w:tr w14:paraId="43FA8D8E">
        <w:tblPrEx>
          <w:tblCellMar>
            <w:top w:w="0" w:type="dxa"/>
            <w:left w:w="108" w:type="dxa"/>
            <w:bottom w:w="0" w:type="dxa"/>
            <w:right w:w="108" w:type="dxa"/>
          </w:tblCellMar>
        </w:tblPrEx>
        <w:trPr>
          <w:trHeight w:val="57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05B6546">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16D10B54">
            <w:pPr>
              <w:widowControl w:val="0"/>
              <w:adjustRightInd w:val="0"/>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采购方式</w:t>
            </w:r>
          </w:p>
        </w:tc>
        <w:tc>
          <w:tcPr>
            <w:tcW w:w="3305" w:type="pct"/>
            <w:tcBorders>
              <w:top w:val="single" w:color="auto" w:sz="6" w:space="0"/>
              <w:left w:val="single" w:color="auto" w:sz="6" w:space="0"/>
              <w:bottom w:val="single" w:color="auto" w:sz="6" w:space="0"/>
              <w:right w:val="single" w:color="auto" w:sz="12" w:space="0"/>
            </w:tcBorders>
            <w:vAlign w:val="center"/>
          </w:tcPr>
          <w:p w14:paraId="04747910">
            <w:pPr>
              <w:widowControl w:val="0"/>
              <w:adjustRightInd w:val="0"/>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竞争性磋商</w:t>
            </w:r>
          </w:p>
        </w:tc>
      </w:tr>
      <w:tr w14:paraId="53F4B248">
        <w:tblPrEx>
          <w:tblCellMar>
            <w:top w:w="0" w:type="dxa"/>
            <w:left w:w="108" w:type="dxa"/>
            <w:bottom w:w="0" w:type="dxa"/>
            <w:right w:w="108" w:type="dxa"/>
          </w:tblCellMar>
        </w:tblPrEx>
        <w:trPr>
          <w:trHeight w:val="42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421CA87">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1191168E">
            <w:pPr>
              <w:widowControl w:val="0"/>
              <w:adjustRightInd w:val="0"/>
              <w:jc w:val="center"/>
              <w:rPr>
                <w:rFonts w:ascii="宋体" w:hAnsi="宋体" w:cs="宋体"/>
                <w:color w:val="auto"/>
                <w:spacing w:val="6"/>
                <w:kern w:val="2"/>
                <w:sz w:val="24"/>
                <w:szCs w:val="24"/>
                <w:highlight w:val="none"/>
              </w:rPr>
            </w:pPr>
            <w:r>
              <w:rPr>
                <w:rFonts w:hint="eastAsia" w:ascii="宋体" w:hAnsi="宋体" w:cs="宋体"/>
                <w:color w:val="auto"/>
                <w:kern w:val="2"/>
                <w:sz w:val="24"/>
                <w:szCs w:val="24"/>
                <w:highlight w:val="none"/>
              </w:rPr>
              <w:t>质量要求</w:t>
            </w:r>
          </w:p>
        </w:tc>
        <w:tc>
          <w:tcPr>
            <w:tcW w:w="3305" w:type="pct"/>
            <w:tcBorders>
              <w:top w:val="single" w:color="auto" w:sz="6" w:space="0"/>
              <w:left w:val="single" w:color="auto" w:sz="6" w:space="0"/>
              <w:bottom w:val="single" w:color="auto" w:sz="6" w:space="0"/>
              <w:right w:val="single" w:color="auto" w:sz="12" w:space="0"/>
            </w:tcBorders>
            <w:vAlign w:val="center"/>
          </w:tcPr>
          <w:p w14:paraId="1390CE26">
            <w:pPr>
              <w:widowControl w:val="0"/>
              <w:adjustRightInd w:val="0"/>
              <w:jc w:val="both"/>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eastAsia="zh-CN"/>
              </w:rPr>
              <w:t>质量要求：符合国家及相关行业标准，满足采购人需求</w:t>
            </w:r>
          </w:p>
        </w:tc>
      </w:tr>
      <w:tr w14:paraId="23AC4991">
        <w:tblPrEx>
          <w:tblCellMar>
            <w:top w:w="0" w:type="dxa"/>
            <w:left w:w="108" w:type="dxa"/>
            <w:bottom w:w="0" w:type="dxa"/>
            <w:right w:w="108" w:type="dxa"/>
          </w:tblCellMar>
        </w:tblPrEx>
        <w:trPr>
          <w:trHeight w:val="47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1FCD883">
            <w:pPr>
              <w:adjustRightInd w:val="0"/>
              <w:ind w:left="3" w:hanging="2" w:hangingChars="1"/>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8</w:t>
            </w:r>
          </w:p>
        </w:tc>
        <w:tc>
          <w:tcPr>
            <w:tcW w:w="1220" w:type="pct"/>
            <w:tcBorders>
              <w:top w:val="single" w:color="auto" w:sz="6" w:space="0"/>
              <w:left w:val="single" w:color="auto" w:sz="6" w:space="0"/>
              <w:bottom w:val="single" w:color="auto" w:sz="6" w:space="0"/>
              <w:right w:val="single" w:color="auto" w:sz="6" w:space="0"/>
            </w:tcBorders>
            <w:vAlign w:val="center"/>
          </w:tcPr>
          <w:p w14:paraId="7F60E675">
            <w:pPr>
              <w:adjustRightInd w:val="0"/>
              <w:ind w:left="2" w:hanging="2" w:hangingChars="1"/>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供货期限</w:t>
            </w:r>
          </w:p>
        </w:tc>
        <w:tc>
          <w:tcPr>
            <w:tcW w:w="3305" w:type="pct"/>
            <w:tcBorders>
              <w:top w:val="single" w:color="auto" w:sz="6" w:space="0"/>
              <w:left w:val="single" w:color="auto" w:sz="6" w:space="0"/>
              <w:bottom w:val="single" w:color="auto" w:sz="6" w:space="0"/>
              <w:right w:val="single" w:color="auto" w:sz="12" w:space="0"/>
            </w:tcBorders>
            <w:vAlign w:val="center"/>
          </w:tcPr>
          <w:p w14:paraId="647C483A">
            <w:pPr>
              <w:adjustRightInd w:val="0"/>
              <w:ind w:left="3" w:hanging="2" w:hangingChars="1"/>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自合同签订后30日历天内完成</w:t>
            </w:r>
          </w:p>
        </w:tc>
      </w:tr>
      <w:tr w14:paraId="27D8A630">
        <w:tblPrEx>
          <w:tblCellMar>
            <w:top w:w="0" w:type="dxa"/>
            <w:left w:w="108" w:type="dxa"/>
            <w:bottom w:w="0" w:type="dxa"/>
            <w:right w:w="108" w:type="dxa"/>
          </w:tblCellMar>
        </w:tblPrEx>
        <w:trPr>
          <w:trHeight w:val="471"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1B7EBDF">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9</w:t>
            </w:r>
          </w:p>
        </w:tc>
        <w:tc>
          <w:tcPr>
            <w:tcW w:w="1220" w:type="pct"/>
            <w:tcBorders>
              <w:top w:val="single" w:color="auto" w:sz="6" w:space="0"/>
              <w:left w:val="single" w:color="auto" w:sz="6" w:space="0"/>
              <w:bottom w:val="single" w:color="auto" w:sz="6" w:space="0"/>
              <w:right w:val="single" w:color="auto" w:sz="6" w:space="0"/>
            </w:tcBorders>
            <w:vAlign w:val="center"/>
          </w:tcPr>
          <w:p w14:paraId="3576A0D7">
            <w:pPr>
              <w:widowControl w:val="0"/>
              <w:adjustRightInd w:val="0"/>
              <w:jc w:val="center"/>
              <w:rPr>
                <w:rFonts w:ascii="宋体" w:hAnsi="宋体" w:cs="宋体"/>
                <w:color w:val="auto"/>
                <w:kern w:val="2"/>
                <w:sz w:val="24"/>
                <w:szCs w:val="24"/>
                <w:highlight w:val="none"/>
              </w:rPr>
            </w:pPr>
            <w:r>
              <w:rPr>
                <w:rFonts w:ascii="宋体" w:hAnsi="宋体" w:cs="宋体"/>
                <w:color w:val="auto"/>
                <w:kern w:val="2"/>
                <w:sz w:val="24"/>
                <w:szCs w:val="24"/>
                <w:highlight w:val="none"/>
              </w:rPr>
              <w:t>资金来源</w:t>
            </w:r>
          </w:p>
        </w:tc>
        <w:tc>
          <w:tcPr>
            <w:tcW w:w="3305" w:type="pct"/>
            <w:tcBorders>
              <w:top w:val="single" w:color="auto" w:sz="6" w:space="0"/>
              <w:left w:val="single" w:color="auto" w:sz="6" w:space="0"/>
              <w:bottom w:val="single" w:color="auto" w:sz="6" w:space="0"/>
              <w:right w:val="single" w:color="auto" w:sz="12" w:space="0"/>
            </w:tcBorders>
            <w:vAlign w:val="center"/>
          </w:tcPr>
          <w:p w14:paraId="594FFE5E">
            <w:pPr>
              <w:widowControl w:val="0"/>
              <w:adjustRightInd w:val="0"/>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eastAsia="zh-CN"/>
              </w:rPr>
              <w:t>财政</w:t>
            </w:r>
            <w:r>
              <w:rPr>
                <w:rFonts w:hint="eastAsia" w:ascii="宋体" w:hAnsi="宋体" w:cs="宋体"/>
                <w:color w:val="auto"/>
                <w:spacing w:val="6"/>
                <w:kern w:val="2"/>
                <w:sz w:val="24"/>
                <w:szCs w:val="24"/>
                <w:highlight w:val="none"/>
              </w:rPr>
              <w:t>资金，已落实</w:t>
            </w:r>
          </w:p>
        </w:tc>
      </w:tr>
      <w:tr w14:paraId="326FF1EF">
        <w:tblPrEx>
          <w:tblCellMar>
            <w:top w:w="0" w:type="dxa"/>
            <w:left w:w="108" w:type="dxa"/>
            <w:bottom w:w="0" w:type="dxa"/>
            <w:right w:w="108" w:type="dxa"/>
          </w:tblCellMar>
        </w:tblPrEx>
        <w:trPr>
          <w:trHeight w:val="531"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A9BA054">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0</w:t>
            </w:r>
          </w:p>
        </w:tc>
        <w:tc>
          <w:tcPr>
            <w:tcW w:w="1220" w:type="pct"/>
            <w:tcBorders>
              <w:top w:val="single" w:color="auto" w:sz="6" w:space="0"/>
              <w:left w:val="single" w:color="auto" w:sz="6" w:space="0"/>
              <w:bottom w:val="single" w:color="auto" w:sz="6" w:space="0"/>
              <w:right w:val="single" w:color="auto" w:sz="6" w:space="0"/>
            </w:tcBorders>
            <w:vAlign w:val="center"/>
          </w:tcPr>
          <w:p w14:paraId="70B8A952">
            <w:pPr>
              <w:widowControl w:val="0"/>
              <w:adjustRightInd w:val="0"/>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供货</w:t>
            </w:r>
            <w:r>
              <w:rPr>
                <w:rFonts w:hint="eastAsia" w:ascii="宋体" w:hAnsi="宋体" w:cs="宋体"/>
                <w:color w:val="auto"/>
                <w:kern w:val="2"/>
                <w:sz w:val="24"/>
                <w:szCs w:val="24"/>
                <w:highlight w:val="none"/>
              </w:rPr>
              <w:t>地点</w:t>
            </w:r>
          </w:p>
        </w:tc>
        <w:tc>
          <w:tcPr>
            <w:tcW w:w="3305" w:type="pct"/>
            <w:tcBorders>
              <w:top w:val="single" w:color="auto" w:sz="6" w:space="0"/>
              <w:left w:val="single" w:color="auto" w:sz="6" w:space="0"/>
              <w:bottom w:val="single" w:color="auto" w:sz="6" w:space="0"/>
              <w:right w:val="single" w:color="auto" w:sz="12" w:space="0"/>
            </w:tcBorders>
            <w:vAlign w:val="center"/>
          </w:tcPr>
          <w:p w14:paraId="3E6F846E">
            <w:pPr>
              <w:widowControl w:val="0"/>
              <w:adjustRightInd w:val="0"/>
              <w:jc w:val="both"/>
              <w:rPr>
                <w:rFonts w:hint="default" w:ascii="宋体" w:hAnsi="宋体" w:cs="宋体"/>
                <w:color w:val="auto"/>
                <w:spacing w:val="6"/>
                <w:kern w:val="2"/>
                <w:sz w:val="24"/>
                <w:szCs w:val="24"/>
                <w:highlight w:val="none"/>
                <w:lang w:val="en-US"/>
              </w:rPr>
            </w:pPr>
            <w:r>
              <w:rPr>
                <w:rFonts w:hint="eastAsia" w:ascii="宋体" w:hAnsi="宋体" w:cs="宋体"/>
                <w:color w:val="auto"/>
                <w:spacing w:val="6"/>
                <w:kern w:val="2"/>
                <w:sz w:val="24"/>
                <w:szCs w:val="24"/>
                <w:highlight w:val="none"/>
              </w:rPr>
              <w:t>卢氏</w:t>
            </w:r>
            <w:r>
              <w:rPr>
                <w:rFonts w:hint="eastAsia" w:ascii="宋体" w:hAnsi="宋体" w:cs="宋体"/>
                <w:color w:val="auto"/>
                <w:spacing w:val="6"/>
                <w:kern w:val="2"/>
                <w:sz w:val="24"/>
                <w:szCs w:val="24"/>
                <w:highlight w:val="none"/>
                <w:lang w:eastAsia="zh-CN"/>
              </w:rPr>
              <w:t>县</w:t>
            </w:r>
            <w:r>
              <w:rPr>
                <w:rFonts w:hint="eastAsia" w:ascii="宋体" w:hAnsi="宋体" w:cs="宋体"/>
                <w:color w:val="auto"/>
                <w:spacing w:val="6"/>
                <w:kern w:val="2"/>
                <w:sz w:val="24"/>
                <w:szCs w:val="24"/>
                <w:highlight w:val="none"/>
                <w:lang w:val="en-US" w:eastAsia="zh-CN"/>
              </w:rPr>
              <w:t>范里镇涧底</w:t>
            </w:r>
            <w:r>
              <w:rPr>
                <w:rFonts w:hint="eastAsia" w:ascii="宋体" w:hAnsi="宋体" w:cs="宋体"/>
                <w:color w:val="auto"/>
                <w:spacing w:val="6"/>
                <w:kern w:val="2"/>
                <w:sz w:val="24"/>
                <w:szCs w:val="24"/>
                <w:highlight w:val="none"/>
                <w:lang w:eastAsia="zh-CN"/>
              </w:rPr>
              <w:t>村</w:t>
            </w:r>
          </w:p>
        </w:tc>
      </w:tr>
      <w:tr w14:paraId="5906A075">
        <w:tblPrEx>
          <w:tblCellMar>
            <w:top w:w="0" w:type="dxa"/>
            <w:left w:w="108" w:type="dxa"/>
            <w:bottom w:w="0" w:type="dxa"/>
            <w:right w:w="108" w:type="dxa"/>
          </w:tblCellMar>
        </w:tblPrEx>
        <w:trPr>
          <w:trHeight w:val="44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BC28253">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1</w:t>
            </w:r>
          </w:p>
        </w:tc>
        <w:tc>
          <w:tcPr>
            <w:tcW w:w="1220" w:type="pct"/>
            <w:tcBorders>
              <w:top w:val="single" w:color="auto" w:sz="6" w:space="0"/>
              <w:left w:val="single" w:color="auto" w:sz="6" w:space="0"/>
              <w:bottom w:val="single" w:color="auto" w:sz="6" w:space="0"/>
              <w:right w:val="single" w:color="auto" w:sz="6" w:space="0"/>
            </w:tcBorders>
            <w:vAlign w:val="center"/>
          </w:tcPr>
          <w:p w14:paraId="7F0AA1C3">
            <w:pPr>
              <w:widowControl w:val="0"/>
              <w:adjustRightInd w:val="0"/>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预算</w:t>
            </w:r>
            <w:r>
              <w:rPr>
                <w:rFonts w:hint="eastAsia" w:ascii="宋体" w:hAnsi="宋体" w:cs="宋体"/>
                <w:color w:val="auto"/>
                <w:kern w:val="2"/>
                <w:sz w:val="24"/>
                <w:szCs w:val="24"/>
                <w:highlight w:val="none"/>
                <w:lang w:eastAsia="zh-CN"/>
              </w:rPr>
              <w:t>金额</w:t>
            </w:r>
          </w:p>
        </w:tc>
        <w:tc>
          <w:tcPr>
            <w:tcW w:w="3305" w:type="pct"/>
            <w:tcBorders>
              <w:top w:val="single" w:color="auto" w:sz="6" w:space="0"/>
              <w:left w:val="single" w:color="auto" w:sz="6" w:space="0"/>
              <w:bottom w:val="single" w:color="auto" w:sz="6" w:space="0"/>
              <w:right w:val="single" w:color="auto" w:sz="12" w:space="0"/>
            </w:tcBorders>
            <w:vAlign w:val="center"/>
          </w:tcPr>
          <w:p w14:paraId="3FB6E1AB">
            <w:pPr>
              <w:shd w:val="clear" w:color="auto" w:fill="FFFFFF"/>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w:t>
            </w:r>
            <w:r>
              <w:rPr>
                <w:rFonts w:hint="eastAsia" w:ascii="宋体" w:hAnsi="宋体" w:cs="宋体"/>
                <w:color w:val="auto"/>
                <w:spacing w:val="6"/>
                <w:kern w:val="2"/>
                <w:sz w:val="24"/>
                <w:szCs w:val="24"/>
                <w:highlight w:val="none"/>
                <w:lang w:val="en-US" w:eastAsia="zh-CN"/>
              </w:rPr>
              <w:t>479980.00</w:t>
            </w:r>
            <w:r>
              <w:rPr>
                <w:rFonts w:hint="eastAsia" w:ascii="宋体" w:hAnsi="宋体" w:cs="宋体"/>
                <w:color w:val="auto"/>
                <w:spacing w:val="6"/>
                <w:kern w:val="2"/>
                <w:sz w:val="24"/>
                <w:szCs w:val="24"/>
                <w:highlight w:val="none"/>
              </w:rPr>
              <w:t>元</w:t>
            </w:r>
          </w:p>
        </w:tc>
      </w:tr>
      <w:tr w14:paraId="11472ABF">
        <w:tblPrEx>
          <w:tblCellMar>
            <w:top w:w="0" w:type="dxa"/>
            <w:left w:w="108" w:type="dxa"/>
            <w:bottom w:w="0" w:type="dxa"/>
            <w:right w:w="108" w:type="dxa"/>
          </w:tblCellMar>
        </w:tblPrEx>
        <w:trPr>
          <w:trHeight w:val="45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883090C">
            <w:pPr>
              <w:widowControl w:val="0"/>
              <w:adjustRightInd w:val="0"/>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2</w:t>
            </w:r>
          </w:p>
        </w:tc>
        <w:tc>
          <w:tcPr>
            <w:tcW w:w="1220" w:type="pct"/>
            <w:tcBorders>
              <w:top w:val="single" w:color="auto" w:sz="6" w:space="0"/>
              <w:left w:val="single" w:color="auto" w:sz="6" w:space="0"/>
              <w:bottom w:val="single" w:color="auto" w:sz="6" w:space="0"/>
              <w:right w:val="single" w:color="auto" w:sz="6" w:space="0"/>
            </w:tcBorders>
            <w:vAlign w:val="center"/>
          </w:tcPr>
          <w:p w14:paraId="69F2AF98">
            <w:pPr>
              <w:widowControl w:val="0"/>
              <w:adjustRightInd w:val="0"/>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磋商范围</w:t>
            </w:r>
          </w:p>
        </w:tc>
        <w:tc>
          <w:tcPr>
            <w:tcW w:w="3305" w:type="pct"/>
            <w:tcBorders>
              <w:top w:val="single" w:color="auto" w:sz="6" w:space="0"/>
              <w:left w:val="single" w:color="auto" w:sz="6" w:space="0"/>
              <w:bottom w:val="single" w:color="auto" w:sz="6" w:space="0"/>
              <w:right w:val="single" w:color="auto" w:sz="12" w:space="0"/>
            </w:tcBorders>
            <w:vAlign w:val="center"/>
          </w:tcPr>
          <w:p w14:paraId="5564DD7A">
            <w:pPr>
              <w:widowControl w:val="0"/>
              <w:adjustRightInd w:val="0"/>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竞争性磋商文件、</w:t>
            </w:r>
            <w:r>
              <w:rPr>
                <w:rFonts w:hint="eastAsia" w:ascii="宋体" w:hAnsi="宋体" w:cs="宋体"/>
                <w:color w:val="auto"/>
                <w:kern w:val="2"/>
                <w:sz w:val="24"/>
                <w:szCs w:val="24"/>
                <w:highlight w:val="none"/>
                <w:lang w:val="en-US" w:eastAsia="zh-CN"/>
              </w:rPr>
              <w:t>采购需求</w:t>
            </w:r>
            <w:r>
              <w:rPr>
                <w:rFonts w:hint="eastAsia" w:ascii="宋体" w:hAnsi="宋体" w:cs="宋体"/>
                <w:color w:val="auto"/>
                <w:kern w:val="2"/>
                <w:sz w:val="24"/>
                <w:szCs w:val="24"/>
                <w:highlight w:val="none"/>
              </w:rPr>
              <w:t>所表示的全部内容</w:t>
            </w:r>
          </w:p>
        </w:tc>
      </w:tr>
      <w:tr w14:paraId="4ACA44D6">
        <w:tblPrEx>
          <w:tblCellMar>
            <w:top w:w="0" w:type="dxa"/>
            <w:left w:w="108" w:type="dxa"/>
            <w:bottom w:w="0" w:type="dxa"/>
            <w:right w:w="108" w:type="dxa"/>
          </w:tblCellMar>
        </w:tblPrEx>
        <w:trPr>
          <w:trHeight w:val="53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98E7131">
            <w:pPr>
              <w:widowControl w:val="0"/>
              <w:adjustRightInd w:val="0"/>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3</w:t>
            </w:r>
          </w:p>
        </w:tc>
        <w:tc>
          <w:tcPr>
            <w:tcW w:w="1220" w:type="pct"/>
            <w:tcBorders>
              <w:top w:val="single" w:color="auto" w:sz="6" w:space="0"/>
              <w:left w:val="single" w:color="auto" w:sz="6" w:space="0"/>
              <w:bottom w:val="single" w:color="auto" w:sz="6" w:space="0"/>
              <w:right w:val="single" w:color="auto" w:sz="6" w:space="0"/>
            </w:tcBorders>
            <w:vAlign w:val="center"/>
          </w:tcPr>
          <w:p w14:paraId="4E9869EF">
            <w:pPr>
              <w:widowControl w:val="0"/>
              <w:adjustRightInd w:val="0"/>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响应人资格</w:t>
            </w:r>
            <w:r>
              <w:rPr>
                <w:rFonts w:hint="eastAsia" w:ascii="宋体" w:hAnsi="宋体" w:cs="宋体"/>
                <w:color w:val="auto"/>
                <w:kern w:val="2"/>
                <w:sz w:val="24"/>
                <w:szCs w:val="24"/>
                <w:highlight w:val="none"/>
              </w:rPr>
              <w:t>要求</w:t>
            </w:r>
          </w:p>
        </w:tc>
        <w:tc>
          <w:tcPr>
            <w:tcW w:w="3305" w:type="pct"/>
            <w:tcBorders>
              <w:top w:val="single" w:color="auto" w:sz="6" w:space="0"/>
              <w:left w:val="single" w:color="auto" w:sz="6" w:space="0"/>
              <w:bottom w:val="single" w:color="auto" w:sz="6" w:space="0"/>
              <w:right w:val="single" w:color="auto" w:sz="12" w:space="0"/>
            </w:tcBorders>
            <w:vAlign w:val="center"/>
          </w:tcPr>
          <w:p w14:paraId="0A06F0DB">
            <w:pPr>
              <w:widowControl w:val="0"/>
              <w:adjustRightInd w:val="0"/>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具体详见公告部分</w:t>
            </w:r>
          </w:p>
        </w:tc>
      </w:tr>
      <w:tr w14:paraId="733E4EBD">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8AAF781">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4</w:t>
            </w:r>
          </w:p>
        </w:tc>
        <w:tc>
          <w:tcPr>
            <w:tcW w:w="1220" w:type="pct"/>
            <w:tcBorders>
              <w:top w:val="single" w:color="auto" w:sz="6" w:space="0"/>
              <w:left w:val="single" w:color="auto" w:sz="6" w:space="0"/>
              <w:bottom w:val="single" w:color="auto" w:sz="6" w:space="0"/>
              <w:right w:val="single" w:color="auto" w:sz="6" w:space="0"/>
            </w:tcBorders>
            <w:vAlign w:val="center"/>
          </w:tcPr>
          <w:p w14:paraId="015D26B4">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是否接受联合体</w:t>
            </w:r>
          </w:p>
          <w:p w14:paraId="23722884">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w:t>
            </w:r>
          </w:p>
        </w:tc>
        <w:tc>
          <w:tcPr>
            <w:tcW w:w="3305" w:type="pct"/>
            <w:tcBorders>
              <w:top w:val="single" w:color="auto" w:sz="6" w:space="0"/>
              <w:left w:val="single" w:color="auto" w:sz="6" w:space="0"/>
              <w:bottom w:val="single" w:color="auto" w:sz="6" w:space="0"/>
              <w:right w:val="single" w:color="auto" w:sz="12" w:space="0"/>
            </w:tcBorders>
            <w:vAlign w:val="center"/>
          </w:tcPr>
          <w:p w14:paraId="4C7C5473">
            <w:pPr>
              <w:widowControl w:val="0"/>
              <w:adjustRightInd w:val="0"/>
              <w:spacing w:line="600" w:lineRule="exact"/>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不接受</w:t>
            </w:r>
          </w:p>
        </w:tc>
      </w:tr>
      <w:tr w14:paraId="32D791FB">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27206CA">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5</w:t>
            </w:r>
          </w:p>
        </w:tc>
        <w:tc>
          <w:tcPr>
            <w:tcW w:w="1220" w:type="pct"/>
            <w:tcBorders>
              <w:top w:val="single" w:color="auto" w:sz="6" w:space="0"/>
              <w:left w:val="single" w:color="auto" w:sz="6" w:space="0"/>
              <w:bottom w:val="single" w:color="auto" w:sz="6" w:space="0"/>
              <w:right w:val="single" w:color="auto" w:sz="6" w:space="0"/>
            </w:tcBorders>
            <w:vAlign w:val="center"/>
          </w:tcPr>
          <w:p w14:paraId="0D0C8C22">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踏勘现场</w:t>
            </w:r>
          </w:p>
        </w:tc>
        <w:tc>
          <w:tcPr>
            <w:tcW w:w="3305" w:type="pct"/>
            <w:tcBorders>
              <w:top w:val="single" w:color="auto" w:sz="6" w:space="0"/>
              <w:left w:val="single" w:color="auto" w:sz="6" w:space="0"/>
              <w:bottom w:val="single" w:color="auto" w:sz="6" w:space="0"/>
              <w:right w:val="single" w:color="auto" w:sz="12" w:space="0"/>
            </w:tcBorders>
            <w:vAlign w:val="center"/>
          </w:tcPr>
          <w:p w14:paraId="6D9C5C7E">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不组织</w:t>
            </w:r>
          </w:p>
        </w:tc>
      </w:tr>
      <w:tr w14:paraId="768B6C5F">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A626E49">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40AB9322">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投标预备会</w:t>
            </w:r>
          </w:p>
        </w:tc>
        <w:tc>
          <w:tcPr>
            <w:tcW w:w="3305" w:type="pct"/>
            <w:tcBorders>
              <w:top w:val="single" w:color="auto" w:sz="6" w:space="0"/>
              <w:left w:val="single" w:color="auto" w:sz="6" w:space="0"/>
              <w:bottom w:val="single" w:color="auto" w:sz="6" w:space="0"/>
              <w:right w:val="single" w:color="auto" w:sz="12" w:space="0"/>
            </w:tcBorders>
            <w:vAlign w:val="center"/>
          </w:tcPr>
          <w:p w14:paraId="7CDC5098">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不召开</w:t>
            </w:r>
          </w:p>
        </w:tc>
      </w:tr>
      <w:tr w14:paraId="4F860E62">
        <w:tblPrEx>
          <w:tblCellMar>
            <w:top w:w="0" w:type="dxa"/>
            <w:left w:w="108" w:type="dxa"/>
            <w:bottom w:w="0" w:type="dxa"/>
            <w:right w:w="108" w:type="dxa"/>
          </w:tblCellMar>
        </w:tblPrEx>
        <w:trPr>
          <w:trHeight w:val="4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0C03869">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2E1FD665">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分包</w:t>
            </w:r>
          </w:p>
        </w:tc>
        <w:tc>
          <w:tcPr>
            <w:tcW w:w="3305" w:type="pct"/>
            <w:tcBorders>
              <w:top w:val="single" w:color="auto" w:sz="6" w:space="0"/>
              <w:left w:val="single" w:color="auto" w:sz="6" w:space="0"/>
              <w:bottom w:val="single" w:color="auto" w:sz="6" w:space="0"/>
              <w:right w:val="single" w:color="auto" w:sz="12" w:space="0"/>
            </w:tcBorders>
            <w:vAlign w:val="center"/>
          </w:tcPr>
          <w:p w14:paraId="7FA923C4">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3368E433">
        <w:tblPrEx>
          <w:tblCellMar>
            <w:top w:w="0" w:type="dxa"/>
            <w:left w:w="108" w:type="dxa"/>
            <w:bottom w:w="0" w:type="dxa"/>
            <w:right w:w="108" w:type="dxa"/>
          </w:tblCellMar>
        </w:tblPrEx>
        <w:trPr>
          <w:trHeight w:val="4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D8591A9">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18</w:t>
            </w:r>
          </w:p>
        </w:tc>
        <w:tc>
          <w:tcPr>
            <w:tcW w:w="1220" w:type="pct"/>
            <w:tcBorders>
              <w:top w:val="single" w:color="auto" w:sz="6" w:space="0"/>
              <w:left w:val="single" w:color="auto" w:sz="6" w:space="0"/>
              <w:bottom w:val="single" w:color="auto" w:sz="6" w:space="0"/>
              <w:right w:val="single" w:color="auto" w:sz="6" w:space="0"/>
            </w:tcBorders>
            <w:vAlign w:val="center"/>
          </w:tcPr>
          <w:p w14:paraId="7EC1026F">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是否接受进口产品</w:t>
            </w:r>
          </w:p>
        </w:tc>
        <w:tc>
          <w:tcPr>
            <w:tcW w:w="3305" w:type="pct"/>
            <w:tcBorders>
              <w:top w:val="single" w:color="auto" w:sz="6" w:space="0"/>
              <w:left w:val="single" w:color="auto" w:sz="6" w:space="0"/>
              <w:bottom w:val="single" w:color="auto" w:sz="6" w:space="0"/>
              <w:right w:val="single" w:color="auto" w:sz="12" w:space="0"/>
            </w:tcBorders>
            <w:vAlign w:val="center"/>
          </w:tcPr>
          <w:p w14:paraId="6AB3099B">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否</w:t>
            </w:r>
          </w:p>
        </w:tc>
      </w:tr>
      <w:tr w14:paraId="136A3435">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FA33670">
            <w:pPr>
              <w:widowControl w:val="0"/>
              <w:adjustRightInd w:val="0"/>
              <w:spacing w:line="600" w:lineRule="exact"/>
              <w:jc w:val="center"/>
              <w:rPr>
                <w:rFonts w:hint="default"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19</w:t>
            </w:r>
          </w:p>
        </w:tc>
        <w:tc>
          <w:tcPr>
            <w:tcW w:w="1220" w:type="pct"/>
            <w:tcBorders>
              <w:top w:val="single" w:color="auto" w:sz="6" w:space="0"/>
              <w:left w:val="single" w:color="auto" w:sz="6" w:space="0"/>
              <w:bottom w:val="single" w:color="auto" w:sz="6" w:space="0"/>
              <w:right w:val="single" w:color="auto" w:sz="6" w:space="0"/>
            </w:tcBorders>
            <w:vAlign w:val="center"/>
          </w:tcPr>
          <w:p w14:paraId="523AC89A">
            <w:pPr>
              <w:widowControl w:val="0"/>
              <w:spacing w:line="360" w:lineRule="exact"/>
              <w:jc w:val="center"/>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rPr>
              <w:t>近年完成的类似项目的业绩年份要求</w:t>
            </w:r>
          </w:p>
        </w:tc>
        <w:tc>
          <w:tcPr>
            <w:tcW w:w="3305" w:type="pct"/>
            <w:tcBorders>
              <w:top w:val="single" w:color="auto" w:sz="6" w:space="0"/>
              <w:left w:val="single" w:color="auto" w:sz="6" w:space="0"/>
              <w:bottom w:val="single" w:color="auto" w:sz="6" w:space="0"/>
              <w:right w:val="single" w:color="auto" w:sz="12" w:space="0"/>
            </w:tcBorders>
            <w:vAlign w:val="center"/>
          </w:tcPr>
          <w:p w14:paraId="1B394A68">
            <w:pPr>
              <w:widowControl w:val="0"/>
              <w:spacing w:line="360" w:lineRule="exact"/>
              <w:jc w:val="left"/>
              <w:rPr>
                <w:rFonts w:hint="eastAsia" w:ascii="宋体" w:hAnsi="宋体" w:eastAsia="宋体" w:cs="宋体"/>
                <w:color w:val="auto"/>
                <w:spacing w:val="-10"/>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rPr>
              <w:t>自2022年01月01日以来（以合同签订日期为准）</w:t>
            </w:r>
          </w:p>
        </w:tc>
      </w:tr>
      <w:tr w14:paraId="224D3E4A">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DAE7EDE">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20</w:t>
            </w:r>
          </w:p>
        </w:tc>
        <w:tc>
          <w:tcPr>
            <w:tcW w:w="1220" w:type="pct"/>
            <w:tcBorders>
              <w:top w:val="single" w:color="auto" w:sz="6" w:space="0"/>
              <w:left w:val="single" w:color="auto" w:sz="6" w:space="0"/>
              <w:bottom w:val="single" w:color="auto" w:sz="6" w:space="0"/>
              <w:right w:val="single" w:color="auto" w:sz="6" w:space="0"/>
            </w:tcBorders>
            <w:vAlign w:val="center"/>
          </w:tcPr>
          <w:p w14:paraId="793F4A3B">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构成磋商文件的其他材料</w:t>
            </w:r>
          </w:p>
        </w:tc>
        <w:tc>
          <w:tcPr>
            <w:tcW w:w="3305" w:type="pct"/>
            <w:tcBorders>
              <w:top w:val="single" w:color="auto" w:sz="6" w:space="0"/>
              <w:left w:val="single" w:color="auto" w:sz="6" w:space="0"/>
              <w:bottom w:val="single" w:color="auto" w:sz="6" w:space="0"/>
              <w:right w:val="single" w:color="auto" w:sz="12" w:space="0"/>
            </w:tcBorders>
            <w:vAlign w:val="center"/>
          </w:tcPr>
          <w:p w14:paraId="33D6967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对磋商文件所作的澄清（含答疑）、修改，补充构成磋商文件的组成部分</w:t>
            </w:r>
          </w:p>
        </w:tc>
      </w:tr>
      <w:tr w14:paraId="55E18B87">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84A26FA">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21</w:t>
            </w:r>
          </w:p>
        </w:tc>
        <w:tc>
          <w:tcPr>
            <w:tcW w:w="1220" w:type="pct"/>
            <w:tcBorders>
              <w:top w:val="single" w:color="auto" w:sz="6" w:space="0"/>
              <w:left w:val="single" w:color="auto" w:sz="6" w:space="0"/>
              <w:bottom w:val="single" w:color="auto" w:sz="6" w:space="0"/>
              <w:right w:val="single" w:color="auto" w:sz="6" w:space="0"/>
            </w:tcBorders>
            <w:vAlign w:val="center"/>
          </w:tcPr>
          <w:p w14:paraId="0556CD5E">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响应人提出问题的截止时间</w:t>
            </w:r>
          </w:p>
        </w:tc>
        <w:tc>
          <w:tcPr>
            <w:tcW w:w="3305" w:type="pct"/>
            <w:tcBorders>
              <w:top w:val="single" w:color="auto" w:sz="6" w:space="0"/>
              <w:left w:val="single" w:color="auto" w:sz="6" w:space="0"/>
              <w:bottom w:val="single" w:color="auto" w:sz="6" w:space="0"/>
              <w:right w:val="single" w:color="auto" w:sz="12" w:space="0"/>
            </w:tcBorders>
            <w:vAlign w:val="center"/>
          </w:tcPr>
          <w:p w14:paraId="06056D92">
            <w:pPr>
              <w:widowControl w:val="0"/>
              <w:adjustRightInd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在磋商截止时间前</w:t>
            </w:r>
            <w:r>
              <w:rPr>
                <w:rFonts w:hint="eastAsia" w:ascii="宋体" w:hAnsi="宋体" w:cs="宋体"/>
                <w:color w:val="auto"/>
                <w:kern w:val="2"/>
                <w:sz w:val="24"/>
                <w:szCs w:val="24"/>
                <w:highlight w:val="none"/>
                <w:u w:val="single"/>
              </w:rPr>
              <w:t>5</w:t>
            </w:r>
            <w:r>
              <w:rPr>
                <w:rFonts w:hint="eastAsia" w:ascii="宋体" w:hAnsi="宋体" w:cs="宋体"/>
                <w:color w:val="auto"/>
                <w:kern w:val="2"/>
                <w:sz w:val="24"/>
                <w:szCs w:val="24"/>
                <w:highlight w:val="none"/>
              </w:rPr>
              <w:t>日</w:t>
            </w:r>
          </w:p>
        </w:tc>
      </w:tr>
      <w:tr w14:paraId="4330CB94">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44C9549">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22</w:t>
            </w:r>
          </w:p>
        </w:tc>
        <w:tc>
          <w:tcPr>
            <w:tcW w:w="1220" w:type="pct"/>
            <w:tcBorders>
              <w:top w:val="single" w:color="auto" w:sz="6" w:space="0"/>
              <w:left w:val="single" w:color="auto" w:sz="6" w:space="0"/>
              <w:bottom w:val="single" w:color="auto" w:sz="6" w:space="0"/>
              <w:right w:val="single" w:color="auto" w:sz="6" w:space="0"/>
            </w:tcBorders>
            <w:vAlign w:val="center"/>
          </w:tcPr>
          <w:p w14:paraId="682C2ABE">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采购人书面澄清的时间</w:t>
            </w:r>
          </w:p>
        </w:tc>
        <w:tc>
          <w:tcPr>
            <w:tcW w:w="3305" w:type="pct"/>
            <w:tcBorders>
              <w:top w:val="single" w:color="auto" w:sz="6" w:space="0"/>
              <w:left w:val="single" w:color="auto" w:sz="6" w:space="0"/>
              <w:bottom w:val="single" w:color="auto" w:sz="6" w:space="0"/>
              <w:right w:val="single" w:color="auto" w:sz="12" w:space="0"/>
            </w:tcBorders>
            <w:vAlign w:val="center"/>
          </w:tcPr>
          <w:p w14:paraId="15563AFF">
            <w:pPr>
              <w:widowControl w:val="0"/>
              <w:adjustRightInd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在磋商截止时间前</w:t>
            </w:r>
            <w:r>
              <w:rPr>
                <w:rFonts w:hint="eastAsia" w:ascii="宋体" w:hAnsi="宋体" w:cs="宋体"/>
                <w:color w:val="auto"/>
                <w:kern w:val="2"/>
                <w:sz w:val="24"/>
                <w:szCs w:val="24"/>
                <w:highlight w:val="none"/>
                <w:u w:val="single"/>
              </w:rPr>
              <w:t>5</w:t>
            </w:r>
            <w:r>
              <w:rPr>
                <w:rFonts w:hint="eastAsia" w:ascii="宋体" w:hAnsi="宋体" w:cs="宋体"/>
                <w:color w:val="auto"/>
                <w:kern w:val="2"/>
                <w:sz w:val="24"/>
                <w:szCs w:val="24"/>
                <w:highlight w:val="none"/>
              </w:rPr>
              <w:t>日</w:t>
            </w:r>
          </w:p>
        </w:tc>
      </w:tr>
      <w:tr w14:paraId="0D1CF33F">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BD1068A">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23</w:t>
            </w:r>
          </w:p>
        </w:tc>
        <w:tc>
          <w:tcPr>
            <w:tcW w:w="1220" w:type="pct"/>
            <w:tcBorders>
              <w:top w:val="single" w:color="auto" w:sz="6" w:space="0"/>
              <w:left w:val="single" w:color="auto" w:sz="6" w:space="0"/>
              <w:bottom w:val="single" w:color="auto" w:sz="6" w:space="0"/>
              <w:right w:val="single" w:color="auto" w:sz="6" w:space="0"/>
            </w:tcBorders>
            <w:vAlign w:val="center"/>
          </w:tcPr>
          <w:p w14:paraId="7E5A7D99">
            <w:pPr>
              <w:spacing w:line="360" w:lineRule="exact"/>
              <w:jc w:val="center"/>
              <w:rPr>
                <w:rFonts w:hint="eastAsia" w:cs="Times New Roman"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lang w:eastAsia="zh-CN"/>
              </w:rPr>
              <w:t>响应人</w:t>
            </w:r>
            <w:r>
              <w:rPr>
                <w:rFonts w:hint="eastAsia" w:asciiTheme="minorEastAsia" w:hAnsiTheme="minorEastAsia" w:eastAsiaTheme="minorEastAsia"/>
                <w:sz w:val="24"/>
                <w:szCs w:val="24"/>
              </w:rPr>
              <w:t>确认收到磋商文件的澄清时间</w:t>
            </w:r>
          </w:p>
        </w:tc>
        <w:tc>
          <w:tcPr>
            <w:tcW w:w="3305" w:type="pct"/>
            <w:tcBorders>
              <w:top w:val="single" w:color="auto" w:sz="6" w:space="0"/>
              <w:left w:val="single" w:color="auto" w:sz="6" w:space="0"/>
              <w:bottom w:val="single" w:color="auto" w:sz="6" w:space="0"/>
              <w:right w:val="single" w:color="auto" w:sz="12" w:space="0"/>
            </w:tcBorders>
            <w:vAlign w:val="center"/>
          </w:tcPr>
          <w:p w14:paraId="3B0F4EB7">
            <w:pPr>
              <w:spacing w:line="360" w:lineRule="exact"/>
              <w:rPr>
                <w:rFonts w:hint="eastAsia" w:cs="Times New Roman" w:asciiTheme="minorEastAsia" w:hAnsiTheme="minorEastAsia" w:eastAsiaTheme="minorEastAsia"/>
                <w:sz w:val="24"/>
                <w:szCs w:val="24"/>
                <w:lang w:val="en-US" w:eastAsia="zh-CN" w:bidi="ar-SA"/>
              </w:rPr>
            </w:pPr>
            <w:r>
              <w:rPr>
                <w:rFonts w:hint="eastAsia" w:asciiTheme="minorEastAsia" w:hAnsiTheme="minorEastAsia" w:eastAsiaTheme="minorEastAsia"/>
                <w:sz w:val="24"/>
                <w:szCs w:val="24"/>
              </w:rPr>
              <w:t>收到</w:t>
            </w:r>
            <w:r>
              <w:rPr>
                <w:rFonts w:hint="eastAsia" w:asciiTheme="minorEastAsia" w:hAnsiTheme="minorEastAsia" w:eastAsiaTheme="minorEastAsia"/>
                <w:sz w:val="24"/>
                <w:szCs w:val="24"/>
                <w:lang w:eastAsia="zh-CN"/>
              </w:rPr>
              <w:t>相应</w:t>
            </w:r>
            <w:r>
              <w:rPr>
                <w:rFonts w:hint="eastAsia" w:asciiTheme="minorEastAsia" w:hAnsiTheme="minorEastAsia" w:eastAsiaTheme="minorEastAsia"/>
                <w:sz w:val="24"/>
                <w:szCs w:val="24"/>
              </w:rPr>
              <w:t>澄清</w:t>
            </w:r>
            <w:r>
              <w:rPr>
                <w:rFonts w:hint="eastAsia" w:asciiTheme="minorEastAsia" w:hAnsiTheme="minorEastAsia" w:eastAsiaTheme="minorEastAsia"/>
                <w:sz w:val="24"/>
                <w:szCs w:val="24"/>
                <w:lang w:eastAsia="zh-CN"/>
              </w:rPr>
              <w:t>文件</w:t>
            </w:r>
            <w:r>
              <w:rPr>
                <w:rFonts w:hint="eastAsia" w:asciiTheme="minorEastAsia" w:hAnsiTheme="minorEastAsia" w:eastAsiaTheme="minorEastAsia"/>
                <w:sz w:val="24"/>
                <w:szCs w:val="24"/>
              </w:rPr>
              <w:t>后</w:t>
            </w:r>
            <w:r>
              <w:rPr>
                <w:rFonts w:hint="eastAsia" w:asciiTheme="minorEastAsia" w:hAnsiTheme="minorEastAsia" w:eastAsiaTheme="minorEastAsia"/>
                <w:sz w:val="24"/>
                <w:szCs w:val="24"/>
                <w:u w:val="single"/>
              </w:rPr>
              <w:t>24</w:t>
            </w:r>
            <w:r>
              <w:rPr>
                <w:rFonts w:hint="eastAsia" w:asciiTheme="minorEastAsia" w:hAnsiTheme="minorEastAsia" w:eastAsiaTheme="minorEastAsia"/>
                <w:sz w:val="24"/>
                <w:szCs w:val="24"/>
              </w:rPr>
              <w:t>小时内（已发出时间为准）</w:t>
            </w:r>
          </w:p>
        </w:tc>
      </w:tr>
      <w:tr w14:paraId="16102D94">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C3B7C78">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24</w:t>
            </w:r>
          </w:p>
        </w:tc>
        <w:tc>
          <w:tcPr>
            <w:tcW w:w="1220" w:type="pct"/>
            <w:tcBorders>
              <w:top w:val="single" w:color="auto" w:sz="6" w:space="0"/>
              <w:left w:val="single" w:color="auto" w:sz="6" w:space="0"/>
              <w:bottom w:val="single" w:color="auto" w:sz="6" w:space="0"/>
              <w:right w:val="single" w:color="auto" w:sz="6" w:space="0"/>
            </w:tcBorders>
            <w:vAlign w:val="center"/>
          </w:tcPr>
          <w:p w14:paraId="6735214F">
            <w:pPr>
              <w:spacing w:line="360" w:lineRule="exact"/>
              <w:jc w:val="center"/>
              <w:rPr>
                <w:rFonts w:hint="eastAsia" w:cs="Times New Roman"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lang w:eastAsia="zh-CN"/>
              </w:rPr>
              <w:t>响应人</w:t>
            </w:r>
            <w:r>
              <w:rPr>
                <w:rFonts w:hint="eastAsia" w:asciiTheme="minorEastAsia" w:hAnsiTheme="minorEastAsia" w:eastAsiaTheme="minorEastAsia"/>
                <w:sz w:val="24"/>
                <w:szCs w:val="24"/>
              </w:rPr>
              <w:t>确认收到磋商文件的修改时间</w:t>
            </w:r>
          </w:p>
        </w:tc>
        <w:tc>
          <w:tcPr>
            <w:tcW w:w="3305" w:type="pct"/>
            <w:tcBorders>
              <w:top w:val="single" w:color="auto" w:sz="6" w:space="0"/>
              <w:left w:val="single" w:color="auto" w:sz="6" w:space="0"/>
              <w:bottom w:val="single" w:color="auto" w:sz="6" w:space="0"/>
              <w:right w:val="single" w:color="auto" w:sz="12" w:space="0"/>
            </w:tcBorders>
            <w:vAlign w:val="center"/>
          </w:tcPr>
          <w:p w14:paraId="1769D11C">
            <w:pPr>
              <w:spacing w:line="360" w:lineRule="exact"/>
              <w:rPr>
                <w:rFonts w:hint="eastAsia" w:cs="Times New Roman" w:asciiTheme="minorEastAsia" w:hAnsiTheme="minorEastAsia" w:eastAsiaTheme="minorEastAsia"/>
                <w:sz w:val="24"/>
                <w:szCs w:val="24"/>
                <w:lang w:val="en-US" w:eastAsia="zh-CN" w:bidi="ar-SA"/>
              </w:rPr>
            </w:pPr>
            <w:r>
              <w:rPr>
                <w:rFonts w:hint="eastAsia" w:asciiTheme="minorEastAsia" w:hAnsiTheme="minorEastAsia" w:eastAsiaTheme="minorEastAsia"/>
                <w:sz w:val="24"/>
                <w:szCs w:val="24"/>
              </w:rPr>
              <w:t>收到</w:t>
            </w:r>
            <w:r>
              <w:rPr>
                <w:rFonts w:hint="eastAsia" w:asciiTheme="minorEastAsia" w:hAnsiTheme="minorEastAsia" w:eastAsiaTheme="minorEastAsia"/>
                <w:sz w:val="24"/>
                <w:szCs w:val="24"/>
                <w:lang w:eastAsia="zh-CN"/>
              </w:rPr>
              <w:t>相应修改文件</w:t>
            </w:r>
            <w:r>
              <w:rPr>
                <w:rFonts w:hint="eastAsia" w:asciiTheme="minorEastAsia" w:hAnsiTheme="minorEastAsia" w:eastAsiaTheme="minorEastAsia"/>
                <w:sz w:val="24"/>
                <w:szCs w:val="24"/>
              </w:rPr>
              <w:t>后</w:t>
            </w:r>
            <w:r>
              <w:rPr>
                <w:rFonts w:hint="eastAsia" w:asciiTheme="minorEastAsia" w:hAnsiTheme="minorEastAsia" w:eastAsiaTheme="minorEastAsia"/>
                <w:sz w:val="24"/>
                <w:szCs w:val="24"/>
                <w:u w:val="single"/>
              </w:rPr>
              <w:t>24</w:t>
            </w:r>
            <w:r>
              <w:rPr>
                <w:rFonts w:hint="eastAsia" w:asciiTheme="minorEastAsia" w:hAnsiTheme="minorEastAsia" w:eastAsiaTheme="minorEastAsia"/>
                <w:sz w:val="24"/>
                <w:szCs w:val="24"/>
              </w:rPr>
              <w:t>小时内（已发出时间为准）</w:t>
            </w:r>
          </w:p>
        </w:tc>
      </w:tr>
      <w:tr w14:paraId="6A20BC9B">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268674E8">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25</w:t>
            </w:r>
          </w:p>
        </w:tc>
        <w:tc>
          <w:tcPr>
            <w:tcW w:w="1220" w:type="pct"/>
            <w:tcBorders>
              <w:top w:val="single" w:color="auto" w:sz="6" w:space="0"/>
              <w:left w:val="single" w:color="auto" w:sz="6" w:space="0"/>
              <w:bottom w:val="single" w:color="auto" w:sz="6" w:space="0"/>
              <w:right w:val="single" w:color="auto" w:sz="6" w:space="0"/>
            </w:tcBorders>
            <w:vAlign w:val="center"/>
          </w:tcPr>
          <w:p w14:paraId="13EEECEF">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磋商文件递交</w:t>
            </w:r>
          </w:p>
          <w:p w14:paraId="2F1E70EC">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截止时间</w:t>
            </w:r>
          </w:p>
        </w:tc>
        <w:tc>
          <w:tcPr>
            <w:tcW w:w="3305" w:type="pct"/>
            <w:tcBorders>
              <w:top w:val="single" w:color="auto" w:sz="6" w:space="0"/>
              <w:left w:val="single" w:color="auto" w:sz="6" w:space="0"/>
              <w:bottom w:val="single" w:color="auto" w:sz="6" w:space="0"/>
              <w:right w:val="single" w:color="auto" w:sz="12" w:space="0"/>
            </w:tcBorders>
            <w:vAlign w:val="center"/>
          </w:tcPr>
          <w:p w14:paraId="6BF12E0A">
            <w:pPr>
              <w:widowControl w:val="0"/>
              <w:spacing w:line="600" w:lineRule="exact"/>
              <w:jc w:val="both"/>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spacing w:val="6"/>
                <w:kern w:val="2"/>
                <w:sz w:val="24"/>
                <w:szCs w:val="24"/>
                <w:lang w:eastAsia="zh-CN"/>
              </w:rPr>
              <w:t>具体</w:t>
            </w:r>
            <w:r>
              <w:rPr>
                <w:rFonts w:hint="eastAsia" w:ascii="宋体" w:hAnsi="宋体" w:cs="宋体"/>
                <w:spacing w:val="6"/>
                <w:kern w:val="2"/>
                <w:sz w:val="24"/>
                <w:szCs w:val="24"/>
              </w:rPr>
              <w:t>详见公告部分</w:t>
            </w:r>
          </w:p>
        </w:tc>
      </w:tr>
      <w:tr w14:paraId="2344D8AE">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C0FE2B7">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6BF5DAD5">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响应文件是否退还</w:t>
            </w:r>
          </w:p>
        </w:tc>
        <w:tc>
          <w:tcPr>
            <w:tcW w:w="3305" w:type="pct"/>
            <w:tcBorders>
              <w:top w:val="single" w:color="auto" w:sz="6" w:space="0"/>
              <w:left w:val="single" w:color="auto" w:sz="6" w:space="0"/>
              <w:bottom w:val="single" w:color="auto" w:sz="6" w:space="0"/>
              <w:right w:val="single" w:color="auto" w:sz="12" w:space="0"/>
            </w:tcBorders>
            <w:vAlign w:val="center"/>
          </w:tcPr>
          <w:p w14:paraId="4F9C84B0">
            <w:pPr>
              <w:widowControl w:val="0"/>
              <w:adjustRightInd w:val="0"/>
              <w:spacing w:line="600" w:lineRule="exact"/>
              <w:jc w:val="both"/>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否</w:t>
            </w:r>
          </w:p>
        </w:tc>
      </w:tr>
      <w:tr w14:paraId="475C7A59">
        <w:tblPrEx>
          <w:tblCellMar>
            <w:top w:w="0" w:type="dxa"/>
            <w:left w:w="108" w:type="dxa"/>
            <w:bottom w:w="0" w:type="dxa"/>
            <w:right w:w="108" w:type="dxa"/>
          </w:tblCellMar>
        </w:tblPrEx>
        <w:trPr>
          <w:trHeight w:val="69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9E879D2">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4C1991E0">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是否允许递交备选投标方案</w:t>
            </w:r>
          </w:p>
        </w:tc>
        <w:tc>
          <w:tcPr>
            <w:tcW w:w="3305" w:type="pct"/>
            <w:tcBorders>
              <w:top w:val="single" w:color="auto" w:sz="6" w:space="0"/>
              <w:left w:val="single" w:color="auto" w:sz="6" w:space="0"/>
              <w:bottom w:val="single" w:color="auto" w:sz="6" w:space="0"/>
              <w:right w:val="single" w:color="auto" w:sz="12" w:space="0"/>
            </w:tcBorders>
            <w:vAlign w:val="center"/>
          </w:tcPr>
          <w:p w14:paraId="5364A25F">
            <w:pPr>
              <w:spacing w:line="600" w:lineRule="exact"/>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1AACD4C6">
        <w:tblPrEx>
          <w:tblCellMar>
            <w:top w:w="0" w:type="dxa"/>
            <w:left w:w="108" w:type="dxa"/>
            <w:bottom w:w="0" w:type="dxa"/>
            <w:right w:w="108" w:type="dxa"/>
          </w:tblCellMar>
        </w:tblPrEx>
        <w:trPr>
          <w:trHeight w:val="58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95061E5">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8</w:t>
            </w:r>
          </w:p>
        </w:tc>
        <w:tc>
          <w:tcPr>
            <w:tcW w:w="1220" w:type="pct"/>
            <w:tcBorders>
              <w:top w:val="single" w:color="auto" w:sz="6" w:space="0"/>
              <w:left w:val="single" w:color="auto" w:sz="6" w:space="0"/>
              <w:bottom w:val="single" w:color="auto" w:sz="6" w:space="0"/>
              <w:right w:val="single" w:color="auto" w:sz="6" w:space="0"/>
            </w:tcBorders>
            <w:vAlign w:val="center"/>
          </w:tcPr>
          <w:p w14:paraId="1AD3894F">
            <w:pPr>
              <w:pageBreakBefore w:val="0"/>
              <w:kinsoku/>
              <w:overflowPunct/>
              <w:topLinePunct w:val="0"/>
              <w:bidi w:val="0"/>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竞争性磋商有效期</w:t>
            </w:r>
          </w:p>
        </w:tc>
        <w:tc>
          <w:tcPr>
            <w:tcW w:w="3305" w:type="pct"/>
            <w:tcBorders>
              <w:top w:val="single" w:color="auto" w:sz="6" w:space="0"/>
              <w:left w:val="single" w:color="auto" w:sz="6" w:space="0"/>
              <w:bottom w:val="single" w:color="auto" w:sz="6" w:space="0"/>
              <w:right w:val="single" w:color="auto" w:sz="12" w:space="0"/>
            </w:tcBorders>
            <w:vAlign w:val="center"/>
          </w:tcPr>
          <w:p w14:paraId="6417763E">
            <w:pPr>
              <w:pageBreakBefore w:val="0"/>
              <w:kinsoku/>
              <w:overflowPunct/>
              <w:topLinePunct w:val="0"/>
              <w:bidi w:val="0"/>
              <w:spacing w:line="5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60日历天(指本项目递交响应文件截止之日起)</w:t>
            </w:r>
          </w:p>
        </w:tc>
      </w:tr>
      <w:tr w14:paraId="403C4C45">
        <w:tblPrEx>
          <w:tblCellMar>
            <w:top w:w="0" w:type="dxa"/>
            <w:left w:w="108" w:type="dxa"/>
            <w:bottom w:w="0" w:type="dxa"/>
            <w:right w:w="108" w:type="dxa"/>
          </w:tblCellMar>
        </w:tblPrEx>
        <w:trPr>
          <w:trHeight w:val="99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215232B">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29</w:t>
            </w:r>
          </w:p>
        </w:tc>
        <w:tc>
          <w:tcPr>
            <w:tcW w:w="1220" w:type="pct"/>
            <w:tcBorders>
              <w:top w:val="single" w:color="auto" w:sz="6" w:space="0"/>
              <w:left w:val="single" w:color="auto" w:sz="6" w:space="0"/>
              <w:bottom w:val="single" w:color="auto" w:sz="6" w:space="0"/>
              <w:right w:val="single" w:color="auto" w:sz="6" w:space="0"/>
            </w:tcBorders>
            <w:vAlign w:val="center"/>
          </w:tcPr>
          <w:p w14:paraId="34099751">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磋商保证金</w:t>
            </w:r>
          </w:p>
        </w:tc>
        <w:tc>
          <w:tcPr>
            <w:tcW w:w="3305" w:type="pct"/>
            <w:tcBorders>
              <w:top w:val="single" w:color="auto" w:sz="6" w:space="0"/>
              <w:left w:val="single" w:color="auto" w:sz="6" w:space="0"/>
              <w:bottom w:val="single" w:color="auto" w:sz="6" w:space="0"/>
              <w:right w:val="single" w:color="auto" w:sz="12" w:space="0"/>
            </w:tcBorders>
            <w:vAlign w:val="center"/>
          </w:tcPr>
          <w:p w14:paraId="7C36B5B0">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按照《河南省财政厅关于优化政府采购营商环境有关问题的通知》（豫财购[2019]4号文）的要求本项目不再收取磋商保证金</w:t>
            </w:r>
          </w:p>
        </w:tc>
      </w:tr>
      <w:tr w14:paraId="3B1C75F6">
        <w:tblPrEx>
          <w:tblCellMar>
            <w:top w:w="0" w:type="dxa"/>
            <w:left w:w="108" w:type="dxa"/>
            <w:bottom w:w="0" w:type="dxa"/>
            <w:right w:w="108" w:type="dxa"/>
          </w:tblCellMar>
        </w:tblPrEx>
        <w:trPr>
          <w:trHeight w:val="70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7B409A3">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30</w:t>
            </w:r>
          </w:p>
        </w:tc>
        <w:tc>
          <w:tcPr>
            <w:tcW w:w="1220" w:type="pct"/>
            <w:tcBorders>
              <w:top w:val="single" w:color="auto" w:sz="6" w:space="0"/>
              <w:left w:val="single" w:color="auto" w:sz="6" w:space="0"/>
              <w:bottom w:val="single" w:color="auto" w:sz="6" w:space="0"/>
              <w:right w:val="single" w:color="auto" w:sz="6" w:space="0"/>
            </w:tcBorders>
            <w:vAlign w:val="center"/>
          </w:tcPr>
          <w:p w14:paraId="6116D2CA">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竞争性磋商响应文件上传</w:t>
            </w:r>
          </w:p>
        </w:tc>
        <w:tc>
          <w:tcPr>
            <w:tcW w:w="3305" w:type="pct"/>
            <w:tcBorders>
              <w:top w:val="single" w:color="auto" w:sz="6" w:space="0"/>
              <w:left w:val="single" w:color="auto" w:sz="6" w:space="0"/>
              <w:bottom w:val="single" w:color="auto" w:sz="6" w:space="0"/>
              <w:right w:val="single" w:color="auto" w:sz="12" w:space="0"/>
            </w:tcBorders>
            <w:vAlign w:val="center"/>
          </w:tcPr>
          <w:p w14:paraId="6518A7F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用CA在电子平台上传电子投标文件</w:t>
            </w:r>
          </w:p>
        </w:tc>
      </w:tr>
      <w:tr w14:paraId="51CB1BB7">
        <w:tblPrEx>
          <w:tblCellMar>
            <w:top w:w="0" w:type="dxa"/>
            <w:left w:w="108" w:type="dxa"/>
            <w:bottom w:w="0" w:type="dxa"/>
            <w:right w:w="108" w:type="dxa"/>
          </w:tblCellMar>
        </w:tblPrEx>
        <w:trPr>
          <w:trHeight w:val="46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7182E7F">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31</w:t>
            </w:r>
          </w:p>
        </w:tc>
        <w:tc>
          <w:tcPr>
            <w:tcW w:w="1220" w:type="pct"/>
            <w:tcBorders>
              <w:top w:val="single" w:color="auto" w:sz="6" w:space="0"/>
              <w:left w:val="single" w:color="auto" w:sz="6" w:space="0"/>
              <w:bottom w:val="single" w:color="auto" w:sz="6" w:space="0"/>
              <w:right w:val="single" w:color="auto" w:sz="6" w:space="0"/>
            </w:tcBorders>
            <w:vAlign w:val="center"/>
          </w:tcPr>
          <w:p w14:paraId="466F24D1">
            <w:pPr>
              <w:pageBreakBefore w:val="0"/>
              <w:kinsoku/>
              <w:overflowPunct/>
              <w:topLinePunct w:val="0"/>
              <w:bidi w:val="0"/>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磋商时间及地点</w:t>
            </w:r>
          </w:p>
        </w:tc>
        <w:tc>
          <w:tcPr>
            <w:tcW w:w="3305" w:type="pct"/>
            <w:tcBorders>
              <w:top w:val="single" w:color="auto" w:sz="6" w:space="0"/>
              <w:left w:val="single" w:color="auto" w:sz="6" w:space="0"/>
              <w:bottom w:val="single" w:color="auto" w:sz="6" w:space="0"/>
              <w:right w:val="single" w:color="auto" w:sz="12" w:space="0"/>
            </w:tcBorders>
            <w:vAlign w:val="center"/>
          </w:tcPr>
          <w:p w14:paraId="40C7B7B9">
            <w:pPr>
              <w:pageBreakBefore w:val="0"/>
              <w:kinsoku/>
              <w:overflowPunct/>
              <w:topLinePunct w:val="0"/>
              <w:bidi w:val="0"/>
              <w:spacing w:line="5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具体详见公告部分</w:t>
            </w:r>
          </w:p>
        </w:tc>
      </w:tr>
      <w:tr w14:paraId="270F61AA">
        <w:tblPrEx>
          <w:tblCellMar>
            <w:top w:w="0" w:type="dxa"/>
            <w:left w:w="108" w:type="dxa"/>
            <w:bottom w:w="0" w:type="dxa"/>
            <w:right w:w="108" w:type="dxa"/>
          </w:tblCellMar>
        </w:tblPrEx>
        <w:trPr>
          <w:trHeight w:val="76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C08E2E4">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32</w:t>
            </w:r>
          </w:p>
        </w:tc>
        <w:tc>
          <w:tcPr>
            <w:tcW w:w="1220" w:type="pct"/>
            <w:tcBorders>
              <w:top w:val="single" w:color="auto" w:sz="6" w:space="0"/>
              <w:left w:val="single" w:color="auto" w:sz="6" w:space="0"/>
              <w:bottom w:val="single" w:color="auto" w:sz="6" w:space="0"/>
              <w:right w:val="single" w:color="auto" w:sz="6" w:space="0"/>
            </w:tcBorders>
            <w:vAlign w:val="center"/>
          </w:tcPr>
          <w:p w14:paraId="3CBE2036">
            <w:pPr>
              <w:widowControl w:val="0"/>
              <w:spacing w:line="600" w:lineRule="exact"/>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磋商小组的组建</w:t>
            </w:r>
          </w:p>
        </w:tc>
        <w:tc>
          <w:tcPr>
            <w:tcW w:w="3305" w:type="pct"/>
            <w:tcBorders>
              <w:top w:val="single" w:color="auto" w:sz="6" w:space="0"/>
              <w:left w:val="single" w:color="auto" w:sz="6" w:space="0"/>
              <w:bottom w:val="single" w:color="auto" w:sz="6" w:space="0"/>
              <w:right w:val="single" w:color="auto" w:sz="12" w:space="0"/>
            </w:tcBorders>
            <w:vAlign w:val="center"/>
          </w:tcPr>
          <w:p w14:paraId="605CF709">
            <w:pPr>
              <w:widowControl w:val="0"/>
              <w:spacing w:line="360" w:lineRule="exact"/>
              <w:jc w:val="left"/>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磋商小组构成：3人，采购人代表1人，其余2名技术、经济等方面的专家从相关专家库中随机抽取</w:t>
            </w:r>
          </w:p>
        </w:tc>
      </w:tr>
      <w:tr w14:paraId="64F4F427">
        <w:tblPrEx>
          <w:tblCellMar>
            <w:top w:w="0" w:type="dxa"/>
            <w:left w:w="108" w:type="dxa"/>
            <w:bottom w:w="0" w:type="dxa"/>
            <w:right w:w="108" w:type="dxa"/>
          </w:tblCellMar>
        </w:tblPrEx>
        <w:trPr>
          <w:trHeight w:val="79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C54DB5D">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33</w:t>
            </w:r>
          </w:p>
        </w:tc>
        <w:tc>
          <w:tcPr>
            <w:tcW w:w="1220" w:type="pct"/>
            <w:tcBorders>
              <w:top w:val="single" w:color="auto" w:sz="6" w:space="0"/>
              <w:left w:val="single" w:color="auto" w:sz="6" w:space="0"/>
              <w:bottom w:val="single" w:color="auto" w:sz="6" w:space="0"/>
              <w:right w:val="single" w:color="auto" w:sz="6" w:space="0"/>
            </w:tcBorders>
            <w:vAlign w:val="center"/>
          </w:tcPr>
          <w:p w14:paraId="5671864E">
            <w:pPr>
              <w:spacing w:line="36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是否授权</w:t>
            </w:r>
            <w:r>
              <w:rPr>
                <w:rFonts w:hint="eastAsia" w:cs="宋体" w:asciiTheme="minorEastAsia" w:hAnsiTheme="minorEastAsia" w:eastAsiaTheme="minorEastAsia"/>
                <w:sz w:val="24"/>
                <w:szCs w:val="24"/>
                <w:lang w:val="en-US" w:eastAsia="zh-CN"/>
              </w:rPr>
              <w:t>磋商小组</w:t>
            </w:r>
            <w:r>
              <w:rPr>
                <w:rFonts w:hint="eastAsia" w:cs="宋体" w:asciiTheme="minorEastAsia" w:hAnsiTheme="minorEastAsia" w:eastAsiaTheme="minorEastAsia"/>
                <w:sz w:val="24"/>
                <w:szCs w:val="24"/>
              </w:rPr>
              <w:t>确定</w:t>
            </w:r>
            <w:r>
              <w:rPr>
                <w:rFonts w:hint="eastAsia" w:cs="宋体" w:asciiTheme="minorEastAsia" w:hAnsiTheme="minorEastAsia" w:eastAsiaTheme="minorEastAsia"/>
                <w:sz w:val="24"/>
                <w:szCs w:val="24"/>
                <w:lang w:eastAsia="zh-CN"/>
              </w:rPr>
              <w:t>成交</w:t>
            </w:r>
            <w:r>
              <w:rPr>
                <w:rFonts w:hint="eastAsia" w:cs="宋体" w:asciiTheme="minorEastAsia" w:hAnsiTheme="minorEastAsia" w:eastAsiaTheme="minorEastAsia"/>
                <w:sz w:val="24"/>
                <w:szCs w:val="24"/>
              </w:rPr>
              <w:t>人</w:t>
            </w:r>
          </w:p>
        </w:tc>
        <w:tc>
          <w:tcPr>
            <w:tcW w:w="3305" w:type="pct"/>
            <w:tcBorders>
              <w:top w:val="single" w:color="auto" w:sz="6" w:space="0"/>
              <w:left w:val="single" w:color="auto" w:sz="6" w:space="0"/>
              <w:bottom w:val="single" w:color="auto" w:sz="6" w:space="0"/>
              <w:right w:val="single" w:color="auto" w:sz="12" w:space="0"/>
            </w:tcBorders>
            <w:vAlign w:val="center"/>
          </w:tcPr>
          <w:p w14:paraId="43039D51">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否，磋商小组推选三名成交候选人</w:t>
            </w:r>
          </w:p>
        </w:tc>
      </w:tr>
      <w:tr w14:paraId="39A3C22C">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379FB88">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34</w:t>
            </w:r>
          </w:p>
        </w:tc>
        <w:tc>
          <w:tcPr>
            <w:tcW w:w="1220" w:type="pct"/>
            <w:tcBorders>
              <w:top w:val="single" w:color="auto" w:sz="6" w:space="0"/>
              <w:left w:val="single" w:color="auto" w:sz="6" w:space="0"/>
              <w:bottom w:val="single" w:color="auto" w:sz="6" w:space="0"/>
              <w:right w:val="single" w:color="auto" w:sz="6" w:space="0"/>
            </w:tcBorders>
            <w:vAlign w:val="center"/>
          </w:tcPr>
          <w:p w14:paraId="56EC6486">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评标标准及方法</w:t>
            </w:r>
          </w:p>
        </w:tc>
        <w:tc>
          <w:tcPr>
            <w:tcW w:w="3305" w:type="pct"/>
            <w:tcBorders>
              <w:top w:val="single" w:color="auto" w:sz="6" w:space="0"/>
              <w:left w:val="single" w:color="auto" w:sz="6" w:space="0"/>
              <w:bottom w:val="single" w:color="auto" w:sz="6" w:space="0"/>
              <w:right w:val="single" w:color="auto" w:sz="12" w:space="0"/>
            </w:tcBorders>
            <w:vAlign w:val="center"/>
          </w:tcPr>
          <w:p w14:paraId="553CDD30">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评定办法：由磋商小组采用综合评分法对提交最后报价的响应人的响应文件和最后报价进行综合评分。综合评分法，是指响应文件满足磋商文件全部实质性要求且按评审因素的量化指标评审得分最高的响应人为成交候选响应人的评审方法（且推荐候选人为三名）</w:t>
            </w:r>
          </w:p>
        </w:tc>
      </w:tr>
      <w:tr w14:paraId="39CCE498">
        <w:tblPrEx>
          <w:tblCellMar>
            <w:top w:w="0" w:type="dxa"/>
            <w:left w:w="108" w:type="dxa"/>
            <w:bottom w:w="0" w:type="dxa"/>
            <w:right w:w="108" w:type="dxa"/>
          </w:tblCellMar>
        </w:tblPrEx>
        <w:trPr>
          <w:trHeight w:val="9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3B73869">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35</w:t>
            </w:r>
          </w:p>
        </w:tc>
        <w:tc>
          <w:tcPr>
            <w:tcW w:w="1220" w:type="pct"/>
            <w:tcBorders>
              <w:top w:val="single" w:color="auto" w:sz="6" w:space="0"/>
              <w:left w:val="single" w:color="auto" w:sz="6" w:space="0"/>
              <w:bottom w:val="single" w:color="auto" w:sz="6" w:space="0"/>
              <w:right w:val="single" w:color="auto" w:sz="6" w:space="0"/>
            </w:tcBorders>
            <w:vAlign w:val="center"/>
          </w:tcPr>
          <w:p w14:paraId="69A10E4F">
            <w:pPr>
              <w:spacing w:line="36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重新招标的其他情形</w:t>
            </w:r>
          </w:p>
        </w:tc>
        <w:tc>
          <w:tcPr>
            <w:tcW w:w="3305" w:type="pct"/>
            <w:tcBorders>
              <w:top w:val="single" w:color="auto" w:sz="6" w:space="0"/>
              <w:left w:val="single" w:color="auto" w:sz="6" w:space="0"/>
              <w:bottom w:val="single" w:color="auto" w:sz="6" w:space="0"/>
              <w:right w:val="single" w:color="auto" w:sz="12" w:space="0"/>
            </w:tcBorders>
            <w:vAlign w:val="center"/>
          </w:tcPr>
          <w:p w14:paraId="049D0CA2">
            <w:pPr>
              <w:spacing w:line="360" w:lineRule="exact"/>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除</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sz w:val="24"/>
                <w:szCs w:val="24"/>
              </w:rPr>
              <w:t>须知正文规定的情形外，除非已经产生</w:t>
            </w:r>
            <w:r>
              <w:rPr>
                <w:rFonts w:hint="eastAsia" w:cs="宋体" w:asciiTheme="minorEastAsia" w:hAnsiTheme="minorEastAsia" w:eastAsiaTheme="minorEastAsia"/>
                <w:sz w:val="24"/>
                <w:szCs w:val="24"/>
                <w:lang w:eastAsia="zh-CN"/>
              </w:rPr>
              <w:t>成交</w:t>
            </w:r>
            <w:r>
              <w:rPr>
                <w:rFonts w:hint="eastAsia" w:cs="宋体" w:asciiTheme="minorEastAsia" w:hAnsiTheme="minorEastAsia" w:eastAsiaTheme="minorEastAsia"/>
                <w:sz w:val="24"/>
                <w:szCs w:val="24"/>
              </w:rPr>
              <w:t>候选人，在磋商有效期内同意延长磋商有效期的</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sz w:val="24"/>
                <w:szCs w:val="24"/>
              </w:rPr>
              <w:t>少于三个的，采购人应当依法重新招标</w:t>
            </w:r>
            <w:r>
              <w:rPr>
                <w:rFonts w:hint="eastAsia" w:cs="宋体" w:asciiTheme="minorEastAsia" w:hAnsiTheme="minorEastAsia" w:eastAsiaTheme="minorEastAsia"/>
                <w:sz w:val="24"/>
                <w:szCs w:val="24"/>
                <w:lang w:eastAsia="zh-CN"/>
              </w:rPr>
              <w:t>。</w:t>
            </w:r>
          </w:p>
        </w:tc>
      </w:tr>
      <w:tr w14:paraId="3B4894EB">
        <w:tblPrEx>
          <w:tblCellMar>
            <w:top w:w="0" w:type="dxa"/>
            <w:left w:w="108" w:type="dxa"/>
            <w:bottom w:w="0" w:type="dxa"/>
            <w:right w:w="108" w:type="dxa"/>
          </w:tblCellMar>
        </w:tblPrEx>
        <w:trPr>
          <w:trHeight w:val="4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CA2997E">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0062B254">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履约保证金</w:t>
            </w:r>
          </w:p>
        </w:tc>
        <w:tc>
          <w:tcPr>
            <w:tcW w:w="3305" w:type="pct"/>
            <w:tcBorders>
              <w:top w:val="single" w:color="auto" w:sz="6" w:space="0"/>
              <w:left w:val="single" w:color="auto" w:sz="6" w:space="0"/>
              <w:bottom w:val="single" w:color="auto" w:sz="6" w:space="0"/>
              <w:right w:val="single" w:color="auto" w:sz="12" w:space="0"/>
            </w:tcBorders>
            <w:vAlign w:val="center"/>
          </w:tcPr>
          <w:p w14:paraId="69C64820">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本项目不收取履约保证金</w:t>
            </w:r>
          </w:p>
        </w:tc>
      </w:tr>
      <w:tr w14:paraId="17D03747">
        <w:tblPrEx>
          <w:tblCellMar>
            <w:top w:w="0" w:type="dxa"/>
            <w:left w:w="108" w:type="dxa"/>
            <w:bottom w:w="0" w:type="dxa"/>
            <w:right w:w="108" w:type="dxa"/>
          </w:tblCellMar>
        </w:tblPrEx>
        <w:trPr>
          <w:trHeight w:val="201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3B98D80">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5CF0B9F9">
            <w:pPr>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付款方式</w:t>
            </w:r>
          </w:p>
        </w:tc>
        <w:tc>
          <w:tcPr>
            <w:tcW w:w="3305" w:type="pct"/>
            <w:tcBorders>
              <w:top w:val="single" w:color="auto" w:sz="6" w:space="0"/>
              <w:left w:val="single" w:color="auto" w:sz="6" w:space="0"/>
              <w:bottom w:val="single" w:color="auto" w:sz="6" w:space="0"/>
              <w:right w:val="single" w:color="auto" w:sz="12" w:space="0"/>
            </w:tcBorders>
            <w:vAlign w:val="center"/>
          </w:tcPr>
          <w:p w14:paraId="7FE212D3">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1、完成供货、安装、调试至正常运行后，支付至合同价款的 60%； </w:t>
            </w:r>
          </w:p>
          <w:p w14:paraId="10CC9BE2">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2、竣工审计后付至审计价款的 97%； </w:t>
            </w:r>
          </w:p>
          <w:p w14:paraId="1FBF2C7C">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3、剩余 3%为质量保证金，质保期为一年，待质保期满后， </w:t>
            </w:r>
          </w:p>
          <w:p w14:paraId="5F0E7C49">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复验合格无任何质量问题，予以付清(无息)。 </w:t>
            </w:r>
          </w:p>
          <w:p w14:paraId="51B6A483">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（具体以双方签订合同为准）</w:t>
            </w:r>
          </w:p>
        </w:tc>
      </w:tr>
      <w:tr w14:paraId="36AA77ED">
        <w:tblPrEx>
          <w:tblCellMar>
            <w:top w:w="0" w:type="dxa"/>
            <w:left w:w="108" w:type="dxa"/>
            <w:bottom w:w="0" w:type="dxa"/>
            <w:right w:w="108" w:type="dxa"/>
          </w:tblCellMar>
        </w:tblPrEx>
        <w:trPr>
          <w:trHeight w:val="7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949C087">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8</w:t>
            </w:r>
          </w:p>
        </w:tc>
        <w:tc>
          <w:tcPr>
            <w:tcW w:w="1220" w:type="pct"/>
            <w:tcBorders>
              <w:top w:val="single" w:color="auto" w:sz="6" w:space="0"/>
              <w:left w:val="single" w:color="auto" w:sz="6" w:space="0"/>
              <w:bottom w:val="single" w:color="auto" w:sz="6" w:space="0"/>
              <w:right w:val="single" w:color="auto" w:sz="6" w:space="0"/>
            </w:tcBorders>
            <w:vAlign w:val="center"/>
          </w:tcPr>
          <w:p w14:paraId="7C3951A0">
            <w:pPr>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发布公告媒介</w:t>
            </w:r>
          </w:p>
        </w:tc>
        <w:tc>
          <w:tcPr>
            <w:tcW w:w="3305" w:type="pct"/>
            <w:tcBorders>
              <w:top w:val="single" w:color="auto" w:sz="6" w:space="0"/>
              <w:left w:val="single" w:color="auto" w:sz="6" w:space="0"/>
              <w:bottom w:val="single" w:color="auto" w:sz="6" w:space="0"/>
              <w:right w:val="single" w:color="auto" w:sz="12" w:space="0"/>
            </w:tcBorders>
            <w:vAlign w:val="center"/>
          </w:tcPr>
          <w:p w14:paraId="4EB49F87">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同时在</w:t>
            </w:r>
            <w:r>
              <w:rPr>
                <w:rFonts w:hint="eastAsia" w:cs="宋体" w:asciiTheme="minorEastAsia" w:hAnsiTheme="minorEastAsia" w:eastAsiaTheme="minorEastAsia"/>
                <w:sz w:val="24"/>
                <w:szCs w:val="24"/>
                <w:lang w:val="en-US" w:eastAsia="zh-CN"/>
              </w:rPr>
              <w:t>《河南省政府采购网》、《三门峡市公共资源交易中心网》、《中国采购与招标网》</w:t>
            </w:r>
            <w:r>
              <w:rPr>
                <w:rFonts w:hint="eastAsia" w:cs="宋体" w:asciiTheme="minorEastAsia" w:hAnsiTheme="minorEastAsia" w:eastAsiaTheme="minorEastAsia"/>
                <w:sz w:val="24"/>
                <w:szCs w:val="24"/>
              </w:rPr>
              <w:t>上发布</w:t>
            </w:r>
          </w:p>
        </w:tc>
      </w:tr>
      <w:tr w14:paraId="7E227870">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C9B3F46">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39</w:t>
            </w:r>
          </w:p>
        </w:tc>
        <w:tc>
          <w:tcPr>
            <w:tcW w:w="1220" w:type="pct"/>
            <w:tcBorders>
              <w:top w:val="single" w:color="auto" w:sz="6" w:space="0"/>
              <w:left w:val="single" w:color="auto" w:sz="6" w:space="0"/>
              <w:bottom w:val="single" w:color="auto" w:sz="6" w:space="0"/>
              <w:right w:val="single" w:color="auto" w:sz="6" w:space="0"/>
            </w:tcBorders>
            <w:vAlign w:val="center"/>
          </w:tcPr>
          <w:p w14:paraId="6CF30FA7">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合同签订时间</w:t>
            </w:r>
          </w:p>
        </w:tc>
        <w:tc>
          <w:tcPr>
            <w:tcW w:w="3305" w:type="pct"/>
            <w:tcBorders>
              <w:top w:val="single" w:color="auto" w:sz="6" w:space="0"/>
              <w:left w:val="single" w:color="auto" w:sz="6" w:space="0"/>
              <w:bottom w:val="single" w:color="auto" w:sz="6" w:space="0"/>
              <w:right w:val="single" w:color="auto" w:sz="12" w:space="0"/>
            </w:tcBorders>
            <w:vAlign w:val="center"/>
          </w:tcPr>
          <w:p w14:paraId="3855F8DD">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成交人应自成交通知书发出之日起</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个工作日内按照成交通知书和响应文件内容及要求签订合同。</w:t>
            </w:r>
          </w:p>
        </w:tc>
      </w:tr>
      <w:tr w14:paraId="7B701EAF">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B1C99FB">
            <w:pPr>
              <w:widowControl w:val="0"/>
              <w:adjustRightInd w:val="0"/>
              <w:spacing w:line="600" w:lineRule="exact"/>
              <w:jc w:val="center"/>
              <w:rPr>
                <w:rFonts w:hint="default"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40</w:t>
            </w:r>
          </w:p>
        </w:tc>
        <w:tc>
          <w:tcPr>
            <w:tcW w:w="1220" w:type="pct"/>
            <w:tcBorders>
              <w:top w:val="single" w:color="auto" w:sz="6" w:space="0"/>
              <w:left w:val="single" w:color="auto" w:sz="6" w:space="0"/>
              <w:bottom w:val="single" w:color="auto" w:sz="6" w:space="0"/>
              <w:right w:val="single" w:color="auto" w:sz="6" w:space="0"/>
            </w:tcBorders>
            <w:shd w:val="clear" w:color="auto" w:fill="auto"/>
            <w:vAlign w:val="center"/>
          </w:tcPr>
          <w:p w14:paraId="0632E628">
            <w:pPr>
              <w:spacing w:line="36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政府采购合同</w:t>
            </w:r>
          </w:p>
          <w:p w14:paraId="7B39C6DD">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融资政策</w:t>
            </w:r>
          </w:p>
        </w:tc>
        <w:tc>
          <w:tcPr>
            <w:tcW w:w="3305" w:type="pct"/>
            <w:tcBorders>
              <w:top w:val="single" w:color="auto" w:sz="6" w:space="0"/>
              <w:left w:val="single" w:color="auto" w:sz="6" w:space="0"/>
              <w:bottom w:val="single" w:color="auto" w:sz="6" w:space="0"/>
              <w:right w:val="single" w:color="auto" w:sz="12" w:space="0"/>
            </w:tcBorders>
            <w:shd w:val="clear" w:color="auto" w:fill="auto"/>
            <w:vAlign w:val="center"/>
          </w:tcPr>
          <w:p w14:paraId="16D7906F">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中标后如需融资，参照《河南省政府采购合同融资工作实施方案》（豫财购〔2017〕10号）执行。</w:t>
            </w:r>
          </w:p>
        </w:tc>
      </w:tr>
      <w:tr w14:paraId="04AEDB2C">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2A5D260F">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41</w:t>
            </w:r>
          </w:p>
        </w:tc>
        <w:tc>
          <w:tcPr>
            <w:tcW w:w="1220" w:type="pct"/>
            <w:tcBorders>
              <w:top w:val="single" w:color="auto" w:sz="6" w:space="0"/>
              <w:left w:val="single" w:color="auto" w:sz="6" w:space="0"/>
              <w:bottom w:val="single" w:color="auto" w:sz="6" w:space="0"/>
              <w:right w:val="single" w:color="auto" w:sz="6" w:space="0"/>
            </w:tcBorders>
            <w:vAlign w:val="center"/>
          </w:tcPr>
          <w:p w14:paraId="4C1602CA">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代理服务费</w:t>
            </w:r>
          </w:p>
        </w:tc>
        <w:tc>
          <w:tcPr>
            <w:tcW w:w="3305" w:type="pct"/>
            <w:tcBorders>
              <w:top w:val="single" w:color="auto" w:sz="6" w:space="0"/>
              <w:left w:val="single" w:color="auto" w:sz="6" w:space="0"/>
              <w:bottom w:val="single" w:color="auto" w:sz="6" w:space="0"/>
              <w:right w:val="single" w:color="auto" w:sz="12" w:space="0"/>
            </w:tcBorders>
            <w:vAlign w:val="center"/>
          </w:tcPr>
          <w:p w14:paraId="1A6D6D7C">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本</w:t>
            </w:r>
            <w:r>
              <w:rPr>
                <w:rFonts w:hint="eastAsia" w:cs="宋体" w:asciiTheme="minorEastAsia" w:hAnsiTheme="minorEastAsia" w:eastAsiaTheme="minorEastAsia"/>
                <w:sz w:val="24"/>
                <w:szCs w:val="24"/>
                <w:lang w:eastAsia="zh-CN"/>
              </w:rPr>
              <w:t>项目</w:t>
            </w:r>
            <w:r>
              <w:rPr>
                <w:rFonts w:hint="eastAsia" w:cs="宋体" w:asciiTheme="minorEastAsia" w:hAnsiTheme="minorEastAsia" w:eastAsiaTheme="minorEastAsia"/>
                <w:sz w:val="24"/>
                <w:szCs w:val="24"/>
              </w:rPr>
              <w:t>代理服务费参照豫招协[2023]002号河南省招标投标协会关于印发《河南省招标代理服务收费指导意见》规定的收费标准</w:t>
            </w:r>
            <w:r>
              <w:rPr>
                <w:rFonts w:hint="eastAsia" w:cs="宋体" w:asciiTheme="minorEastAsia" w:hAnsiTheme="minorEastAsia" w:eastAsiaTheme="minorEastAsia"/>
                <w:sz w:val="24"/>
                <w:szCs w:val="24"/>
                <w:lang w:eastAsia="zh-CN"/>
              </w:rPr>
              <w:t>收取：</w:t>
            </w:r>
            <w:r>
              <w:rPr>
                <w:rFonts w:hint="eastAsia" w:cs="宋体" w:asciiTheme="minorEastAsia" w:hAnsiTheme="minorEastAsia" w:eastAsiaTheme="minorEastAsia"/>
                <w:sz w:val="24"/>
                <w:szCs w:val="24"/>
                <w:lang w:val="en-US" w:eastAsia="zh-CN"/>
              </w:rPr>
              <w:t>货物类项目 100 万元以下（含 100 万元）按中标价的 1.7%计取。该</w:t>
            </w:r>
            <w:r>
              <w:rPr>
                <w:rFonts w:hint="eastAsia" w:cs="宋体" w:asciiTheme="minorEastAsia" w:hAnsiTheme="minorEastAsia" w:eastAsiaTheme="minorEastAsia"/>
                <w:sz w:val="24"/>
                <w:szCs w:val="24"/>
                <w:lang w:eastAsia="zh-CN"/>
              </w:rPr>
              <w:t>代理服务费由成交人领取成交通知书时向代理机构缴纳</w:t>
            </w:r>
            <w:r>
              <w:rPr>
                <w:rFonts w:hint="eastAsia" w:cs="宋体" w:asciiTheme="minorEastAsia" w:hAnsiTheme="minorEastAsia" w:eastAsiaTheme="minorEastAsia"/>
                <w:sz w:val="24"/>
                <w:szCs w:val="24"/>
              </w:rPr>
              <w:t>。</w:t>
            </w:r>
          </w:p>
        </w:tc>
      </w:tr>
      <w:tr w14:paraId="79761213">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7ED6C07">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42</w:t>
            </w:r>
          </w:p>
        </w:tc>
        <w:tc>
          <w:tcPr>
            <w:tcW w:w="1220" w:type="pct"/>
            <w:tcBorders>
              <w:top w:val="single" w:color="auto" w:sz="6" w:space="0"/>
              <w:left w:val="single" w:color="auto" w:sz="6" w:space="0"/>
              <w:bottom w:val="single" w:color="auto" w:sz="6" w:space="0"/>
              <w:right w:val="single" w:color="auto" w:sz="6" w:space="0"/>
            </w:tcBorders>
            <w:vAlign w:val="center"/>
          </w:tcPr>
          <w:p w14:paraId="379DE831">
            <w:pPr>
              <w:spacing w:line="360" w:lineRule="exact"/>
              <w:jc w:val="center"/>
              <w:rPr>
                <w:rFonts w:hint="eastAsia" w:cs="宋体"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rPr>
              <w:t>采购标的所属行业</w:t>
            </w:r>
          </w:p>
        </w:tc>
        <w:tc>
          <w:tcPr>
            <w:tcW w:w="3305" w:type="pct"/>
            <w:tcBorders>
              <w:top w:val="single" w:color="auto" w:sz="6" w:space="0"/>
              <w:left w:val="single" w:color="auto" w:sz="6" w:space="0"/>
              <w:bottom w:val="single" w:color="auto" w:sz="6" w:space="0"/>
              <w:right w:val="single" w:color="auto" w:sz="12" w:space="0"/>
            </w:tcBorders>
            <w:vAlign w:val="center"/>
          </w:tcPr>
          <w:p w14:paraId="36678F53">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采购标的所属行业：</w:t>
            </w:r>
            <w:r>
              <w:rPr>
                <w:rFonts w:hint="eastAsia" w:cs="宋体" w:asciiTheme="minorEastAsia" w:hAnsiTheme="minorEastAsia" w:eastAsiaTheme="minorEastAsia"/>
                <w:sz w:val="24"/>
                <w:szCs w:val="24"/>
                <w:lang w:val="en-US" w:eastAsia="zh-CN"/>
              </w:rPr>
              <w:t>制造</w:t>
            </w:r>
            <w:r>
              <w:rPr>
                <w:rFonts w:hint="eastAsia" w:cs="宋体" w:asciiTheme="minorEastAsia" w:hAnsiTheme="minorEastAsia" w:eastAsiaTheme="minorEastAsia"/>
                <w:sz w:val="24"/>
                <w:szCs w:val="24"/>
              </w:rPr>
              <w:t>业</w:t>
            </w:r>
          </w:p>
          <w:p w14:paraId="6C9327CF">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划定标准为：《工业和信息化部、国家统计局、国家发展和改革委员会、财政部关于印发&lt;中小企业划型标准规定的通知&gt;（工信部联企业〔2011〕300号）规定的划分标准为依据。</w:t>
            </w:r>
          </w:p>
        </w:tc>
      </w:tr>
      <w:tr w14:paraId="07A5C807">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97B70A1">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43</w:t>
            </w:r>
          </w:p>
        </w:tc>
        <w:tc>
          <w:tcPr>
            <w:tcW w:w="1220" w:type="pct"/>
            <w:tcBorders>
              <w:top w:val="single" w:color="auto" w:sz="6" w:space="0"/>
              <w:left w:val="single" w:color="auto" w:sz="6" w:space="0"/>
              <w:bottom w:val="single" w:color="auto" w:sz="6" w:space="0"/>
              <w:right w:val="single" w:color="auto" w:sz="6" w:space="0"/>
            </w:tcBorders>
            <w:vAlign w:val="center"/>
          </w:tcPr>
          <w:p w14:paraId="6A9DAE23">
            <w:pPr>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其他事项</w:t>
            </w:r>
          </w:p>
        </w:tc>
        <w:tc>
          <w:tcPr>
            <w:tcW w:w="3305" w:type="pct"/>
            <w:tcBorders>
              <w:top w:val="single" w:color="auto" w:sz="6" w:space="0"/>
              <w:left w:val="single" w:color="auto" w:sz="6" w:space="0"/>
              <w:bottom w:val="single" w:color="auto" w:sz="6" w:space="0"/>
              <w:right w:val="single" w:color="auto" w:sz="12" w:space="0"/>
            </w:tcBorders>
            <w:vAlign w:val="center"/>
          </w:tcPr>
          <w:p w14:paraId="732AACC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响应人应仔细阅读操作手册，在本公告中要求的截止时间前完成响应文件的上传工作，并充分考虑人为操作等因素，因响应人操作不当等问题造成的无法报名、无法下载磋商文件、无法投标等一切后果，由响应人自行承担；</w:t>
            </w:r>
          </w:p>
          <w:p w14:paraId="57D958E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2、投标所发生一切费用由各响应人自行承担，并承担相应的风险和责任；</w:t>
            </w:r>
          </w:p>
          <w:p w14:paraId="7660B5E1">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3、响应人递交的响应文件不论中标与否均不予退还。</w:t>
            </w:r>
          </w:p>
          <w:p w14:paraId="0B821C5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4、采购人不组织</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kern w:val="2"/>
                <w:sz w:val="24"/>
                <w:szCs w:val="24"/>
                <w:lang w:val="en-US" w:eastAsia="zh-CN"/>
              </w:rPr>
              <w:t>踏勘现场。</w:t>
            </w:r>
          </w:p>
          <w:p w14:paraId="1EC8C8EC">
            <w:pPr>
              <w:widowControl w:val="0"/>
              <w:spacing w:line="360" w:lineRule="exact"/>
              <w:jc w:val="left"/>
              <w:rPr>
                <w:rFonts w:ascii="宋体" w:hAnsi="宋体" w:cs="宋体"/>
                <w:color w:val="auto"/>
                <w:kern w:val="2"/>
                <w:sz w:val="24"/>
                <w:szCs w:val="24"/>
                <w:highlight w:val="none"/>
              </w:rPr>
            </w:pPr>
            <w:r>
              <w:rPr>
                <w:rFonts w:hint="eastAsia" w:cs="宋体" w:asciiTheme="minorEastAsia" w:hAnsiTheme="minorEastAsia" w:eastAsiaTheme="minorEastAsia"/>
                <w:kern w:val="2"/>
                <w:sz w:val="24"/>
                <w:szCs w:val="24"/>
                <w:lang w:val="en-US" w:eastAsia="zh-CN"/>
              </w:rPr>
              <w:t>温馨提示：本项目为电子化、无纸化交易项目，开标时不再接受任何纸质资料，为保证您能投标成功，请需仔细阅读磋商文件和三门峡市公共资源交易中心官网业务办理指南。</w:t>
            </w:r>
          </w:p>
        </w:tc>
      </w:tr>
      <w:tr w14:paraId="5F5CCF48">
        <w:tblPrEx>
          <w:tblCellMar>
            <w:top w:w="0" w:type="dxa"/>
            <w:left w:w="108" w:type="dxa"/>
            <w:bottom w:w="0" w:type="dxa"/>
            <w:right w:w="108" w:type="dxa"/>
          </w:tblCellMar>
        </w:tblPrEx>
        <w:trPr>
          <w:trHeight w:val="614" w:hRule="atLeast"/>
          <w:jc w:val="center"/>
        </w:trPr>
        <w:tc>
          <w:tcPr>
            <w:tcW w:w="473" w:type="pct"/>
            <w:tcBorders>
              <w:top w:val="single" w:color="auto" w:sz="6" w:space="0"/>
              <w:left w:val="single" w:color="auto" w:sz="12" w:space="0"/>
              <w:bottom w:val="single" w:color="auto" w:sz="4" w:space="0"/>
              <w:right w:val="single" w:color="auto" w:sz="6" w:space="0"/>
            </w:tcBorders>
            <w:vAlign w:val="center"/>
          </w:tcPr>
          <w:p w14:paraId="001F95FE">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44</w:t>
            </w:r>
          </w:p>
        </w:tc>
        <w:tc>
          <w:tcPr>
            <w:tcW w:w="1220" w:type="pct"/>
            <w:tcBorders>
              <w:top w:val="single" w:color="auto" w:sz="6" w:space="0"/>
              <w:left w:val="single" w:color="auto" w:sz="6" w:space="0"/>
              <w:bottom w:val="single" w:color="auto" w:sz="4" w:space="0"/>
              <w:right w:val="single" w:color="auto" w:sz="6" w:space="0"/>
            </w:tcBorders>
            <w:vAlign w:val="center"/>
          </w:tcPr>
          <w:p w14:paraId="55354575">
            <w:pPr>
              <w:pageBreakBefore w:val="0"/>
              <w:widowControl w:val="0"/>
              <w:kinsoku/>
              <w:overflowPunct/>
              <w:topLinePunct w:val="0"/>
              <w:bidi w:val="0"/>
              <w:adjustRightInd w:val="0"/>
              <w:spacing w:line="5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签字盖章</w:t>
            </w:r>
          </w:p>
        </w:tc>
        <w:tc>
          <w:tcPr>
            <w:tcW w:w="3305" w:type="pct"/>
            <w:tcBorders>
              <w:top w:val="single" w:color="auto" w:sz="6" w:space="0"/>
              <w:left w:val="single" w:color="auto" w:sz="6" w:space="0"/>
              <w:bottom w:val="single" w:color="auto" w:sz="4" w:space="0"/>
              <w:right w:val="single" w:color="auto" w:sz="12" w:space="0"/>
            </w:tcBorders>
            <w:vAlign w:val="center"/>
          </w:tcPr>
          <w:p w14:paraId="272FED8D">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1、响应人在生成电子化响应文件后，应对电子化响应文件进行签章，未进行签章的视为无效投标。</w:t>
            </w:r>
          </w:p>
          <w:p w14:paraId="7A68B706">
            <w:pPr>
              <w:widowControl w:val="0"/>
              <w:spacing w:line="360" w:lineRule="exact"/>
              <w:jc w:val="left"/>
              <w:rPr>
                <w:rFonts w:hint="eastAsia" w:ascii="宋体" w:hAnsi="宋体" w:eastAsia="宋体" w:cs="宋体"/>
                <w:color w:val="auto"/>
                <w:spacing w:val="6"/>
                <w:kern w:val="2"/>
                <w:sz w:val="24"/>
                <w:szCs w:val="24"/>
                <w:lang w:val="en-US" w:eastAsia="zh-CN" w:bidi="ar-SA"/>
              </w:rPr>
            </w:pPr>
            <w:r>
              <w:rPr>
                <w:rFonts w:hint="eastAsia" w:cs="宋体" w:asciiTheme="minorEastAsia" w:hAnsiTheme="minorEastAsia" w:eastAsiaTheme="minorEastAsia"/>
                <w:kern w:val="2"/>
                <w:sz w:val="24"/>
                <w:szCs w:val="24"/>
                <w:lang w:val="en-US" w:eastAsia="zh-CN"/>
              </w:rPr>
              <w:t>2、响应人使用“三门峡市公共资源交易中心投标制作工具”在制作电子化响应文件时，应按规定进行盖章。响应文件格式中要求盖单位章的地方，</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kern w:val="2"/>
                <w:sz w:val="24"/>
                <w:szCs w:val="24"/>
                <w:lang w:val="en-US" w:eastAsia="zh-CN"/>
              </w:rPr>
              <w:t>均应使用CA数字证书加盖响应人的单位电子签章。响应文件中要求法定代表人或授权委托人签字或盖章的，</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kern w:val="2"/>
                <w:sz w:val="24"/>
                <w:szCs w:val="24"/>
                <w:lang w:val="en-US" w:eastAsia="zh-CN"/>
              </w:rPr>
              <w:t>在进行电子化响应文件签章时，以签盖法定代表人电子签章为准</w:t>
            </w:r>
          </w:p>
        </w:tc>
      </w:tr>
      <w:tr w14:paraId="4CB614F6">
        <w:tblPrEx>
          <w:tblCellMar>
            <w:top w:w="0" w:type="dxa"/>
            <w:left w:w="108" w:type="dxa"/>
            <w:bottom w:w="0" w:type="dxa"/>
            <w:right w:w="108" w:type="dxa"/>
          </w:tblCellMar>
        </w:tblPrEx>
        <w:trPr>
          <w:trHeight w:val="770" w:hRule="atLeast"/>
          <w:jc w:val="center"/>
        </w:trPr>
        <w:tc>
          <w:tcPr>
            <w:tcW w:w="473" w:type="pct"/>
            <w:tcBorders>
              <w:top w:val="single" w:color="auto" w:sz="4" w:space="0"/>
              <w:left w:val="single" w:color="auto" w:sz="12" w:space="0"/>
              <w:bottom w:val="single" w:color="auto" w:sz="12" w:space="0"/>
              <w:right w:val="single" w:color="auto" w:sz="6" w:space="0"/>
            </w:tcBorders>
            <w:vAlign w:val="center"/>
          </w:tcPr>
          <w:p w14:paraId="04E09A83">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45</w:t>
            </w:r>
          </w:p>
        </w:tc>
        <w:tc>
          <w:tcPr>
            <w:tcW w:w="1220" w:type="pct"/>
            <w:tcBorders>
              <w:top w:val="single" w:color="auto" w:sz="4" w:space="0"/>
              <w:left w:val="single" w:color="auto" w:sz="6" w:space="0"/>
              <w:bottom w:val="single" w:color="auto" w:sz="12" w:space="0"/>
              <w:right w:val="single" w:color="auto" w:sz="6" w:space="0"/>
            </w:tcBorders>
            <w:vAlign w:val="center"/>
          </w:tcPr>
          <w:p w14:paraId="1D4829D5">
            <w:pPr>
              <w:widowControl w:val="0"/>
              <w:adjustRightInd w:val="0"/>
              <w:spacing w:line="600" w:lineRule="exact"/>
              <w:jc w:val="center"/>
              <w:rPr>
                <w:rFonts w:ascii="宋体" w:hAnsi="宋体" w:cs="宋体"/>
                <w:color w:val="auto"/>
                <w:spacing w:val="6"/>
                <w:kern w:val="2"/>
                <w:sz w:val="24"/>
                <w:szCs w:val="24"/>
                <w:highlight w:val="none"/>
              </w:rPr>
            </w:pPr>
            <w:r>
              <w:rPr>
                <w:rFonts w:ascii="宋体" w:hAnsi="宋体" w:cs="宋体"/>
                <w:b/>
                <w:color w:val="auto"/>
                <w:kern w:val="2"/>
                <w:sz w:val="24"/>
                <w:szCs w:val="24"/>
                <w:highlight w:val="none"/>
              </w:rPr>
              <w:t>电子化注意事项</w:t>
            </w:r>
          </w:p>
        </w:tc>
        <w:tc>
          <w:tcPr>
            <w:tcW w:w="3305" w:type="pct"/>
            <w:tcBorders>
              <w:top w:val="single" w:color="auto" w:sz="4" w:space="0"/>
              <w:left w:val="single" w:color="auto" w:sz="6" w:space="0"/>
              <w:bottom w:val="single" w:color="auto" w:sz="12" w:space="0"/>
              <w:right w:val="single" w:color="auto" w:sz="12" w:space="0"/>
            </w:tcBorders>
            <w:vAlign w:val="center"/>
          </w:tcPr>
          <w:p w14:paraId="1E0D244F">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本项目为电子化、无纸化交易项目，响应文件是响应人通过中心投标文件制作系统制作，并经过电子签章和加密后生成的电子版响应文件。开标时，将不再接受任何纸质文件资料。</w:t>
            </w:r>
          </w:p>
          <w:p w14:paraId="5B4EF0E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电子化响应文件具体制作教材请响应人通过CA证书登录三门峡市公共资源电子交易系统在“组件下载”中查看。</w:t>
            </w:r>
          </w:p>
          <w:p w14:paraId="685C540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温馨提示：本项目为电子化、无纸化交易项目，开标时不接受任何纸质资料，为保证您能开标成功，请需仔细阅读以下条款。</w:t>
            </w:r>
          </w:p>
          <w:p w14:paraId="4F5AF44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一、电子化投标</w:t>
            </w:r>
          </w:p>
          <w:p w14:paraId="0F9A5BD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（一）电子化响应文件的签章</w:t>
            </w:r>
          </w:p>
          <w:p w14:paraId="5C9FE6A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1、响应人在生成电子化响应文件后，应对电子化响应文件进行签章，未进行签章的视为无效投标。</w:t>
            </w:r>
          </w:p>
          <w:p w14:paraId="069101F5">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2、磋商文件中要求法定代表人或授权委托人签字或盖章的，响应人在进行电子化响应文件签章时，以签盖法定代表人签章为准。</w:t>
            </w:r>
          </w:p>
          <w:p w14:paraId="6A065AC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（二）电子化响应文件的格式及上传投标</w:t>
            </w:r>
          </w:p>
          <w:p w14:paraId="356D0D0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1、响应人所上传的电子化磋商响应文件，应是通过中心磋商响应文件制作系统制作的（响应文件制作工具下载地址： </w:t>
            </w:r>
          </w:p>
          <w:p w14:paraId="4FDD54B7">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https://download.bqpoint.com/download/downloadlist.html?SoftTypeCode=03），经过签章和加密后生成的电子版磋商响应文件。其中包含用于磋商响应文件上传的主文件（后缀为.smxtf）和用于应急补救的磋商响应文件备份文件（后缀为.nsmxtf）。备份文件主要用于电子化开标出现技术问题后的补救，请响应人随身携带。 </w:t>
            </w:r>
          </w:p>
          <w:p w14:paraId="5D7C388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注：响应人投报多个标段的，每个标段均要生成独立的电 </w:t>
            </w:r>
          </w:p>
          <w:p w14:paraId="47F5753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子响应文件。 </w:t>
            </w:r>
          </w:p>
          <w:p w14:paraId="58883D1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2、电子化响应文件应在递交截止时间前成功上传至三门峡市公共资源电子化交易系统。至开标截止时间止，仍未上传成功的电子化响应文件将不予接收。 </w:t>
            </w:r>
          </w:p>
          <w:p w14:paraId="01E88434">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注：如按照电子化投标操作教材制作完成的电子化响应文 </w:t>
            </w:r>
          </w:p>
          <w:p w14:paraId="3090927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件无法上传的，响应人应在开标截止时间前尽早的联系中 </w:t>
            </w:r>
          </w:p>
          <w:p w14:paraId="57232F70">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心技术人员，以便有充分的时间进行处理。响应人应充分 </w:t>
            </w:r>
          </w:p>
          <w:p w14:paraId="3B3E559D">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考虑到处理技术问题和上传数据等工作所需的时间问题， </w:t>
            </w:r>
          </w:p>
          <w:p w14:paraId="59D8F77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响应文件未在开标截止时间前成功上传的，其响应文件不 </w:t>
            </w:r>
          </w:p>
          <w:p w14:paraId="13F209FD">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予接收。 </w:t>
            </w:r>
          </w:p>
          <w:p w14:paraId="5E685436">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技术联系电话：400 998 0000</w:t>
            </w:r>
          </w:p>
          <w:p w14:paraId="6B369ED7">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（三）电子化项目开标、解密、唱标、评标</w:t>
            </w:r>
          </w:p>
          <w:p w14:paraId="239FAD4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1、本项目采用电子化、无纸化进行招标，开标当日，响应人无需到开标现场参加开标会议，响应人应当在磋商截止时间前，登陆不见面开标大厅选择登陆三门峡市公共资源电子招投标系统进行登陆（网址</w:t>
            </w:r>
            <w:r>
              <w:rPr>
                <w:rFonts w:hint="eastAsia" w:cs="宋体" w:asciiTheme="minorEastAsia" w:hAnsiTheme="minorEastAsia" w:eastAsiaTheme="minorEastAsia"/>
                <w:color w:val="auto"/>
                <w:kern w:val="2"/>
                <w:sz w:val="24"/>
                <w:szCs w:val="24"/>
                <w:u w:val="none"/>
                <w:lang w:val="en-US" w:eastAsia="zh-CN"/>
              </w:rPr>
              <w:t>http://120.194.249.</w:t>
            </w:r>
          </w:p>
          <w:p w14:paraId="3BC3848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36:10094/BidOpening/bidopeninghallaction/hall/login）,在线准时参加开标活动并进行响应文件解密等</w:t>
            </w:r>
          </w:p>
          <w:p w14:paraId="058EAA85">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2、电子化响应文件采用一次加密方式。开标时，由响应人使用CA 证书，在规定时间内对其电子化响应文件进行解密。每位响应人的解密时间为开标时间起30分钟内，如在规定时间内未完成解密的，其响应文件不予开标、唱标。</w:t>
            </w:r>
          </w:p>
          <w:p w14:paraId="5FA63706">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3、电子化响应文件解密异常的处理</w:t>
            </w:r>
          </w:p>
          <w:p w14:paraId="7489CAA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如出现响应人的电子响应文件无法解密等异常情况，响应人应及时致电中介服务机构说明。响应文件异常，按以下步骤进行处理：</w:t>
            </w:r>
          </w:p>
          <w:p w14:paraId="55C7E0F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（1）首先由技术人员进行问题排查。</w:t>
            </w:r>
          </w:p>
          <w:p w14:paraId="0350B6B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（2）经技术人员排查后，是响应人文件自身问题导致响应文件无法解密的，该响应文件将不予接收、解密和唱标。开标会议继续进行。</w:t>
            </w:r>
          </w:p>
          <w:p w14:paraId="6CC9B23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9DA247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4、待所有响应人投标文件解密完成后，由中介服务机构操作，对所有已解密响应文件进行唱标。</w:t>
            </w:r>
          </w:p>
          <w:p w14:paraId="2234F46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响应人应保证在开标期间电话、电脑、网络能够正常工作，响应人因停电、电脑病毒、网络堵塞等原因，未在规定的解密时间内对响应文件进行解密的，其响应文件不予接收、唱标。</w:t>
            </w:r>
          </w:p>
          <w:p w14:paraId="7CB4CCE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5、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5BD2E4C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6、评标时，评标委员会对电子化投标文件有质疑的，将通过电子化交易系统对响应人发起质疑，响应人的回复文件必须以经过响应人和其法定代表人签章的PDF 格式文件为准，并通过电子化交易系统提交至评标委员会。</w:t>
            </w:r>
          </w:p>
          <w:p w14:paraId="3010B6DA">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7、需要回复的响应人在规定的时间内未回复的，视为响应人放弃回复，评标委员会将自行对需要回复的内容进行认定。</w:t>
            </w:r>
          </w:p>
          <w:p w14:paraId="46D5102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二、资格审查资料</w:t>
            </w:r>
          </w:p>
          <w:p w14:paraId="5EC939C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本项目实行资格后审，磋商文件中要求响应人提交资质、 </w:t>
            </w:r>
          </w:p>
          <w:p w14:paraId="5E26B0F1">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业绩、荣誉及单位人员等相关资料原件的，响应人需将原 </w:t>
            </w:r>
          </w:p>
          <w:p w14:paraId="51B46BD4">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件扫描件制作到电子响应文件中，其上传资料真实性由供 </w:t>
            </w:r>
          </w:p>
          <w:p w14:paraId="7B5F9170">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应商自行承担，同时，响应人要完善主体库。磋商小组对 </w:t>
            </w:r>
          </w:p>
          <w:p w14:paraId="0B7E3D6C">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原件的核验工作按以下条款进行： </w:t>
            </w:r>
          </w:p>
          <w:p w14:paraId="022E6EF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（一）评标时，磋商小组先查阅响应文件中是否具有该资 </w:t>
            </w:r>
          </w:p>
          <w:p w14:paraId="54C5B37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料的原件扫描件，其上传资料真实性由响应人自行承担， </w:t>
            </w:r>
          </w:p>
          <w:p w14:paraId="24B674A7">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同时，响应人需要完善主体库信息。本项目需要提交的原 </w:t>
            </w:r>
          </w:p>
          <w:p w14:paraId="62A72BD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件扫描件以开标截止时间前在以响应人自行上传到响应文件中的相应内容为准。规定时间外上传或更改的信息不作为评标依据。评标时不接受响应人所提交的任何原件。 </w:t>
            </w:r>
          </w:p>
          <w:p w14:paraId="6DA2CB9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（二）响应人需应仔细阅读操作手册，保证上传内容齐全， </w:t>
            </w:r>
          </w:p>
          <w:p w14:paraId="08B955C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真实有效，原件扫描件清晰可辨。因响应人上传原因导致 </w:t>
            </w:r>
          </w:p>
          <w:p w14:paraId="15B9382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应得分项而未得分或资格审查不合格等情况的，由响应人 </w:t>
            </w:r>
          </w:p>
          <w:p w14:paraId="241B05FF">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自行承担责任。 </w:t>
            </w:r>
          </w:p>
          <w:p w14:paraId="6A087A1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提示：本项目为电子化、无纸化交易项目，开标时不再接 </w:t>
            </w:r>
          </w:p>
          <w:p w14:paraId="19AB605E">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受任何纸质资料，为保证您能开标成功，请需仔细阅读以 </w:t>
            </w:r>
          </w:p>
          <w:p w14:paraId="70300719">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上条款。 </w:t>
            </w:r>
          </w:p>
        </w:tc>
      </w:tr>
    </w:tbl>
    <w:p w14:paraId="61616E73">
      <w:pPr>
        <w:keepNext w:val="0"/>
        <w:keepLines w:val="0"/>
        <w:pageBreakBefore w:val="0"/>
        <w:widowControl w:val="0"/>
        <w:kinsoku/>
        <w:wordWrap w:val="0"/>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pacing w:val="-4"/>
          <w:sz w:val="24"/>
          <w:szCs w:val="24"/>
          <w:highlight w:val="none"/>
        </w:rPr>
        <w:t>总  则</w:t>
      </w:r>
    </w:p>
    <w:p w14:paraId="3D056CE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15" w:name="_Toc479"/>
      <w:r>
        <w:rPr>
          <w:rFonts w:hint="eastAsia" w:ascii="宋体" w:hAnsi="宋体" w:eastAsia="宋体" w:cs="宋体"/>
          <w:color w:val="auto"/>
          <w:spacing w:val="-4"/>
          <w:sz w:val="24"/>
          <w:szCs w:val="24"/>
          <w:highlight w:val="none"/>
        </w:rPr>
        <w:t>1.1项目概况</w:t>
      </w:r>
    </w:p>
    <w:p w14:paraId="79015B4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 根据《中华人民共和国政府采购法》 等有关法律、法规和规章的规定，本项目已具备磋商条件，现对本项目进行竞争性磋商。</w:t>
      </w:r>
    </w:p>
    <w:p w14:paraId="63F1B55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 本磋商项目采购人：见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6925A85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1.1.3 本磋商项目代理机构：见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7685B15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1.1.4 本磋商项目名称：见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05E0F49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1.1.5 本磋商项目</w:t>
      </w:r>
      <w:r>
        <w:rPr>
          <w:rFonts w:hint="eastAsia" w:ascii="宋体" w:hAnsi="宋体" w:cs="宋体"/>
          <w:color w:val="auto"/>
          <w:spacing w:val="-4"/>
          <w:sz w:val="24"/>
          <w:szCs w:val="24"/>
          <w:highlight w:val="none"/>
          <w:lang w:val="en-US" w:eastAsia="zh-CN"/>
        </w:rPr>
        <w:t>供货</w:t>
      </w:r>
      <w:r>
        <w:rPr>
          <w:rFonts w:hint="eastAsia" w:ascii="宋体" w:hAnsi="宋体" w:eastAsia="宋体" w:cs="宋体"/>
          <w:color w:val="auto"/>
          <w:spacing w:val="-4"/>
          <w:sz w:val="24"/>
          <w:szCs w:val="24"/>
          <w:highlight w:val="none"/>
        </w:rPr>
        <w:t>地点：见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6A9A4B3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 资金来源</w:t>
      </w:r>
    </w:p>
    <w:p w14:paraId="6475956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1.2.1 本项目的资金来源：见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412EB8E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 磋商范围、</w:t>
      </w:r>
      <w:r>
        <w:rPr>
          <w:rFonts w:hint="eastAsia" w:ascii="宋体" w:hAnsi="宋体" w:cs="宋体"/>
          <w:color w:val="auto"/>
          <w:spacing w:val="-4"/>
          <w:sz w:val="24"/>
          <w:szCs w:val="24"/>
          <w:highlight w:val="none"/>
          <w:lang w:val="en-US" w:eastAsia="zh-CN"/>
        </w:rPr>
        <w:t>供货期限</w:t>
      </w:r>
      <w:r>
        <w:rPr>
          <w:rFonts w:hint="eastAsia" w:ascii="宋体" w:hAnsi="宋体" w:eastAsia="宋体" w:cs="宋体"/>
          <w:color w:val="auto"/>
          <w:spacing w:val="-4"/>
          <w:sz w:val="24"/>
          <w:szCs w:val="24"/>
          <w:highlight w:val="none"/>
        </w:rPr>
        <w:t>和质量要求</w:t>
      </w:r>
    </w:p>
    <w:p w14:paraId="0C380EA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 本次磋商范围：见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0A7748A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 本</w:t>
      </w:r>
      <w:r>
        <w:rPr>
          <w:rFonts w:hint="eastAsia" w:ascii="宋体" w:hAnsi="宋体" w:cs="宋体"/>
          <w:color w:val="auto"/>
          <w:spacing w:val="-4"/>
          <w:sz w:val="24"/>
          <w:szCs w:val="24"/>
          <w:highlight w:val="none"/>
          <w:lang w:val="en-US" w:eastAsia="zh-CN"/>
        </w:rPr>
        <w:t>磋商项目</w:t>
      </w:r>
      <w:r>
        <w:rPr>
          <w:rFonts w:hint="eastAsia" w:ascii="宋体" w:hAnsi="宋体" w:eastAsia="宋体" w:cs="宋体"/>
          <w:color w:val="auto"/>
          <w:spacing w:val="-4"/>
          <w:sz w:val="24"/>
          <w:szCs w:val="24"/>
          <w:highlight w:val="none"/>
        </w:rPr>
        <w:t>的</w:t>
      </w:r>
      <w:r>
        <w:rPr>
          <w:rFonts w:hint="eastAsia" w:ascii="宋体" w:hAnsi="宋体" w:cs="宋体"/>
          <w:color w:val="auto"/>
          <w:spacing w:val="-4"/>
          <w:sz w:val="24"/>
          <w:szCs w:val="24"/>
          <w:highlight w:val="none"/>
          <w:lang w:val="en-US" w:eastAsia="zh-CN"/>
        </w:rPr>
        <w:t>供货期限</w:t>
      </w:r>
      <w:r>
        <w:rPr>
          <w:rFonts w:hint="eastAsia" w:ascii="宋体" w:hAnsi="宋体" w:eastAsia="宋体" w:cs="宋体"/>
          <w:color w:val="auto"/>
          <w:spacing w:val="-4"/>
          <w:sz w:val="24"/>
          <w:szCs w:val="24"/>
          <w:highlight w:val="none"/>
        </w:rPr>
        <w:t>：见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24FD8CA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1.3.3 本</w:t>
      </w:r>
      <w:r>
        <w:rPr>
          <w:rFonts w:hint="eastAsia" w:ascii="宋体" w:hAnsi="宋体" w:cs="宋体"/>
          <w:color w:val="auto"/>
          <w:spacing w:val="-4"/>
          <w:sz w:val="24"/>
          <w:szCs w:val="24"/>
          <w:highlight w:val="none"/>
          <w:lang w:val="en-US" w:eastAsia="zh-CN"/>
        </w:rPr>
        <w:t>磋商项目</w:t>
      </w:r>
      <w:r>
        <w:rPr>
          <w:rFonts w:hint="eastAsia" w:ascii="宋体" w:hAnsi="宋体" w:eastAsia="宋体" w:cs="宋体"/>
          <w:color w:val="auto"/>
          <w:spacing w:val="-4"/>
          <w:sz w:val="24"/>
          <w:szCs w:val="24"/>
          <w:highlight w:val="none"/>
        </w:rPr>
        <w:t>的质量要求：见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652D72E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响应人资格要求</w:t>
      </w:r>
    </w:p>
    <w:p w14:paraId="3565B72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1.4.1 响应人应具备承担本</w:t>
      </w:r>
      <w:r>
        <w:rPr>
          <w:rFonts w:hint="eastAsia" w:ascii="宋体" w:hAnsi="宋体" w:cs="宋体"/>
          <w:color w:val="auto"/>
          <w:spacing w:val="-4"/>
          <w:sz w:val="24"/>
          <w:szCs w:val="24"/>
          <w:highlight w:val="none"/>
          <w:lang w:val="en-US" w:eastAsia="zh-CN"/>
        </w:rPr>
        <w:t>采购项目</w:t>
      </w:r>
      <w:r>
        <w:rPr>
          <w:rFonts w:hint="eastAsia" w:ascii="宋体" w:hAnsi="宋体" w:eastAsia="宋体" w:cs="宋体"/>
          <w:color w:val="auto"/>
          <w:spacing w:val="-4"/>
          <w:sz w:val="24"/>
          <w:szCs w:val="24"/>
          <w:highlight w:val="none"/>
        </w:rPr>
        <w:t>的资</w:t>
      </w:r>
      <w:r>
        <w:rPr>
          <w:rFonts w:hint="eastAsia" w:ascii="宋体" w:hAnsi="宋体" w:cs="宋体"/>
          <w:color w:val="auto"/>
          <w:spacing w:val="-4"/>
          <w:sz w:val="24"/>
          <w:szCs w:val="24"/>
          <w:highlight w:val="none"/>
          <w:lang w:eastAsia="zh-CN"/>
        </w:rPr>
        <w:t>格</w:t>
      </w:r>
      <w:r>
        <w:rPr>
          <w:rFonts w:hint="eastAsia" w:ascii="宋体" w:hAnsi="宋体" w:eastAsia="宋体" w:cs="宋体"/>
          <w:color w:val="auto"/>
          <w:spacing w:val="-4"/>
          <w:sz w:val="24"/>
          <w:szCs w:val="24"/>
          <w:highlight w:val="none"/>
        </w:rPr>
        <w:t>条件、能力和信誉见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50A7DA7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1.4.2 响应人不得存在下列情形之一：</w:t>
      </w:r>
    </w:p>
    <w:p w14:paraId="548C41C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(l）为采购人不具有独立法人资格的附属机构（单位）；</w:t>
      </w:r>
    </w:p>
    <w:p w14:paraId="1C02D94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(2）为本磋商项目前期准备提供设计或咨询服务，但设计施工总承包的除外；</w:t>
      </w:r>
    </w:p>
    <w:p w14:paraId="6448B94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(3）为本磋商项目的监理人；</w:t>
      </w:r>
    </w:p>
    <w:p w14:paraId="713C8D9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(4）为本磋商项目的代建人；</w:t>
      </w:r>
    </w:p>
    <w:p w14:paraId="4D09F6C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(5）为本磋商项目提供采购代理服务的；</w:t>
      </w:r>
    </w:p>
    <w:p w14:paraId="3B25E92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(6）与本磋商项目的监理人或代建人或采购代理机构同为一个法定代表人的；</w:t>
      </w:r>
    </w:p>
    <w:p w14:paraId="60464C7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(7）与本磋商项目的监理人或代建人或采购代理机构相互控股或参股的；</w:t>
      </w:r>
    </w:p>
    <w:p w14:paraId="730BD51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(8）与本磋商项目的监理人或代建人或采购代理机构相互任职或工作的；</w:t>
      </w:r>
    </w:p>
    <w:p w14:paraId="5DD7637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(9）被责令停业的；</w:t>
      </w:r>
    </w:p>
    <w:p w14:paraId="3179649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(10）被暂停或取消磋商资格的；</w:t>
      </w:r>
    </w:p>
    <w:p w14:paraId="6DCDBC3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(11）财产被接管或冻结的；</w:t>
      </w:r>
    </w:p>
    <w:p w14:paraId="74261EF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(12）在最近三年内有骗取成交或严重违约或重大质量问题的。</w:t>
      </w:r>
    </w:p>
    <w:p w14:paraId="5C69C8F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 费用承担</w:t>
      </w:r>
    </w:p>
    <w:p w14:paraId="5C5259A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响应人准备和参加磋商活动发生的费用自理。</w:t>
      </w:r>
    </w:p>
    <w:p w14:paraId="5D70BC9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1.6 保密</w:t>
      </w:r>
    </w:p>
    <w:p w14:paraId="0C23FD9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参与磋商活动的各方应对磋商文件和响应文件中的商业和技术等秘密保密，违者应对由此造成的后果承担法律责任。</w:t>
      </w:r>
    </w:p>
    <w:p w14:paraId="6052C88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 语言文字</w:t>
      </w:r>
    </w:p>
    <w:p w14:paraId="1536F19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除专用术语外，与采购磋商有关的语言均使用中文。必要时专用术语应附有中文注释。</w:t>
      </w:r>
    </w:p>
    <w:p w14:paraId="3CCDAF9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1.8 计量单位</w:t>
      </w:r>
    </w:p>
    <w:p w14:paraId="1E345FB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所有计量均采用中华人民共和国法定计量单位。</w:t>
      </w:r>
    </w:p>
    <w:p w14:paraId="30E9056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 踏勘现场</w:t>
      </w:r>
    </w:p>
    <w:p w14:paraId="621F7BF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不组织</w:t>
      </w:r>
    </w:p>
    <w:p w14:paraId="5C031C2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 磋商预备会</w:t>
      </w:r>
    </w:p>
    <w:p w14:paraId="36740BC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不组织</w:t>
      </w:r>
    </w:p>
    <w:p w14:paraId="64CC012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 分包</w:t>
      </w:r>
    </w:p>
    <w:p w14:paraId="5790AE3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不允许分包</w:t>
      </w:r>
    </w:p>
    <w:p w14:paraId="44F25EC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16" w:name="_Toc466566695"/>
      <w:bookmarkStart w:id="17" w:name="_Toc17642"/>
      <w:bookmarkStart w:id="18" w:name="_Toc23678"/>
      <w:bookmarkStart w:id="19" w:name="_Toc17517"/>
      <w:r>
        <w:rPr>
          <w:rFonts w:hint="eastAsia" w:ascii="宋体" w:hAnsi="宋体" w:eastAsia="宋体" w:cs="宋体"/>
          <w:color w:val="auto"/>
          <w:spacing w:val="-4"/>
          <w:sz w:val="24"/>
          <w:szCs w:val="24"/>
          <w:highlight w:val="none"/>
        </w:rPr>
        <w:t>2</w:t>
      </w:r>
      <w:r>
        <w:rPr>
          <w:rFonts w:hint="eastAsia" w:ascii="宋体" w:hAnsi="宋体" w:cs="宋体"/>
          <w:color w:val="auto"/>
          <w:spacing w:val="-4"/>
          <w:sz w:val="24"/>
          <w:szCs w:val="24"/>
          <w:highlight w:val="none"/>
          <w:lang w:val="en-US" w:eastAsia="zh-CN"/>
        </w:rPr>
        <w:t>.</w:t>
      </w:r>
      <w:r>
        <w:rPr>
          <w:rFonts w:hint="eastAsia" w:ascii="宋体" w:hAnsi="宋体" w:eastAsia="宋体" w:cs="宋体"/>
          <w:color w:val="auto"/>
          <w:spacing w:val="-4"/>
          <w:sz w:val="24"/>
          <w:szCs w:val="24"/>
          <w:highlight w:val="none"/>
        </w:rPr>
        <w:t>1竞争性磋商文件</w:t>
      </w:r>
      <w:bookmarkEnd w:id="16"/>
      <w:bookmarkEnd w:id="17"/>
      <w:bookmarkEnd w:id="18"/>
      <w:bookmarkEnd w:id="19"/>
    </w:p>
    <w:p w14:paraId="7D5E7A2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2.1.1 竞争性磋商文件的组成</w:t>
      </w:r>
    </w:p>
    <w:p w14:paraId="55A722A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本竞争性磋商文件包括：</w:t>
      </w:r>
    </w:p>
    <w:p w14:paraId="150DDB8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竞争性磋商公告</w:t>
      </w:r>
    </w:p>
    <w:p w14:paraId="003A7F7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响应人</w:t>
      </w:r>
      <w:r>
        <w:rPr>
          <w:rFonts w:hint="eastAsia" w:ascii="宋体" w:hAnsi="宋体" w:eastAsia="宋体" w:cs="宋体"/>
          <w:color w:val="auto"/>
          <w:spacing w:val="-4"/>
          <w:sz w:val="24"/>
          <w:szCs w:val="24"/>
          <w:highlight w:val="none"/>
        </w:rPr>
        <w:t>须知</w:t>
      </w:r>
    </w:p>
    <w:p w14:paraId="27B0ADB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lang w:eastAsia="zh-CN"/>
        </w:rPr>
        <w:t>）评标办法（综合评分法）</w:t>
      </w:r>
    </w:p>
    <w:p w14:paraId="3965E5E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合同条款</w:t>
      </w:r>
      <w:r>
        <w:rPr>
          <w:rFonts w:hint="eastAsia" w:ascii="宋体" w:hAnsi="宋体" w:eastAsia="宋体" w:cs="宋体"/>
          <w:color w:val="auto"/>
          <w:spacing w:val="-4"/>
          <w:sz w:val="24"/>
          <w:szCs w:val="24"/>
          <w:highlight w:val="none"/>
          <w:lang w:eastAsia="zh-CN"/>
        </w:rPr>
        <w:t>及格式</w:t>
      </w:r>
    </w:p>
    <w:p w14:paraId="0F48376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采购需求</w:t>
      </w:r>
    </w:p>
    <w:p w14:paraId="2BF029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响应文件格式</w:t>
      </w:r>
    </w:p>
    <w:p w14:paraId="69690C6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对竞争性磋商文件所作的澄清、修改，构成竞争性文件的组成部分。</w:t>
      </w:r>
    </w:p>
    <w:p w14:paraId="734AFEB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 竞争性磋商文件的澄清</w:t>
      </w:r>
    </w:p>
    <w:p w14:paraId="2602A3E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2.2.1响应人应仔细阅读和检查竞争性磋商文件的全部内容。如发现内容不完整或附件不全，应及时向采购人提出，以便补齐。如有疑问，应在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须知前附表规定的时间在三门峡市公共资源交易系统中提出质询，要求采购人对竞争性磋商文件予以澄清。</w:t>
      </w:r>
    </w:p>
    <w:p w14:paraId="529BE8E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2.2.2竞争性磋商文件的澄清以澄清回复的方式在三门峡市公共资源交易系统中回复所有报名完成</w:t>
      </w:r>
      <w:r>
        <w:rPr>
          <w:rFonts w:hint="eastAsia" w:ascii="宋体" w:hAnsi="宋体" w:cs="宋体"/>
          <w:color w:val="auto"/>
          <w:spacing w:val="-4"/>
          <w:sz w:val="24"/>
          <w:szCs w:val="24"/>
          <w:highlight w:val="none"/>
          <w:lang w:eastAsia="zh-CN"/>
        </w:rPr>
        <w:t>的</w:t>
      </w:r>
      <w:r>
        <w:rPr>
          <w:rFonts w:hint="eastAsia" w:ascii="宋体" w:hAnsi="宋体" w:eastAsia="宋体" w:cs="宋体"/>
          <w:color w:val="auto"/>
          <w:spacing w:val="-4"/>
          <w:sz w:val="24"/>
          <w:szCs w:val="24"/>
          <w:highlight w:val="none"/>
        </w:rPr>
        <w:t xml:space="preserve">响应人，但不指明澄清问题的来源。澄清竞争性磋商文件实质性内容且影响响应文件编制的，将相应延长磋商截止时间。 </w:t>
      </w:r>
    </w:p>
    <w:p w14:paraId="0AB1EA0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2.2.3 响应人应自行查看澄清信息。</w:t>
      </w:r>
    </w:p>
    <w:p w14:paraId="1F26D23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 竞争性磋商文件的修改</w:t>
      </w:r>
    </w:p>
    <w:p w14:paraId="71D4F28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2.3.1 在磋商截止时间5</w:t>
      </w:r>
      <w:r>
        <w:rPr>
          <w:rFonts w:hint="eastAsia" w:ascii="宋体" w:hAnsi="宋体" w:cs="宋体"/>
          <w:color w:val="auto"/>
          <w:spacing w:val="-4"/>
          <w:sz w:val="24"/>
          <w:szCs w:val="24"/>
          <w:highlight w:val="none"/>
          <w:lang w:eastAsia="zh-CN"/>
        </w:rPr>
        <w:t>日</w:t>
      </w:r>
      <w:r>
        <w:rPr>
          <w:rFonts w:hint="eastAsia" w:ascii="宋体" w:hAnsi="宋体" w:eastAsia="宋体" w:cs="宋体"/>
          <w:color w:val="auto"/>
          <w:spacing w:val="-4"/>
          <w:sz w:val="24"/>
          <w:szCs w:val="24"/>
          <w:highlight w:val="none"/>
        </w:rPr>
        <w:t>前，采购人可以修改竞争性磋商文件，并以变更公告形式通知所有已购买竞争性磋商文件的响应人。</w:t>
      </w:r>
    </w:p>
    <w:p w14:paraId="17B410A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67E6176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2.3.3为使响应人在准备响应文件时有合理的时间考虑竞争性磋商文件的修改，代理机构可酌情推迟磋商截止时间和磋商时间，但应当至少在磋商截止时间</w:t>
      </w:r>
      <w:r>
        <w:rPr>
          <w:rFonts w:hint="eastAsia" w:ascii="宋体" w:hAnsi="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日前将变更时间以发布变更公告的形式通知所有响应人。该修改内容为竞争性磋商文件的组成部分。在此情况下，采购人和响应人受磋商截止期制约的所有权利和义务均应延长至新的截止日期。</w:t>
      </w:r>
      <w:bookmarkStart w:id="20" w:name="_Toc184635073"/>
      <w:bookmarkEnd w:id="20"/>
    </w:p>
    <w:p w14:paraId="789A72F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3．响应文件</w:t>
      </w:r>
    </w:p>
    <w:p w14:paraId="23829F6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 响应文件的组成</w:t>
      </w:r>
    </w:p>
    <w:p w14:paraId="6ACC22D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3.1.1 响应文件应包括下列内容：</w:t>
      </w:r>
    </w:p>
    <w:p w14:paraId="71D9FD6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（1）磋商函及磋商函附录 </w:t>
      </w:r>
    </w:p>
    <w:p w14:paraId="47F10E3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（2）法定代表人身份证明 </w:t>
      </w:r>
    </w:p>
    <w:p w14:paraId="08E8215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（3）法人授权委托书 </w:t>
      </w:r>
    </w:p>
    <w:p w14:paraId="20F66ED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（4）磋商承诺函 </w:t>
      </w:r>
    </w:p>
    <w:p w14:paraId="424B8AC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（5）资格审查资料 </w:t>
      </w:r>
    </w:p>
    <w:p w14:paraId="3C96826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（6）技术部分 </w:t>
      </w:r>
    </w:p>
    <w:p w14:paraId="3F9E2BA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（7）商务部分 </w:t>
      </w:r>
    </w:p>
    <w:p w14:paraId="7E01157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（8）其他资料</w:t>
      </w:r>
    </w:p>
    <w:p w14:paraId="4AA7EBC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 磋商报价</w:t>
      </w:r>
    </w:p>
    <w:p w14:paraId="1F79461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3.2.1响应人的报价应含有所投项目、税费、交付后约定期限内免费后续工程等所发生的一切应有费用。</w:t>
      </w:r>
    </w:p>
    <w:p w14:paraId="07696E5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71D6FE7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3.2.2响应文件的磋商报价应是竞争性磋商文件所确定的磋商范围内的全部工作内容的价格体现。</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只能提出一个不变价格，采购人不接受任何选择报价。</w:t>
      </w:r>
    </w:p>
    <w:p w14:paraId="6A3C661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3.2.3 磋商报价包括的风险范围为：</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p>
    <w:p w14:paraId="5CEB486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磋商报价将被认为已综合考虑了在工程全过程中可能发生的全部不可预见费用。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33819DF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3202238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3.2.5全部报价均应以人民币为计量币种，并以人民币进行结算。</w:t>
      </w:r>
    </w:p>
    <w:p w14:paraId="486146B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3.2.6</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在磋商报价前可以自行踏勘现场，充分考虑了现状条件可能影响到项目正常服务工作的所有风险因素。无论</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是否进行了上述现场踏勘工作，其磋商报价中均将被认为已包含有在作业期间发生的全部不可预见的风险费用，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成交后则无权因此要求任何服务周期或费用上的索赔。</w:t>
      </w:r>
    </w:p>
    <w:p w14:paraId="7B382EF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3.2.7施工期间由于工程条件发生变化或</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原因造成技术方案的更改，所增加的措施费用及服务周期一概不予调整，相应的费用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应在磋商报价中充分考虑，采购人不另支付。</w:t>
      </w:r>
    </w:p>
    <w:p w14:paraId="17DADA8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3.2.8增值税属不可竞争费用，如违背国家税收规定的，对未按规定计取增值税的响应人，其磋商报价按低于成本价处理。</w:t>
      </w:r>
    </w:p>
    <w:p w14:paraId="61EAD0F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 磋商有效期</w:t>
      </w:r>
    </w:p>
    <w:p w14:paraId="5D87904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3.3.1 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须知前附表规定的磋商有效期内，</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不得要求撤销或修改其响应文件。</w:t>
      </w:r>
    </w:p>
    <w:p w14:paraId="0BE8803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3.3.2 出现特殊情况需要延长磋商有效期的，采购人以书面形式通知所有</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延长磋商有效期。</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同意延长的，不得要求或被允许修改或撤销其响应文件；</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拒绝延长的，其磋商失效。</w:t>
      </w:r>
    </w:p>
    <w:p w14:paraId="0E96B51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 磋商保证金：按照《河南省财政厅关于优化政府采购营商环境有关问题的通知》（豫财购[2019]4号文）的要求本项目不再收取磋商保证金。</w:t>
      </w:r>
    </w:p>
    <w:p w14:paraId="6667B84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 资格审查资料</w:t>
      </w:r>
    </w:p>
    <w:p w14:paraId="7D15B2B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详见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lang w:eastAsia="zh-CN"/>
        </w:rPr>
        <w:t>须知</w:t>
      </w:r>
      <w:r>
        <w:rPr>
          <w:rFonts w:hint="eastAsia" w:ascii="宋体" w:hAnsi="宋体" w:eastAsia="宋体" w:cs="宋体"/>
          <w:color w:val="auto"/>
          <w:spacing w:val="-4"/>
          <w:sz w:val="24"/>
          <w:szCs w:val="24"/>
          <w:highlight w:val="none"/>
        </w:rPr>
        <w:t>前附表第1</w:t>
      </w:r>
      <w:r>
        <w:rPr>
          <w:rFonts w:hint="eastAsia" w:ascii="宋体" w:hAnsi="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条</w:t>
      </w:r>
    </w:p>
    <w:p w14:paraId="451FAD4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 响应文件的编制</w:t>
      </w:r>
    </w:p>
    <w:p w14:paraId="7B9773D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3.6.1 响应文件应按第</w:t>
      </w:r>
      <w:r>
        <w:rPr>
          <w:rFonts w:hint="eastAsia" w:ascii="宋体" w:hAnsi="宋体" w:eastAsia="宋体" w:cs="宋体"/>
          <w:color w:val="auto"/>
          <w:spacing w:val="-4"/>
          <w:sz w:val="24"/>
          <w:szCs w:val="24"/>
          <w:highlight w:val="none"/>
          <w:lang w:eastAsia="zh-CN"/>
        </w:rPr>
        <w:t>六</w:t>
      </w:r>
      <w:r>
        <w:rPr>
          <w:rFonts w:hint="eastAsia" w:ascii="宋体" w:hAnsi="宋体" w:eastAsia="宋体" w:cs="宋体"/>
          <w:color w:val="auto"/>
          <w:spacing w:val="-4"/>
          <w:sz w:val="24"/>
          <w:szCs w:val="24"/>
          <w:highlight w:val="none"/>
        </w:rPr>
        <w:t>章“响应文件格式”进行编写，如有必要，可以增加附页，作为响应文件的组成部分。其中，磋商函附录在满足磋商文件实质性要求的基础上，可以提出比磋商文件要求更有利于采购人的承诺。</w:t>
      </w:r>
    </w:p>
    <w:p w14:paraId="5F5E6EE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3.6.2 响应文件应当对磋商文件有关计划工期、磋商有效期、质量要求等实质性内容作出响应。</w:t>
      </w:r>
    </w:p>
    <w:p w14:paraId="1FC267B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 响应文件的签署</w:t>
      </w:r>
    </w:p>
    <w:p w14:paraId="3F8DC01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3.7.1电子响应文件必须上传电子评标系统。</w:t>
      </w:r>
    </w:p>
    <w:p w14:paraId="4F3B090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3.7.2电子响应文件由响应人的法定代表人签字或盖章。</w:t>
      </w:r>
      <w:bookmarkStart w:id="21" w:name="_Toc184635074"/>
      <w:bookmarkEnd w:id="21"/>
    </w:p>
    <w:p w14:paraId="6F2B07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1电子响应文件的递交</w:t>
      </w:r>
    </w:p>
    <w:p w14:paraId="3D72ED9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4.1.1</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应在规定的磋商截止时间前递交响应文件。</w:t>
      </w:r>
    </w:p>
    <w:p w14:paraId="7CA612C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4.1.2</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递交响应文件的地点：见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bookmarkStart w:id="22" w:name="_Toc466566785"/>
      <w:bookmarkEnd w:id="22"/>
      <w:bookmarkStart w:id="23" w:name="_Toc466566696"/>
      <w:bookmarkEnd w:id="23"/>
      <w:bookmarkStart w:id="24" w:name="_Toc184635075"/>
    </w:p>
    <w:p w14:paraId="09BDDF2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4.1.3逾期</w:t>
      </w:r>
      <w:r>
        <w:rPr>
          <w:rFonts w:hint="eastAsia" w:ascii="宋体" w:hAnsi="宋体" w:cs="宋体"/>
          <w:color w:val="auto"/>
          <w:spacing w:val="-4"/>
          <w:sz w:val="24"/>
          <w:szCs w:val="24"/>
          <w:highlight w:val="none"/>
          <w:lang w:eastAsia="zh-CN"/>
        </w:rPr>
        <w:t>递交</w:t>
      </w:r>
      <w:r>
        <w:rPr>
          <w:rFonts w:hint="eastAsia" w:ascii="宋体" w:hAnsi="宋体" w:eastAsia="宋体" w:cs="宋体"/>
          <w:color w:val="auto"/>
          <w:spacing w:val="-4"/>
          <w:sz w:val="24"/>
          <w:szCs w:val="24"/>
          <w:highlight w:val="none"/>
        </w:rPr>
        <w:t>或者未</w:t>
      </w:r>
      <w:r>
        <w:rPr>
          <w:rFonts w:hint="eastAsia" w:ascii="宋体" w:hAnsi="宋体" w:cs="宋体"/>
          <w:color w:val="auto"/>
          <w:spacing w:val="-4"/>
          <w:sz w:val="24"/>
          <w:szCs w:val="24"/>
          <w:highlight w:val="none"/>
          <w:lang w:eastAsia="zh-CN"/>
        </w:rPr>
        <w:t>递交</w:t>
      </w:r>
      <w:r>
        <w:rPr>
          <w:rFonts w:hint="eastAsia" w:ascii="宋体" w:hAnsi="宋体" w:eastAsia="宋体" w:cs="宋体"/>
          <w:color w:val="auto"/>
          <w:spacing w:val="-4"/>
          <w:sz w:val="24"/>
          <w:szCs w:val="24"/>
          <w:highlight w:val="none"/>
        </w:rPr>
        <w:t>指定地点的响应文件，采购人不予受理。</w:t>
      </w:r>
      <w:bookmarkEnd w:id="24"/>
    </w:p>
    <w:p w14:paraId="2646578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25" w:name="_Toc27427"/>
      <w:bookmarkStart w:id="26" w:name="_Toc23682"/>
      <w:bookmarkStart w:id="27" w:name="_Toc2978"/>
      <w:r>
        <w:rPr>
          <w:rFonts w:hint="eastAsia" w:ascii="宋体" w:hAnsi="宋体" w:eastAsia="宋体" w:cs="宋体"/>
          <w:color w:val="auto"/>
          <w:spacing w:val="-4"/>
          <w:sz w:val="24"/>
          <w:szCs w:val="24"/>
          <w:highlight w:val="none"/>
        </w:rPr>
        <w:t>5．磋商</w:t>
      </w:r>
      <w:bookmarkEnd w:id="25"/>
      <w:bookmarkEnd w:id="26"/>
      <w:bookmarkEnd w:id="27"/>
    </w:p>
    <w:p w14:paraId="3B27F7F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5.1 磋商时间和地点</w:t>
      </w:r>
    </w:p>
    <w:p w14:paraId="2A888B6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采购人在本磋商文件规定的响应文件递交截止时间（磋商时间）和地点竞争性磋商。</w:t>
      </w:r>
    </w:p>
    <w:p w14:paraId="49B7A15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 磋商程序</w:t>
      </w:r>
    </w:p>
    <w:p w14:paraId="03C03EB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5.2.1采购人按</w:t>
      </w:r>
      <w:r>
        <w:rPr>
          <w:rFonts w:hint="eastAsia" w:ascii="宋体" w:hAnsi="宋体" w:eastAsia="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须知前附表规定的时间和地点磋商；</w:t>
      </w:r>
    </w:p>
    <w:p w14:paraId="37306CA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5.2.2本项目采用电子化、无纸化进行磋商；</w:t>
      </w:r>
    </w:p>
    <w:p w14:paraId="0E6F8AA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5.2.3响应文件有下列情况之一的,采购人将不予接收：</w:t>
      </w:r>
    </w:p>
    <w:p w14:paraId="4260B1B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5.2.3.1响应文件递交截止时间后上传的；</w:t>
      </w:r>
    </w:p>
    <w:p w14:paraId="2E062AA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5.2.4按照响应文件上传顺序进行解密；</w:t>
      </w:r>
    </w:p>
    <w:p w14:paraId="78DF448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5.2.5经确认无误后，按照</w:t>
      </w:r>
      <w:r>
        <w:rPr>
          <w:rFonts w:hint="eastAsia" w:ascii="宋体" w:hAnsi="宋体" w:cs="宋体"/>
          <w:color w:val="auto"/>
          <w:spacing w:val="-4"/>
          <w:sz w:val="24"/>
          <w:szCs w:val="24"/>
          <w:highlight w:val="none"/>
          <w:lang w:eastAsia="zh-CN"/>
        </w:rPr>
        <w:t>报送</w:t>
      </w:r>
      <w:r>
        <w:rPr>
          <w:rFonts w:hint="eastAsia" w:ascii="宋体" w:hAnsi="宋体" w:eastAsia="宋体" w:cs="宋体"/>
          <w:color w:val="auto"/>
          <w:spacing w:val="-4"/>
          <w:sz w:val="24"/>
          <w:szCs w:val="24"/>
          <w:highlight w:val="none"/>
        </w:rPr>
        <w:t>时间顺序确定磋商顺序；</w:t>
      </w:r>
    </w:p>
    <w:p w14:paraId="2D2DF6E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5.2.6磋商时</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可登录到交易系统中在磋商解密栏中点击磋商一览表查看自己的磋商报价。如对磋商过程有异议的，应在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解密成功后20分钟内向中介服务机构电话质疑。</w:t>
      </w:r>
    </w:p>
    <w:p w14:paraId="3485B8C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28" w:name="_Toc15884"/>
      <w:bookmarkStart w:id="29" w:name="_Toc23857"/>
      <w:bookmarkStart w:id="30" w:name="_Toc7091"/>
      <w:r>
        <w:rPr>
          <w:rFonts w:hint="eastAsia" w:ascii="宋体" w:hAnsi="宋体" w:eastAsia="宋体" w:cs="宋体"/>
          <w:color w:val="auto"/>
          <w:spacing w:val="-4"/>
          <w:sz w:val="24"/>
          <w:szCs w:val="24"/>
          <w:highlight w:val="none"/>
        </w:rPr>
        <w:t>6. 磋商细则</w:t>
      </w:r>
      <w:bookmarkEnd w:id="28"/>
      <w:bookmarkEnd w:id="29"/>
      <w:bookmarkEnd w:id="30"/>
    </w:p>
    <w:p w14:paraId="77A1F1D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6.1采购人按照上传响应文件时间的顺序，决定磋商顺序；</w:t>
      </w:r>
    </w:p>
    <w:p w14:paraId="0267DEA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6.2磋商小组所有成员在指定时间和地点与各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w:t>
      </w:r>
    </w:p>
    <w:p w14:paraId="5FDB080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6.3本次磋商中，响应文件中的磋商报价为第一次报价。</w:t>
      </w:r>
    </w:p>
    <w:p w14:paraId="336BCAC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6.4</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可以在磋商小组规定的时间内进行第二次报价，通过交易中心系统以电子形式递交，第二次报价为最终报价。</w:t>
      </w:r>
    </w:p>
    <w:p w14:paraId="6ED2D91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6.5本项目采用综合评分法，磋商小组成员综合评审各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提交的响应文件，按总得分由高到低的顺序推荐3名成交候选人，并编写评审报告。</w:t>
      </w:r>
    </w:p>
    <w:p w14:paraId="63DFD20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31" w:name="_Toc26867"/>
      <w:bookmarkStart w:id="32" w:name="_Toc21922"/>
      <w:bookmarkStart w:id="33" w:name="_Toc10240"/>
      <w:r>
        <w:rPr>
          <w:rFonts w:hint="eastAsia" w:ascii="宋体" w:hAnsi="宋体" w:eastAsia="宋体" w:cs="宋体"/>
          <w:color w:val="auto"/>
          <w:spacing w:val="-4"/>
          <w:sz w:val="24"/>
          <w:szCs w:val="24"/>
          <w:highlight w:val="none"/>
        </w:rPr>
        <w:t>7、磋商</w:t>
      </w:r>
      <w:bookmarkEnd w:id="31"/>
      <w:bookmarkEnd w:id="32"/>
      <w:bookmarkEnd w:id="33"/>
    </w:p>
    <w:p w14:paraId="11C432F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7.1磋商小组由采购人依法组建，负责磋商。根据《政府采购竞争性磋商采购方式管理办法》的规定，磋商小组应当履行以下义务：</w:t>
      </w:r>
    </w:p>
    <w:p w14:paraId="1470672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（一）遵纪守法，客观、公正、廉洁地履行职责；</w:t>
      </w:r>
    </w:p>
    <w:p w14:paraId="275A2D9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（二）根据竞争性磋商文件的规定独立进行评审，对个人的评审意见承担法律责任；</w:t>
      </w:r>
    </w:p>
    <w:p w14:paraId="19C3497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（三）参与磋商报告的起草；</w:t>
      </w:r>
    </w:p>
    <w:p w14:paraId="3650046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（四）配合采购人、采购代理机构答复响应人提出的质疑；</w:t>
      </w:r>
    </w:p>
    <w:p w14:paraId="515F0EF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（五）配合财政部门的投诉处理和监督检查工作。</w:t>
      </w:r>
    </w:p>
    <w:p w14:paraId="59D5C96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7.2磋商小组由有关技术、经济方面的专家组成。磋商小组人数及技术、经济专家的确定方式见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132DAF4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7.3 磋商原则</w:t>
      </w:r>
    </w:p>
    <w:p w14:paraId="7501F61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7.3.1严格按照竞争性磋商文件中的所有相关规定；按照“公平、公正、科学”的原则进行磋商。</w:t>
      </w:r>
    </w:p>
    <w:p w14:paraId="11E8525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7.3.2反对不正当竞争。</w:t>
      </w:r>
    </w:p>
    <w:p w14:paraId="28D39A8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34" w:name="_Toc18474"/>
      <w:bookmarkStart w:id="35" w:name="_Toc2977"/>
      <w:bookmarkStart w:id="36" w:name="_Toc12301"/>
      <w:r>
        <w:rPr>
          <w:rFonts w:hint="eastAsia" w:ascii="宋体" w:hAnsi="宋体" w:eastAsia="宋体" w:cs="宋体"/>
          <w:color w:val="auto"/>
          <w:spacing w:val="-4"/>
          <w:sz w:val="24"/>
          <w:szCs w:val="24"/>
          <w:highlight w:val="none"/>
        </w:rPr>
        <w:t>8、磋商过程的保密</w:t>
      </w:r>
      <w:bookmarkEnd w:id="34"/>
      <w:bookmarkEnd w:id="35"/>
      <w:bookmarkEnd w:id="36"/>
    </w:p>
    <w:p w14:paraId="56EE7A0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8.1响应文件的审查、澄清、评价和比较的有关资料以及成交候选人的推荐情况，与磋商有关的其他任何情况均应严格保密。</w:t>
      </w:r>
    </w:p>
    <w:p w14:paraId="7B76F95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8.2在响应文件的评审和比较、成交候选人推荐以及授予合同的过程中，</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向采购人和磋商小组施加影响的任何行为，都将会导致其磋商被拒绝。</w:t>
      </w:r>
    </w:p>
    <w:p w14:paraId="1E3FA11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8.3采购人不对未成交人就磋商过程以及未能成交原因作出任何解释。未成交人不得向磋商小组成员和其他有关人员索问磋商过程的情况和资料。</w:t>
      </w:r>
    </w:p>
    <w:p w14:paraId="3F1A83B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37" w:name="_Toc10832"/>
      <w:bookmarkStart w:id="38" w:name="_Toc24402"/>
      <w:bookmarkStart w:id="39" w:name="_Toc10668"/>
      <w:r>
        <w:rPr>
          <w:rFonts w:hint="eastAsia" w:ascii="宋体" w:hAnsi="宋体" w:eastAsia="宋体" w:cs="宋体"/>
          <w:color w:val="auto"/>
          <w:spacing w:val="-4"/>
          <w:sz w:val="24"/>
          <w:szCs w:val="24"/>
          <w:highlight w:val="none"/>
        </w:rPr>
        <w:t>9、响应文件的澄清</w:t>
      </w:r>
      <w:bookmarkEnd w:id="37"/>
      <w:bookmarkEnd w:id="38"/>
      <w:bookmarkEnd w:id="39"/>
    </w:p>
    <w:p w14:paraId="68D9454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3BD933F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40" w:name="_Toc10092"/>
      <w:bookmarkStart w:id="41" w:name="_Toc7780"/>
      <w:bookmarkStart w:id="42" w:name="_Toc26096"/>
      <w:r>
        <w:rPr>
          <w:rFonts w:hint="eastAsia" w:ascii="宋体" w:hAnsi="宋体" w:eastAsia="宋体" w:cs="宋体"/>
          <w:color w:val="auto"/>
          <w:spacing w:val="-4"/>
          <w:sz w:val="24"/>
          <w:szCs w:val="24"/>
          <w:highlight w:val="none"/>
        </w:rPr>
        <w:t>10、响应文件的初步评审</w:t>
      </w:r>
      <w:bookmarkEnd w:id="40"/>
      <w:bookmarkEnd w:id="41"/>
      <w:bookmarkEnd w:id="42"/>
    </w:p>
    <w:p w14:paraId="5611A56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10.1根据初步评审要求经审查有效的响应文件，才能提交磋商小组进行评审。</w:t>
      </w:r>
    </w:p>
    <w:p w14:paraId="20EFC76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6686006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10.3如果响应文件实质上不响应竞争性磋商文件的要求，采购人将予以拒绝，并且不允许</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通过修改或撤消其不符合要求的差异或保留，使之成为具有响应性的磋商。</w:t>
      </w:r>
    </w:p>
    <w:p w14:paraId="29831C7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43" w:name="_Toc4879"/>
      <w:bookmarkStart w:id="44" w:name="_Toc10938"/>
      <w:bookmarkStart w:id="45" w:name="_Toc23151"/>
      <w:r>
        <w:rPr>
          <w:rFonts w:hint="eastAsia" w:ascii="宋体" w:hAnsi="宋体" w:eastAsia="宋体" w:cs="宋体"/>
          <w:color w:val="auto"/>
          <w:spacing w:val="-4"/>
          <w:sz w:val="24"/>
          <w:szCs w:val="24"/>
          <w:highlight w:val="none"/>
        </w:rPr>
        <w:t>11.响应文件计算错误的修正</w:t>
      </w:r>
      <w:bookmarkEnd w:id="43"/>
      <w:bookmarkEnd w:id="44"/>
      <w:bookmarkEnd w:id="45"/>
    </w:p>
    <w:p w14:paraId="6CB32FC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11.1磋商小组将对确定为实质上响应竞争性磋商文件要求的响应文件进行校核，看其是否有计算或表达上的错误，修正错误的原则如下：</w:t>
      </w:r>
    </w:p>
    <w:p w14:paraId="054F3B8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11.1.1如果数字表示的金额和用文字表示的金额不一致时，应以文字表示的金额为准；</w:t>
      </w:r>
    </w:p>
    <w:p w14:paraId="7FDEFCB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11.1.2当单价与数量的乘积与合价不一致时，以单价为准，除非磋商小组认为单价有明显的小数点错误，此时应以标出的合价为准，并修改单价。</w:t>
      </w:r>
    </w:p>
    <w:p w14:paraId="18B3C2E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11.2按上述修正错误的原则及方法调整或修正响应文件的磋商报价，</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同意后，调整后的磋商报价对</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起约束作用。如果</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不接受修正后的报价，则磋商小组对其不再进行评审。</w:t>
      </w:r>
    </w:p>
    <w:p w14:paraId="398C1B3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46" w:name="_Toc7158"/>
      <w:bookmarkStart w:id="47" w:name="_Toc25476"/>
      <w:r>
        <w:rPr>
          <w:rFonts w:hint="eastAsia" w:ascii="宋体" w:hAnsi="宋体" w:eastAsia="宋体" w:cs="宋体"/>
          <w:color w:val="auto"/>
          <w:spacing w:val="-4"/>
          <w:sz w:val="24"/>
          <w:szCs w:val="24"/>
          <w:highlight w:val="none"/>
        </w:rPr>
        <w:t>12. 响应文件的评审、比较和否决</w:t>
      </w:r>
      <w:bookmarkEnd w:id="46"/>
      <w:bookmarkEnd w:id="47"/>
    </w:p>
    <w:p w14:paraId="0015C04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12.1磋商小组仅对在实质上响应竞争性磋商文件要求的响应文件进行评估和比较。</w:t>
      </w:r>
    </w:p>
    <w:p w14:paraId="74146EA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12.2在磋商过程中，磋商小组发现</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的磋商报价明显低于其他</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的报价，并有可能低于其企业成本的，则磋商小组可以以书面形式要求该</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作出书面说明并提供相关证明材料。</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不能合理说明或不能提供相关证明材料的，磋商小组对其响应文件不再进行评审。</w:t>
      </w:r>
    </w:p>
    <w:p w14:paraId="7CBE5E2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12.3在首轮磋商的基础上，磋商小组讨论、分析、综合各种因素后，决定是否与各方再次进行磋商。 </w:t>
      </w:r>
    </w:p>
    <w:p w14:paraId="2207D52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13、重新招标</w:t>
      </w:r>
    </w:p>
    <w:p w14:paraId="3FAFB4C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13.1出现下列情形之一的，将终止竞争性磋商采购活动，发布项目终止公告并说明原因，重新开展采购活动：</w:t>
      </w:r>
    </w:p>
    <w:p w14:paraId="42FA1DF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13.1.1不符合法律、法规和竞争性磋商文件中规定的其他实质性要求的；</w:t>
      </w:r>
    </w:p>
    <w:p w14:paraId="64A044C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13</w:t>
      </w:r>
      <w:r>
        <w:rPr>
          <w:rFonts w:hint="eastAsia" w:ascii="宋体" w:hAnsi="宋体" w:eastAsia="宋体" w:cs="宋体"/>
          <w:color w:val="auto"/>
          <w:spacing w:val="-4"/>
          <w:sz w:val="24"/>
          <w:szCs w:val="24"/>
          <w:highlight w:val="none"/>
        </w:rPr>
        <w:t>.1.2其他法律、法规及本竞争性磋商文件规定的属响应无效的情形。终止竞争性磋商采购活动的条款；</w:t>
      </w:r>
    </w:p>
    <w:p w14:paraId="3305CDF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13.1.3因情况变化，不再符合规定的竞争性磋商采购方式适用情形的；出现影响采购公正的违法、违规行为的；</w:t>
      </w:r>
    </w:p>
    <w:p w14:paraId="52A7C28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13.2磋商截止时间结束后参加</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不足3家的，应重新组织采购。评审期间符合专业条件的响应人或者对磋商响应文件作出实质响应的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不足3家的，采购代理机构将报请主管监督部门，经批准，继续进行评标活动。</w:t>
      </w:r>
    </w:p>
    <w:p w14:paraId="391575C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14、成交候选人</w:t>
      </w:r>
    </w:p>
    <w:p w14:paraId="02FE40A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磋商小组应当根据综合评分情况，按照评审由高到低的顺序推荐成交候选</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，并向采购人提供书面评审报告，采购人及采购代理机构在政府采购项目评审结束当日内完成评标报告的报送、中标（成交）</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的确定、中标（成交）公告发布及中标（成交）通知书的发出等。</w:t>
      </w:r>
    </w:p>
    <w:p w14:paraId="4A1A94F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15、合同授予</w:t>
      </w:r>
    </w:p>
    <w:p w14:paraId="105282A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15.1 成交</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在收到成交通知书后1个工作日内应与采购人签订承包合同。</w:t>
      </w:r>
    </w:p>
    <w:p w14:paraId="7A37BD1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竞争性磋商文件成交单位的响应性文件及其相关澄清、补遗文件等，均为签订合同的依据。</w:t>
      </w:r>
    </w:p>
    <w:p w14:paraId="69152C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15.2成交单位如未能按竞争性磋商文件要求，在规定限期内与采购人签订合同，无论何种原因招标方将取消其成交资格、撤销其成交通知书。在此情况下，采购人可将合同授予排名次高的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w:t>
      </w:r>
    </w:p>
    <w:p w14:paraId="5DAD890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15.3在签订合同过程中，如发现成交</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以他人名义磋商或者以其他方式弄虚作假，骗取成交的，采购人有权取消其成交资格。</w:t>
      </w:r>
    </w:p>
    <w:p w14:paraId="49B1BF3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15.4采购人应在采购合同签订之日起1个工作日内将政府采购合同在河南省政府采购网发布公告信息及将采购合同报同级财政部门备案。</w:t>
      </w:r>
    </w:p>
    <w:bookmarkEnd w:id="15"/>
    <w:p w14:paraId="021A69D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16、投诉</w:t>
      </w:r>
    </w:p>
    <w:p w14:paraId="45DF2EC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和其他利害关系人认为本次竞争性磋商违反法律、法规和规章规定的，有权向有关行政监督部门投诉。</w:t>
      </w:r>
    </w:p>
    <w:p w14:paraId="6ACFBFD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17质疑程序及处理</w:t>
      </w:r>
    </w:p>
    <w:p w14:paraId="6E38C2E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17.1若</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431141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（一）对可以质疑的磋商文件提出质疑的，为收到磋商文件之日或者磋商文件公告期限届满之日；</w:t>
      </w:r>
    </w:p>
    <w:p w14:paraId="266EE4E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（二）对采购过程提出质疑的，为各采购程序环节结束之日；</w:t>
      </w:r>
    </w:p>
    <w:p w14:paraId="6B64675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（三）对成交结果提出质疑的，为成交结果公告期限届满之日。</w:t>
      </w:r>
    </w:p>
    <w:p w14:paraId="2F82C51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17.2质疑书应当包括下列主要内容，并按照“谁主张、谁举证”的原则，附上相关证明材料。否则，采购人不予受理：</w:t>
      </w:r>
    </w:p>
    <w:p w14:paraId="0EBC6BC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（四）提起质疑的日期</w:t>
      </w:r>
    </w:p>
    <w:p w14:paraId="47B8990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17.3</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质疑实行实名制并须在质疑书上署名。</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不得进行虚假、恶意质疑，不得以质疑为手段获取不当得利、实现非法目的。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为自然人的，应当由本人签字；</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为法人的，应当由法定代表人签字或盖章并加盖公章；</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为其他组织的，应当由主要负责人签字或盖章并加盖公章。</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其他工作人员或代理人员在质疑书上的署名不具有法律效力。</w:t>
      </w:r>
    </w:p>
    <w:p w14:paraId="58FA8D2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17.4</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委托代理人办理质疑事宜，应当提交授权委托书，并载明委托代理的具体权限和事项。授权委托书应当由委托人签字并加盖单位公章。</w:t>
      </w:r>
    </w:p>
    <w:p w14:paraId="5162F2A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17.5质疑书提交方式。</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或者其委托代理人应当当面提交质疑书及相关证明材料。</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以电子邮件、传真等其他方式提交质疑书及相关证明材料的，或者不是</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或者其委托代理人提交质疑书及相关证明材料的，采购人或采购机构可以拒收。</w:t>
      </w:r>
    </w:p>
    <w:p w14:paraId="3159CDB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17.6</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不得虚假质疑和恶意质疑，并对质疑内容的真实性承担责任。</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或者其他利害关系人通过捏造事实、伪造证明材料等方式提出异议或投诉，阻碍磋商活动正常进行的，属于严重不良行为，采购人将提请财政部门将其列入不良行为记录名单，并依法予以处罚。</w:t>
      </w:r>
    </w:p>
    <w:p w14:paraId="2ACE0AE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17.7采购人将在收到符合上述条件的书面质疑后7个工作日内审查质疑事项，作出答复或相关处理决定，并以书面形式通知质疑</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和其他有关</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，但答复的内容不涉及商业秘密。若质疑涉及磋商制度或程序，将被转交政府采购的管理部门审查。采购人遵循“谁过错谁负担”的原则，有过错的一方承担调查论证费用。</w:t>
      </w:r>
    </w:p>
    <w:p w14:paraId="65E3516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17.8质疑</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对采购人的答复不满意以及采购人未在规定的时间内做出答复的，可以在答复期满后15个工作日内向财政部门投诉。</w:t>
      </w:r>
    </w:p>
    <w:p w14:paraId="711B5244">
      <w:pPr>
        <w:keepNext w:val="0"/>
        <w:keepLines w:val="0"/>
        <w:pageBreakBefore w:val="0"/>
        <w:widowControl w:val="0"/>
        <w:kinsoku/>
        <w:wordWrap w:val="0"/>
        <w:overflowPunct/>
        <w:topLinePunct w:val="0"/>
        <w:autoSpaceDE w:val="0"/>
        <w:autoSpaceDN w:val="0"/>
        <w:bidi w:val="0"/>
        <w:adjustRightInd w:val="0"/>
        <w:snapToGrid/>
        <w:spacing w:line="500" w:lineRule="exact"/>
        <w:ind w:firstLine="480"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cs="宋体" w:asciiTheme="minorEastAsia" w:hAnsiTheme="minorEastAsia" w:eastAsiaTheme="minorEastAsia"/>
          <w:sz w:val="24"/>
          <w:szCs w:val="24"/>
          <w:lang w:val="en-US" w:eastAsia="zh-CN"/>
        </w:rPr>
        <w:t>18.招标代理服务收费参照豫招协[2023]002号河南省招标投标协会关于印发《河南</w:t>
      </w:r>
      <w:r>
        <w:rPr>
          <w:rFonts w:hint="eastAsia" w:ascii="宋体" w:hAnsi="宋体" w:eastAsia="宋体" w:cs="宋体"/>
          <w:color w:val="auto"/>
          <w:spacing w:val="-4"/>
          <w:sz w:val="24"/>
          <w:szCs w:val="24"/>
          <w:highlight w:val="none"/>
          <w:lang w:val="en-US" w:eastAsia="zh-CN"/>
        </w:rPr>
        <w:t>省招标代理服务收费指导意见》规定的收费标准收取中标服务费。</w:t>
      </w:r>
    </w:p>
    <w:p w14:paraId="437AB2D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河南省招标代理服务费计算标准：</w:t>
      </w:r>
    </w:p>
    <w:tbl>
      <w:tblPr>
        <w:tblStyle w:val="18"/>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4"/>
        <w:gridCol w:w="1651"/>
        <w:gridCol w:w="1545"/>
        <w:gridCol w:w="1430"/>
      </w:tblGrid>
      <w:tr w14:paraId="27CF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5F649C98">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项目类型/（金额万元）</w:t>
            </w:r>
          </w:p>
        </w:tc>
        <w:tc>
          <w:tcPr>
            <w:tcW w:w="1651" w:type="dxa"/>
            <w:noWrap w:val="0"/>
            <w:vAlign w:val="center"/>
          </w:tcPr>
          <w:p w14:paraId="489FF18D">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工程</w:t>
            </w:r>
          </w:p>
        </w:tc>
        <w:tc>
          <w:tcPr>
            <w:tcW w:w="1545" w:type="dxa"/>
            <w:noWrap w:val="0"/>
            <w:vAlign w:val="center"/>
          </w:tcPr>
          <w:p w14:paraId="4E4A6EA2">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货物</w:t>
            </w:r>
          </w:p>
        </w:tc>
        <w:tc>
          <w:tcPr>
            <w:tcW w:w="1430" w:type="dxa"/>
            <w:noWrap w:val="0"/>
            <w:vAlign w:val="center"/>
          </w:tcPr>
          <w:p w14:paraId="0FCA6C84">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服务</w:t>
            </w:r>
          </w:p>
        </w:tc>
      </w:tr>
      <w:tr w14:paraId="0AE3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6B3B894A">
            <w:pPr>
              <w:widowControl w:val="0"/>
              <w:kinsoku/>
              <w:autoSpaceDE/>
              <w:autoSpaceDN w:val="0"/>
              <w:jc w:val="left"/>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100万元以下（含100万元）</w:t>
            </w:r>
          </w:p>
        </w:tc>
        <w:tc>
          <w:tcPr>
            <w:tcW w:w="1651" w:type="dxa"/>
            <w:noWrap w:val="0"/>
            <w:vAlign w:val="center"/>
          </w:tcPr>
          <w:p w14:paraId="5C4713A2">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1.20%</w:t>
            </w:r>
          </w:p>
        </w:tc>
        <w:tc>
          <w:tcPr>
            <w:tcW w:w="1545" w:type="dxa"/>
            <w:noWrap w:val="0"/>
            <w:vAlign w:val="center"/>
          </w:tcPr>
          <w:p w14:paraId="1574BED8">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1.70%</w:t>
            </w:r>
          </w:p>
        </w:tc>
        <w:tc>
          <w:tcPr>
            <w:tcW w:w="1430" w:type="dxa"/>
            <w:noWrap w:val="0"/>
            <w:vAlign w:val="center"/>
          </w:tcPr>
          <w:p w14:paraId="24D0DA72">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1.70%</w:t>
            </w:r>
          </w:p>
        </w:tc>
      </w:tr>
      <w:tr w14:paraId="5F99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4C0AE146">
            <w:pPr>
              <w:widowControl w:val="0"/>
              <w:kinsoku/>
              <w:autoSpaceDE/>
              <w:autoSpaceDN w:val="0"/>
              <w:jc w:val="left"/>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100-500万元（含500万元）</w:t>
            </w:r>
          </w:p>
        </w:tc>
        <w:tc>
          <w:tcPr>
            <w:tcW w:w="1651" w:type="dxa"/>
            <w:noWrap w:val="0"/>
            <w:vAlign w:val="center"/>
          </w:tcPr>
          <w:p w14:paraId="11BFFA43">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1.00%</w:t>
            </w:r>
          </w:p>
        </w:tc>
        <w:tc>
          <w:tcPr>
            <w:tcW w:w="1545" w:type="dxa"/>
            <w:noWrap w:val="0"/>
            <w:vAlign w:val="center"/>
          </w:tcPr>
          <w:p w14:paraId="298E6B7E">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1.20%</w:t>
            </w:r>
          </w:p>
        </w:tc>
        <w:tc>
          <w:tcPr>
            <w:tcW w:w="1430" w:type="dxa"/>
            <w:noWrap w:val="0"/>
            <w:vAlign w:val="center"/>
          </w:tcPr>
          <w:p w14:paraId="627FBCA1">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1.20%</w:t>
            </w:r>
          </w:p>
        </w:tc>
      </w:tr>
      <w:tr w14:paraId="71F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246782FB">
            <w:pPr>
              <w:widowControl w:val="0"/>
              <w:kinsoku/>
              <w:autoSpaceDE/>
              <w:autoSpaceDN w:val="0"/>
              <w:jc w:val="left"/>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500-1000万元（含1000万元）</w:t>
            </w:r>
          </w:p>
        </w:tc>
        <w:tc>
          <w:tcPr>
            <w:tcW w:w="1651" w:type="dxa"/>
            <w:noWrap w:val="0"/>
            <w:vAlign w:val="center"/>
          </w:tcPr>
          <w:p w14:paraId="3D0AA4CD">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0.70%</w:t>
            </w:r>
          </w:p>
        </w:tc>
        <w:tc>
          <w:tcPr>
            <w:tcW w:w="1545" w:type="dxa"/>
            <w:noWrap w:val="0"/>
            <w:vAlign w:val="center"/>
          </w:tcPr>
          <w:p w14:paraId="5749352A">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0.80%</w:t>
            </w:r>
          </w:p>
        </w:tc>
        <w:tc>
          <w:tcPr>
            <w:tcW w:w="1430" w:type="dxa"/>
            <w:noWrap w:val="0"/>
            <w:vAlign w:val="center"/>
          </w:tcPr>
          <w:p w14:paraId="441977EF">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0.70%</w:t>
            </w:r>
          </w:p>
        </w:tc>
      </w:tr>
      <w:tr w14:paraId="7CD6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4E278545">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1000-5000万元（含5000万元）</w:t>
            </w:r>
          </w:p>
        </w:tc>
        <w:tc>
          <w:tcPr>
            <w:tcW w:w="1651" w:type="dxa"/>
            <w:noWrap w:val="0"/>
            <w:vAlign w:val="center"/>
          </w:tcPr>
          <w:p w14:paraId="2BB295B3">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0.40%</w:t>
            </w:r>
          </w:p>
        </w:tc>
        <w:tc>
          <w:tcPr>
            <w:tcW w:w="1545" w:type="dxa"/>
            <w:noWrap w:val="0"/>
            <w:vAlign w:val="center"/>
          </w:tcPr>
          <w:p w14:paraId="788F73DA">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0.50%</w:t>
            </w:r>
          </w:p>
        </w:tc>
        <w:tc>
          <w:tcPr>
            <w:tcW w:w="1430" w:type="dxa"/>
            <w:noWrap w:val="0"/>
            <w:vAlign w:val="center"/>
          </w:tcPr>
          <w:p w14:paraId="7A09E312">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0.40%</w:t>
            </w:r>
          </w:p>
        </w:tc>
      </w:tr>
      <w:tr w14:paraId="7316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5F8BB5F4">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5000万元--1亿元（含1亿元）</w:t>
            </w:r>
          </w:p>
        </w:tc>
        <w:tc>
          <w:tcPr>
            <w:tcW w:w="1651" w:type="dxa"/>
            <w:noWrap w:val="0"/>
            <w:vAlign w:val="center"/>
          </w:tcPr>
          <w:p w14:paraId="40433FF6">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0.25%</w:t>
            </w:r>
          </w:p>
        </w:tc>
        <w:tc>
          <w:tcPr>
            <w:tcW w:w="1545" w:type="dxa"/>
            <w:noWrap w:val="0"/>
            <w:vAlign w:val="center"/>
          </w:tcPr>
          <w:p w14:paraId="5E6A7134">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0.30%</w:t>
            </w:r>
          </w:p>
        </w:tc>
        <w:tc>
          <w:tcPr>
            <w:tcW w:w="1430" w:type="dxa"/>
            <w:noWrap w:val="0"/>
            <w:vAlign w:val="center"/>
          </w:tcPr>
          <w:p w14:paraId="40EEB592">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0.25%</w:t>
            </w:r>
          </w:p>
        </w:tc>
      </w:tr>
      <w:tr w14:paraId="7F1A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23312CD2">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1亿--5亿元（含5亿元）</w:t>
            </w:r>
          </w:p>
        </w:tc>
        <w:tc>
          <w:tcPr>
            <w:tcW w:w="1651" w:type="dxa"/>
            <w:noWrap w:val="0"/>
            <w:vAlign w:val="center"/>
          </w:tcPr>
          <w:p w14:paraId="194B604B">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0.10%</w:t>
            </w:r>
          </w:p>
        </w:tc>
        <w:tc>
          <w:tcPr>
            <w:tcW w:w="1545" w:type="dxa"/>
            <w:noWrap w:val="0"/>
            <w:vAlign w:val="center"/>
          </w:tcPr>
          <w:p w14:paraId="79334454">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0.10%</w:t>
            </w:r>
          </w:p>
        </w:tc>
        <w:tc>
          <w:tcPr>
            <w:tcW w:w="1430" w:type="dxa"/>
            <w:noWrap w:val="0"/>
            <w:vAlign w:val="center"/>
          </w:tcPr>
          <w:p w14:paraId="0A80054A">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0.10%</w:t>
            </w:r>
          </w:p>
        </w:tc>
      </w:tr>
      <w:tr w14:paraId="0736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79C46CE1">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5亿--10亿元（含10亿元）</w:t>
            </w:r>
          </w:p>
        </w:tc>
        <w:tc>
          <w:tcPr>
            <w:tcW w:w="1651" w:type="dxa"/>
            <w:noWrap w:val="0"/>
            <w:vAlign w:val="center"/>
          </w:tcPr>
          <w:p w14:paraId="6DF4149E">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0.045%</w:t>
            </w:r>
          </w:p>
        </w:tc>
        <w:tc>
          <w:tcPr>
            <w:tcW w:w="1545" w:type="dxa"/>
            <w:noWrap w:val="0"/>
            <w:vAlign w:val="center"/>
          </w:tcPr>
          <w:p w14:paraId="7828F96A">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0.045%</w:t>
            </w:r>
          </w:p>
        </w:tc>
        <w:tc>
          <w:tcPr>
            <w:tcW w:w="1430" w:type="dxa"/>
            <w:noWrap w:val="0"/>
            <w:vAlign w:val="center"/>
          </w:tcPr>
          <w:p w14:paraId="38B02DB9">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0.045%</w:t>
            </w:r>
          </w:p>
        </w:tc>
      </w:tr>
      <w:tr w14:paraId="782B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4A82688C">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10亿--50亿元（含50亿元）</w:t>
            </w:r>
          </w:p>
        </w:tc>
        <w:tc>
          <w:tcPr>
            <w:tcW w:w="1651" w:type="dxa"/>
            <w:noWrap w:val="0"/>
            <w:vAlign w:val="center"/>
          </w:tcPr>
          <w:p w14:paraId="63D64D56">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0.010%</w:t>
            </w:r>
          </w:p>
        </w:tc>
        <w:tc>
          <w:tcPr>
            <w:tcW w:w="1545" w:type="dxa"/>
            <w:noWrap w:val="0"/>
            <w:vAlign w:val="center"/>
          </w:tcPr>
          <w:p w14:paraId="65DBEAC7">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0.010%</w:t>
            </w:r>
          </w:p>
        </w:tc>
        <w:tc>
          <w:tcPr>
            <w:tcW w:w="1430" w:type="dxa"/>
            <w:noWrap w:val="0"/>
            <w:vAlign w:val="center"/>
          </w:tcPr>
          <w:p w14:paraId="2AF2AD6D">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0.010%</w:t>
            </w:r>
          </w:p>
        </w:tc>
      </w:tr>
      <w:tr w14:paraId="6BEA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35A43F04">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51" w:type="dxa"/>
            <w:noWrap w:val="0"/>
            <w:vAlign w:val="center"/>
          </w:tcPr>
          <w:p w14:paraId="4F568ACC">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0.008%</w:t>
            </w:r>
          </w:p>
        </w:tc>
        <w:tc>
          <w:tcPr>
            <w:tcW w:w="1545" w:type="dxa"/>
            <w:noWrap w:val="0"/>
            <w:vAlign w:val="center"/>
          </w:tcPr>
          <w:p w14:paraId="5E5944A1">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0.008%</w:t>
            </w:r>
          </w:p>
        </w:tc>
        <w:tc>
          <w:tcPr>
            <w:tcW w:w="1430" w:type="dxa"/>
            <w:noWrap w:val="0"/>
            <w:vAlign w:val="center"/>
          </w:tcPr>
          <w:p w14:paraId="0112C20D">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0.008%</w:t>
            </w:r>
          </w:p>
        </w:tc>
      </w:tr>
      <w:tr w14:paraId="367B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shd w:val="clear" w:color="auto" w:fill="auto"/>
            <w:noWrap w:val="0"/>
            <w:vAlign w:val="center"/>
          </w:tcPr>
          <w:p w14:paraId="56205C12">
            <w:pPr>
              <w:widowControl w:val="0"/>
              <w:kinsoku/>
              <w:autoSpaceDE/>
              <w:autoSpaceDN w:val="0"/>
              <w:jc w:val="left"/>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100亿元以上</w:t>
            </w:r>
          </w:p>
        </w:tc>
        <w:tc>
          <w:tcPr>
            <w:tcW w:w="1651" w:type="dxa"/>
            <w:shd w:val="clear" w:color="auto" w:fill="auto"/>
            <w:noWrap w:val="0"/>
            <w:vAlign w:val="center"/>
          </w:tcPr>
          <w:p w14:paraId="1DD682AC">
            <w:pPr>
              <w:widowControl w:val="0"/>
              <w:kinsoku/>
              <w:autoSpaceDE/>
              <w:autoSpaceDN w:val="0"/>
              <w:jc w:val="center"/>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0.004%</w:t>
            </w:r>
          </w:p>
        </w:tc>
        <w:tc>
          <w:tcPr>
            <w:tcW w:w="1545" w:type="dxa"/>
            <w:shd w:val="clear" w:color="auto" w:fill="auto"/>
            <w:noWrap w:val="0"/>
            <w:vAlign w:val="center"/>
          </w:tcPr>
          <w:p w14:paraId="10BEDFEC">
            <w:pPr>
              <w:widowControl w:val="0"/>
              <w:kinsoku/>
              <w:autoSpaceDE/>
              <w:autoSpaceDN w:val="0"/>
              <w:jc w:val="center"/>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0.004%</w:t>
            </w:r>
          </w:p>
        </w:tc>
        <w:tc>
          <w:tcPr>
            <w:tcW w:w="1430" w:type="dxa"/>
            <w:shd w:val="clear" w:color="auto" w:fill="auto"/>
            <w:noWrap w:val="0"/>
            <w:vAlign w:val="center"/>
          </w:tcPr>
          <w:p w14:paraId="0E5F685A">
            <w:pPr>
              <w:widowControl w:val="0"/>
              <w:kinsoku/>
              <w:autoSpaceDE/>
              <w:autoSpaceDN w:val="0"/>
              <w:jc w:val="center"/>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0.004%</w:t>
            </w:r>
          </w:p>
        </w:tc>
      </w:tr>
      <w:tr w14:paraId="01A1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60" w:type="dxa"/>
            <w:gridSpan w:val="4"/>
            <w:tcBorders>
              <w:left w:val="nil"/>
              <w:bottom w:val="nil"/>
              <w:right w:val="nil"/>
            </w:tcBorders>
            <w:shd w:val="clear" w:color="auto" w:fill="auto"/>
            <w:noWrap w:val="0"/>
            <w:vAlign w:val="center"/>
          </w:tcPr>
          <w:p w14:paraId="2AC694C2">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6D549A7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78048C3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DC4732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4060EAB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03225A5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3C12105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5BA14F38">
            <w:pPr>
              <w:widowControl w:val="0"/>
              <w:kinsoku/>
              <w:autoSpaceDE/>
              <w:autoSpaceDN w:val="0"/>
              <w:jc w:val="both"/>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4B00BC61">
      <w:pPr>
        <w:widowControl w:val="0"/>
        <w:wordWrap w:val="0"/>
        <w:autoSpaceDE w:val="0"/>
        <w:autoSpaceDN w:val="0"/>
        <w:adjustRightInd w:val="0"/>
        <w:spacing w:line="360" w:lineRule="auto"/>
        <w:ind w:firstLine="464" w:firstLineChars="200"/>
        <w:jc w:val="both"/>
        <w:rPr>
          <w:rFonts w:ascii="宋体" w:hAnsi="宋体" w:cs="宋体"/>
          <w:color w:val="auto"/>
          <w:spacing w:val="-4"/>
          <w:sz w:val="24"/>
          <w:szCs w:val="24"/>
          <w:highlight w:val="none"/>
        </w:rPr>
      </w:pPr>
    </w:p>
    <w:p w14:paraId="155C8899">
      <w:pPr>
        <w:widowControl w:val="0"/>
        <w:autoSpaceDE w:val="0"/>
        <w:autoSpaceDN w:val="0"/>
        <w:adjustRightInd w:val="0"/>
        <w:spacing w:line="600" w:lineRule="exact"/>
        <w:ind w:right="-58" w:firstLine="464" w:firstLineChars="200"/>
        <w:jc w:val="both"/>
        <w:rPr>
          <w:rFonts w:ascii="宋体" w:hAnsi="宋体" w:cs="宋体"/>
          <w:color w:val="auto"/>
          <w:spacing w:val="-4"/>
          <w:sz w:val="24"/>
          <w:szCs w:val="24"/>
          <w:highlight w:val="none"/>
        </w:rPr>
      </w:pPr>
    </w:p>
    <w:p w14:paraId="02B6E5D2">
      <w:pPr>
        <w:spacing w:line="600" w:lineRule="exact"/>
        <w:jc w:val="both"/>
        <w:outlineLvl w:val="0"/>
        <w:rPr>
          <w:rFonts w:hint="eastAsia" w:ascii="黑体" w:cs="宋体"/>
          <w:b/>
          <w:bCs w:val="0"/>
          <w:color w:val="auto"/>
          <w:kern w:val="2"/>
          <w:sz w:val="24"/>
          <w:szCs w:val="24"/>
          <w:highlight w:val="none"/>
        </w:rPr>
      </w:pPr>
    </w:p>
    <w:p w14:paraId="657FDD96">
      <w:pPr>
        <w:spacing w:line="600" w:lineRule="exact"/>
        <w:jc w:val="center"/>
        <w:outlineLvl w:val="0"/>
        <w:rPr>
          <w:rFonts w:hint="eastAsia" w:ascii="黑体" w:cs="宋体"/>
          <w:b/>
          <w:bCs w:val="0"/>
          <w:color w:val="auto"/>
          <w:kern w:val="2"/>
          <w:sz w:val="24"/>
          <w:szCs w:val="24"/>
          <w:highlight w:val="none"/>
        </w:rPr>
      </w:pPr>
    </w:p>
    <w:p w14:paraId="25E92518">
      <w:pPr>
        <w:spacing w:line="600" w:lineRule="exact"/>
        <w:jc w:val="both"/>
        <w:outlineLvl w:val="0"/>
        <w:rPr>
          <w:rFonts w:hint="eastAsia" w:ascii="黑体" w:cs="宋体"/>
          <w:b/>
          <w:bCs w:val="0"/>
          <w:color w:val="auto"/>
          <w:kern w:val="2"/>
          <w:sz w:val="24"/>
          <w:szCs w:val="24"/>
          <w:highlight w:val="none"/>
        </w:rPr>
      </w:pPr>
    </w:p>
    <w:p w14:paraId="57DB4167">
      <w:pPr>
        <w:spacing w:line="600" w:lineRule="exact"/>
        <w:jc w:val="center"/>
        <w:outlineLvl w:val="0"/>
        <w:rPr>
          <w:rFonts w:ascii="黑体" w:cs="宋体"/>
          <w:b/>
          <w:bCs w:val="0"/>
          <w:color w:val="auto"/>
          <w:kern w:val="2"/>
          <w:sz w:val="24"/>
          <w:szCs w:val="24"/>
          <w:highlight w:val="none"/>
        </w:rPr>
      </w:pPr>
      <w:r>
        <w:rPr>
          <w:rFonts w:hint="eastAsia" w:ascii="黑体" w:cs="宋体"/>
          <w:b/>
          <w:bCs w:val="0"/>
          <w:color w:val="auto"/>
          <w:kern w:val="2"/>
          <w:sz w:val="24"/>
          <w:szCs w:val="24"/>
          <w:highlight w:val="none"/>
        </w:rPr>
        <w:t>第</w:t>
      </w:r>
      <w:r>
        <w:rPr>
          <w:rFonts w:hint="eastAsia" w:ascii="黑体" w:cs="宋体"/>
          <w:b/>
          <w:bCs w:val="0"/>
          <w:color w:val="auto"/>
          <w:kern w:val="2"/>
          <w:sz w:val="24"/>
          <w:szCs w:val="24"/>
          <w:highlight w:val="none"/>
          <w:lang w:val="en-US" w:eastAsia="zh-CN"/>
        </w:rPr>
        <w:t>三</w:t>
      </w:r>
      <w:r>
        <w:rPr>
          <w:rFonts w:hint="eastAsia" w:ascii="黑体" w:cs="宋体"/>
          <w:b/>
          <w:bCs w:val="0"/>
          <w:color w:val="auto"/>
          <w:kern w:val="2"/>
          <w:sz w:val="24"/>
          <w:szCs w:val="24"/>
          <w:highlight w:val="none"/>
        </w:rPr>
        <w:t xml:space="preserve">章 </w:t>
      </w:r>
      <w:r>
        <w:rPr>
          <w:rFonts w:hint="eastAsia" w:ascii="黑体" w:cs="宋体"/>
          <w:b/>
          <w:bCs w:val="0"/>
          <w:color w:val="auto"/>
          <w:kern w:val="2"/>
          <w:sz w:val="24"/>
          <w:szCs w:val="24"/>
          <w:highlight w:val="none"/>
          <w:lang w:val="en-US" w:eastAsia="zh-CN"/>
        </w:rPr>
        <w:t>评标办法（综合评分法）</w:t>
      </w:r>
    </w:p>
    <w:p w14:paraId="06B87FA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bookmarkStart w:id="48" w:name="_Toc17665"/>
      <w:r>
        <w:rPr>
          <w:rFonts w:hint="eastAsia" w:ascii="宋体" w:hAnsi="宋体" w:eastAsia="宋体" w:cs="宋体"/>
          <w:sz w:val="24"/>
          <w:szCs w:val="24"/>
        </w:rPr>
        <w:t>一、评审程序：</w:t>
      </w:r>
    </w:p>
    <w:p w14:paraId="74D0D63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1、磋商小组对磋商文件进行确认。 </w:t>
      </w:r>
    </w:p>
    <w:p w14:paraId="3386E46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2、磋商小组推选组长，讨论、通过磋商工作流程和磋商要点。</w:t>
      </w:r>
    </w:p>
    <w:p w14:paraId="10D151E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3、初步审查：磋商开始后，磋商小组依据磋商文件规定，对响应人的资格性及</w:t>
      </w:r>
      <w:r>
        <w:rPr>
          <w:rFonts w:hint="eastAsia" w:ascii="宋体" w:hAnsi="宋体" w:cs="宋体"/>
          <w:sz w:val="24"/>
          <w:szCs w:val="24"/>
          <w:lang w:eastAsia="zh-CN"/>
        </w:rPr>
        <w:t>符合性</w:t>
      </w:r>
      <w:r>
        <w:rPr>
          <w:rFonts w:hint="eastAsia" w:ascii="宋体" w:hAnsi="宋体" w:eastAsia="宋体" w:cs="宋体"/>
          <w:sz w:val="24"/>
          <w:szCs w:val="24"/>
        </w:rPr>
        <w:t xml:space="preserve">、响应性进行审查。响应文件的内容是否完整、文件签署是否正确、响应文件是否符合磋商文件的要求进行审查，以确定是否对磋商文件的实质性要求作出响应，以确定磋商响应人是否具备参与磋商的资格。 </w:t>
      </w:r>
    </w:p>
    <w:p w14:paraId="6ECBB3D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4、技术评审。磋商小组对响应文件在质量、技术等方面是否能满足磋商文件实质性要求进行评审。</w:t>
      </w:r>
    </w:p>
    <w:p w14:paraId="73E662A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5、在资格性、</w:t>
      </w:r>
      <w:r>
        <w:rPr>
          <w:rFonts w:hint="eastAsia" w:ascii="宋体" w:hAnsi="宋体" w:eastAsia="宋体" w:cs="宋体"/>
          <w:sz w:val="24"/>
          <w:szCs w:val="24"/>
          <w:lang w:eastAsia="zh-CN"/>
        </w:rPr>
        <w:t>符合性</w:t>
      </w:r>
      <w:r>
        <w:rPr>
          <w:rFonts w:hint="eastAsia" w:ascii="宋体" w:hAnsi="宋体" w:eastAsia="宋体" w:cs="宋体"/>
          <w:sz w:val="24"/>
          <w:szCs w:val="24"/>
        </w:rPr>
        <w:t xml:space="preserve">、响应性审查中如出现下列情况之一的响应文件，按无效响应文件处理，不再进行磋商，磋商小组当场告知响应人： </w:t>
      </w:r>
    </w:p>
    <w:p w14:paraId="21781EC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（1）响应文件中资格证明文件不全或未实质性响应竞争性磋商文件要求的； </w:t>
      </w:r>
    </w:p>
    <w:p w14:paraId="230023F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（2）响应文件无法定代表人（负责人）或其有效委托的授权人的签章，或未按磋商文件的要求签章的，或授权期限不符合要求的；</w:t>
      </w:r>
    </w:p>
    <w:p w14:paraId="140E5E4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（3）响应文件有效期短于竞争性磋商文件要求的；</w:t>
      </w:r>
    </w:p>
    <w:p w14:paraId="0EC6C90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（4）响应文件中提供虚假或失实资料的；</w:t>
      </w:r>
    </w:p>
    <w:p w14:paraId="2036DF9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（5）不满足磋商文件其他实质性要求的；</w:t>
      </w:r>
    </w:p>
    <w:p w14:paraId="59581FD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6、磋商小组对通过资格性和</w:t>
      </w:r>
      <w:r>
        <w:rPr>
          <w:rFonts w:hint="eastAsia" w:ascii="宋体" w:hAnsi="宋体" w:eastAsia="宋体" w:cs="宋体"/>
          <w:sz w:val="24"/>
          <w:szCs w:val="24"/>
          <w:lang w:eastAsia="zh-CN"/>
        </w:rPr>
        <w:t>符合性</w:t>
      </w:r>
      <w:r>
        <w:rPr>
          <w:rFonts w:hint="eastAsia" w:ascii="宋体" w:hAnsi="宋体" w:eastAsia="宋体" w:cs="宋体"/>
          <w:sz w:val="24"/>
          <w:szCs w:val="24"/>
        </w:rPr>
        <w:t>、响应性审查的响应文件进行评估，确定与各响应人磋商的具体内容。</w:t>
      </w:r>
    </w:p>
    <w:p w14:paraId="4C823D8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7、围绕磋商要点，磋商小组全体成员集中与单一响应人分别进行磋商。逐家磋商一次为一个轮次，磋商轮次由磋商小组视情况决定。各响应人磋商顺序按签到顺序进行磋商。</w:t>
      </w:r>
    </w:p>
    <w:p w14:paraId="279AD96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26CD5F5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7715196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二、评审方法及标准：</w:t>
      </w:r>
    </w:p>
    <w:p w14:paraId="5569025F">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w:t>
      </w:r>
      <w:r>
        <w:rPr>
          <w:rFonts w:hint="eastAsia" w:ascii="宋体" w:hAnsi="宋体" w:cs="宋体"/>
          <w:sz w:val="24"/>
          <w:szCs w:val="24"/>
          <w:lang w:eastAsia="zh-CN"/>
        </w:rPr>
        <w:t>响应人</w:t>
      </w:r>
      <w:r>
        <w:rPr>
          <w:rFonts w:hint="eastAsia" w:ascii="宋体" w:hAnsi="宋体" w:eastAsia="宋体" w:cs="宋体"/>
          <w:sz w:val="24"/>
          <w:szCs w:val="24"/>
        </w:rPr>
        <w:t>；评审总得分相同的按最后报价由低到高顺序排列，评审总得分且最终报价相同的，按技术部分得分顺序排列。</w:t>
      </w:r>
    </w:p>
    <w:p w14:paraId="24E4A214">
      <w:pPr>
        <w:pStyle w:val="15"/>
        <w:keepNext w:val="0"/>
        <w:keepLines w:val="0"/>
        <w:pageBreakBefore w:val="0"/>
        <w:kinsoku/>
        <w:wordWrap w:val="0"/>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bidi="ar-SA"/>
        </w:rPr>
      </w:pPr>
      <w:bookmarkStart w:id="49" w:name="_Toc18435"/>
      <w:r>
        <w:rPr>
          <w:rFonts w:hint="eastAsia" w:ascii="宋体" w:hAnsi="宋体" w:eastAsia="宋体" w:cs="宋体"/>
          <w:b/>
          <w:bCs/>
          <w:sz w:val="24"/>
          <w:szCs w:val="24"/>
          <w:lang w:val="en-US" w:eastAsia="zh-CN" w:bidi="ar-SA"/>
        </w:rPr>
        <w:t>初步评审详见下表</w:t>
      </w:r>
      <w:bookmarkEnd w:id="49"/>
    </w:p>
    <w:bookmarkEnd w:id="48"/>
    <w:tbl>
      <w:tblPr>
        <w:tblStyle w:val="17"/>
        <w:tblW w:w="9034" w:type="dxa"/>
        <w:jc w:val="center"/>
        <w:tblLayout w:type="fixed"/>
        <w:tblCellMar>
          <w:top w:w="0" w:type="dxa"/>
          <w:left w:w="108" w:type="dxa"/>
          <w:bottom w:w="0" w:type="dxa"/>
          <w:right w:w="108" w:type="dxa"/>
        </w:tblCellMar>
      </w:tblPr>
      <w:tblGrid>
        <w:gridCol w:w="480"/>
        <w:gridCol w:w="750"/>
        <w:gridCol w:w="1684"/>
        <w:gridCol w:w="6120"/>
      </w:tblGrid>
      <w:tr w14:paraId="24B70833">
        <w:tblPrEx>
          <w:tblCellMar>
            <w:top w:w="0" w:type="dxa"/>
            <w:left w:w="108" w:type="dxa"/>
            <w:bottom w:w="0" w:type="dxa"/>
            <w:right w:w="108" w:type="dxa"/>
          </w:tblCellMar>
        </w:tblPrEx>
        <w:trPr>
          <w:trHeight w:val="606" w:hRule="atLeast"/>
          <w:jc w:val="center"/>
        </w:trPr>
        <w:tc>
          <w:tcPr>
            <w:tcW w:w="1230" w:type="dxa"/>
            <w:gridSpan w:val="2"/>
            <w:tcBorders>
              <w:top w:val="single" w:color="auto" w:sz="4" w:space="0"/>
              <w:left w:val="single" w:color="auto" w:sz="4" w:space="0"/>
              <w:bottom w:val="single" w:color="000000" w:sz="4" w:space="0"/>
              <w:right w:val="single" w:color="auto" w:sz="4" w:space="0"/>
            </w:tcBorders>
            <w:vAlign w:val="center"/>
          </w:tcPr>
          <w:p w14:paraId="1761924F">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条款</w:t>
            </w:r>
          </w:p>
        </w:tc>
        <w:tc>
          <w:tcPr>
            <w:tcW w:w="1684" w:type="dxa"/>
            <w:tcBorders>
              <w:top w:val="single" w:color="auto" w:sz="4" w:space="0"/>
              <w:left w:val="nil"/>
              <w:bottom w:val="single" w:color="000000" w:sz="4" w:space="0"/>
              <w:right w:val="single" w:color="auto" w:sz="4" w:space="0"/>
            </w:tcBorders>
            <w:vAlign w:val="center"/>
          </w:tcPr>
          <w:p w14:paraId="29B53580">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评审因素</w:t>
            </w:r>
          </w:p>
        </w:tc>
        <w:tc>
          <w:tcPr>
            <w:tcW w:w="6120" w:type="dxa"/>
            <w:tcBorders>
              <w:top w:val="single" w:color="auto" w:sz="4" w:space="0"/>
              <w:left w:val="nil"/>
              <w:bottom w:val="single" w:color="000000" w:sz="4" w:space="0"/>
              <w:right w:val="single" w:color="auto" w:sz="4" w:space="0"/>
            </w:tcBorders>
            <w:vAlign w:val="center"/>
          </w:tcPr>
          <w:p w14:paraId="173D6AD8">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评审标准</w:t>
            </w:r>
          </w:p>
        </w:tc>
      </w:tr>
      <w:tr w14:paraId="22911D75">
        <w:tblPrEx>
          <w:tblCellMar>
            <w:top w:w="0" w:type="dxa"/>
            <w:left w:w="108" w:type="dxa"/>
            <w:bottom w:w="0" w:type="dxa"/>
            <w:right w:w="108" w:type="dxa"/>
          </w:tblCellMar>
        </w:tblPrEx>
        <w:trPr>
          <w:trHeight w:val="606"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59668">
            <w:pPr>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C1076">
            <w:pPr>
              <w:spacing w:line="60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kern w:val="2"/>
                <w:sz w:val="24"/>
                <w:szCs w:val="24"/>
                <w:highlight w:val="none"/>
              </w:rPr>
              <w:t>符合性审查</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0A1D">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响应人名称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0C7E">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与营业执照一致</w:t>
            </w:r>
          </w:p>
        </w:tc>
      </w:tr>
      <w:tr w14:paraId="6CB814A9">
        <w:tblPrEx>
          <w:tblCellMar>
            <w:top w:w="0" w:type="dxa"/>
            <w:left w:w="108" w:type="dxa"/>
            <w:bottom w:w="0" w:type="dxa"/>
            <w:right w:w="108" w:type="dxa"/>
          </w:tblCellMar>
        </w:tblPrEx>
        <w:trPr>
          <w:trHeight w:val="60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80F2DC9">
            <w:pPr>
              <w:spacing w:line="600" w:lineRule="exact"/>
              <w:rPr>
                <w:rFonts w:hint="eastAsia" w:ascii="宋体" w:hAnsi="宋体" w:cs="宋体"/>
                <w:color w:val="auto"/>
                <w:kern w:val="2"/>
                <w:sz w:val="24"/>
                <w:szCs w:val="24"/>
                <w:highlight w:val="none"/>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64D4610">
            <w:pPr>
              <w:spacing w:line="600" w:lineRule="exact"/>
              <w:jc w:val="center"/>
              <w:rPr>
                <w:rFonts w:ascii="宋体" w:hAnsi="宋体" w:cs="宋体"/>
                <w:color w:val="auto"/>
                <w:kern w:val="2"/>
                <w:sz w:val="24"/>
                <w:szCs w:val="24"/>
                <w:highlight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DB3E">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签字</w:t>
            </w:r>
            <w:r>
              <w:rPr>
                <w:rFonts w:hint="eastAsia" w:ascii="宋体" w:hAnsi="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eastAsia="zh-CN"/>
              </w:rPr>
              <w:t>盖章</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C6FA">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符合磋商文件要求</w:t>
            </w:r>
          </w:p>
        </w:tc>
      </w:tr>
      <w:tr w14:paraId="19264982">
        <w:tblPrEx>
          <w:tblCellMar>
            <w:top w:w="0" w:type="dxa"/>
            <w:left w:w="108" w:type="dxa"/>
            <w:bottom w:w="0" w:type="dxa"/>
            <w:right w:w="108" w:type="dxa"/>
          </w:tblCellMar>
        </w:tblPrEx>
        <w:trPr>
          <w:trHeight w:val="60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3C099BF">
            <w:pPr>
              <w:spacing w:line="600" w:lineRule="exact"/>
              <w:rPr>
                <w:rFonts w:hint="eastAsia" w:ascii="宋体" w:hAnsi="宋体" w:cs="宋体"/>
                <w:color w:val="auto"/>
                <w:kern w:val="2"/>
                <w:sz w:val="24"/>
                <w:szCs w:val="24"/>
                <w:highlight w:val="none"/>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4DFE686">
            <w:pPr>
              <w:spacing w:line="600" w:lineRule="exact"/>
              <w:jc w:val="center"/>
              <w:rPr>
                <w:rFonts w:ascii="宋体" w:hAnsi="宋体" w:cs="宋体"/>
                <w:color w:val="auto"/>
                <w:kern w:val="2"/>
                <w:sz w:val="24"/>
                <w:szCs w:val="24"/>
                <w:highlight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C4C7">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eastAsia="zh-CN"/>
              </w:rPr>
              <w:t>响应文件格式</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4257">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eastAsia="zh-CN"/>
              </w:rPr>
              <w:t>符合“</w:t>
            </w:r>
            <w:r>
              <w:rPr>
                <w:rFonts w:hint="eastAsia" w:ascii="宋体" w:hAnsi="宋体" w:eastAsia="宋体" w:cs="宋体"/>
                <w:color w:val="auto"/>
                <w:kern w:val="2"/>
                <w:sz w:val="24"/>
                <w:szCs w:val="24"/>
                <w:highlight w:val="none"/>
                <w:lang w:eastAsia="zh-CN"/>
              </w:rPr>
              <w:t>第六章 响应文件格式</w:t>
            </w:r>
            <w:r>
              <w:rPr>
                <w:rFonts w:hint="eastAsia" w:ascii="宋体" w:hAnsi="宋体" w:cs="宋体"/>
                <w:color w:val="auto"/>
                <w:kern w:val="2"/>
                <w:sz w:val="24"/>
                <w:szCs w:val="24"/>
                <w:highlight w:val="none"/>
                <w:lang w:eastAsia="zh-CN"/>
              </w:rPr>
              <w:t>”要求</w:t>
            </w:r>
          </w:p>
        </w:tc>
      </w:tr>
      <w:tr w14:paraId="047ACBB1">
        <w:tblPrEx>
          <w:tblCellMar>
            <w:top w:w="0" w:type="dxa"/>
            <w:left w:w="108" w:type="dxa"/>
            <w:bottom w:w="0" w:type="dxa"/>
            <w:right w:w="108" w:type="dxa"/>
          </w:tblCellMar>
        </w:tblPrEx>
        <w:trPr>
          <w:trHeight w:val="60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1DCB408B">
            <w:pPr>
              <w:spacing w:line="600" w:lineRule="exact"/>
              <w:rPr>
                <w:rFonts w:hint="eastAsia" w:ascii="宋体" w:hAnsi="宋体" w:cs="宋体"/>
                <w:color w:val="auto"/>
                <w:kern w:val="2"/>
                <w:sz w:val="24"/>
                <w:szCs w:val="24"/>
                <w:highlight w:val="none"/>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2EA10F07">
            <w:pPr>
              <w:spacing w:line="600" w:lineRule="exact"/>
              <w:jc w:val="center"/>
              <w:rPr>
                <w:rFonts w:ascii="宋体" w:hAnsi="宋体" w:cs="宋体"/>
                <w:color w:val="auto"/>
                <w:kern w:val="2"/>
                <w:sz w:val="24"/>
                <w:szCs w:val="24"/>
                <w:highlight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68D6">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报价唯一</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351C">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磋商函及磋商函附录中只能有一个有效报价</w:t>
            </w:r>
          </w:p>
        </w:tc>
      </w:tr>
      <w:tr w14:paraId="4EED9B99">
        <w:tblPrEx>
          <w:tblCellMar>
            <w:top w:w="0" w:type="dxa"/>
            <w:left w:w="108" w:type="dxa"/>
            <w:bottom w:w="0" w:type="dxa"/>
            <w:right w:w="108" w:type="dxa"/>
          </w:tblCellMar>
        </w:tblPrEx>
        <w:trPr>
          <w:trHeight w:val="606" w:hRule="atLeast"/>
          <w:jc w:val="center"/>
        </w:trPr>
        <w:tc>
          <w:tcPr>
            <w:tcW w:w="480" w:type="dxa"/>
            <w:vMerge w:val="restart"/>
            <w:tcBorders>
              <w:top w:val="single" w:color="000000" w:sz="4" w:space="0"/>
              <w:left w:val="single" w:color="auto" w:sz="4" w:space="0"/>
              <w:right w:val="single" w:color="auto" w:sz="4" w:space="0"/>
            </w:tcBorders>
            <w:vAlign w:val="center"/>
          </w:tcPr>
          <w:p w14:paraId="7F19F4A0">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p>
        </w:tc>
        <w:tc>
          <w:tcPr>
            <w:tcW w:w="750" w:type="dxa"/>
            <w:vMerge w:val="restart"/>
            <w:tcBorders>
              <w:top w:val="single" w:color="000000" w:sz="4" w:space="0"/>
              <w:left w:val="nil"/>
              <w:right w:val="single" w:color="auto" w:sz="4" w:space="0"/>
            </w:tcBorders>
            <w:vAlign w:val="center"/>
          </w:tcPr>
          <w:p w14:paraId="72F54627">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资格评审标准</w:t>
            </w:r>
          </w:p>
        </w:tc>
        <w:tc>
          <w:tcPr>
            <w:tcW w:w="1684" w:type="dxa"/>
            <w:tcBorders>
              <w:top w:val="single" w:color="000000" w:sz="4" w:space="0"/>
              <w:left w:val="nil"/>
              <w:bottom w:val="single" w:color="auto" w:sz="4" w:space="0"/>
              <w:right w:val="single" w:color="auto" w:sz="4" w:space="0"/>
            </w:tcBorders>
            <w:shd w:val="clear" w:color="auto" w:fill="auto"/>
            <w:vAlign w:val="center"/>
          </w:tcPr>
          <w:p w14:paraId="52D9CB0B">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落实政府采购政策满足的资格要求</w:t>
            </w:r>
          </w:p>
        </w:tc>
        <w:tc>
          <w:tcPr>
            <w:tcW w:w="6120" w:type="dxa"/>
            <w:tcBorders>
              <w:top w:val="single" w:color="000000" w:sz="4" w:space="0"/>
              <w:left w:val="nil"/>
              <w:bottom w:val="single" w:color="auto" w:sz="4" w:space="0"/>
              <w:right w:val="single" w:color="auto" w:sz="4" w:space="0"/>
            </w:tcBorders>
            <w:shd w:val="clear" w:color="auto" w:fill="auto"/>
            <w:vAlign w:val="center"/>
          </w:tcPr>
          <w:p w14:paraId="617A74D3">
            <w:pPr>
              <w:widowControl w:val="0"/>
              <w:spacing w:line="360" w:lineRule="exact"/>
              <w:jc w:val="left"/>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落实政府采购政策满足的资格要求：根据《政府采购促进中小企业发展管理办法》（财库〔2020〕46号）规定，本项目专门面向中小企业采购,同时响应人须提供《中小企业声明函》</w:t>
            </w:r>
          </w:p>
        </w:tc>
      </w:tr>
      <w:tr w14:paraId="0EDBF799">
        <w:tblPrEx>
          <w:tblCellMar>
            <w:top w:w="0" w:type="dxa"/>
            <w:left w:w="108" w:type="dxa"/>
            <w:bottom w:w="0" w:type="dxa"/>
            <w:right w:w="108" w:type="dxa"/>
          </w:tblCellMar>
        </w:tblPrEx>
        <w:trPr>
          <w:trHeight w:val="606" w:hRule="atLeast"/>
          <w:jc w:val="center"/>
        </w:trPr>
        <w:tc>
          <w:tcPr>
            <w:tcW w:w="480" w:type="dxa"/>
            <w:vMerge w:val="continue"/>
            <w:tcBorders>
              <w:left w:val="single" w:color="auto" w:sz="4" w:space="0"/>
              <w:right w:val="single" w:color="auto" w:sz="4" w:space="0"/>
            </w:tcBorders>
            <w:vAlign w:val="center"/>
          </w:tcPr>
          <w:p w14:paraId="347AC88F">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7752EA4F">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p>
        </w:tc>
        <w:tc>
          <w:tcPr>
            <w:tcW w:w="1684" w:type="dxa"/>
            <w:tcBorders>
              <w:top w:val="single" w:color="000000" w:sz="4" w:space="0"/>
              <w:left w:val="nil"/>
              <w:bottom w:val="single" w:color="auto" w:sz="4" w:space="0"/>
              <w:right w:val="single" w:color="auto" w:sz="4" w:space="0"/>
            </w:tcBorders>
            <w:shd w:val="clear" w:color="auto" w:fill="auto"/>
            <w:vAlign w:val="center"/>
          </w:tcPr>
          <w:p w14:paraId="572D1818">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《中华人民共和国政府采购法》第二十二条的规定</w:t>
            </w:r>
          </w:p>
        </w:tc>
        <w:tc>
          <w:tcPr>
            <w:tcW w:w="6120" w:type="dxa"/>
            <w:tcBorders>
              <w:top w:val="single" w:color="000000" w:sz="4" w:space="0"/>
              <w:left w:val="nil"/>
              <w:bottom w:val="single" w:color="auto" w:sz="4" w:space="0"/>
              <w:right w:val="single" w:color="auto" w:sz="4" w:space="0"/>
            </w:tcBorders>
            <w:shd w:val="clear" w:color="auto" w:fill="auto"/>
            <w:vAlign w:val="center"/>
          </w:tcPr>
          <w:p w14:paraId="051A14A5">
            <w:pPr>
              <w:widowControl w:val="0"/>
              <w:spacing w:line="360" w:lineRule="exact"/>
              <w:jc w:val="left"/>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响应人应符合《中华人民共和国政府采购法》第二十二条的规定（提供承诺书，格式自拟）</w:t>
            </w:r>
          </w:p>
        </w:tc>
      </w:tr>
      <w:tr w14:paraId="320E73A6">
        <w:tblPrEx>
          <w:tblCellMar>
            <w:top w:w="0" w:type="dxa"/>
            <w:left w:w="108" w:type="dxa"/>
            <w:bottom w:w="0" w:type="dxa"/>
            <w:right w:w="108" w:type="dxa"/>
          </w:tblCellMar>
        </w:tblPrEx>
        <w:trPr>
          <w:trHeight w:val="606" w:hRule="atLeast"/>
          <w:jc w:val="center"/>
        </w:trPr>
        <w:tc>
          <w:tcPr>
            <w:tcW w:w="480" w:type="dxa"/>
            <w:vMerge w:val="continue"/>
            <w:tcBorders>
              <w:left w:val="single" w:color="auto" w:sz="4" w:space="0"/>
              <w:right w:val="single" w:color="auto" w:sz="4" w:space="0"/>
            </w:tcBorders>
            <w:vAlign w:val="center"/>
          </w:tcPr>
          <w:p w14:paraId="0A235BD5">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23A86EED">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703A49A4">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营业执照</w:t>
            </w:r>
          </w:p>
        </w:tc>
        <w:tc>
          <w:tcPr>
            <w:tcW w:w="6120" w:type="dxa"/>
            <w:tcBorders>
              <w:top w:val="single" w:color="auto" w:sz="4" w:space="0"/>
              <w:left w:val="nil"/>
              <w:bottom w:val="single" w:color="auto" w:sz="4" w:space="0"/>
              <w:right w:val="single" w:color="auto" w:sz="4" w:space="0"/>
            </w:tcBorders>
            <w:vAlign w:val="center"/>
          </w:tcPr>
          <w:p w14:paraId="2ACFB3E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具有中华人民共和国境内注册的能够独立承担民事责 </w:t>
            </w:r>
          </w:p>
          <w:p w14:paraId="13C99F24">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任的独立法人或其他组织，具有有效的营业执照、税 </w:t>
            </w:r>
          </w:p>
          <w:p w14:paraId="6D54FD03">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务登记证、组织机构代码证(或“三证合一”的营业执 </w:t>
            </w:r>
          </w:p>
          <w:p w14:paraId="28B07F0C">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照)</w:t>
            </w:r>
          </w:p>
        </w:tc>
      </w:tr>
      <w:tr w14:paraId="1FA5BE3E">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2E99969F">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395A2CFE">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2403053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color w:val="auto"/>
                <w:kern w:val="2"/>
                <w:sz w:val="24"/>
                <w:szCs w:val="24"/>
                <w:highlight w:val="none"/>
                <w:lang w:val="en-US" w:eastAsia="zh-CN"/>
              </w:rPr>
              <w:t>具有履行本项目采购内容所必需的设备和专业技术服务能力</w:t>
            </w:r>
          </w:p>
        </w:tc>
        <w:tc>
          <w:tcPr>
            <w:tcW w:w="6120" w:type="dxa"/>
            <w:tcBorders>
              <w:top w:val="single" w:color="auto" w:sz="4" w:space="0"/>
              <w:left w:val="nil"/>
              <w:bottom w:val="single" w:color="auto" w:sz="4" w:space="0"/>
              <w:right w:val="single" w:color="auto" w:sz="4" w:space="0"/>
            </w:tcBorders>
            <w:vAlign w:val="center"/>
          </w:tcPr>
          <w:p w14:paraId="164DD71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kern w:val="2"/>
                <w:sz w:val="24"/>
                <w:szCs w:val="24"/>
                <w:lang w:val="en-US" w:eastAsia="zh-CN"/>
              </w:rPr>
            </w:pPr>
            <w:r>
              <w:rPr>
                <w:rFonts w:hint="default" w:cs="宋体" w:asciiTheme="minorEastAsia" w:hAnsiTheme="minorEastAsia" w:eastAsiaTheme="minorEastAsia"/>
                <w:kern w:val="2"/>
                <w:sz w:val="24"/>
                <w:szCs w:val="24"/>
                <w:lang w:val="en-US" w:eastAsia="zh-CN"/>
              </w:rPr>
              <w:t>具有履行本项目采购内容所必需的设备和专业技术服务能力（提供证明材料或承诺书，格式自拟）</w:t>
            </w:r>
          </w:p>
        </w:tc>
      </w:tr>
      <w:tr w14:paraId="4975BE04">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2BF393F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4D3EF66E">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65562855">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lang w:val="en-US" w:eastAsia="zh-CN"/>
              </w:rPr>
              <w:t>项目负责人</w:t>
            </w:r>
          </w:p>
        </w:tc>
        <w:tc>
          <w:tcPr>
            <w:tcW w:w="6120" w:type="dxa"/>
            <w:tcBorders>
              <w:top w:val="single" w:color="auto" w:sz="4" w:space="0"/>
              <w:left w:val="nil"/>
              <w:bottom w:val="single" w:color="auto" w:sz="4" w:space="0"/>
              <w:right w:val="single" w:color="auto" w:sz="4" w:space="0"/>
            </w:tcBorders>
            <w:vAlign w:val="center"/>
          </w:tcPr>
          <w:p w14:paraId="70753696">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拟派项目负责人为本单位正式员工且已参加社会保险，提供劳动合同及近半年任意连续三个月参加社会养老保险的证明材料（新成立企业从成立之日起计算）</w:t>
            </w:r>
          </w:p>
        </w:tc>
      </w:tr>
      <w:tr w14:paraId="230B1192">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00EC7076">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21F203B6">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55A66C2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依法缴纳税收证明材料</w:t>
            </w:r>
          </w:p>
        </w:tc>
        <w:tc>
          <w:tcPr>
            <w:tcW w:w="6120" w:type="dxa"/>
            <w:tcBorders>
              <w:top w:val="single" w:color="auto" w:sz="4" w:space="0"/>
              <w:left w:val="nil"/>
              <w:bottom w:val="single" w:color="auto" w:sz="4" w:space="0"/>
              <w:right w:val="single" w:color="auto" w:sz="4" w:space="0"/>
            </w:tcBorders>
            <w:vAlign w:val="center"/>
          </w:tcPr>
          <w:p w14:paraId="64F03941">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须提供企业近半年任意连续三个月（新成立企业从成立之日起计算）依法缴纳税收证明材料：主要是指缴纳增值税或企业所得税或企业附加税的缴费证明；依法免税企业应提供税务部门出具的依法免税证明文件</w:t>
            </w:r>
          </w:p>
        </w:tc>
      </w:tr>
      <w:tr w14:paraId="2FE38AC4">
        <w:tblPrEx>
          <w:tblCellMar>
            <w:top w:w="0" w:type="dxa"/>
            <w:left w:w="108" w:type="dxa"/>
            <w:bottom w:w="0" w:type="dxa"/>
            <w:right w:w="108" w:type="dxa"/>
          </w:tblCellMar>
        </w:tblPrEx>
        <w:trPr>
          <w:trHeight w:val="418" w:hRule="atLeast"/>
          <w:jc w:val="center"/>
        </w:trPr>
        <w:tc>
          <w:tcPr>
            <w:tcW w:w="480" w:type="dxa"/>
            <w:vMerge w:val="continue"/>
            <w:tcBorders>
              <w:left w:val="single" w:color="auto" w:sz="4" w:space="0"/>
              <w:right w:val="single" w:color="auto" w:sz="4" w:space="0"/>
            </w:tcBorders>
            <w:vAlign w:val="center"/>
          </w:tcPr>
          <w:p w14:paraId="138312D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7C15130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6B3307B4">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财务状况</w:t>
            </w:r>
          </w:p>
        </w:tc>
        <w:tc>
          <w:tcPr>
            <w:tcW w:w="6120" w:type="dxa"/>
            <w:tcBorders>
              <w:top w:val="single" w:color="auto" w:sz="4" w:space="0"/>
              <w:left w:val="nil"/>
              <w:bottom w:val="single" w:color="auto" w:sz="4" w:space="0"/>
              <w:right w:val="single" w:color="auto" w:sz="4" w:space="0"/>
            </w:tcBorders>
            <w:vAlign w:val="center"/>
          </w:tcPr>
          <w:p w14:paraId="2455472C">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kern w:val="2"/>
                <w:sz w:val="24"/>
                <w:szCs w:val="24"/>
                <w:lang w:val="en-US" w:eastAsia="zh-CN"/>
              </w:rPr>
            </w:pPr>
            <w:r>
              <w:rPr>
                <w:rFonts w:hint="default" w:cs="宋体" w:asciiTheme="minorEastAsia" w:hAnsiTheme="minorEastAsia" w:eastAsiaTheme="minorEastAsia"/>
                <w:kern w:val="2"/>
                <w:sz w:val="24"/>
                <w:szCs w:val="24"/>
                <w:lang w:val="en-US" w:eastAsia="zh-CN"/>
              </w:rPr>
              <w:t>具有健全的财务会计制度和良好的财务状况</w:t>
            </w:r>
          </w:p>
          <w:p w14:paraId="1D3499B2">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kern w:val="2"/>
                <w:sz w:val="24"/>
                <w:szCs w:val="24"/>
                <w:lang w:val="en-US" w:eastAsia="zh-CN"/>
              </w:rPr>
            </w:pPr>
          </w:p>
        </w:tc>
      </w:tr>
      <w:tr w14:paraId="63169DE4">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749CF6B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15FC2CDC">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17A3F7B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无行贿犯罪记录、商业贿赂、不正当竞争行为</w:t>
            </w:r>
          </w:p>
        </w:tc>
        <w:tc>
          <w:tcPr>
            <w:tcW w:w="6120" w:type="dxa"/>
            <w:tcBorders>
              <w:top w:val="single" w:color="auto" w:sz="4" w:space="0"/>
              <w:left w:val="nil"/>
              <w:bottom w:val="single" w:color="auto" w:sz="4" w:space="0"/>
              <w:right w:val="single" w:color="auto" w:sz="4" w:space="0"/>
            </w:tcBorders>
            <w:vAlign w:val="center"/>
          </w:tcPr>
          <w:p w14:paraId="389C20C2">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参加政府采购活动前3年内无行贿犯罪记录、商业贿赂、不正当竞争行为、骗取中标、严重违约及重大工程质量等问题；响应人出具的无行贿犯罪记录在中国裁判文书网自行查询或自行承诺（查询&lt;承诺&gt;对象为“企业，法定代表人”）及工商部门出具的无商业贿赂和不正当竞争证明，若当地工商部门不出具此证明，企业自行承诺无商业贿赂和不正当竞争行为</w:t>
            </w:r>
          </w:p>
        </w:tc>
      </w:tr>
      <w:tr w14:paraId="2AD4866B">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61D00197">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2908DCE9">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778390A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信用查询</w:t>
            </w:r>
          </w:p>
        </w:tc>
        <w:tc>
          <w:tcPr>
            <w:tcW w:w="6120" w:type="dxa"/>
            <w:tcBorders>
              <w:top w:val="single" w:color="auto" w:sz="4" w:space="0"/>
              <w:left w:val="nil"/>
              <w:bottom w:val="single" w:color="auto" w:sz="4" w:space="0"/>
              <w:right w:val="single" w:color="auto" w:sz="4" w:space="0"/>
            </w:tcBorders>
            <w:vAlign w:val="center"/>
          </w:tcPr>
          <w:p w14:paraId="02CE0A66">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根据《关于在政府采购活动中查询及使用信用记录有关问题的通知》（财库[2016]125 号）和豫财购【2016】15 号的规定，企业没有被列入“信用中国”网站的“失信被执行人”、“重大税收违法失信主体”及“中国政府采购网”网站的“政府采购严重违法失信行为记录名单”；（查询渠道：“信用中国”网站（www.creditchina.gov.cn）、中国政府采购网（www.ccgp.gov.cn），査询时间必须是本项目磋商公告发布之后至开标截止时间之前，需提供网站查询网页截图，查询结果清晰可见）</w:t>
            </w:r>
          </w:p>
        </w:tc>
      </w:tr>
      <w:tr w14:paraId="2BC52C67">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19C7EF4E">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2B27BD76">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24BA133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控股、管理关 </w:t>
            </w:r>
          </w:p>
          <w:p w14:paraId="32B5730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系查询</w:t>
            </w:r>
          </w:p>
          <w:p w14:paraId="7AE690E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p>
        </w:tc>
        <w:tc>
          <w:tcPr>
            <w:tcW w:w="6120" w:type="dxa"/>
            <w:tcBorders>
              <w:top w:val="single" w:color="auto" w:sz="4" w:space="0"/>
              <w:left w:val="nil"/>
              <w:bottom w:val="single" w:color="auto" w:sz="4" w:space="0"/>
              <w:right w:val="single" w:color="auto" w:sz="4" w:space="0"/>
            </w:tcBorders>
            <w:vAlign w:val="center"/>
          </w:tcPr>
          <w:p w14:paraId="6A50779A">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响应人单位负责人为同一人或者存在直接控股、管理关系的不同投标人，不得参加同一合同项下的采购活动（提供“国家企业信用信息公示系统”网页查询,需包含公司基本信息、股东信息及股权变更信息内容，查询时间为自本项目磋商公告发布之后至开标截止时间之前）</w:t>
            </w:r>
          </w:p>
        </w:tc>
      </w:tr>
      <w:tr w14:paraId="2055C5E3">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5EE096DB">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5FF6D9E8">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56282598">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资格后审</w:t>
            </w:r>
          </w:p>
        </w:tc>
        <w:tc>
          <w:tcPr>
            <w:tcW w:w="6120" w:type="dxa"/>
            <w:tcBorders>
              <w:top w:val="single" w:color="auto" w:sz="4" w:space="0"/>
              <w:left w:val="nil"/>
              <w:bottom w:val="single" w:color="auto" w:sz="4" w:space="0"/>
              <w:right w:val="single" w:color="auto" w:sz="4" w:space="0"/>
            </w:tcBorders>
            <w:vAlign w:val="center"/>
          </w:tcPr>
          <w:p w14:paraId="0675E1D7">
            <w:pPr>
              <w:keepNext w:val="0"/>
              <w:keepLines w:val="0"/>
              <w:pageBreakBefore w:val="0"/>
              <w:widowControl w:val="0"/>
              <w:tabs>
                <w:tab w:val="left" w:pos="1578"/>
              </w:tabs>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本项目实行资格后审(提供承诺书，格式自拟)</w:t>
            </w:r>
          </w:p>
        </w:tc>
      </w:tr>
      <w:tr w14:paraId="273EF2C2">
        <w:tblPrEx>
          <w:tblCellMar>
            <w:top w:w="0" w:type="dxa"/>
            <w:left w:w="108" w:type="dxa"/>
            <w:bottom w:w="0" w:type="dxa"/>
            <w:right w:w="108" w:type="dxa"/>
          </w:tblCellMar>
        </w:tblPrEx>
        <w:trPr>
          <w:trHeight w:val="90" w:hRule="atLeast"/>
          <w:jc w:val="center"/>
        </w:trPr>
        <w:tc>
          <w:tcPr>
            <w:tcW w:w="480" w:type="dxa"/>
            <w:vMerge w:val="continue"/>
            <w:tcBorders>
              <w:left w:val="single" w:color="auto" w:sz="4" w:space="0"/>
              <w:right w:val="single" w:color="auto" w:sz="4" w:space="0"/>
            </w:tcBorders>
            <w:vAlign w:val="center"/>
          </w:tcPr>
          <w:p w14:paraId="0A2C1305">
            <w:pPr>
              <w:widowControl w:val="0"/>
              <w:spacing w:line="600" w:lineRule="exact"/>
              <w:jc w:val="center"/>
              <w:rPr>
                <w:rFonts w:hint="eastAsia" w:ascii="宋体" w:hAnsi="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5B6C214A">
            <w:pPr>
              <w:widowControl w:val="0"/>
              <w:spacing w:line="600" w:lineRule="exact"/>
              <w:jc w:val="center"/>
              <w:rPr>
                <w:rFonts w:hint="eastAsia"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04E23A7E">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非联合体磋商</w:t>
            </w:r>
          </w:p>
        </w:tc>
        <w:tc>
          <w:tcPr>
            <w:tcW w:w="6120" w:type="dxa"/>
            <w:tcBorders>
              <w:top w:val="single" w:color="auto" w:sz="4" w:space="0"/>
              <w:left w:val="nil"/>
              <w:bottom w:val="single" w:color="auto" w:sz="4" w:space="0"/>
              <w:right w:val="single" w:color="auto" w:sz="4" w:space="0"/>
            </w:tcBorders>
            <w:vAlign w:val="center"/>
          </w:tcPr>
          <w:p w14:paraId="1709D9C1">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本项目不接受联合体磋商（提供承诺书，格式自拟）</w:t>
            </w:r>
          </w:p>
        </w:tc>
      </w:tr>
      <w:tr w14:paraId="4FF54F5F">
        <w:tblPrEx>
          <w:tblCellMar>
            <w:top w:w="0" w:type="dxa"/>
            <w:left w:w="108" w:type="dxa"/>
            <w:bottom w:w="0" w:type="dxa"/>
            <w:right w:w="108" w:type="dxa"/>
          </w:tblCellMar>
        </w:tblPrEx>
        <w:trPr>
          <w:trHeight w:val="520" w:hRule="atLeast"/>
          <w:jc w:val="center"/>
        </w:trPr>
        <w:tc>
          <w:tcPr>
            <w:tcW w:w="480" w:type="dxa"/>
            <w:vMerge w:val="continue"/>
            <w:tcBorders>
              <w:left w:val="single" w:color="auto" w:sz="4" w:space="0"/>
              <w:bottom w:val="single" w:color="auto" w:sz="4" w:space="0"/>
              <w:right w:val="single" w:color="auto" w:sz="4" w:space="0"/>
            </w:tcBorders>
            <w:vAlign w:val="center"/>
          </w:tcPr>
          <w:p w14:paraId="21750612">
            <w:pPr>
              <w:widowControl w:val="0"/>
              <w:spacing w:line="600" w:lineRule="exact"/>
              <w:jc w:val="center"/>
              <w:rPr>
                <w:rFonts w:hint="eastAsia" w:ascii="宋体" w:hAnsi="宋体" w:cs="宋体"/>
                <w:color w:val="auto"/>
                <w:kern w:val="2"/>
                <w:sz w:val="24"/>
                <w:szCs w:val="24"/>
                <w:highlight w:val="none"/>
                <w:lang w:val="en-US" w:eastAsia="zh-CN"/>
              </w:rPr>
            </w:pPr>
          </w:p>
        </w:tc>
        <w:tc>
          <w:tcPr>
            <w:tcW w:w="750" w:type="dxa"/>
            <w:vMerge w:val="continue"/>
            <w:tcBorders>
              <w:left w:val="nil"/>
              <w:bottom w:val="single" w:color="auto" w:sz="4" w:space="0"/>
              <w:right w:val="single" w:color="auto" w:sz="4" w:space="0"/>
            </w:tcBorders>
            <w:vAlign w:val="center"/>
          </w:tcPr>
          <w:p w14:paraId="0A340D19">
            <w:pPr>
              <w:widowControl w:val="0"/>
              <w:spacing w:line="600" w:lineRule="exact"/>
              <w:jc w:val="center"/>
              <w:rPr>
                <w:rFonts w:hint="eastAsia"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49C272B8">
            <w:pPr>
              <w:widowControl w:val="0"/>
              <w:spacing w:line="600" w:lineRule="exact"/>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其他</w:t>
            </w:r>
          </w:p>
        </w:tc>
        <w:tc>
          <w:tcPr>
            <w:tcW w:w="6120" w:type="dxa"/>
            <w:tcBorders>
              <w:top w:val="single" w:color="auto" w:sz="4" w:space="0"/>
              <w:left w:val="nil"/>
              <w:bottom w:val="single" w:color="auto" w:sz="4" w:space="0"/>
              <w:right w:val="single" w:color="auto" w:sz="4" w:space="0"/>
            </w:tcBorders>
            <w:vAlign w:val="center"/>
          </w:tcPr>
          <w:p w14:paraId="67D18F5A">
            <w:pPr>
              <w:widowControl w:val="0"/>
              <w:spacing w:line="600" w:lineRule="exact"/>
              <w:jc w:val="both"/>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竞争性磋商文件规定的其他资格审查资料</w:t>
            </w:r>
          </w:p>
        </w:tc>
      </w:tr>
      <w:tr w14:paraId="41B84291">
        <w:tblPrEx>
          <w:tblCellMar>
            <w:top w:w="0" w:type="dxa"/>
            <w:left w:w="108" w:type="dxa"/>
            <w:bottom w:w="0" w:type="dxa"/>
            <w:right w:w="108" w:type="dxa"/>
          </w:tblCellMar>
        </w:tblPrEx>
        <w:trPr>
          <w:trHeight w:val="520" w:hRule="atLeast"/>
          <w:jc w:val="center"/>
        </w:trPr>
        <w:tc>
          <w:tcPr>
            <w:tcW w:w="480" w:type="dxa"/>
            <w:vMerge w:val="restart"/>
            <w:tcBorders>
              <w:top w:val="nil"/>
              <w:left w:val="single" w:color="auto" w:sz="4" w:space="0"/>
              <w:bottom w:val="single" w:color="auto" w:sz="4" w:space="0"/>
              <w:right w:val="single" w:color="auto" w:sz="4" w:space="0"/>
            </w:tcBorders>
            <w:vAlign w:val="center"/>
          </w:tcPr>
          <w:p w14:paraId="7EDF0112">
            <w:pPr>
              <w:widowControl w:val="0"/>
              <w:spacing w:line="600" w:lineRule="exact"/>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750" w:type="dxa"/>
            <w:vMerge w:val="restart"/>
            <w:tcBorders>
              <w:top w:val="nil"/>
              <w:left w:val="nil"/>
              <w:bottom w:val="single" w:color="auto" w:sz="4" w:space="0"/>
              <w:right w:val="single" w:color="auto" w:sz="4" w:space="0"/>
            </w:tcBorders>
            <w:vAlign w:val="center"/>
          </w:tcPr>
          <w:p w14:paraId="582AF470">
            <w:pPr>
              <w:widowControl w:val="0"/>
              <w:spacing w:line="600" w:lineRule="exact"/>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响应</w:t>
            </w:r>
            <w:r>
              <w:rPr>
                <w:rFonts w:ascii="宋体" w:hAnsi="宋体" w:cs="宋体"/>
                <w:color w:val="auto"/>
                <w:kern w:val="2"/>
                <w:sz w:val="24"/>
                <w:szCs w:val="24"/>
                <w:highlight w:val="none"/>
              </w:rPr>
              <w:t>性审查</w:t>
            </w:r>
          </w:p>
        </w:tc>
        <w:tc>
          <w:tcPr>
            <w:tcW w:w="1684" w:type="dxa"/>
            <w:tcBorders>
              <w:top w:val="single" w:color="auto" w:sz="4" w:space="0"/>
              <w:left w:val="nil"/>
              <w:bottom w:val="single" w:color="auto" w:sz="4" w:space="0"/>
              <w:right w:val="single" w:color="auto" w:sz="4" w:space="0"/>
            </w:tcBorders>
            <w:vAlign w:val="center"/>
          </w:tcPr>
          <w:p w14:paraId="04181EF5">
            <w:pPr>
              <w:widowControl w:val="0"/>
              <w:spacing w:line="600" w:lineRule="exact"/>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供货期限</w:t>
            </w:r>
          </w:p>
        </w:tc>
        <w:tc>
          <w:tcPr>
            <w:tcW w:w="6120" w:type="dxa"/>
            <w:tcBorders>
              <w:top w:val="single" w:color="auto" w:sz="4" w:space="0"/>
              <w:left w:val="nil"/>
              <w:bottom w:val="single" w:color="auto" w:sz="4" w:space="0"/>
              <w:right w:val="single" w:color="auto" w:sz="4" w:space="0"/>
            </w:tcBorders>
            <w:vAlign w:val="center"/>
          </w:tcPr>
          <w:p w14:paraId="2BB8D558">
            <w:pPr>
              <w:widowControl w:val="0"/>
              <w:spacing w:line="60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合同签订后</w:t>
            </w:r>
            <w:r>
              <w:rPr>
                <w:rFonts w:hint="eastAsia" w:ascii="宋体" w:hAnsi="宋体" w:cs="宋体"/>
                <w:color w:val="auto"/>
                <w:kern w:val="2"/>
                <w:sz w:val="24"/>
                <w:szCs w:val="24"/>
                <w:highlight w:val="none"/>
                <w:lang w:val="en-US" w:eastAsia="zh-CN"/>
              </w:rPr>
              <w:t>30日历天</w:t>
            </w:r>
            <w:r>
              <w:rPr>
                <w:rFonts w:hint="eastAsia" w:ascii="宋体" w:hAnsi="宋体" w:cs="宋体"/>
                <w:color w:val="auto"/>
                <w:kern w:val="2"/>
                <w:sz w:val="24"/>
                <w:szCs w:val="24"/>
                <w:highlight w:val="none"/>
                <w:lang w:eastAsia="zh-CN"/>
              </w:rPr>
              <w:t>内完成</w:t>
            </w:r>
          </w:p>
        </w:tc>
      </w:tr>
      <w:tr w14:paraId="34A5868D">
        <w:tblPrEx>
          <w:tblCellMar>
            <w:top w:w="0" w:type="dxa"/>
            <w:left w:w="108" w:type="dxa"/>
            <w:bottom w:w="0" w:type="dxa"/>
            <w:right w:w="108" w:type="dxa"/>
          </w:tblCellMar>
        </w:tblPrEx>
        <w:trPr>
          <w:trHeight w:val="520" w:hRule="atLeast"/>
          <w:jc w:val="center"/>
        </w:trPr>
        <w:tc>
          <w:tcPr>
            <w:tcW w:w="480" w:type="dxa"/>
            <w:vMerge w:val="continue"/>
            <w:tcBorders>
              <w:left w:val="single" w:color="auto" w:sz="4" w:space="0"/>
              <w:right w:val="single" w:color="auto" w:sz="4" w:space="0"/>
            </w:tcBorders>
            <w:vAlign w:val="center"/>
          </w:tcPr>
          <w:p w14:paraId="7435783C">
            <w:pPr>
              <w:widowControl w:val="0"/>
              <w:spacing w:line="600" w:lineRule="exact"/>
              <w:jc w:val="center"/>
              <w:rPr>
                <w:rFonts w:hint="eastAsia" w:ascii="宋体" w:hAnsi="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2734E267">
            <w:pPr>
              <w:widowControl w:val="0"/>
              <w:spacing w:line="600" w:lineRule="exact"/>
              <w:jc w:val="center"/>
              <w:rPr>
                <w:rFonts w:hint="eastAsia"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34EB8006">
            <w:pPr>
              <w:widowControl w:val="0"/>
              <w:spacing w:line="600" w:lineRule="exact"/>
              <w:jc w:val="center"/>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质保期</w:t>
            </w:r>
          </w:p>
        </w:tc>
        <w:tc>
          <w:tcPr>
            <w:tcW w:w="6120" w:type="dxa"/>
            <w:tcBorders>
              <w:top w:val="single" w:color="auto" w:sz="4" w:space="0"/>
              <w:left w:val="nil"/>
              <w:bottom w:val="single" w:color="auto" w:sz="4" w:space="0"/>
              <w:right w:val="single" w:color="auto" w:sz="4" w:space="0"/>
            </w:tcBorders>
            <w:vAlign w:val="center"/>
          </w:tcPr>
          <w:p w14:paraId="5050B6EC">
            <w:pPr>
              <w:widowControl w:val="0"/>
              <w:spacing w:line="600" w:lineRule="exact"/>
              <w:jc w:val="both"/>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自验收合格之日起一年</w:t>
            </w:r>
          </w:p>
        </w:tc>
      </w:tr>
      <w:tr w14:paraId="4ED1C5AF">
        <w:tblPrEx>
          <w:tblCellMar>
            <w:top w:w="0" w:type="dxa"/>
            <w:left w:w="108" w:type="dxa"/>
            <w:bottom w:w="0" w:type="dxa"/>
            <w:right w:w="108" w:type="dxa"/>
          </w:tblCellMar>
        </w:tblPrEx>
        <w:trPr>
          <w:trHeight w:val="610"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1335AD3A">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12342373">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32049D11">
            <w:pPr>
              <w:widowControl w:val="0"/>
              <w:spacing w:line="600" w:lineRule="exact"/>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质量</w:t>
            </w:r>
            <w:r>
              <w:rPr>
                <w:rFonts w:ascii="宋体" w:hAnsi="宋体" w:cs="宋体"/>
                <w:color w:val="auto"/>
                <w:kern w:val="2"/>
                <w:sz w:val="24"/>
                <w:szCs w:val="24"/>
                <w:highlight w:val="none"/>
              </w:rPr>
              <w:t>要求</w:t>
            </w:r>
          </w:p>
        </w:tc>
        <w:tc>
          <w:tcPr>
            <w:tcW w:w="6120" w:type="dxa"/>
            <w:tcBorders>
              <w:top w:val="single" w:color="auto" w:sz="4" w:space="0"/>
              <w:left w:val="nil"/>
              <w:bottom w:val="single" w:color="auto" w:sz="4" w:space="0"/>
              <w:right w:val="single" w:color="auto" w:sz="4" w:space="0"/>
            </w:tcBorders>
            <w:vAlign w:val="center"/>
          </w:tcPr>
          <w:p w14:paraId="6B1C239A">
            <w:pPr>
              <w:widowControl w:val="0"/>
              <w:spacing w:line="600" w:lineRule="exact"/>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符合国家及相关行业标准，满足采购人需求</w:t>
            </w:r>
          </w:p>
        </w:tc>
      </w:tr>
      <w:tr w14:paraId="503D785C">
        <w:tblPrEx>
          <w:tblCellMar>
            <w:top w:w="0" w:type="dxa"/>
            <w:left w:w="108" w:type="dxa"/>
            <w:bottom w:w="0" w:type="dxa"/>
            <w:right w:w="108" w:type="dxa"/>
          </w:tblCellMar>
        </w:tblPrEx>
        <w:trPr>
          <w:trHeight w:val="606"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45A8AB81">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28E7B312">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0F26AC24">
            <w:pPr>
              <w:widowControl w:val="0"/>
              <w:spacing w:line="600" w:lineRule="exact"/>
              <w:jc w:val="center"/>
              <w:rPr>
                <w:rFonts w:ascii="宋体" w:hAnsi="宋体" w:cs="宋体"/>
                <w:color w:val="auto"/>
                <w:kern w:val="2"/>
                <w:sz w:val="24"/>
                <w:szCs w:val="24"/>
                <w:highlight w:val="none"/>
              </w:rPr>
            </w:pPr>
            <w:r>
              <w:rPr>
                <w:rFonts w:ascii="宋体" w:hAnsi="宋体" w:cs="宋体"/>
                <w:color w:val="auto"/>
                <w:kern w:val="2"/>
                <w:sz w:val="24"/>
                <w:szCs w:val="24"/>
                <w:highlight w:val="none"/>
              </w:rPr>
              <w:t>磋商有效期</w:t>
            </w:r>
          </w:p>
        </w:tc>
        <w:tc>
          <w:tcPr>
            <w:tcW w:w="6120" w:type="dxa"/>
            <w:tcBorders>
              <w:top w:val="single" w:color="auto" w:sz="4" w:space="0"/>
              <w:left w:val="nil"/>
              <w:bottom w:val="single" w:color="auto" w:sz="4" w:space="0"/>
              <w:right w:val="single" w:color="auto" w:sz="4" w:space="0"/>
            </w:tcBorders>
            <w:vAlign w:val="center"/>
          </w:tcPr>
          <w:p w14:paraId="1A03B07F">
            <w:pPr>
              <w:widowControl w:val="0"/>
              <w:spacing w:line="60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符合磋商文件要求</w:t>
            </w:r>
          </w:p>
        </w:tc>
      </w:tr>
      <w:tr w14:paraId="3E9C4DDD">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40F36856">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05155B0F">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67A7E8B8">
            <w:pPr>
              <w:widowControl w:val="0"/>
              <w:spacing w:line="600" w:lineRule="exact"/>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磋商</w:t>
            </w:r>
            <w:r>
              <w:rPr>
                <w:rFonts w:hint="eastAsia" w:ascii="宋体" w:hAnsi="宋体" w:cs="宋体"/>
                <w:color w:val="auto"/>
                <w:kern w:val="2"/>
                <w:sz w:val="24"/>
                <w:szCs w:val="24"/>
                <w:highlight w:val="none"/>
              </w:rPr>
              <w:t>承诺函</w:t>
            </w:r>
          </w:p>
        </w:tc>
        <w:tc>
          <w:tcPr>
            <w:tcW w:w="6120" w:type="dxa"/>
            <w:tcBorders>
              <w:top w:val="single" w:color="auto" w:sz="4" w:space="0"/>
              <w:left w:val="nil"/>
              <w:bottom w:val="single" w:color="auto" w:sz="4" w:space="0"/>
              <w:right w:val="single" w:color="auto" w:sz="4" w:space="0"/>
            </w:tcBorders>
            <w:vAlign w:val="center"/>
          </w:tcPr>
          <w:p w14:paraId="3CAD7EA0">
            <w:pPr>
              <w:widowControl w:val="0"/>
              <w:spacing w:line="60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按照磋商文件要求提交</w:t>
            </w:r>
          </w:p>
        </w:tc>
      </w:tr>
      <w:tr w14:paraId="413D35A3">
        <w:tblPrEx>
          <w:tblCellMar>
            <w:top w:w="0" w:type="dxa"/>
            <w:left w:w="108" w:type="dxa"/>
            <w:bottom w:w="0" w:type="dxa"/>
            <w:right w:w="108" w:type="dxa"/>
          </w:tblCellMar>
        </w:tblPrEx>
        <w:trPr>
          <w:trHeight w:val="612"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6B0045F4">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03FF4186">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119CFD9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磋商报价</w:t>
            </w:r>
          </w:p>
        </w:tc>
        <w:tc>
          <w:tcPr>
            <w:tcW w:w="6120" w:type="dxa"/>
            <w:tcBorders>
              <w:top w:val="single" w:color="auto" w:sz="4" w:space="0"/>
              <w:left w:val="nil"/>
              <w:bottom w:val="single" w:color="auto" w:sz="4" w:space="0"/>
              <w:right w:val="single" w:color="auto" w:sz="4" w:space="0"/>
            </w:tcBorders>
            <w:vAlign w:val="center"/>
          </w:tcPr>
          <w:p w14:paraId="3D44978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磋商响应人的报价不能超出磋商预算价，否则按废标处理</w:t>
            </w:r>
          </w:p>
        </w:tc>
      </w:tr>
    </w:tbl>
    <w:p w14:paraId="0C77BE90">
      <w:pPr>
        <w:keepNext w:val="0"/>
        <w:keepLines w:val="0"/>
        <w:pageBreakBefore w:val="0"/>
        <w:widowControl/>
        <w:kinsoku/>
        <w:wordWrap w:val="0"/>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highlight w:val="none"/>
        </w:rPr>
      </w:pPr>
      <w:bookmarkStart w:id="50" w:name="_Toc453139656"/>
      <w:bookmarkEnd w:id="50"/>
      <w:r>
        <w:rPr>
          <w:rFonts w:hint="eastAsia" w:ascii="宋体" w:hAnsi="宋体" w:eastAsia="宋体" w:cs="宋体"/>
          <w:b/>
          <w:bCs w:val="0"/>
          <w:color w:val="auto"/>
          <w:kern w:val="0"/>
          <w:sz w:val="24"/>
          <w:szCs w:val="24"/>
          <w:highlight w:val="none"/>
        </w:rPr>
        <w:t>对以上资格评审、响应性评审</w:t>
      </w:r>
      <w:r>
        <w:rPr>
          <w:rFonts w:hint="eastAsia" w:ascii="宋体" w:hAnsi="宋体" w:cs="宋体"/>
          <w:b/>
          <w:bCs w:val="0"/>
          <w:color w:val="auto"/>
          <w:kern w:val="0"/>
          <w:sz w:val="24"/>
          <w:szCs w:val="24"/>
          <w:highlight w:val="none"/>
          <w:lang w:eastAsia="zh-CN"/>
        </w:rPr>
        <w:t>、符合性</w:t>
      </w:r>
      <w:r>
        <w:rPr>
          <w:rFonts w:hint="eastAsia" w:ascii="宋体" w:hAnsi="宋体" w:eastAsia="宋体" w:cs="宋体"/>
          <w:b/>
          <w:bCs w:val="0"/>
          <w:color w:val="auto"/>
          <w:kern w:val="0"/>
          <w:sz w:val="24"/>
          <w:szCs w:val="24"/>
          <w:highlight w:val="none"/>
        </w:rPr>
        <w:t>评审中的各项要求如有一项不合格将按无效投标处理。</w:t>
      </w:r>
    </w:p>
    <w:p w14:paraId="22CE975F">
      <w:pPr>
        <w:jc w:val="center"/>
        <w:rPr>
          <w:color w:val="auto"/>
        </w:rPr>
      </w:pPr>
      <w:bookmarkStart w:id="51" w:name="_Toc22971"/>
      <w:r>
        <w:rPr>
          <w:rFonts w:hint="eastAsia" w:ascii="宋体" w:hAnsi="宋体" w:eastAsia="宋体" w:cs="宋体"/>
          <w:b/>
          <w:bCs/>
          <w:sz w:val="28"/>
          <w:szCs w:val="28"/>
        </w:rPr>
        <w:t>评标办法</w:t>
      </w:r>
      <w:bookmarkEnd w:id="51"/>
      <w:r>
        <w:rPr>
          <w:rFonts w:hint="eastAsia" w:ascii="宋体" w:hAnsi="宋体" w:cs="宋体"/>
          <w:b/>
          <w:bCs/>
          <w:sz w:val="28"/>
          <w:szCs w:val="28"/>
          <w:lang w:eastAsia="zh-CN"/>
        </w:rPr>
        <w:t>（</w:t>
      </w:r>
      <w:r>
        <w:rPr>
          <w:rFonts w:hint="eastAsia" w:ascii="宋体" w:hAnsi="宋体" w:eastAsia="宋体" w:cs="宋体"/>
          <w:b/>
          <w:bCs/>
          <w:sz w:val="28"/>
          <w:szCs w:val="28"/>
        </w:rPr>
        <w:t>综合评分法</w:t>
      </w:r>
      <w:r>
        <w:rPr>
          <w:rFonts w:hint="eastAsia" w:ascii="宋体" w:hAnsi="宋体" w:cs="宋体"/>
          <w:b/>
          <w:bCs/>
          <w:sz w:val="28"/>
          <w:szCs w:val="28"/>
          <w:lang w:eastAsia="zh-CN"/>
        </w:rPr>
        <w:t>）</w:t>
      </w:r>
    </w:p>
    <w:tbl>
      <w:tblPr>
        <w:tblStyle w:val="17"/>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348"/>
        <w:gridCol w:w="7031"/>
      </w:tblGrid>
      <w:tr w14:paraId="19EC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5AA3DCBA">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条款内容</w:t>
            </w:r>
          </w:p>
        </w:tc>
        <w:tc>
          <w:tcPr>
            <w:tcW w:w="7031" w:type="dxa"/>
            <w:tcBorders>
              <w:top w:val="single" w:color="auto" w:sz="4" w:space="0"/>
              <w:left w:val="nil"/>
              <w:bottom w:val="single" w:color="auto" w:sz="4" w:space="0"/>
              <w:right w:val="single" w:color="auto" w:sz="4" w:space="0"/>
            </w:tcBorders>
            <w:vAlign w:val="center"/>
          </w:tcPr>
          <w:p w14:paraId="4EDC1218">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编列内容</w:t>
            </w:r>
          </w:p>
        </w:tc>
      </w:tr>
      <w:tr w14:paraId="3333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1B6737E8">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分值构成（总分100分）</w:t>
            </w:r>
          </w:p>
        </w:tc>
        <w:tc>
          <w:tcPr>
            <w:tcW w:w="7031" w:type="dxa"/>
            <w:tcBorders>
              <w:top w:val="single" w:color="auto" w:sz="4" w:space="0"/>
              <w:left w:val="nil"/>
              <w:bottom w:val="single" w:color="auto" w:sz="4" w:space="0"/>
              <w:right w:val="single" w:color="auto" w:sz="4" w:space="0"/>
            </w:tcBorders>
            <w:vAlign w:val="center"/>
          </w:tcPr>
          <w:p w14:paraId="19EE2DD3">
            <w:pPr>
              <w:widowControl/>
              <w:adjustRightInd w:val="0"/>
              <w:snapToGrid w:val="0"/>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磋商报价</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分</w:t>
            </w:r>
          </w:p>
          <w:p w14:paraId="5E8C88AF">
            <w:pPr>
              <w:widowControl/>
              <w:adjustRightInd w:val="0"/>
              <w:snapToGrid w:val="0"/>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技术部分：50分</w:t>
            </w:r>
          </w:p>
          <w:p w14:paraId="52F547D8">
            <w:pPr>
              <w:widowControl/>
              <w:adjustRightInd w:val="0"/>
              <w:snapToGri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商务部分：</w:t>
            </w:r>
            <w:r>
              <w:rPr>
                <w:rFonts w:hint="eastAsia" w:cs="宋体" w:asciiTheme="minorEastAsia" w:hAnsiTheme="minorEastAsia" w:eastAsiaTheme="minorEastAsia"/>
                <w:color w:val="auto"/>
                <w:sz w:val="24"/>
                <w:szCs w:val="24"/>
                <w:highlight w:val="none"/>
                <w:lang w:val="en-US" w:eastAsia="zh-CN"/>
              </w:rPr>
              <w:t>20</w:t>
            </w:r>
            <w:r>
              <w:rPr>
                <w:rFonts w:hint="eastAsia" w:cs="宋体" w:asciiTheme="minorEastAsia" w:hAnsiTheme="minorEastAsia" w:eastAsiaTheme="minorEastAsia"/>
                <w:color w:val="auto"/>
                <w:sz w:val="24"/>
                <w:szCs w:val="24"/>
                <w:highlight w:val="none"/>
              </w:rPr>
              <w:t>分</w:t>
            </w:r>
          </w:p>
        </w:tc>
      </w:tr>
      <w:tr w14:paraId="413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73FB7398">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招标采购预算</w:t>
            </w:r>
          </w:p>
        </w:tc>
        <w:tc>
          <w:tcPr>
            <w:tcW w:w="7031" w:type="dxa"/>
            <w:tcBorders>
              <w:top w:val="single" w:color="auto" w:sz="4" w:space="0"/>
              <w:left w:val="nil"/>
              <w:bottom w:val="single" w:color="auto" w:sz="4" w:space="0"/>
              <w:right w:val="single" w:color="auto" w:sz="4" w:space="0"/>
            </w:tcBorders>
            <w:vAlign w:val="center"/>
          </w:tcPr>
          <w:p w14:paraId="40410725">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本项目设招标采购预算，响应人的总报价超出采购预算的</w:t>
            </w:r>
            <w:r>
              <w:rPr>
                <w:rFonts w:hint="eastAsia" w:cs="宋体" w:asciiTheme="minorEastAsia" w:hAnsiTheme="minorEastAsia" w:eastAsiaTheme="minorEastAsia"/>
                <w:bCs/>
                <w:color w:val="auto"/>
                <w:sz w:val="24"/>
                <w:szCs w:val="24"/>
                <w:highlight w:val="none"/>
              </w:rPr>
              <w:t>采购人不予接受且</w:t>
            </w:r>
            <w:r>
              <w:rPr>
                <w:rFonts w:hint="eastAsia" w:cs="宋体" w:asciiTheme="minorEastAsia" w:hAnsiTheme="minorEastAsia" w:eastAsiaTheme="minorEastAsia"/>
                <w:color w:val="auto"/>
                <w:sz w:val="24"/>
                <w:szCs w:val="24"/>
                <w:highlight w:val="none"/>
              </w:rPr>
              <w:t>按无效标处理。</w:t>
            </w:r>
          </w:p>
        </w:tc>
      </w:tr>
      <w:tr w14:paraId="6E1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0E06501A">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评标基准值计算</w:t>
            </w:r>
          </w:p>
          <w:p w14:paraId="000AE463">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方法</w:t>
            </w:r>
          </w:p>
        </w:tc>
        <w:tc>
          <w:tcPr>
            <w:tcW w:w="7031" w:type="dxa"/>
            <w:tcBorders>
              <w:top w:val="single" w:color="auto" w:sz="4" w:space="0"/>
              <w:left w:val="nil"/>
              <w:bottom w:val="single" w:color="auto" w:sz="4" w:space="0"/>
              <w:right w:val="single" w:color="auto" w:sz="4" w:space="0"/>
            </w:tcBorders>
            <w:vAlign w:val="center"/>
          </w:tcPr>
          <w:p w14:paraId="27DE3C01">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1、低于采购预算且通过初步评审的有效响应人报价为有效报价。</w:t>
            </w:r>
          </w:p>
          <w:p w14:paraId="02767332">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2、评标基准价=满足招标文件要求的最低有效报价为基准价</w:t>
            </w:r>
          </w:p>
        </w:tc>
      </w:tr>
      <w:tr w14:paraId="10D9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FE2297D">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评审项</w:t>
            </w:r>
          </w:p>
        </w:tc>
        <w:tc>
          <w:tcPr>
            <w:tcW w:w="1348" w:type="dxa"/>
            <w:tcBorders>
              <w:top w:val="single" w:color="auto" w:sz="4" w:space="0"/>
              <w:left w:val="nil"/>
              <w:bottom w:val="single" w:color="auto" w:sz="4" w:space="0"/>
              <w:right w:val="single" w:color="auto" w:sz="4" w:space="0"/>
            </w:tcBorders>
            <w:vAlign w:val="center"/>
          </w:tcPr>
          <w:p w14:paraId="77AB676F">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编列内容</w:t>
            </w:r>
          </w:p>
        </w:tc>
        <w:tc>
          <w:tcPr>
            <w:tcW w:w="7031" w:type="dxa"/>
            <w:tcBorders>
              <w:top w:val="single" w:color="auto" w:sz="4" w:space="0"/>
              <w:left w:val="nil"/>
              <w:bottom w:val="single" w:color="auto" w:sz="4" w:space="0"/>
              <w:right w:val="single" w:color="auto" w:sz="4" w:space="0"/>
            </w:tcBorders>
            <w:vAlign w:val="center"/>
          </w:tcPr>
          <w:p w14:paraId="7B98C6B5">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评审方法</w:t>
            </w:r>
          </w:p>
        </w:tc>
      </w:tr>
      <w:tr w14:paraId="4327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9D82DA1">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磋商报价</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分）</w:t>
            </w:r>
          </w:p>
        </w:tc>
        <w:tc>
          <w:tcPr>
            <w:tcW w:w="1348" w:type="dxa"/>
            <w:tcBorders>
              <w:top w:val="single" w:color="auto" w:sz="4" w:space="0"/>
              <w:left w:val="nil"/>
              <w:bottom w:val="single" w:color="auto" w:sz="4" w:space="0"/>
              <w:right w:val="single" w:color="auto" w:sz="4" w:space="0"/>
            </w:tcBorders>
            <w:vAlign w:val="center"/>
          </w:tcPr>
          <w:p w14:paraId="385932E8">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w:t>
            </w:r>
          </w:p>
        </w:tc>
        <w:tc>
          <w:tcPr>
            <w:tcW w:w="7031" w:type="dxa"/>
            <w:tcBorders>
              <w:top w:val="single" w:color="auto" w:sz="4" w:space="0"/>
              <w:left w:val="nil"/>
              <w:bottom w:val="single" w:color="auto" w:sz="4" w:space="0"/>
              <w:right w:val="single" w:color="auto" w:sz="4" w:space="0"/>
            </w:tcBorders>
            <w:vAlign w:val="center"/>
          </w:tcPr>
          <w:p w14:paraId="19AD973A">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1、价格分采用低价优先法计算，即满足磋商文件通过资格性和符合性审查且价格最低的投标报价为评标基准价，其价格得分为满分</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分。</w:t>
            </w:r>
          </w:p>
          <w:p w14:paraId="22F038F7">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2、其他响应人的价格分统一按照下列公式计算：</w:t>
            </w:r>
          </w:p>
          <w:p w14:paraId="7E932486">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投标报价得分=(评标基准价／投标报价)×</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w:t>
            </w:r>
            <w:r>
              <w:rPr>
                <w:rFonts w:hint="eastAsia" w:cs="宋体" w:asciiTheme="minorEastAsia" w:hAnsiTheme="minorEastAsia" w:eastAsiaTheme="minorEastAsia"/>
                <w:color w:val="auto"/>
                <w:sz w:val="24"/>
                <w:szCs w:val="24"/>
                <w:highlight w:val="none"/>
              </w:rPr>
              <w:t>100</w:t>
            </w:r>
          </w:p>
          <w:p w14:paraId="3E570431">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4443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vMerge w:val="restart"/>
            <w:tcBorders>
              <w:top w:val="single" w:color="auto" w:sz="4" w:space="0"/>
              <w:left w:val="single" w:color="auto" w:sz="4" w:space="0"/>
              <w:right w:val="single" w:color="auto" w:sz="4" w:space="0"/>
            </w:tcBorders>
            <w:vAlign w:val="center"/>
          </w:tcPr>
          <w:p w14:paraId="7EC236EE">
            <w:pPr>
              <w:widowControl/>
              <w:spacing w:line="360" w:lineRule="auto"/>
              <w:jc w:val="center"/>
              <w:rPr>
                <w:rFonts w:cs="宋体" w:asciiTheme="minorEastAsia" w:hAnsiTheme="minorEastAsia" w:eastAsiaTheme="minorEastAsia"/>
                <w:color w:val="auto"/>
                <w:sz w:val="24"/>
                <w:szCs w:val="24"/>
                <w:highlight w:val="none"/>
              </w:rPr>
            </w:pPr>
          </w:p>
          <w:p w14:paraId="57E08944">
            <w:pPr>
              <w:widowControl/>
              <w:wordWrap w:val="0"/>
              <w:spacing w:line="360" w:lineRule="auto"/>
              <w:jc w:val="center"/>
              <w:rPr>
                <w:rFonts w:cs="宋体" w:asciiTheme="minorEastAsia" w:hAnsiTheme="minorEastAsia" w:eastAsiaTheme="minorEastAsia"/>
                <w:color w:val="auto"/>
                <w:sz w:val="24"/>
                <w:szCs w:val="24"/>
                <w:highlight w:val="none"/>
              </w:rPr>
            </w:pPr>
          </w:p>
          <w:p w14:paraId="5065CA1F">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技术部分（5</w:t>
            </w:r>
            <w:r>
              <w:rPr>
                <w:rFonts w:hint="eastAsia" w:cs="宋体" w:asciiTheme="minorEastAsia" w:hAnsiTheme="minorEastAsia" w:eastAsiaTheme="minorEastAsia"/>
                <w:color w:val="auto"/>
                <w:sz w:val="24"/>
                <w:szCs w:val="24"/>
                <w:highlight w:val="none"/>
                <w:lang w:val="en-US" w:eastAsia="zh-CN"/>
              </w:rPr>
              <w:t>0</w:t>
            </w:r>
            <w:r>
              <w:rPr>
                <w:rFonts w:hint="eastAsia" w:cs="宋体" w:asciiTheme="minorEastAsia" w:hAnsiTheme="minorEastAsia" w:eastAsiaTheme="minorEastAsia"/>
                <w:color w:val="auto"/>
                <w:sz w:val="24"/>
                <w:szCs w:val="24"/>
                <w:highlight w:val="none"/>
              </w:rPr>
              <w:t>分）</w:t>
            </w:r>
          </w:p>
          <w:p w14:paraId="64D3969B">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301B2AE9">
            <w:pPr>
              <w:widowControl/>
              <w:spacing w:line="360" w:lineRule="auto"/>
              <w:jc w:val="left"/>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产品技术指标</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20</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619F5852">
            <w:pPr>
              <w:widowControl/>
              <w:spacing w:line="360" w:lineRule="auto"/>
              <w:textAlignment w:val="baseline"/>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供应商所投产品的规格参数、性能指标能够完全满足磋商文件要求的得基础分20分，每有一项不满足磋商文件要求的，则视为负偏离，在基础分上扣2分，扣完为止（需提供相关证明材料，如说明书或技术白皮书或第三方检测报告等，未提供相关证明材料的不予认可，视为不满足）</w:t>
            </w:r>
          </w:p>
        </w:tc>
      </w:tr>
      <w:tr w14:paraId="256B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Merge w:val="continue"/>
            <w:tcBorders>
              <w:left w:val="single" w:color="auto" w:sz="4" w:space="0"/>
              <w:right w:val="single" w:color="auto" w:sz="4" w:space="0"/>
            </w:tcBorders>
            <w:vAlign w:val="center"/>
          </w:tcPr>
          <w:p w14:paraId="7FE5F0F3">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0FBC24ED">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实施</w:t>
            </w:r>
            <w:r>
              <w:rPr>
                <w:rFonts w:hint="eastAsia" w:cs="宋体" w:asciiTheme="minorEastAsia" w:hAnsiTheme="minorEastAsia" w:eastAsiaTheme="minorEastAsia"/>
                <w:color w:val="auto"/>
                <w:sz w:val="24"/>
                <w:szCs w:val="24"/>
                <w:highlight w:val="none"/>
              </w:rPr>
              <w:t>方案（</w:t>
            </w:r>
            <w:r>
              <w:rPr>
                <w:rFonts w:hint="eastAsia" w:cs="宋体" w:asciiTheme="minorEastAsia" w:hAnsiTheme="minorEastAsia" w:eastAsiaTheme="minorEastAsia"/>
                <w:color w:val="auto"/>
                <w:sz w:val="24"/>
                <w:szCs w:val="24"/>
                <w:highlight w:val="none"/>
                <w:lang w:val="en-US" w:eastAsia="zh-CN"/>
              </w:rPr>
              <w:t>15</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5EFE2B18">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针对本项目制定实施方案（包括人员安排、供货及运输、安装、调试、测试、验收等方面）： </w:t>
            </w:r>
          </w:p>
          <w:p w14:paraId="10B9CCE3">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1、实施方案合理完善、针对性强、切实可行得15分； </w:t>
            </w:r>
          </w:p>
          <w:p w14:paraId="29BF6894">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2、实施方案基本完善、具有针对性和一定的可行性得10分； </w:t>
            </w:r>
          </w:p>
          <w:p w14:paraId="60259658">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3、实施方案欠完善、针对性较差、可行性较差得5分； </w:t>
            </w:r>
          </w:p>
          <w:p w14:paraId="33FCF793">
            <w:pPr>
              <w:widowControl/>
              <w:spacing w:line="360" w:lineRule="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4、缺项或者不提供则不得分。</w:t>
            </w:r>
          </w:p>
          <w:p w14:paraId="77DD2CD7">
            <w:pPr>
              <w:widowControl/>
              <w:spacing w:line="360" w:lineRule="auto"/>
              <w:rPr>
                <w:rFonts w:hint="eastAsia" w:cs="宋体" w:asciiTheme="minorEastAsia" w:hAnsiTheme="minorEastAsia" w:eastAsiaTheme="minorEastAsia"/>
                <w:color w:val="auto"/>
                <w:sz w:val="24"/>
                <w:szCs w:val="24"/>
                <w:highlight w:val="none"/>
                <w:lang w:val="en-US" w:eastAsia="zh-CN"/>
              </w:rPr>
            </w:pPr>
          </w:p>
        </w:tc>
      </w:tr>
      <w:tr w14:paraId="7F60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654F4D02">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420CE32F">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质量保障 </w:t>
            </w:r>
          </w:p>
          <w:p w14:paraId="0B5DD286">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措施</w:t>
            </w:r>
          </w:p>
          <w:p w14:paraId="632AC7B3">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8</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2853CE21">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针对本项目制定质量保障措施: </w:t>
            </w:r>
          </w:p>
          <w:p w14:paraId="0F399B4C">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1、质量保障措施具体可行、针对性强、切合实际，得8分； </w:t>
            </w:r>
          </w:p>
          <w:p w14:paraId="1FA41C4C">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2、质量保障措施基本可行、具有一定针对性、基本切合实际，得5分； </w:t>
            </w:r>
          </w:p>
          <w:p w14:paraId="6A4794CA">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3、质量保障措施可行性差、针对性较差、不够切合实际，得2分； </w:t>
            </w:r>
          </w:p>
          <w:p w14:paraId="6FA76D6D">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4、不提供则不得分</w:t>
            </w:r>
          </w:p>
        </w:tc>
      </w:tr>
      <w:tr w14:paraId="647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4D301565">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71502D9C">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培训计划</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7</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58DD1955">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根据采购的产品设备及采用的相关技术，提出合理的培训计划和培训内容安排，让采购人掌握系统与各种设备的原理、安装、简单维修、更换零件等相关知识与技能： </w:t>
            </w:r>
          </w:p>
          <w:p w14:paraId="342DC430">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1、培训计划全面详实，培训内容合理有序、可操作性强得7分； </w:t>
            </w:r>
          </w:p>
          <w:p w14:paraId="7695EB13">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2、培训计划基本全面，培训内容基本合理，具有一定的操作性得4分； </w:t>
            </w:r>
          </w:p>
          <w:p w14:paraId="31CAB579">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3、培训计划不全面、培训内容欠合理，可操作性较差得1分； </w:t>
            </w:r>
          </w:p>
          <w:p w14:paraId="3CA1493B">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4、不提供则不得分。</w:t>
            </w:r>
          </w:p>
        </w:tc>
      </w:tr>
      <w:tr w14:paraId="73D2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vMerge w:val="restart"/>
          </w:tcPr>
          <w:p w14:paraId="433AA86F">
            <w:pPr>
              <w:widowControl/>
              <w:spacing w:line="360" w:lineRule="auto"/>
              <w:textAlignment w:val="baseline"/>
              <w:rPr>
                <w:rFonts w:cs="宋体" w:asciiTheme="minorEastAsia" w:hAnsiTheme="minorEastAsia" w:eastAsiaTheme="minorEastAsia"/>
                <w:color w:val="auto"/>
                <w:sz w:val="24"/>
                <w:szCs w:val="24"/>
                <w:highlight w:val="none"/>
              </w:rPr>
            </w:pPr>
          </w:p>
          <w:p w14:paraId="7E61502D">
            <w:pPr>
              <w:widowControl/>
              <w:spacing w:line="360" w:lineRule="auto"/>
              <w:textAlignment w:val="baseline"/>
              <w:rPr>
                <w:rFonts w:cs="宋体" w:asciiTheme="minorEastAsia" w:hAnsiTheme="minorEastAsia" w:eastAsiaTheme="minorEastAsia"/>
                <w:color w:val="auto"/>
                <w:sz w:val="24"/>
                <w:szCs w:val="24"/>
                <w:highlight w:val="none"/>
              </w:rPr>
            </w:pPr>
          </w:p>
          <w:p w14:paraId="5704AFE2">
            <w:pPr>
              <w:widowControl/>
              <w:spacing w:line="360" w:lineRule="auto"/>
              <w:jc w:val="center"/>
              <w:textAlignment w:val="baseline"/>
              <w:rPr>
                <w:rFonts w:cs="宋体" w:asciiTheme="minorEastAsia" w:hAnsiTheme="minorEastAsia" w:eastAsiaTheme="minorEastAsia"/>
                <w:color w:val="auto"/>
                <w:sz w:val="24"/>
                <w:szCs w:val="24"/>
                <w:highlight w:val="none"/>
              </w:rPr>
            </w:pPr>
          </w:p>
          <w:p w14:paraId="6A493636">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商务</w:t>
            </w:r>
            <w:r>
              <w:rPr>
                <w:rFonts w:hint="eastAsia" w:cs="宋体" w:asciiTheme="minorEastAsia" w:hAnsiTheme="minorEastAsia" w:eastAsiaTheme="minorEastAsia"/>
                <w:color w:val="auto"/>
                <w:sz w:val="24"/>
                <w:szCs w:val="24"/>
                <w:highlight w:val="none"/>
              </w:rPr>
              <w:t>部分（2</w:t>
            </w:r>
            <w:r>
              <w:rPr>
                <w:rFonts w:hint="eastAsia" w:cs="宋体" w:asciiTheme="minorEastAsia" w:hAnsiTheme="minorEastAsia" w:eastAsiaTheme="minorEastAsia"/>
                <w:color w:val="auto"/>
                <w:sz w:val="24"/>
                <w:szCs w:val="24"/>
                <w:highlight w:val="none"/>
                <w:lang w:val="en-US" w:eastAsia="zh-CN"/>
              </w:rPr>
              <w:t>0</w:t>
            </w:r>
            <w:r>
              <w:rPr>
                <w:rFonts w:hint="eastAsia" w:cs="宋体" w:asciiTheme="minorEastAsia" w:hAnsiTheme="minorEastAsia" w:eastAsiaTheme="minorEastAsia"/>
                <w:color w:val="auto"/>
                <w:sz w:val="24"/>
                <w:szCs w:val="24"/>
                <w:highlight w:val="none"/>
              </w:rPr>
              <w:t>分）</w:t>
            </w:r>
          </w:p>
        </w:tc>
        <w:tc>
          <w:tcPr>
            <w:tcW w:w="1348" w:type="dxa"/>
            <w:vAlign w:val="center"/>
          </w:tcPr>
          <w:p w14:paraId="55605631">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企业业绩</w:t>
            </w:r>
          </w:p>
          <w:p w14:paraId="245E77E4">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分）</w:t>
            </w:r>
          </w:p>
        </w:tc>
        <w:tc>
          <w:tcPr>
            <w:tcW w:w="7031" w:type="dxa"/>
            <w:vAlign w:val="center"/>
          </w:tcPr>
          <w:p w14:paraId="295B1341">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2022年01月01日以来完成类似工程项目业绩</w:t>
            </w:r>
            <w:r>
              <w:rPr>
                <w:rFonts w:hint="eastAsia" w:cs="宋体" w:asciiTheme="minorEastAsia" w:hAnsiTheme="minorEastAsia" w:eastAsiaTheme="minorEastAsia"/>
                <w:color w:val="auto"/>
                <w:sz w:val="24"/>
                <w:szCs w:val="24"/>
                <w:highlight w:val="none"/>
              </w:rPr>
              <w:t>（提供合同协议书</w:t>
            </w:r>
            <w:r>
              <w:rPr>
                <w:rFonts w:hint="eastAsia" w:cs="宋体" w:asciiTheme="minorEastAsia" w:hAnsiTheme="minorEastAsia" w:eastAsiaTheme="minorEastAsia"/>
                <w:color w:val="auto"/>
                <w:sz w:val="24"/>
                <w:szCs w:val="24"/>
                <w:highlight w:val="none"/>
                <w:lang w:val="en-US" w:eastAsia="zh-CN"/>
              </w:rPr>
              <w:t>和</w:t>
            </w:r>
            <w:r>
              <w:rPr>
                <w:rFonts w:hint="eastAsia" w:cs="宋体" w:asciiTheme="minorEastAsia" w:hAnsiTheme="minorEastAsia" w:eastAsiaTheme="minorEastAsia"/>
                <w:color w:val="auto"/>
                <w:sz w:val="24"/>
                <w:szCs w:val="24"/>
                <w:highlight w:val="none"/>
              </w:rPr>
              <w:t>中标通知书原件扫描件，时间以合同协议书签订时间为准，</w:t>
            </w:r>
            <w:r>
              <w:rPr>
                <w:rFonts w:hint="eastAsia" w:cs="宋体" w:asciiTheme="minorEastAsia" w:hAnsiTheme="minorEastAsia" w:eastAsiaTheme="minorEastAsia"/>
                <w:color w:val="auto"/>
                <w:sz w:val="24"/>
                <w:szCs w:val="24"/>
                <w:highlight w:val="none"/>
                <w:lang w:val="en-US" w:eastAsia="zh-CN"/>
              </w:rPr>
              <w:t>否则不得分</w:t>
            </w:r>
            <w:r>
              <w:rPr>
                <w:rFonts w:hint="eastAsia" w:cs="宋体" w:asciiTheme="minorEastAsia" w:hAnsiTheme="minorEastAsia" w:eastAsiaTheme="minorEastAsia"/>
                <w:color w:val="auto"/>
                <w:sz w:val="24"/>
                <w:szCs w:val="24"/>
                <w:highlight w:val="none"/>
              </w:rPr>
              <w:t>）每提供一项得</w:t>
            </w: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分，最多得</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分，不提供不得分；</w:t>
            </w:r>
          </w:p>
        </w:tc>
      </w:tr>
      <w:tr w14:paraId="7781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32" w:type="dxa"/>
            <w:vMerge w:val="continue"/>
          </w:tcPr>
          <w:p w14:paraId="379814E4">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vMerge w:val="restart"/>
            <w:vAlign w:val="center"/>
          </w:tcPr>
          <w:p w14:paraId="204697FB">
            <w:pPr>
              <w:widowControl/>
              <w:tabs>
                <w:tab w:val="left" w:pos="9720"/>
              </w:tabs>
              <w:autoSpaceDE w:val="0"/>
              <w:autoSpaceDN w:val="0"/>
              <w:adjustRightInd w:val="0"/>
              <w:spacing w:line="360" w:lineRule="auto"/>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售后服务</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11</w:t>
            </w:r>
            <w:r>
              <w:rPr>
                <w:rFonts w:hint="eastAsia" w:cs="宋体" w:asciiTheme="minorEastAsia" w:hAnsiTheme="minorEastAsia" w:eastAsiaTheme="minorEastAsia"/>
                <w:color w:val="auto"/>
                <w:sz w:val="24"/>
                <w:szCs w:val="24"/>
                <w:highlight w:val="none"/>
              </w:rPr>
              <w:t>分）</w:t>
            </w:r>
          </w:p>
          <w:p w14:paraId="3F3EB0CB">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p>
        </w:tc>
        <w:tc>
          <w:tcPr>
            <w:tcW w:w="7031" w:type="dxa"/>
            <w:vAlign w:val="center"/>
          </w:tcPr>
          <w:p w14:paraId="606A9B6B">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 xml:space="preserve">一、针对本项目供货期内出现任何问题、售后服务范围及期限、解决质量或操作等问题的措施及响应时间、零配件的供应等方面做出承诺： </w:t>
            </w:r>
          </w:p>
          <w:p w14:paraId="7F81DFF4">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1、承诺内容完善周到，切实可行、保障措施强得</w:t>
            </w:r>
            <w:r>
              <w:rPr>
                <w:rFonts w:hint="eastAsia" w:cs="宋体" w:asciiTheme="minorEastAsia" w:hAnsiTheme="minorEastAsia" w:eastAsiaTheme="minorEastAsia"/>
                <w:sz w:val="24"/>
                <w:szCs w:val="24"/>
                <w:lang w:val="en-US" w:eastAsia="zh-CN"/>
              </w:rPr>
              <w:t>6</w:t>
            </w:r>
            <w:r>
              <w:rPr>
                <w:rFonts w:hint="default" w:cs="宋体" w:asciiTheme="minorEastAsia" w:hAnsiTheme="minorEastAsia" w:eastAsiaTheme="minorEastAsia"/>
                <w:sz w:val="24"/>
                <w:szCs w:val="24"/>
                <w:lang w:val="en-US" w:eastAsia="zh-CN"/>
              </w:rPr>
              <w:t xml:space="preserve">分； </w:t>
            </w:r>
          </w:p>
          <w:p w14:paraId="21508638">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2、承诺内容基本完善、较为可行、有一定的保障措施得</w:t>
            </w:r>
            <w:r>
              <w:rPr>
                <w:rFonts w:hint="eastAsia" w:cs="宋体" w:asciiTheme="minorEastAsia" w:hAnsiTheme="minorEastAsia" w:eastAsiaTheme="minorEastAsia"/>
                <w:sz w:val="24"/>
                <w:szCs w:val="24"/>
                <w:lang w:val="en-US" w:eastAsia="zh-CN"/>
              </w:rPr>
              <w:t>4</w:t>
            </w:r>
            <w:r>
              <w:rPr>
                <w:rFonts w:hint="default" w:cs="宋体" w:asciiTheme="minorEastAsia" w:hAnsiTheme="minorEastAsia" w:eastAsiaTheme="minorEastAsia"/>
                <w:sz w:val="24"/>
                <w:szCs w:val="24"/>
                <w:lang w:val="en-US" w:eastAsia="zh-CN"/>
              </w:rPr>
              <w:t xml:space="preserve">分； </w:t>
            </w:r>
          </w:p>
          <w:p w14:paraId="615D10BC">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3、承诺内容欠完善、可行性较差、保障措施较差得</w:t>
            </w:r>
            <w:r>
              <w:rPr>
                <w:rFonts w:hint="eastAsia" w:cs="宋体" w:asciiTheme="minorEastAsia" w:hAnsiTheme="minorEastAsia" w:eastAsiaTheme="minorEastAsia"/>
                <w:sz w:val="24"/>
                <w:szCs w:val="24"/>
                <w:lang w:val="en-US" w:eastAsia="zh-CN"/>
              </w:rPr>
              <w:t>2</w:t>
            </w:r>
            <w:r>
              <w:rPr>
                <w:rFonts w:hint="default" w:cs="宋体" w:asciiTheme="minorEastAsia" w:hAnsiTheme="minorEastAsia" w:eastAsiaTheme="minorEastAsia"/>
                <w:sz w:val="24"/>
                <w:szCs w:val="24"/>
                <w:lang w:val="en-US" w:eastAsia="zh-CN"/>
              </w:rPr>
              <w:t xml:space="preserve">分； </w:t>
            </w:r>
          </w:p>
          <w:p w14:paraId="7BAFA0A5">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4、承诺内容不完善、不具有可行性、无保障措施则不得分。</w:t>
            </w:r>
          </w:p>
        </w:tc>
      </w:tr>
      <w:tr w14:paraId="5503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vMerge w:val="continue"/>
          </w:tcPr>
          <w:p w14:paraId="04AFAF43">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vMerge w:val="continue"/>
          </w:tcPr>
          <w:p w14:paraId="57A523E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p>
        </w:tc>
        <w:tc>
          <w:tcPr>
            <w:tcW w:w="7031" w:type="dxa"/>
            <w:vAlign w:val="center"/>
          </w:tcPr>
          <w:p w14:paraId="4965AE3D">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二、针对本项目后期使用、维护等方面提出合理化建议及措施，提供维修保养计划及维修保养周期： </w:t>
            </w:r>
          </w:p>
          <w:p w14:paraId="6FE991F5">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1、建议及措施对项目具有非常好的指导意义，维修保养计划全面、 </w:t>
            </w:r>
          </w:p>
          <w:p w14:paraId="47BA8F94">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保养周期详细合理得5分； </w:t>
            </w:r>
          </w:p>
          <w:p w14:paraId="2539AAC1">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2、建议及措施对项目具有一定的指导意义，维修保养计划基本全面、保养周期基本合理得3分； </w:t>
            </w:r>
          </w:p>
          <w:p w14:paraId="53FA1311">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3、建议及措施对项目的指导意义不佳，维修保养计划欠全面、保养周期欠合理得1分； </w:t>
            </w:r>
          </w:p>
          <w:p w14:paraId="29E23A76">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4、不提供则不得分。</w:t>
            </w:r>
          </w:p>
        </w:tc>
      </w:tr>
      <w:tr w14:paraId="572D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3"/>
          </w:tcPr>
          <w:p w14:paraId="73E44F41">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响应人综合得分=</w:t>
            </w:r>
            <w:r>
              <w:rPr>
                <w:rFonts w:hint="eastAsia" w:cs="宋体" w:asciiTheme="minorEastAsia" w:hAnsiTheme="minorEastAsia" w:eastAsiaTheme="minorEastAsia"/>
                <w:color w:val="auto"/>
                <w:sz w:val="24"/>
                <w:szCs w:val="24"/>
                <w:highlight w:val="none"/>
                <w:lang w:val="en-US" w:eastAsia="zh-CN"/>
              </w:rPr>
              <w:t>磋商报价得分</w:t>
            </w:r>
            <w:r>
              <w:rPr>
                <w:rFonts w:hint="eastAsia" w:cs="宋体" w:asciiTheme="minorEastAsia" w:hAnsiTheme="minorEastAsia" w:eastAsiaTheme="minorEastAsia"/>
                <w:color w:val="auto"/>
                <w:sz w:val="24"/>
                <w:szCs w:val="24"/>
                <w:highlight w:val="none"/>
              </w:rPr>
              <w:t>＋技术标得分＋</w:t>
            </w:r>
            <w:r>
              <w:rPr>
                <w:rFonts w:hint="eastAsia" w:cs="宋体" w:asciiTheme="minorEastAsia" w:hAnsiTheme="minorEastAsia" w:eastAsiaTheme="minorEastAsia"/>
                <w:color w:val="auto"/>
                <w:sz w:val="24"/>
                <w:szCs w:val="24"/>
                <w:highlight w:val="none"/>
                <w:lang w:val="en-US" w:eastAsia="zh-CN"/>
              </w:rPr>
              <w:t>商务</w:t>
            </w:r>
            <w:r>
              <w:rPr>
                <w:rFonts w:hint="eastAsia" w:cs="宋体" w:asciiTheme="minorEastAsia" w:hAnsiTheme="minorEastAsia" w:eastAsiaTheme="minorEastAsia"/>
                <w:color w:val="auto"/>
                <w:sz w:val="24"/>
                <w:szCs w:val="24"/>
                <w:highlight w:val="none"/>
              </w:rPr>
              <w:t>标得分。</w:t>
            </w:r>
          </w:p>
          <w:p w14:paraId="09195CDE">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磋商小组完成对技术标、商务标和综合标的汇总后取平均值作为该响应人的最终得分。</w:t>
            </w:r>
          </w:p>
          <w:p w14:paraId="0616E727">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本办法计算过程中分值按四舍五入保留三位小数，结果按四舍五入保留两位小数。 响应人的报价应包含响应人所承诺的应达到的工程质量标准及其他承诺应达到的标准所包含的所有费用。</w:t>
            </w:r>
          </w:p>
          <w:p w14:paraId="0E7FD306">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注：1、评标过程中涉及到资格审查、企业业绩等计分部分时，以响应人自行上传到响应文件中的相应内容为准。</w:t>
            </w:r>
          </w:p>
          <w:p w14:paraId="7AB1536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2、评标开始后，不再接受任何补充材料。</w:t>
            </w:r>
          </w:p>
        </w:tc>
      </w:tr>
    </w:tbl>
    <w:p w14:paraId="276EB341">
      <w:pPr>
        <w:pStyle w:val="15"/>
        <w:spacing w:after="0" w:line="600" w:lineRule="exact"/>
        <w:ind w:firstLine="0"/>
        <w:rPr>
          <w:rFonts w:ascii="黑体" w:cs="宋体"/>
          <w:b/>
          <w:color w:val="auto"/>
          <w:sz w:val="24"/>
          <w:szCs w:val="24"/>
          <w:highlight w:val="none"/>
        </w:rPr>
      </w:pPr>
    </w:p>
    <w:p w14:paraId="7400F696">
      <w:pPr>
        <w:spacing w:line="600" w:lineRule="exact"/>
        <w:ind w:firstLine="3600" w:firstLineChars="1500"/>
        <w:rPr>
          <w:color w:val="auto"/>
          <w:sz w:val="24"/>
          <w:szCs w:val="24"/>
          <w:highlight w:val="none"/>
        </w:rPr>
      </w:pPr>
      <w:r>
        <w:rPr>
          <w:rFonts w:hint="eastAsia"/>
          <w:color w:val="auto"/>
          <w:sz w:val="24"/>
          <w:szCs w:val="24"/>
          <w:highlight w:val="none"/>
        </w:rPr>
        <w:br w:type="page"/>
      </w:r>
      <w:bookmarkStart w:id="52" w:name="_Toc461977421"/>
      <w:bookmarkEnd w:id="52"/>
    </w:p>
    <w:p w14:paraId="237CEAE3">
      <w:pPr>
        <w:keepNext/>
        <w:widowControl w:val="0"/>
        <w:numPr>
          <w:ilvl w:val="0"/>
          <w:numId w:val="1"/>
        </w:numPr>
        <w:spacing w:line="600" w:lineRule="exact"/>
        <w:ind w:left="720" w:hanging="720"/>
        <w:jc w:val="center"/>
        <w:outlineLvl w:val="0"/>
        <w:rPr>
          <w:rFonts w:hint="eastAsia" w:ascii="黑体" w:cs="宋体"/>
          <w:b/>
          <w:bCs w:val="0"/>
          <w:color w:val="auto"/>
          <w:kern w:val="2"/>
          <w:sz w:val="24"/>
          <w:szCs w:val="24"/>
          <w:highlight w:val="none"/>
        </w:rPr>
      </w:pPr>
      <w:bookmarkStart w:id="53" w:name="_Toc17312"/>
      <w:r>
        <w:rPr>
          <w:rFonts w:hint="eastAsia" w:ascii="黑体" w:cs="宋体"/>
          <w:b/>
          <w:bCs w:val="0"/>
          <w:color w:val="auto"/>
          <w:kern w:val="2"/>
          <w:sz w:val="24"/>
          <w:szCs w:val="24"/>
          <w:highlight w:val="none"/>
        </w:rPr>
        <w:t xml:space="preserve"> 合同条款及格式</w:t>
      </w:r>
      <w:bookmarkEnd w:id="53"/>
      <w:bookmarkStart w:id="54" w:name="_Toc29245"/>
      <w:bookmarkStart w:id="55" w:name="_Toc27433"/>
      <w:bookmarkStart w:id="56" w:name="_Toc4588"/>
    </w:p>
    <w:bookmarkEnd w:id="54"/>
    <w:bookmarkEnd w:id="55"/>
    <w:bookmarkEnd w:id="56"/>
    <w:p w14:paraId="61688826">
      <w:pPr>
        <w:rPr>
          <w:rFonts w:hint="eastAsia"/>
          <w:color w:val="auto"/>
        </w:rPr>
      </w:pPr>
      <w:bookmarkStart w:id="57" w:name="_Toc351203633"/>
      <w:bookmarkStart w:id="58" w:name="_Toc36648497"/>
      <w:bookmarkStart w:id="59" w:name="_Toc41033511"/>
    </w:p>
    <w:bookmarkEnd w:id="57"/>
    <w:bookmarkEnd w:id="58"/>
    <w:bookmarkEnd w:id="59"/>
    <w:p w14:paraId="38A28890">
      <w:pPr>
        <w:spacing w:line="600" w:lineRule="exact"/>
        <w:jc w:val="center"/>
        <w:outlineLvl w:val="1"/>
        <w:rPr>
          <w:rFonts w:cs="宋体" w:asciiTheme="minorEastAsia" w:hAnsiTheme="minorEastAsia" w:eastAsiaTheme="minorEastAsia"/>
          <w:b/>
          <w:color w:val="auto"/>
          <w:sz w:val="24"/>
          <w:szCs w:val="40"/>
          <w:highlight w:val="none"/>
        </w:rPr>
      </w:pPr>
      <w:r>
        <w:rPr>
          <w:rFonts w:hint="eastAsia" w:cs="宋体" w:asciiTheme="minorEastAsia" w:hAnsiTheme="minorEastAsia" w:eastAsiaTheme="minorEastAsia"/>
          <w:b/>
          <w:color w:val="auto"/>
          <w:sz w:val="24"/>
          <w:szCs w:val="40"/>
          <w:highlight w:val="none"/>
        </w:rPr>
        <w:t>(格式自拟)</w:t>
      </w:r>
    </w:p>
    <w:p w14:paraId="63B1136D">
      <w:pPr>
        <w:keepNext/>
        <w:spacing w:line="600" w:lineRule="exact"/>
        <w:ind w:hanging="720"/>
        <w:jc w:val="center"/>
        <w:outlineLvl w:val="0"/>
        <w:rPr>
          <w:rFonts w:cs="宋体" w:asciiTheme="minorEastAsia" w:hAnsiTheme="minorEastAsia" w:eastAsiaTheme="minorEastAsia"/>
          <w:b/>
          <w:color w:val="auto"/>
          <w:sz w:val="24"/>
          <w:szCs w:val="40"/>
          <w:highlight w:val="none"/>
        </w:rPr>
      </w:pPr>
      <w:r>
        <w:rPr>
          <w:rFonts w:hint="eastAsia" w:cs="宋体" w:asciiTheme="minorEastAsia" w:hAnsiTheme="minorEastAsia" w:eastAsiaTheme="minorEastAsia"/>
          <w:b/>
          <w:color w:val="auto"/>
          <w:sz w:val="28"/>
          <w:szCs w:val="28"/>
          <w:highlight w:val="none"/>
          <w:lang w:val="en-US" w:eastAsia="zh-CN"/>
        </w:rPr>
        <w:t xml:space="preserve">    </w:t>
      </w:r>
      <w:r>
        <w:rPr>
          <w:rFonts w:hint="eastAsia" w:cs="宋体" w:asciiTheme="minorEastAsia" w:hAnsiTheme="minorEastAsia" w:eastAsiaTheme="minorEastAsia"/>
          <w:b/>
          <w:color w:val="auto"/>
          <w:sz w:val="28"/>
          <w:szCs w:val="28"/>
          <w:highlight w:val="none"/>
        </w:rPr>
        <w:t>（以实际签订合同为准）</w:t>
      </w:r>
    </w:p>
    <w:p w14:paraId="5E8B041C">
      <w:pPr>
        <w:pStyle w:val="4"/>
        <w:spacing w:after="0" w:line="600" w:lineRule="exact"/>
        <w:jc w:val="center"/>
        <w:rPr>
          <w:rFonts w:hint="eastAsia" w:ascii="微软雅黑" w:hAnsi="微软雅黑"/>
          <w:b w:val="0"/>
          <w:bCs w:val="0"/>
          <w:color w:val="auto"/>
          <w:sz w:val="24"/>
          <w:szCs w:val="24"/>
          <w:lang w:val="en-US" w:eastAsia="zh-CN"/>
        </w:rPr>
      </w:pPr>
    </w:p>
    <w:p w14:paraId="0AC9120B">
      <w:pPr>
        <w:pStyle w:val="5"/>
        <w:rPr>
          <w:rFonts w:hint="eastAsia" w:ascii="微软雅黑" w:hAnsi="微软雅黑"/>
          <w:b w:val="0"/>
          <w:bCs w:val="0"/>
          <w:color w:val="auto"/>
          <w:sz w:val="24"/>
          <w:szCs w:val="24"/>
          <w:lang w:val="en-US" w:eastAsia="zh-CN"/>
        </w:rPr>
      </w:pPr>
    </w:p>
    <w:p w14:paraId="2C621AA8">
      <w:pPr>
        <w:pStyle w:val="5"/>
        <w:rPr>
          <w:rFonts w:hint="eastAsia" w:ascii="微软雅黑" w:hAnsi="微软雅黑"/>
          <w:b w:val="0"/>
          <w:bCs w:val="0"/>
          <w:color w:val="auto"/>
          <w:sz w:val="24"/>
          <w:szCs w:val="24"/>
          <w:lang w:val="en-US" w:eastAsia="zh-CN"/>
        </w:rPr>
      </w:pPr>
    </w:p>
    <w:p w14:paraId="02E8C08E">
      <w:pPr>
        <w:pStyle w:val="5"/>
        <w:rPr>
          <w:rFonts w:hint="eastAsia" w:ascii="微软雅黑" w:hAnsi="微软雅黑"/>
          <w:b w:val="0"/>
          <w:bCs w:val="0"/>
          <w:color w:val="auto"/>
          <w:sz w:val="24"/>
          <w:szCs w:val="24"/>
          <w:lang w:val="en-US" w:eastAsia="zh-CN"/>
        </w:rPr>
      </w:pPr>
    </w:p>
    <w:p w14:paraId="3485935B">
      <w:pPr>
        <w:pStyle w:val="5"/>
        <w:rPr>
          <w:rFonts w:hint="eastAsia" w:ascii="微软雅黑" w:hAnsi="微软雅黑"/>
          <w:b w:val="0"/>
          <w:bCs w:val="0"/>
          <w:color w:val="auto"/>
          <w:sz w:val="24"/>
          <w:szCs w:val="24"/>
          <w:lang w:val="en-US" w:eastAsia="zh-CN"/>
        </w:rPr>
      </w:pPr>
    </w:p>
    <w:p w14:paraId="16ECA704">
      <w:pPr>
        <w:pStyle w:val="5"/>
        <w:rPr>
          <w:rFonts w:hint="eastAsia" w:ascii="微软雅黑" w:hAnsi="微软雅黑"/>
          <w:b w:val="0"/>
          <w:bCs w:val="0"/>
          <w:color w:val="auto"/>
          <w:sz w:val="24"/>
          <w:szCs w:val="24"/>
          <w:lang w:val="en-US" w:eastAsia="zh-CN"/>
        </w:rPr>
      </w:pPr>
    </w:p>
    <w:p w14:paraId="7A467C46">
      <w:pPr>
        <w:pStyle w:val="5"/>
        <w:rPr>
          <w:rFonts w:hint="eastAsia" w:ascii="微软雅黑" w:hAnsi="微软雅黑"/>
          <w:b w:val="0"/>
          <w:bCs w:val="0"/>
          <w:color w:val="auto"/>
          <w:sz w:val="24"/>
          <w:szCs w:val="24"/>
          <w:lang w:val="en-US" w:eastAsia="zh-CN"/>
        </w:rPr>
      </w:pPr>
    </w:p>
    <w:p w14:paraId="29C53CC2">
      <w:pPr>
        <w:pStyle w:val="5"/>
        <w:rPr>
          <w:rFonts w:hint="eastAsia" w:ascii="微软雅黑" w:hAnsi="微软雅黑"/>
          <w:b w:val="0"/>
          <w:bCs w:val="0"/>
          <w:color w:val="auto"/>
          <w:sz w:val="24"/>
          <w:szCs w:val="24"/>
          <w:lang w:val="en-US" w:eastAsia="zh-CN"/>
        </w:rPr>
      </w:pPr>
    </w:p>
    <w:p w14:paraId="6296D6F0">
      <w:pPr>
        <w:pStyle w:val="5"/>
        <w:rPr>
          <w:rFonts w:hint="eastAsia" w:ascii="微软雅黑" w:hAnsi="微软雅黑"/>
          <w:b w:val="0"/>
          <w:bCs w:val="0"/>
          <w:color w:val="auto"/>
          <w:sz w:val="24"/>
          <w:szCs w:val="24"/>
          <w:lang w:val="en-US" w:eastAsia="zh-CN"/>
        </w:rPr>
      </w:pPr>
    </w:p>
    <w:p w14:paraId="5D82B721">
      <w:pPr>
        <w:pStyle w:val="5"/>
        <w:rPr>
          <w:rFonts w:hint="eastAsia" w:ascii="微软雅黑" w:hAnsi="微软雅黑"/>
          <w:b w:val="0"/>
          <w:bCs w:val="0"/>
          <w:color w:val="auto"/>
          <w:sz w:val="24"/>
          <w:szCs w:val="24"/>
          <w:lang w:val="en-US" w:eastAsia="zh-CN"/>
        </w:rPr>
      </w:pPr>
    </w:p>
    <w:p w14:paraId="03146930">
      <w:pPr>
        <w:pStyle w:val="5"/>
        <w:rPr>
          <w:rFonts w:hint="eastAsia" w:ascii="微软雅黑" w:hAnsi="微软雅黑"/>
          <w:b w:val="0"/>
          <w:bCs w:val="0"/>
          <w:color w:val="auto"/>
          <w:sz w:val="24"/>
          <w:szCs w:val="24"/>
          <w:lang w:val="en-US" w:eastAsia="zh-CN"/>
        </w:rPr>
      </w:pPr>
    </w:p>
    <w:p w14:paraId="44937336">
      <w:pPr>
        <w:pStyle w:val="4"/>
        <w:spacing w:after="0" w:line="600" w:lineRule="exact"/>
        <w:jc w:val="center"/>
        <w:rPr>
          <w:rFonts w:hint="eastAsia" w:ascii="微软雅黑" w:hAnsi="微软雅黑"/>
          <w:b w:val="0"/>
          <w:bCs w:val="0"/>
          <w:color w:val="auto"/>
          <w:sz w:val="24"/>
          <w:szCs w:val="24"/>
          <w:lang w:val="en-US" w:eastAsia="zh-CN"/>
        </w:rPr>
      </w:pPr>
    </w:p>
    <w:p w14:paraId="3A5380A4">
      <w:pPr>
        <w:pStyle w:val="4"/>
        <w:spacing w:after="0" w:line="600" w:lineRule="exact"/>
        <w:jc w:val="center"/>
        <w:rPr>
          <w:rFonts w:hint="eastAsia" w:ascii="微软雅黑" w:hAnsi="微软雅黑"/>
          <w:b/>
          <w:bCs/>
          <w:color w:val="auto"/>
          <w:sz w:val="24"/>
          <w:szCs w:val="24"/>
          <w:lang w:val="en-US" w:eastAsia="zh-CN"/>
        </w:rPr>
      </w:pPr>
    </w:p>
    <w:p w14:paraId="3E45BBF2">
      <w:pPr>
        <w:spacing w:line="440" w:lineRule="exact"/>
        <w:jc w:val="center"/>
        <w:rPr>
          <w:rFonts w:hint="eastAsia" w:ascii="微软雅黑" w:hAnsi="微软雅黑" w:eastAsiaTheme="minorEastAsia"/>
          <w:b/>
          <w:bCs/>
          <w:color w:val="auto"/>
          <w:sz w:val="24"/>
          <w:szCs w:val="24"/>
          <w:lang w:val="en-US" w:eastAsia="zh-CN"/>
        </w:rPr>
      </w:pPr>
    </w:p>
    <w:p w14:paraId="4F85686F">
      <w:pPr>
        <w:spacing w:line="440" w:lineRule="exact"/>
        <w:jc w:val="center"/>
        <w:rPr>
          <w:rFonts w:hint="eastAsia" w:ascii="微软雅黑" w:hAnsi="微软雅黑" w:eastAsiaTheme="minorEastAsia"/>
          <w:b/>
          <w:bCs/>
          <w:color w:val="auto"/>
          <w:sz w:val="24"/>
          <w:szCs w:val="24"/>
          <w:lang w:val="en-US" w:eastAsia="zh-CN"/>
        </w:rPr>
      </w:pPr>
    </w:p>
    <w:p w14:paraId="5393C95B">
      <w:pPr>
        <w:spacing w:line="440" w:lineRule="exact"/>
        <w:jc w:val="center"/>
        <w:rPr>
          <w:rFonts w:hint="eastAsia" w:ascii="微软雅黑" w:hAnsi="微软雅黑" w:eastAsiaTheme="minorEastAsia"/>
          <w:b/>
          <w:bCs/>
          <w:color w:val="auto"/>
          <w:sz w:val="24"/>
          <w:szCs w:val="24"/>
          <w:lang w:val="en-US" w:eastAsia="zh-CN"/>
        </w:rPr>
      </w:pPr>
    </w:p>
    <w:p w14:paraId="3EEA09AD">
      <w:pPr>
        <w:spacing w:line="440" w:lineRule="exact"/>
        <w:jc w:val="center"/>
        <w:rPr>
          <w:rFonts w:hint="eastAsia" w:asciiTheme="minorEastAsia" w:hAnsiTheme="minorEastAsia" w:eastAsiaTheme="minorEastAsia"/>
          <w:b/>
          <w:bCs/>
          <w:color w:val="auto"/>
          <w:sz w:val="24"/>
          <w:highlight w:val="none"/>
          <w:lang w:val="en-US" w:eastAsia="zh-CN"/>
        </w:rPr>
      </w:pPr>
      <w:r>
        <w:rPr>
          <w:rFonts w:hint="eastAsia" w:ascii="微软雅黑" w:hAnsi="微软雅黑" w:eastAsiaTheme="minorEastAsia"/>
          <w:b/>
          <w:bCs/>
          <w:color w:val="auto"/>
          <w:sz w:val="24"/>
          <w:szCs w:val="24"/>
          <w:lang w:val="en-US" w:eastAsia="zh-CN"/>
        </w:rPr>
        <w:t>第五章 采购需求</w:t>
      </w:r>
    </w:p>
    <w:p w14:paraId="25582B66">
      <w:pPr>
        <w:pStyle w:val="4"/>
        <w:spacing w:after="0" w:line="600" w:lineRule="exact"/>
        <w:rPr>
          <w:rFonts w:ascii="黑体" w:cs="宋体"/>
          <w:bCs/>
          <w:color w:val="auto"/>
          <w:sz w:val="24"/>
          <w:highlight w:val="none"/>
        </w:rPr>
      </w:pPr>
    </w:p>
    <w:p w14:paraId="7AA17D30">
      <w:pPr>
        <w:pStyle w:val="4"/>
        <w:spacing w:after="0" w:line="600" w:lineRule="exact"/>
        <w:jc w:val="center"/>
        <w:rPr>
          <w:rFonts w:ascii="黑体" w:cs="宋体"/>
          <w:bCs/>
          <w:color w:val="auto"/>
          <w:sz w:val="28"/>
          <w:szCs w:val="28"/>
          <w:highlight w:val="none"/>
        </w:rPr>
      </w:pPr>
      <w:r>
        <w:rPr>
          <w:rFonts w:hint="eastAsia" w:ascii="黑体" w:cs="宋体"/>
          <w:bCs/>
          <w:color w:val="auto"/>
          <w:sz w:val="28"/>
          <w:szCs w:val="28"/>
          <w:highlight w:val="none"/>
          <w:lang w:val="en-US" w:eastAsia="zh-CN"/>
        </w:rPr>
        <w:t>2025年卢氏县范里镇涧底村中药材加工项目</w:t>
      </w:r>
    </w:p>
    <w:tbl>
      <w:tblPr>
        <w:tblStyle w:val="17"/>
        <w:tblW w:w="9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3120"/>
        <w:gridCol w:w="280"/>
        <w:gridCol w:w="2390"/>
        <w:gridCol w:w="1185"/>
        <w:gridCol w:w="900"/>
        <w:gridCol w:w="1140"/>
      </w:tblGrid>
      <w:tr w14:paraId="0D87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615" w:type="dxa"/>
          <w:trHeight w:val="750" w:hRule="atLeast"/>
        </w:trPr>
        <w:tc>
          <w:tcPr>
            <w:tcW w:w="4356" w:type="dxa"/>
            <w:gridSpan w:val="3"/>
            <w:tcBorders>
              <w:top w:val="nil"/>
              <w:left w:val="nil"/>
              <w:bottom w:val="nil"/>
              <w:right w:val="nil"/>
            </w:tcBorders>
            <w:shd w:val="clear" w:color="auto" w:fill="auto"/>
            <w:noWrap/>
            <w:vAlign w:val="center"/>
          </w:tcPr>
          <w:p w14:paraId="779C0C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单位：元</w:t>
            </w:r>
          </w:p>
        </w:tc>
      </w:tr>
      <w:tr w14:paraId="6B7F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EB70">
            <w:pPr>
              <w:jc w:val="center"/>
              <w:rPr>
                <w:rFonts w:hint="eastAsia" w:ascii="宋体" w:hAnsi="宋体" w:eastAsia="宋体" w:cs="宋体"/>
                <w:i w:val="0"/>
                <w:iCs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7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4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0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E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756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B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F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中药材札捆机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E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SK20-15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6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2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19E">
            <w:pPr>
              <w:jc w:val="center"/>
              <w:rPr>
                <w:rFonts w:hint="eastAsia" w:ascii="宋体" w:hAnsi="宋体" w:eastAsia="宋体" w:cs="宋体"/>
                <w:i w:val="0"/>
                <w:iCs w:val="0"/>
                <w:color w:val="000000"/>
                <w:sz w:val="24"/>
                <w:szCs w:val="24"/>
                <w:u w:val="none"/>
              </w:rPr>
            </w:pPr>
          </w:p>
        </w:tc>
      </w:tr>
      <w:tr w14:paraId="791A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F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0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破捆机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2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SK6610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3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2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4414">
            <w:pPr>
              <w:jc w:val="center"/>
              <w:rPr>
                <w:rFonts w:hint="eastAsia" w:ascii="宋体" w:hAnsi="宋体" w:eastAsia="宋体" w:cs="宋体"/>
                <w:i w:val="0"/>
                <w:iCs w:val="0"/>
                <w:color w:val="000000"/>
                <w:sz w:val="24"/>
                <w:szCs w:val="24"/>
                <w:u w:val="none"/>
              </w:rPr>
            </w:pPr>
          </w:p>
        </w:tc>
      </w:tr>
      <w:tr w14:paraId="48BE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4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提绒机（粉碎机和过筛机）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18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QS2-1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F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3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FF57">
            <w:pPr>
              <w:jc w:val="center"/>
              <w:rPr>
                <w:rFonts w:hint="eastAsia" w:ascii="宋体" w:hAnsi="宋体" w:eastAsia="宋体" w:cs="宋体"/>
                <w:i w:val="0"/>
                <w:iCs w:val="0"/>
                <w:color w:val="000000"/>
                <w:sz w:val="24"/>
                <w:szCs w:val="24"/>
                <w:u w:val="none"/>
              </w:rPr>
            </w:pPr>
          </w:p>
        </w:tc>
      </w:tr>
      <w:tr w14:paraId="45C3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1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B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卷条机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7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SK1225F</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8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D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35E3">
            <w:pPr>
              <w:jc w:val="center"/>
              <w:rPr>
                <w:rFonts w:hint="eastAsia" w:ascii="宋体" w:hAnsi="宋体" w:eastAsia="宋体" w:cs="宋体"/>
                <w:i w:val="0"/>
                <w:iCs w:val="0"/>
                <w:color w:val="000000"/>
                <w:sz w:val="24"/>
                <w:szCs w:val="24"/>
                <w:u w:val="none"/>
              </w:rPr>
            </w:pPr>
          </w:p>
        </w:tc>
      </w:tr>
      <w:tr w14:paraId="4094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3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8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卷条机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9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SD3070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A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9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A54C">
            <w:pPr>
              <w:jc w:val="center"/>
              <w:rPr>
                <w:rFonts w:hint="eastAsia" w:ascii="宋体" w:hAnsi="宋体" w:eastAsia="宋体" w:cs="宋体"/>
                <w:i w:val="0"/>
                <w:iCs w:val="0"/>
                <w:color w:val="000000"/>
                <w:sz w:val="24"/>
                <w:szCs w:val="24"/>
                <w:u w:val="none"/>
              </w:rPr>
            </w:pPr>
          </w:p>
        </w:tc>
      </w:tr>
      <w:tr w14:paraId="24ED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1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E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切粒机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6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SQ1560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8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F403">
            <w:pPr>
              <w:jc w:val="center"/>
              <w:rPr>
                <w:rFonts w:hint="eastAsia" w:ascii="宋体" w:hAnsi="宋体" w:eastAsia="宋体" w:cs="宋体"/>
                <w:i w:val="0"/>
                <w:iCs w:val="0"/>
                <w:color w:val="000000"/>
                <w:sz w:val="24"/>
                <w:szCs w:val="24"/>
                <w:u w:val="none"/>
              </w:rPr>
            </w:pPr>
          </w:p>
        </w:tc>
      </w:tr>
      <w:tr w14:paraId="26F0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4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A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空压机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8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3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8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006E">
            <w:pPr>
              <w:jc w:val="center"/>
              <w:rPr>
                <w:rFonts w:hint="eastAsia" w:ascii="宋体" w:hAnsi="宋体" w:eastAsia="宋体" w:cs="宋体"/>
                <w:i w:val="0"/>
                <w:iCs w:val="0"/>
                <w:color w:val="000000"/>
                <w:sz w:val="24"/>
                <w:szCs w:val="24"/>
                <w:u w:val="none"/>
              </w:rPr>
            </w:pPr>
          </w:p>
        </w:tc>
      </w:tr>
      <w:tr w14:paraId="3881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1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D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灌装机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9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SQP2030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D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8CF3">
            <w:pPr>
              <w:jc w:val="center"/>
              <w:rPr>
                <w:rFonts w:hint="eastAsia" w:ascii="宋体" w:hAnsi="宋体" w:eastAsia="宋体" w:cs="宋体"/>
                <w:i w:val="0"/>
                <w:iCs w:val="0"/>
                <w:color w:val="000000"/>
                <w:sz w:val="24"/>
                <w:szCs w:val="24"/>
                <w:u w:val="none"/>
              </w:rPr>
            </w:pPr>
          </w:p>
        </w:tc>
      </w:tr>
      <w:tr w14:paraId="78B6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3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6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中药材存放基台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CB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钢结构焊接平台（长20米，宽10米，高0.5米）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9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A075">
            <w:pPr>
              <w:jc w:val="center"/>
              <w:rPr>
                <w:rFonts w:hint="eastAsia" w:ascii="宋体" w:hAnsi="宋体" w:eastAsia="宋体" w:cs="宋体"/>
                <w:i w:val="0"/>
                <w:iCs w:val="0"/>
                <w:color w:val="000000"/>
                <w:sz w:val="24"/>
                <w:szCs w:val="24"/>
                <w:u w:val="none"/>
              </w:rPr>
            </w:pPr>
          </w:p>
        </w:tc>
      </w:tr>
      <w:tr w14:paraId="5564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2C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备注：附件一、设备技术参数表（设备型号说明）。</w:t>
            </w:r>
          </w:p>
        </w:tc>
      </w:tr>
    </w:tbl>
    <w:p w14:paraId="5E1F0254">
      <w:pPr>
        <w:pStyle w:val="4"/>
        <w:spacing w:after="0" w:line="600" w:lineRule="exact"/>
        <w:rPr>
          <w:rFonts w:ascii="黑体" w:cs="宋体"/>
          <w:bCs/>
          <w:color w:val="auto"/>
          <w:sz w:val="24"/>
          <w:highlight w:val="none"/>
        </w:rPr>
      </w:pPr>
    </w:p>
    <w:p w14:paraId="3F4E395F">
      <w:pPr>
        <w:pStyle w:val="4"/>
        <w:spacing w:after="0" w:line="600" w:lineRule="exact"/>
        <w:rPr>
          <w:rFonts w:ascii="黑体" w:cs="宋体"/>
          <w:bCs/>
          <w:color w:val="auto"/>
          <w:sz w:val="24"/>
          <w:highlight w:val="none"/>
        </w:rPr>
      </w:pPr>
    </w:p>
    <w:p w14:paraId="1FD282B9">
      <w:pPr>
        <w:pStyle w:val="4"/>
        <w:spacing w:after="0" w:line="600" w:lineRule="exact"/>
        <w:rPr>
          <w:rFonts w:ascii="黑体" w:cs="宋体"/>
          <w:bCs/>
          <w:color w:val="auto"/>
          <w:sz w:val="24"/>
          <w:highlight w:val="none"/>
        </w:rPr>
      </w:pPr>
    </w:p>
    <w:p w14:paraId="1565E674">
      <w:pPr>
        <w:pStyle w:val="4"/>
        <w:spacing w:after="0" w:line="600" w:lineRule="exact"/>
        <w:rPr>
          <w:rFonts w:ascii="黑体" w:cs="宋体"/>
          <w:bCs/>
          <w:color w:val="auto"/>
          <w:sz w:val="24"/>
          <w:highlight w:val="none"/>
        </w:rPr>
      </w:pPr>
    </w:p>
    <w:p w14:paraId="68F1D43C">
      <w:pPr>
        <w:pStyle w:val="4"/>
        <w:spacing w:after="0" w:line="600" w:lineRule="exact"/>
        <w:rPr>
          <w:rFonts w:ascii="黑体" w:cs="宋体"/>
          <w:bCs/>
          <w:color w:val="auto"/>
          <w:sz w:val="24"/>
          <w:highlight w:val="none"/>
        </w:rPr>
      </w:pPr>
    </w:p>
    <w:p w14:paraId="36BAE823">
      <w:pPr>
        <w:spacing w:line="600" w:lineRule="exact"/>
        <w:rPr>
          <w:rFonts w:ascii="黑体" w:cs="宋体"/>
          <w:bCs/>
          <w:color w:val="auto"/>
          <w:kern w:val="2"/>
          <w:sz w:val="24"/>
          <w:szCs w:val="24"/>
          <w:highlight w:val="none"/>
        </w:rPr>
      </w:pPr>
    </w:p>
    <w:p w14:paraId="6C7B6963">
      <w:pPr>
        <w:spacing w:line="600" w:lineRule="exact"/>
        <w:rPr>
          <w:rFonts w:ascii="黑体" w:cs="宋体"/>
          <w:bCs/>
          <w:color w:val="auto"/>
          <w:kern w:val="2"/>
          <w:sz w:val="24"/>
          <w:szCs w:val="24"/>
          <w:highlight w:val="none"/>
        </w:rPr>
      </w:pPr>
      <w:r>
        <w:rPr>
          <w:rFonts w:hint="eastAsia" w:ascii="黑体" w:cs="宋体"/>
          <w:bCs/>
          <w:color w:val="auto"/>
          <w:kern w:val="2"/>
          <w:sz w:val="24"/>
          <w:szCs w:val="24"/>
          <w:highlight w:val="none"/>
        </w:rPr>
        <w:t>附件一、设备</w:t>
      </w:r>
      <w:r>
        <w:rPr>
          <w:rFonts w:hint="eastAsia" w:ascii="黑体" w:cs="宋体"/>
          <w:bCs/>
          <w:color w:val="auto"/>
          <w:kern w:val="2"/>
          <w:sz w:val="24"/>
          <w:szCs w:val="24"/>
          <w:highlight w:val="none"/>
          <w:lang w:val="en-US" w:eastAsia="zh-CN"/>
        </w:rPr>
        <w:t>技术</w:t>
      </w:r>
      <w:r>
        <w:rPr>
          <w:rFonts w:hint="eastAsia" w:ascii="黑体" w:cs="宋体"/>
          <w:bCs/>
          <w:color w:val="auto"/>
          <w:kern w:val="2"/>
          <w:sz w:val="24"/>
          <w:szCs w:val="24"/>
          <w:highlight w:val="none"/>
        </w:rPr>
        <w:t>参数表（设备型号说明）</w:t>
      </w:r>
    </w:p>
    <w:tbl>
      <w:tblPr>
        <w:tblStyle w:val="17"/>
        <w:tblpPr w:leftFromText="180" w:rightFromText="180" w:vertAnchor="text" w:horzAnchor="page" w:tblpX="718" w:tblpY="694"/>
        <w:tblOverlap w:val="never"/>
        <w:tblW w:w="10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683"/>
        <w:gridCol w:w="1200"/>
        <w:gridCol w:w="5910"/>
      </w:tblGrid>
      <w:tr w14:paraId="1263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EB95">
            <w:pPr>
              <w:jc w:val="center"/>
              <w:rPr>
                <w:rFonts w:hint="eastAsia" w:ascii="宋体" w:hAnsi="宋体" w:eastAsia="宋体" w:cs="宋体"/>
                <w:i w:val="0"/>
                <w:iCs w:val="0"/>
                <w:color w:val="000000"/>
                <w:sz w:val="24"/>
                <w:szCs w:val="24"/>
                <w:u w:val="none"/>
              </w:rPr>
            </w:pP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609B">
            <w:pPr>
              <w:keepNext w:val="0"/>
              <w:keepLines w:val="0"/>
              <w:widowControl/>
              <w:suppressLineNumbers w:val="0"/>
              <w:jc w:val="left"/>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24"/>
                <w:szCs w:val="24"/>
                <w:u w:val="none"/>
                <w:lang w:val="en-US" w:eastAsia="zh-CN" w:bidi="ar"/>
              </w:rPr>
              <w:t>设备名称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B784">
            <w:pPr>
              <w:keepNext w:val="0"/>
              <w:keepLines w:val="0"/>
              <w:widowControl/>
              <w:suppressLineNumbers w:val="0"/>
              <w:jc w:val="left"/>
              <w:textAlignment w:val="center"/>
              <w:rPr>
                <w:rFonts w:hint="default" w:ascii="宋体" w:hAnsi="宋体" w:eastAsia="宋体" w:cs="宋体"/>
                <w:i w:val="0"/>
                <w:iCs w:val="0"/>
                <w:color w:val="000000"/>
                <w:sz w:val="40"/>
                <w:szCs w:val="40"/>
                <w:u w:val="none"/>
                <w:lang w:val="en-US" w:eastAsia="zh-CN"/>
              </w:rPr>
            </w:pPr>
            <w:r>
              <w:rPr>
                <w:rFonts w:hint="eastAsia" w:ascii="宋体" w:hAnsi="宋体" w:eastAsia="宋体" w:cs="宋体"/>
                <w:i w:val="0"/>
                <w:iCs w:val="0"/>
                <w:color w:val="000000"/>
                <w:sz w:val="24"/>
                <w:szCs w:val="24"/>
                <w:u w:val="none"/>
                <w:lang w:val="en-US" w:eastAsia="zh-CN"/>
              </w:rPr>
              <w:t>设备型号</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AFF6">
            <w:pPr>
              <w:keepNext w:val="0"/>
              <w:keepLines w:val="0"/>
              <w:widowControl/>
              <w:suppressLineNumbers w:val="0"/>
              <w:tabs>
                <w:tab w:val="left" w:pos="11600"/>
                <w:tab w:val="left" w:pos="11800"/>
              </w:tabs>
              <w:ind w:right="9316" w:rightChars="4658"/>
              <w:jc w:val="left"/>
              <w:textAlignment w:val="center"/>
              <w:rPr>
                <w:rFonts w:hint="default" w:ascii="宋体" w:hAnsi="宋体" w:eastAsia="宋体" w:cs="宋体"/>
                <w:i w:val="0"/>
                <w:iCs w:val="0"/>
                <w:color w:val="000000"/>
                <w:sz w:val="40"/>
                <w:szCs w:val="40"/>
                <w:u w:val="none"/>
                <w:lang w:val="en-US" w:eastAsia="zh-CN"/>
              </w:rPr>
            </w:pPr>
            <w:r>
              <w:rPr>
                <w:rFonts w:hint="eastAsia" w:ascii="宋体" w:hAnsi="宋体" w:eastAsia="宋体" w:cs="宋体"/>
                <w:i w:val="0"/>
                <w:iCs w:val="0"/>
                <w:color w:val="000000"/>
                <w:sz w:val="24"/>
                <w:szCs w:val="24"/>
                <w:u w:val="none"/>
                <w:lang w:val="en-US" w:eastAsia="zh-CN"/>
              </w:rPr>
              <w:t>设备说明</w:t>
            </w:r>
          </w:p>
        </w:tc>
      </w:tr>
      <w:tr w14:paraId="757F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0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44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数控中药材札捆机一套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FD72">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SK20-15</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F951">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型号说明是sk为数控20吨压力15机型</w:t>
            </w:r>
          </w:p>
        </w:tc>
      </w:tr>
      <w:tr w14:paraId="356A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5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6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数控自动破捆机一套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BA4A">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SK6610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493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型号说明是sk为数控6610是型号  66CM进料口10T工作量</w:t>
            </w:r>
          </w:p>
          <w:p w14:paraId="5A58E70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z w:val="24"/>
                <w:szCs w:val="24"/>
                <w:shd w:val="clear" w:color="auto" w:fill="FFFFFF"/>
                <w:lang w:val="en-US" w:eastAsia="zh-CN"/>
              </w:rPr>
              <w:t>本设备是全自动破捆机，</w:t>
            </w:r>
            <w:r>
              <w:rPr>
                <w:rFonts w:hint="eastAsia" w:ascii="宋体" w:hAnsi="宋体" w:eastAsia="宋体" w:cs="宋体"/>
                <w:b w:val="0"/>
                <w:bCs w:val="0"/>
                <w:i w:val="0"/>
                <w:iCs w:val="0"/>
                <w:caps w:val="0"/>
                <w:color w:val="auto"/>
                <w:spacing w:val="0"/>
                <w:sz w:val="24"/>
                <w:szCs w:val="24"/>
                <w:shd w:val="clear" w:fill="FFFFFF"/>
              </w:rPr>
              <w:t>直接对成捆的</w:t>
            </w:r>
            <w:r>
              <w:rPr>
                <w:rFonts w:hint="eastAsia" w:ascii="宋体" w:hAnsi="宋体" w:eastAsia="宋体" w:cs="宋体"/>
                <w:b w:val="0"/>
                <w:bCs w:val="0"/>
                <w:i w:val="0"/>
                <w:iCs w:val="0"/>
                <w:caps w:val="0"/>
                <w:color w:val="auto"/>
                <w:spacing w:val="0"/>
                <w:sz w:val="24"/>
                <w:szCs w:val="24"/>
                <w:shd w:val="clear" w:fill="FFFFFF"/>
                <w:lang w:val="en-US" w:eastAsia="zh-CN"/>
              </w:rPr>
              <w:t>艾草、</w:t>
            </w:r>
            <w:r>
              <w:rPr>
                <w:rFonts w:hint="eastAsia" w:ascii="宋体" w:hAnsi="宋体" w:eastAsia="宋体" w:cs="宋体"/>
                <w:b w:val="0"/>
                <w:bCs w:val="0"/>
                <w:i w:val="0"/>
                <w:iCs w:val="0"/>
                <w:caps w:val="0"/>
                <w:color w:val="auto"/>
                <w:spacing w:val="0"/>
                <w:sz w:val="24"/>
                <w:szCs w:val="24"/>
                <w:shd w:val="clear" w:fill="FFFFFF"/>
              </w:rPr>
              <w:t>艾叶进行破捆、抛松、筛拣除杂、除尘等操作</w:t>
            </w:r>
            <w:r>
              <w:rPr>
                <w:rFonts w:hint="eastAsia" w:ascii="宋体" w:hAnsi="宋体" w:eastAsia="宋体" w:cs="宋体"/>
                <w:b w:val="0"/>
                <w:bCs w:val="0"/>
                <w:i w:val="0"/>
                <w:iCs w:val="0"/>
                <w:caps w:val="0"/>
                <w:color w:val="auto"/>
                <w:spacing w:val="0"/>
                <w:sz w:val="24"/>
                <w:szCs w:val="24"/>
                <w:shd w:val="clear" w:fill="FFFFFF"/>
                <w:lang w:val="en-US" w:eastAsia="zh-CN"/>
              </w:rPr>
              <w:t>的机器</w:t>
            </w:r>
            <w:r>
              <w:rPr>
                <w:rFonts w:hint="eastAsia" w:ascii="宋体" w:hAnsi="宋体" w:eastAsia="宋体" w:cs="宋体"/>
                <w:b w:val="0"/>
                <w:bCs w:val="0"/>
                <w:i w:val="0"/>
                <w:iCs w:val="0"/>
                <w:caps w:val="0"/>
                <w:color w:val="auto"/>
                <w:spacing w:val="0"/>
                <w:sz w:val="24"/>
                <w:szCs w:val="24"/>
                <w:shd w:val="clear" w:fill="FFFFFF"/>
              </w:rPr>
              <w:t>，整个流程均为自动化。省去了人工分拣的费用，提高人员操作的安全性，提高生产能力，有效防止铁器、石块等杂物进入粉碎机引起火灾，有效除尘，改善工作环境，防止粉尘危害。</w:t>
            </w:r>
          </w:p>
        </w:tc>
      </w:tr>
      <w:tr w14:paraId="2408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E6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全封闭提绒机一组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BC9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QS2-1</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F60E8">
            <w:pPr>
              <w:rPr>
                <w:rFonts w:hint="eastAsia" w:ascii="宋体" w:hAnsi="宋体" w:eastAsia="宋体" w:cs="宋体"/>
                <w:b w:val="0"/>
                <w:bCs w:val="0"/>
                <w:i w:val="0"/>
                <w:iCs w:val="0"/>
                <w:kern w:val="2"/>
                <w:sz w:val="24"/>
                <w:szCs w:val="24"/>
                <w:highlight w:val="none"/>
                <w:shd w:val="clear" w:color="auto" w:fill="FFFFFF"/>
                <w:lang w:val="en-US" w:eastAsia="zh-CN" w:bidi="ar-SA"/>
              </w:rPr>
            </w:pPr>
            <w:r>
              <w:rPr>
                <w:rFonts w:hint="eastAsia" w:ascii="宋体" w:hAnsi="宋体" w:eastAsia="宋体" w:cs="宋体"/>
                <w:b w:val="0"/>
                <w:bCs w:val="0"/>
                <w:i w:val="0"/>
                <w:iCs w:val="0"/>
                <w:kern w:val="2"/>
                <w:sz w:val="24"/>
                <w:szCs w:val="24"/>
                <w:highlight w:val="none"/>
                <w:shd w:val="clear" w:color="auto" w:fill="FFFFFF"/>
                <w:lang w:val="en-US" w:eastAsia="zh-CN" w:bidi="ar-SA"/>
              </w:rPr>
              <w:t xml:space="preserve">QS为全封闭数控打绒机 行业设备通用编号，2-1为两绒一灰提绒机组，机组是两个提绒机组和一个处理尾料的机组组成。本机组可加工艾叶和全棵艾草，装机总功率100kw/380v,单组设备外形尺寸:长x宽x高=6mx1.2mx4.5m,总安装尺寸12m*12m。用工量3人，一次加工成品绒品质为3:1，工作效率：1000kg/h. </w:t>
            </w:r>
          </w:p>
        </w:tc>
      </w:tr>
      <w:tr w14:paraId="7DF6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D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8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数控自动卷条机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C320">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SK1225F</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4C2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sz w:val="24"/>
                <w:szCs w:val="24"/>
                <w:u w:val="none"/>
                <w:lang w:val="en-US" w:eastAsia="zh-CN"/>
              </w:rPr>
              <w:t xml:space="preserve">型号说明是sk为数控 </w:t>
            </w:r>
            <w:r>
              <w:rPr>
                <w:rFonts w:hint="eastAsia" w:ascii="宋体" w:hAnsi="宋体" w:eastAsia="宋体" w:cs="宋体"/>
                <w:b w:val="0"/>
                <w:bCs w:val="0"/>
                <w:i w:val="0"/>
                <w:iCs w:val="0"/>
                <w:color w:val="000000"/>
                <w:sz w:val="24"/>
                <w:szCs w:val="24"/>
                <w:u w:val="none"/>
              </w:rPr>
              <w:t>全自动数字控制卷条机可以卷的范围是15mm-25mm的最新版本，主机配备自动 搅拌上料机、 自动料位控制系统； 产量(工作效率)：1000-1400 根/h； 卷制艾条范围∅  15-∅ 25mm，艾条  长度：L200mm；专利 出料方式：垂直直 捣下料(非螺旋侧入)；</w:t>
            </w:r>
          </w:p>
        </w:tc>
      </w:tr>
      <w:tr w14:paraId="0AA2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8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6B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手动半自动卷条机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ED4">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SD3070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4A42">
            <w:pPr>
              <w:pStyle w:val="42"/>
              <w:spacing w:before="62" w:line="229" w:lineRule="auto"/>
              <w:ind w:left="120"/>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val="en-US" w:eastAsia="zh-CN"/>
              </w:rPr>
              <w:t>S</w:t>
            </w:r>
            <w:r>
              <w:rPr>
                <w:rFonts w:hint="eastAsia" w:ascii="宋体" w:hAnsi="宋体" w:eastAsia="宋体" w:cs="宋体"/>
                <w:b w:val="0"/>
                <w:bCs w:val="0"/>
                <w:i w:val="0"/>
                <w:iCs w:val="0"/>
                <w:color w:val="000000"/>
                <w:sz w:val="24"/>
                <w:szCs w:val="24"/>
                <w:u w:val="none"/>
              </w:rPr>
              <w:t>半自动粗条卷条可制作30mm-70mm雷火灸，400-1000 只/班。</w:t>
            </w:r>
          </w:p>
        </w:tc>
      </w:tr>
      <w:tr w14:paraId="245B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1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数控艾条切柱机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A284">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SQ1560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A16F">
            <w:pPr>
              <w:pStyle w:val="42"/>
              <w:spacing w:before="90" w:line="357" w:lineRule="auto"/>
              <w:ind w:left="107" w:right="166" w:firstLine="14"/>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val="en-US" w:eastAsia="zh-CN"/>
              </w:rPr>
              <w:t xml:space="preserve">SQ为数控切柱机，行业通用型号 </w:t>
            </w:r>
            <w:r>
              <w:rPr>
                <w:rFonts w:hint="eastAsia" w:ascii="宋体" w:hAnsi="宋体" w:eastAsia="宋体" w:cs="宋体"/>
                <w:b w:val="0"/>
                <w:bCs w:val="0"/>
                <w:i w:val="0"/>
                <w:iCs w:val="0"/>
                <w:color w:val="000000"/>
                <w:sz w:val="24"/>
                <w:szCs w:val="24"/>
                <w:u w:val="none"/>
              </w:rPr>
              <w:t>艾条切粒机可以切15mm-100毫米的艾条尺寸，工作效率 ：3 筐/小时（具体工作效率视艾条直径而定 ，如 ∅  18mm 艾条的切断效率为 3000 只左右/小时） ；全自动艾条切柱设备 ，艾柱长度可调。</w:t>
            </w:r>
          </w:p>
        </w:tc>
      </w:tr>
      <w:tr w14:paraId="0665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E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E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自动螺杆空压机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B5D1">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螺杆</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70C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螺杆空压机的优势主要体现在以下几个方面：</w:t>
            </w:r>
          </w:p>
          <w:p w14:paraId="3B063FE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高效节能</w:t>
            </w:r>
            <w:r>
              <w:rPr>
                <w:rFonts w:hint="eastAsia" w:ascii="宋体" w:hAnsi="宋体" w:eastAsia="宋体" w:cs="宋体"/>
                <w:b w:val="0"/>
                <w:bCs w:val="0"/>
                <w:i w:val="0"/>
                <w:iCs w:val="0"/>
                <w:color w:val="000000"/>
                <w:sz w:val="24"/>
                <w:szCs w:val="24"/>
                <w:u w:val="none"/>
                <w:lang w:eastAsia="zh-CN"/>
              </w:rPr>
              <w:t>：</w:t>
            </w:r>
            <w:r>
              <w:rPr>
                <w:rFonts w:hint="eastAsia" w:ascii="宋体" w:hAnsi="宋体" w:eastAsia="宋体" w:cs="宋体"/>
                <w:b w:val="0"/>
                <w:bCs w:val="0"/>
                <w:i w:val="0"/>
                <w:iCs w:val="0"/>
                <w:color w:val="000000"/>
                <w:sz w:val="24"/>
                <w:szCs w:val="24"/>
                <w:u w:val="none"/>
              </w:rPr>
              <w:t>采用双螺杆转子设计，压缩过程连续平稳，能效比高；搭配变频技术可根据实际用气需求自动调节转速，降低空载能耗，节能效果显著。</w:t>
            </w:r>
          </w:p>
          <w:p w14:paraId="335E901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运行稳定可靠</w:t>
            </w:r>
            <w:r>
              <w:rPr>
                <w:rFonts w:hint="eastAsia" w:ascii="宋体" w:hAnsi="宋体" w:eastAsia="宋体" w:cs="宋体"/>
                <w:b w:val="0"/>
                <w:bCs w:val="0"/>
                <w:i w:val="0"/>
                <w:iCs w:val="0"/>
                <w:color w:val="000000"/>
                <w:sz w:val="24"/>
                <w:szCs w:val="24"/>
                <w:u w:val="none"/>
                <w:lang w:eastAsia="zh-CN"/>
              </w:rPr>
              <w:t>：</w:t>
            </w:r>
            <w:r>
              <w:rPr>
                <w:rFonts w:hint="eastAsia" w:ascii="宋体" w:hAnsi="宋体" w:eastAsia="宋体" w:cs="宋体"/>
                <w:b w:val="0"/>
                <w:bCs w:val="0"/>
                <w:i w:val="0"/>
                <w:iCs w:val="0"/>
                <w:color w:val="000000"/>
                <w:sz w:val="24"/>
                <w:szCs w:val="24"/>
                <w:u w:val="none"/>
              </w:rPr>
              <w:t>结构简单，无往复运动部件，振动小、噪音低（通常低于70分贝），适合长时间连续运行（24小时/7天），故障率低，使用寿命长（可达10年以上）。</w:t>
            </w:r>
          </w:p>
          <w:p w14:paraId="596EEBB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p>
        </w:tc>
      </w:tr>
      <w:tr w14:paraId="493D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B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4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数控全封闭自动足浴包灌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100">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SQP2030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E11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z w:val="24"/>
                <w:szCs w:val="24"/>
                <w:lang w:val="en-US" w:eastAsia="zh-CN"/>
              </w:rPr>
              <w:t>Sqp为数控全封闭泡浴包灌装机 可以把打绒机流出的细碎尾料利用起来做成足浴包，除螨包等一系列产品。</w:t>
            </w:r>
          </w:p>
        </w:tc>
      </w:tr>
    </w:tbl>
    <w:p w14:paraId="7E15F8EE">
      <w:pPr>
        <w:spacing w:line="600" w:lineRule="exact"/>
        <w:jc w:val="both"/>
        <w:outlineLvl w:val="0"/>
        <w:rPr>
          <w:rFonts w:hint="eastAsia" w:ascii="黑体" w:cs="宋体"/>
          <w:bCs/>
          <w:color w:val="auto"/>
          <w:kern w:val="2"/>
          <w:sz w:val="24"/>
          <w:szCs w:val="24"/>
          <w:highlight w:val="none"/>
        </w:rPr>
      </w:pPr>
      <w:bookmarkStart w:id="60" w:name="_Toc8269"/>
      <w:bookmarkStart w:id="61" w:name="_Toc12980"/>
    </w:p>
    <w:p w14:paraId="0A19C9E3">
      <w:pPr>
        <w:spacing w:line="600" w:lineRule="exact"/>
        <w:jc w:val="center"/>
        <w:outlineLvl w:val="0"/>
        <w:rPr>
          <w:rFonts w:hint="eastAsia" w:ascii="黑体" w:cs="宋体"/>
          <w:b/>
          <w:bCs w:val="0"/>
          <w:color w:val="auto"/>
          <w:kern w:val="2"/>
          <w:sz w:val="24"/>
          <w:szCs w:val="24"/>
          <w:highlight w:val="none"/>
        </w:rPr>
      </w:pPr>
    </w:p>
    <w:p w14:paraId="3CBFE7C2">
      <w:pPr>
        <w:spacing w:line="600" w:lineRule="exact"/>
        <w:jc w:val="center"/>
        <w:outlineLvl w:val="0"/>
        <w:rPr>
          <w:rFonts w:hint="eastAsia" w:ascii="黑体" w:cs="宋体"/>
          <w:b/>
          <w:bCs w:val="0"/>
          <w:color w:val="auto"/>
          <w:kern w:val="2"/>
          <w:sz w:val="24"/>
          <w:szCs w:val="24"/>
          <w:highlight w:val="none"/>
        </w:rPr>
      </w:pPr>
    </w:p>
    <w:p w14:paraId="74CAEB8A">
      <w:pPr>
        <w:spacing w:line="600" w:lineRule="exact"/>
        <w:jc w:val="center"/>
        <w:outlineLvl w:val="0"/>
        <w:rPr>
          <w:rFonts w:hint="eastAsia" w:ascii="黑体" w:cs="宋体"/>
          <w:b/>
          <w:bCs w:val="0"/>
          <w:color w:val="auto"/>
          <w:kern w:val="2"/>
          <w:sz w:val="24"/>
          <w:szCs w:val="24"/>
          <w:highlight w:val="none"/>
        </w:rPr>
      </w:pPr>
    </w:p>
    <w:p w14:paraId="5DCD6903">
      <w:pPr>
        <w:spacing w:line="600" w:lineRule="exact"/>
        <w:jc w:val="center"/>
        <w:outlineLvl w:val="0"/>
        <w:rPr>
          <w:rFonts w:hint="eastAsia" w:ascii="黑体" w:cs="宋体"/>
          <w:b/>
          <w:bCs w:val="0"/>
          <w:color w:val="auto"/>
          <w:kern w:val="2"/>
          <w:sz w:val="24"/>
          <w:szCs w:val="24"/>
          <w:highlight w:val="none"/>
        </w:rPr>
      </w:pPr>
    </w:p>
    <w:p w14:paraId="0DBCB93F">
      <w:pPr>
        <w:spacing w:line="600" w:lineRule="exact"/>
        <w:jc w:val="center"/>
        <w:outlineLvl w:val="0"/>
        <w:rPr>
          <w:rFonts w:hint="eastAsia" w:ascii="黑体" w:cs="宋体"/>
          <w:b/>
          <w:bCs w:val="0"/>
          <w:color w:val="auto"/>
          <w:kern w:val="2"/>
          <w:sz w:val="24"/>
          <w:szCs w:val="24"/>
          <w:highlight w:val="none"/>
        </w:rPr>
      </w:pPr>
    </w:p>
    <w:p w14:paraId="7999F36C">
      <w:pPr>
        <w:spacing w:line="600" w:lineRule="exact"/>
        <w:jc w:val="center"/>
        <w:outlineLvl w:val="0"/>
        <w:rPr>
          <w:rFonts w:hint="eastAsia" w:ascii="黑体" w:cs="宋体"/>
          <w:b/>
          <w:bCs w:val="0"/>
          <w:color w:val="auto"/>
          <w:kern w:val="2"/>
          <w:sz w:val="24"/>
          <w:szCs w:val="24"/>
          <w:highlight w:val="none"/>
        </w:rPr>
      </w:pPr>
    </w:p>
    <w:p w14:paraId="4F0CAFB1">
      <w:pPr>
        <w:spacing w:line="600" w:lineRule="exact"/>
        <w:jc w:val="center"/>
        <w:outlineLvl w:val="0"/>
        <w:rPr>
          <w:rFonts w:hint="eastAsia" w:ascii="黑体" w:cs="宋体"/>
          <w:b/>
          <w:bCs w:val="0"/>
          <w:color w:val="auto"/>
          <w:kern w:val="2"/>
          <w:sz w:val="24"/>
          <w:szCs w:val="24"/>
          <w:highlight w:val="none"/>
        </w:rPr>
      </w:pPr>
    </w:p>
    <w:p w14:paraId="5E71DBB7">
      <w:pPr>
        <w:spacing w:line="600" w:lineRule="exact"/>
        <w:jc w:val="center"/>
        <w:outlineLvl w:val="0"/>
        <w:rPr>
          <w:rFonts w:hint="eastAsia" w:ascii="黑体" w:cs="宋体"/>
          <w:b/>
          <w:bCs w:val="0"/>
          <w:color w:val="auto"/>
          <w:kern w:val="2"/>
          <w:sz w:val="24"/>
          <w:szCs w:val="24"/>
          <w:highlight w:val="none"/>
        </w:rPr>
      </w:pPr>
    </w:p>
    <w:p w14:paraId="7253E3A7">
      <w:pPr>
        <w:spacing w:line="600" w:lineRule="exact"/>
        <w:jc w:val="center"/>
        <w:outlineLvl w:val="0"/>
        <w:rPr>
          <w:rFonts w:hint="eastAsia" w:ascii="黑体" w:cs="宋体"/>
          <w:b/>
          <w:bCs w:val="0"/>
          <w:color w:val="auto"/>
          <w:kern w:val="2"/>
          <w:sz w:val="24"/>
          <w:szCs w:val="24"/>
          <w:highlight w:val="none"/>
        </w:rPr>
      </w:pPr>
    </w:p>
    <w:p w14:paraId="4B343B53">
      <w:pPr>
        <w:spacing w:line="600" w:lineRule="exact"/>
        <w:jc w:val="center"/>
        <w:outlineLvl w:val="0"/>
        <w:rPr>
          <w:rFonts w:hint="eastAsia" w:ascii="黑体" w:cs="宋体"/>
          <w:b/>
          <w:bCs w:val="0"/>
          <w:color w:val="auto"/>
          <w:kern w:val="2"/>
          <w:sz w:val="24"/>
          <w:szCs w:val="24"/>
          <w:highlight w:val="none"/>
        </w:rPr>
      </w:pPr>
    </w:p>
    <w:p w14:paraId="379D20F1">
      <w:pPr>
        <w:spacing w:line="600" w:lineRule="exact"/>
        <w:jc w:val="center"/>
        <w:outlineLvl w:val="0"/>
        <w:rPr>
          <w:rFonts w:hint="eastAsia" w:ascii="黑体" w:cs="宋体"/>
          <w:b/>
          <w:bCs w:val="0"/>
          <w:color w:val="auto"/>
          <w:kern w:val="2"/>
          <w:sz w:val="24"/>
          <w:szCs w:val="24"/>
          <w:highlight w:val="none"/>
        </w:rPr>
      </w:pPr>
    </w:p>
    <w:p w14:paraId="0EBB0137">
      <w:pPr>
        <w:spacing w:line="600" w:lineRule="exact"/>
        <w:jc w:val="center"/>
        <w:outlineLvl w:val="0"/>
        <w:rPr>
          <w:rFonts w:hint="eastAsia" w:ascii="黑体" w:cs="宋体"/>
          <w:b/>
          <w:bCs w:val="0"/>
          <w:color w:val="auto"/>
          <w:kern w:val="2"/>
          <w:sz w:val="24"/>
          <w:szCs w:val="24"/>
          <w:highlight w:val="none"/>
        </w:rPr>
      </w:pPr>
    </w:p>
    <w:p w14:paraId="3D6D140F">
      <w:pPr>
        <w:spacing w:line="600" w:lineRule="exact"/>
        <w:jc w:val="center"/>
        <w:outlineLvl w:val="0"/>
        <w:rPr>
          <w:rFonts w:hint="eastAsia" w:ascii="黑体" w:cs="宋体"/>
          <w:b/>
          <w:bCs w:val="0"/>
          <w:color w:val="auto"/>
          <w:kern w:val="2"/>
          <w:sz w:val="24"/>
          <w:szCs w:val="24"/>
          <w:highlight w:val="none"/>
        </w:rPr>
      </w:pPr>
    </w:p>
    <w:p w14:paraId="1CC89E37">
      <w:pPr>
        <w:spacing w:line="600" w:lineRule="exact"/>
        <w:jc w:val="center"/>
        <w:outlineLvl w:val="0"/>
        <w:rPr>
          <w:rFonts w:hint="eastAsia" w:ascii="黑体" w:cs="宋体"/>
          <w:b/>
          <w:bCs w:val="0"/>
          <w:color w:val="auto"/>
          <w:kern w:val="2"/>
          <w:sz w:val="24"/>
          <w:szCs w:val="24"/>
          <w:highlight w:val="none"/>
        </w:rPr>
      </w:pPr>
    </w:p>
    <w:p w14:paraId="464BBFC5">
      <w:pPr>
        <w:spacing w:line="600" w:lineRule="exact"/>
        <w:jc w:val="center"/>
        <w:outlineLvl w:val="0"/>
        <w:rPr>
          <w:rFonts w:hint="eastAsia" w:ascii="黑体" w:cs="宋体"/>
          <w:b/>
          <w:bCs w:val="0"/>
          <w:color w:val="auto"/>
          <w:kern w:val="2"/>
          <w:sz w:val="24"/>
          <w:szCs w:val="24"/>
          <w:highlight w:val="none"/>
        </w:rPr>
      </w:pPr>
    </w:p>
    <w:p w14:paraId="5E5C6659">
      <w:pPr>
        <w:spacing w:line="600" w:lineRule="exact"/>
        <w:jc w:val="center"/>
        <w:outlineLvl w:val="0"/>
        <w:rPr>
          <w:rFonts w:hint="eastAsia" w:ascii="黑体" w:cs="宋体"/>
          <w:b/>
          <w:bCs w:val="0"/>
          <w:color w:val="auto"/>
          <w:kern w:val="2"/>
          <w:sz w:val="24"/>
          <w:szCs w:val="24"/>
          <w:highlight w:val="none"/>
        </w:rPr>
      </w:pPr>
    </w:p>
    <w:p w14:paraId="21E396DE">
      <w:pPr>
        <w:spacing w:line="600" w:lineRule="exact"/>
        <w:jc w:val="center"/>
        <w:outlineLvl w:val="0"/>
        <w:rPr>
          <w:rFonts w:ascii="黑体" w:cs="宋体"/>
          <w:b/>
          <w:bCs w:val="0"/>
          <w:color w:val="auto"/>
          <w:kern w:val="2"/>
          <w:sz w:val="24"/>
          <w:szCs w:val="24"/>
          <w:highlight w:val="none"/>
        </w:rPr>
      </w:pPr>
      <w:r>
        <w:rPr>
          <w:rFonts w:hint="eastAsia" w:ascii="黑体" w:cs="宋体"/>
          <w:b/>
          <w:bCs w:val="0"/>
          <w:color w:val="auto"/>
          <w:kern w:val="2"/>
          <w:sz w:val="24"/>
          <w:szCs w:val="24"/>
          <w:highlight w:val="none"/>
        </w:rPr>
        <w:t>第六章  响应文件格式</w:t>
      </w:r>
      <w:bookmarkEnd w:id="60"/>
      <w:bookmarkEnd w:id="61"/>
    </w:p>
    <w:p w14:paraId="20CBAD0D">
      <w:pPr>
        <w:widowControl w:val="0"/>
        <w:spacing w:line="600" w:lineRule="exact"/>
        <w:ind w:firstLine="952" w:firstLineChars="395"/>
        <w:jc w:val="center"/>
        <w:rPr>
          <w:rFonts w:ascii="宋体" w:hAnsi="宋体" w:cs="宋体"/>
          <w:b/>
          <w:color w:val="auto"/>
          <w:kern w:val="2"/>
          <w:sz w:val="24"/>
          <w:szCs w:val="24"/>
          <w:highlight w:val="none"/>
          <w:u w:val="single"/>
        </w:rPr>
      </w:pPr>
    </w:p>
    <w:p w14:paraId="66080AC2">
      <w:pPr>
        <w:widowControl w:val="0"/>
        <w:spacing w:line="600" w:lineRule="exact"/>
        <w:ind w:firstLine="952" w:firstLineChars="395"/>
        <w:jc w:val="center"/>
        <w:rPr>
          <w:rFonts w:ascii="宋体" w:hAnsi="宋体" w:cs="宋体"/>
          <w:b/>
          <w:color w:val="auto"/>
          <w:kern w:val="2"/>
          <w:sz w:val="24"/>
          <w:szCs w:val="24"/>
          <w:highlight w:val="none"/>
          <w:u w:val="single"/>
        </w:rPr>
      </w:pPr>
    </w:p>
    <w:p w14:paraId="56722661">
      <w:pPr>
        <w:jc w:val="center"/>
        <w:rPr>
          <w:rFonts w:asciiTheme="minorEastAsia" w:hAnsiTheme="minorEastAsia" w:eastAsiaTheme="minorEastAsia"/>
          <w:b/>
          <w:bCs/>
          <w:color w:val="auto"/>
          <w:sz w:val="36"/>
          <w:szCs w:val="36"/>
          <w:highlight w:val="none"/>
        </w:rPr>
      </w:pPr>
    </w:p>
    <w:p w14:paraId="7861B4B3">
      <w:pPr>
        <w:spacing w:line="360" w:lineRule="auto"/>
        <w:rPr>
          <w:rFonts w:cs="宋体" w:asciiTheme="minorEastAsia" w:hAnsiTheme="minorEastAsia" w:eastAsiaTheme="minorEastAsia"/>
          <w:color w:val="auto"/>
          <w:sz w:val="24"/>
          <w:highlight w:val="none"/>
        </w:rPr>
      </w:pPr>
    </w:p>
    <w:p w14:paraId="4FDB3D17">
      <w:pPr>
        <w:spacing w:line="360" w:lineRule="auto"/>
        <w:rPr>
          <w:rFonts w:cs="宋体" w:asciiTheme="minorEastAsia" w:hAnsiTheme="minorEastAsia" w:eastAsiaTheme="minorEastAsia"/>
          <w:color w:val="auto"/>
          <w:sz w:val="24"/>
          <w:highlight w:val="none"/>
          <w:u w:val="single"/>
        </w:rPr>
      </w:pPr>
    </w:p>
    <w:p w14:paraId="5D8A8218">
      <w:pPr>
        <w:spacing w:line="360" w:lineRule="auto"/>
        <w:jc w:val="center"/>
        <w:outlineLvl w:val="0"/>
        <w:rPr>
          <w:rFonts w:cs="宋体" w:asciiTheme="minorEastAsia" w:hAnsiTheme="minorEastAsia" w:eastAsiaTheme="minorEastAsia"/>
          <w:color w:val="auto"/>
          <w:sz w:val="44"/>
          <w:szCs w:val="44"/>
          <w:highlight w:val="none"/>
        </w:rPr>
      </w:pPr>
      <w:bookmarkStart w:id="62" w:name="_Toc28974"/>
      <w:bookmarkStart w:id="63" w:name="_Toc24054"/>
      <w:bookmarkStart w:id="64" w:name="_Toc24314"/>
      <w:bookmarkStart w:id="65" w:name="_Toc14852"/>
      <w:bookmarkStart w:id="66" w:name="_Toc15366"/>
      <w:r>
        <w:rPr>
          <w:rFonts w:hint="eastAsia" w:cs="宋体" w:asciiTheme="minorEastAsia" w:hAnsiTheme="minorEastAsia" w:eastAsiaTheme="minorEastAsia"/>
          <w:color w:val="auto"/>
          <w:sz w:val="28"/>
          <w:szCs w:val="28"/>
          <w:highlight w:val="none"/>
          <w:u w:val="single"/>
        </w:rPr>
        <w:t>（项目名称）</w:t>
      </w:r>
      <w:bookmarkEnd w:id="62"/>
      <w:bookmarkEnd w:id="63"/>
      <w:bookmarkEnd w:id="64"/>
      <w:bookmarkEnd w:id="65"/>
      <w:bookmarkEnd w:id="66"/>
    </w:p>
    <w:p w14:paraId="3556B449">
      <w:pPr>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磋商响应</w:t>
      </w:r>
      <w:r>
        <w:rPr>
          <w:rFonts w:asciiTheme="minorEastAsia" w:hAnsiTheme="minorEastAsia" w:eastAsiaTheme="minorEastAsia"/>
          <w:color w:val="auto"/>
          <w:sz w:val="44"/>
          <w:szCs w:val="44"/>
          <w:highlight w:val="none"/>
        </w:rPr>
        <w:t>文件</w:t>
      </w:r>
    </w:p>
    <w:p w14:paraId="3DCEE6C0">
      <w:pPr>
        <w:spacing w:line="360" w:lineRule="auto"/>
        <w:ind w:firstLine="2760" w:firstLineChars="1150"/>
        <w:rPr>
          <w:rFonts w:cs="宋体" w:asciiTheme="minorEastAsia" w:hAnsiTheme="minorEastAsia" w:eastAsiaTheme="minorEastAsia"/>
          <w:color w:val="auto"/>
          <w:sz w:val="24"/>
          <w:highlight w:val="none"/>
        </w:rPr>
      </w:pPr>
    </w:p>
    <w:p w14:paraId="70513B08">
      <w:pPr>
        <w:spacing w:line="360" w:lineRule="auto"/>
        <w:ind w:firstLine="2760" w:firstLineChars="1150"/>
        <w:rPr>
          <w:rFonts w:cs="宋体" w:asciiTheme="minorEastAsia" w:hAnsiTheme="minorEastAsia" w:eastAsiaTheme="minorEastAsia"/>
          <w:color w:val="auto"/>
          <w:sz w:val="24"/>
          <w:highlight w:val="none"/>
        </w:rPr>
      </w:pPr>
    </w:p>
    <w:p w14:paraId="06AF379C">
      <w:pPr>
        <w:spacing w:line="360" w:lineRule="auto"/>
        <w:ind w:firstLine="2760" w:firstLineChars="1150"/>
        <w:rPr>
          <w:rFonts w:cs="宋体" w:asciiTheme="minorEastAsia" w:hAnsiTheme="minorEastAsia" w:eastAsiaTheme="minorEastAsia"/>
          <w:color w:val="auto"/>
          <w:sz w:val="24"/>
          <w:highlight w:val="none"/>
        </w:rPr>
      </w:pPr>
    </w:p>
    <w:p w14:paraId="4EC69F8F">
      <w:pPr>
        <w:spacing w:line="360" w:lineRule="auto"/>
        <w:ind w:firstLine="2760" w:firstLineChars="1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项目编号： </w:t>
      </w:r>
    </w:p>
    <w:p w14:paraId="6A116707">
      <w:pPr>
        <w:spacing w:line="360" w:lineRule="auto"/>
        <w:jc w:val="center"/>
        <w:rPr>
          <w:rFonts w:cs="宋体" w:asciiTheme="minorEastAsia" w:hAnsiTheme="minorEastAsia" w:eastAsiaTheme="minorEastAsia"/>
          <w:color w:val="auto"/>
          <w:sz w:val="24"/>
          <w:highlight w:val="none"/>
        </w:rPr>
      </w:pPr>
    </w:p>
    <w:p w14:paraId="113929F7">
      <w:pPr>
        <w:spacing w:line="360" w:lineRule="auto"/>
        <w:jc w:val="center"/>
        <w:rPr>
          <w:rFonts w:cs="宋体" w:asciiTheme="minorEastAsia" w:hAnsiTheme="minorEastAsia" w:eastAsiaTheme="minorEastAsia"/>
          <w:color w:val="auto"/>
          <w:sz w:val="24"/>
          <w:highlight w:val="none"/>
        </w:rPr>
      </w:pPr>
    </w:p>
    <w:p w14:paraId="67A718E2">
      <w:pPr>
        <w:spacing w:line="360" w:lineRule="auto"/>
        <w:jc w:val="center"/>
        <w:rPr>
          <w:rFonts w:cs="宋体" w:asciiTheme="minorEastAsia" w:hAnsiTheme="minorEastAsia" w:eastAsiaTheme="minorEastAsia"/>
          <w:color w:val="auto"/>
          <w:sz w:val="24"/>
          <w:highlight w:val="none"/>
        </w:rPr>
      </w:pPr>
    </w:p>
    <w:p w14:paraId="43CE5816">
      <w:pPr>
        <w:spacing w:line="360" w:lineRule="auto"/>
        <w:jc w:val="center"/>
        <w:rPr>
          <w:rFonts w:cs="宋体" w:asciiTheme="minorEastAsia" w:hAnsiTheme="minorEastAsia" w:eastAsiaTheme="minorEastAsia"/>
          <w:color w:val="auto"/>
          <w:sz w:val="24"/>
          <w:highlight w:val="none"/>
        </w:rPr>
      </w:pPr>
    </w:p>
    <w:p w14:paraId="799E493A">
      <w:pPr>
        <w:spacing w:line="360" w:lineRule="auto"/>
        <w:rPr>
          <w:rFonts w:cs="宋体" w:asciiTheme="minorEastAsia" w:hAnsiTheme="minorEastAsia" w:eastAsiaTheme="minorEastAsia"/>
          <w:color w:val="auto"/>
          <w:sz w:val="24"/>
          <w:highlight w:val="none"/>
        </w:rPr>
      </w:pPr>
    </w:p>
    <w:p w14:paraId="42F959C6">
      <w:pPr>
        <w:pStyle w:val="15"/>
        <w:ind w:firstLine="240"/>
        <w:rPr>
          <w:rFonts w:cs="宋体" w:asciiTheme="minorEastAsia" w:hAnsiTheme="minorEastAsia" w:eastAsiaTheme="minorEastAsia"/>
          <w:color w:val="auto"/>
          <w:sz w:val="24"/>
          <w:highlight w:val="none"/>
        </w:rPr>
      </w:pPr>
    </w:p>
    <w:p w14:paraId="1CED89B8">
      <w:pPr>
        <w:spacing w:line="360" w:lineRule="auto"/>
        <w:jc w:val="both"/>
        <w:rPr>
          <w:rFonts w:cs="宋体" w:asciiTheme="minorEastAsia" w:hAnsiTheme="minorEastAsia" w:eastAsiaTheme="minorEastAsia"/>
          <w:color w:val="auto"/>
          <w:sz w:val="24"/>
          <w:highlight w:val="none"/>
        </w:rPr>
      </w:pPr>
    </w:p>
    <w:p w14:paraId="0EA121CA">
      <w:pPr>
        <w:spacing w:line="360" w:lineRule="auto"/>
        <w:jc w:val="center"/>
        <w:outlineLvl w:val="0"/>
        <w:rPr>
          <w:rFonts w:cs="宋体" w:asciiTheme="minorEastAsia" w:hAnsiTheme="minorEastAsia" w:eastAsiaTheme="minorEastAsia"/>
          <w:color w:val="auto"/>
          <w:sz w:val="24"/>
          <w:highlight w:val="none"/>
        </w:rPr>
      </w:pPr>
      <w:bookmarkStart w:id="67" w:name="_Toc7649"/>
      <w:bookmarkStart w:id="68" w:name="_Toc16543"/>
      <w:bookmarkStart w:id="69" w:name="_Toc26563"/>
      <w:bookmarkStart w:id="70" w:name="_Toc3755"/>
      <w:bookmarkStart w:id="71" w:name="_Toc13542"/>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bookmarkEnd w:id="67"/>
      <w:bookmarkEnd w:id="68"/>
      <w:bookmarkEnd w:id="69"/>
      <w:bookmarkEnd w:id="70"/>
      <w:bookmarkEnd w:id="71"/>
    </w:p>
    <w:p w14:paraId="67BBF497">
      <w:pPr>
        <w:spacing w:line="360" w:lineRule="auto"/>
        <w:jc w:val="center"/>
        <w:outlineLvl w:val="0"/>
        <w:rPr>
          <w:rFonts w:cs="宋体" w:asciiTheme="minorEastAsia" w:hAnsiTheme="minorEastAsia" w:eastAsiaTheme="minorEastAsia"/>
          <w:color w:val="auto"/>
          <w:sz w:val="24"/>
          <w:highlight w:val="none"/>
          <w:u w:val="single"/>
        </w:rPr>
      </w:pPr>
      <w:bookmarkStart w:id="72" w:name="_Toc16729"/>
      <w:bookmarkStart w:id="73" w:name="_Toc24251"/>
      <w:bookmarkStart w:id="74" w:name="_Toc15935"/>
      <w:bookmarkStart w:id="75" w:name="_Toc273"/>
      <w:bookmarkStart w:id="76" w:name="_Toc22710"/>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bookmarkEnd w:id="72"/>
      <w:bookmarkEnd w:id="73"/>
      <w:bookmarkEnd w:id="74"/>
      <w:bookmarkEnd w:id="75"/>
      <w:bookmarkEnd w:id="76"/>
    </w:p>
    <w:p w14:paraId="35306C16">
      <w:pPr>
        <w:spacing w:line="360" w:lineRule="auto"/>
        <w:ind w:left="0" w:leftChars="0" w:firstLine="1999" w:firstLineChars="833"/>
        <w:jc w:val="both"/>
        <w:outlineLvl w:val="0"/>
        <w:rPr>
          <w:rFonts w:cs="宋体" w:asciiTheme="minorEastAsia" w:hAnsiTheme="minorEastAsia" w:eastAsiaTheme="minorEastAsia"/>
          <w:color w:val="auto"/>
          <w:sz w:val="24"/>
          <w:highlight w:val="none"/>
        </w:rPr>
      </w:pPr>
      <w:bookmarkStart w:id="77" w:name="_Toc8692"/>
      <w:bookmarkStart w:id="78" w:name="_Toc6022"/>
      <w:bookmarkStart w:id="79" w:name="_Toc24718"/>
      <w:bookmarkStart w:id="80" w:name="_Toc11028"/>
      <w:bookmarkStart w:id="81" w:name="_Toc22871"/>
      <w:r>
        <w:rPr>
          <w:rFonts w:hint="eastAsia" w:cs="宋体" w:asciiTheme="minorEastAsia" w:hAnsiTheme="minorEastAsia" w:eastAsiaTheme="minorEastAsia"/>
          <w:color w:val="auto"/>
          <w:sz w:val="24"/>
          <w:highlight w:val="none"/>
          <w:lang w:eastAsia="zh-CN"/>
        </w:rPr>
        <w:t>日期：</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日</w:t>
      </w:r>
      <w:bookmarkEnd w:id="77"/>
      <w:bookmarkEnd w:id="78"/>
      <w:bookmarkEnd w:id="79"/>
      <w:bookmarkEnd w:id="80"/>
      <w:bookmarkEnd w:id="81"/>
    </w:p>
    <w:p w14:paraId="050BA6EB">
      <w:pPr>
        <w:spacing w:line="520" w:lineRule="exact"/>
        <w:jc w:val="center"/>
        <w:textAlignment w:val="center"/>
        <w:rPr>
          <w:rFonts w:cs="宋体" w:asciiTheme="minorEastAsia" w:hAnsiTheme="minorEastAsia" w:eastAsiaTheme="minorEastAsia"/>
          <w:b/>
          <w:bCs/>
          <w:color w:val="auto"/>
          <w:sz w:val="30"/>
          <w:szCs w:val="30"/>
          <w:highlight w:val="none"/>
        </w:rPr>
      </w:pPr>
      <w:r>
        <w:rPr>
          <w:rFonts w:asciiTheme="minorEastAsia" w:hAnsiTheme="minorEastAsia" w:eastAsiaTheme="minorEastAsia"/>
          <w:color w:val="auto"/>
          <w:sz w:val="24"/>
          <w:szCs w:val="24"/>
          <w:highlight w:val="none"/>
        </w:rPr>
        <w:br w:type="page"/>
      </w:r>
      <w:r>
        <w:rPr>
          <w:rFonts w:hint="eastAsia" w:cs="宋体" w:asciiTheme="minorEastAsia" w:hAnsiTheme="minorEastAsia" w:eastAsiaTheme="minorEastAsia"/>
          <w:b/>
          <w:bCs/>
          <w:color w:val="auto"/>
          <w:sz w:val="30"/>
          <w:szCs w:val="30"/>
          <w:highlight w:val="none"/>
        </w:rPr>
        <w:t xml:space="preserve">目   </w:t>
      </w:r>
      <w:r>
        <w:rPr>
          <w:rFonts w:hint="eastAsia" w:cs="宋体" w:asciiTheme="minorEastAsia" w:hAnsiTheme="minorEastAsia" w:eastAsiaTheme="minorEastAsia"/>
          <w:b/>
          <w:bCs/>
          <w:color w:val="auto"/>
          <w:sz w:val="30"/>
          <w:szCs w:val="30"/>
          <w:highlight w:val="none"/>
        </w:rPr>
        <w:tab/>
      </w:r>
      <w:r>
        <w:rPr>
          <w:rFonts w:hint="eastAsia" w:cs="宋体" w:asciiTheme="minorEastAsia" w:hAnsiTheme="minorEastAsia" w:eastAsiaTheme="minorEastAsia"/>
          <w:b/>
          <w:bCs/>
          <w:color w:val="auto"/>
          <w:sz w:val="30"/>
          <w:szCs w:val="30"/>
          <w:highlight w:val="none"/>
        </w:rPr>
        <w:t>录</w:t>
      </w:r>
    </w:p>
    <w:p w14:paraId="0E72FF72">
      <w:pPr>
        <w:spacing w:line="520" w:lineRule="exact"/>
        <w:ind w:firstLine="240" w:firstLineChars="100"/>
        <w:textAlignment w:val="center"/>
        <w:rPr>
          <w:rFonts w:asciiTheme="minorEastAsia" w:hAnsiTheme="minorEastAsia" w:eastAsiaTheme="minorEastAsia"/>
          <w:color w:val="auto"/>
          <w:sz w:val="24"/>
          <w:szCs w:val="24"/>
          <w:highlight w:val="none"/>
        </w:rPr>
      </w:pPr>
    </w:p>
    <w:p w14:paraId="77A98812">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82" w:name="_Toc28972"/>
      <w:bookmarkStart w:id="83" w:name="_Toc4573"/>
      <w:bookmarkStart w:id="84" w:name="_Toc27724"/>
      <w:bookmarkStart w:id="85" w:name="_Toc6370"/>
      <w:bookmarkStart w:id="86" w:name="_Toc28965"/>
      <w:r>
        <w:rPr>
          <w:rFonts w:hint="eastAsia" w:cs="宋体" w:asciiTheme="minorEastAsia" w:hAnsiTheme="minorEastAsia" w:eastAsiaTheme="minorEastAsia"/>
          <w:color w:val="auto"/>
          <w:sz w:val="24"/>
          <w:highlight w:val="none"/>
        </w:rPr>
        <w:t>一、磋商函及磋商函附录</w:t>
      </w:r>
      <w:bookmarkEnd w:id="82"/>
      <w:bookmarkEnd w:id="83"/>
      <w:bookmarkEnd w:id="84"/>
      <w:bookmarkEnd w:id="85"/>
      <w:bookmarkEnd w:id="86"/>
    </w:p>
    <w:p w14:paraId="09B62DCD">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87" w:name="_Toc24563"/>
      <w:bookmarkStart w:id="88" w:name="_Toc31353"/>
      <w:bookmarkStart w:id="89" w:name="_Toc31584"/>
      <w:bookmarkStart w:id="90" w:name="_Toc32153"/>
      <w:bookmarkStart w:id="91" w:name="_Toc1810"/>
      <w:r>
        <w:rPr>
          <w:rFonts w:hint="eastAsia" w:cs="宋体" w:asciiTheme="minorEastAsia" w:hAnsiTheme="minorEastAsia" w:eastAsiaTheme="minorEastAsia"/>
          <w:color w:val="auto"/>
          <w:sz w:val="24"/>
          <w:highlight w:val="none"/>
        </w:rPr>
        <w:t>二、法定代表人身份证明</w:t>
      </w:r>
      <w:bookmarkEnd w:id="87"/>
      <w:bookmarkEnd w:id="88"/>
      <w:bookmarkEnd w:id="89"/>
      <w:bookmarkEnd w:id="90"/>
      <w:bookmarkEnd w:id="91"/>
    </w:p>
    <w:p w14:paraId="1D6307FD">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92" w:name="_Toc23528"/>
      <w:bookmarkStart w:id="93" w:name="_Toc5239"/>
      <w:bookmarkStart w:id="94" w:name="_Toc4349"/>
      <w:bookmarkStart w:id="95" w:name="_Toc20097"/>
      <w:bookmarkStart w:id="96" w:name="_Toc32438"/>
      <w:r>
        <w:rPr>
          <w:rFonts w:hint="eastAsia" w:cs="宋体" w:asciiTheme="minorEastAsia" w:hAnsiTheme="minorEastAsia" w:eastAsiaTheme="minorEastAsia"/>
          <w:color w:val="auto"/>
          <w:sz w:val="24"/>
          <w:highlight w:val="none"/>
        </w:rPr>
        <w:t>三、授权委托书</w:t>
      </w:r>
      <w:bookmarkEnd w:id="92"/>
      <w:bookmarkEnd w:id="93"/>
      <w:bookmarkEnd w:id="94"/>
      <w:bookmarkEnd w:id="95"/>
      <w:bookmarkEnd w:id="96"/>
    </w:p>
    <w:p w14:paraId="009540A0">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97" w:name="_Toc28263"/>
      <w:bookmarkStart w:id="98" w:name="_Toc5243"/>
      <w:bookmarkStart w:id="99" w:name="_Toc19589"/>
      <w:bookmarkStart w:id="100" w:name="_Toc14561"/>
      <w:bookmarkStart w:id="101" w:name="_Toc7394"/>
      <w:r>
        <w:rPr>
          <w:rFonts w:hint="eastAsia" w:cs="宋体" w:asciiTheme="minorEastAsia" w:hAnsiTheme="minorEastAsia" w:eastAsiaTheme="minorEastAsia"/>
          <w:color w:val="auto"/>
          <w:sz w:val="24"/>
          <w:highlight w:val="none"/>
        </w:rPr>
        <w:t>四、磋商承诺函</w:t>
      </w:r>
      <w:bookmarkEnd w:id="97"/>
      <w:bookmarkEnd w:id="98"/>
      <w:bookmarkEnd w:id="99"/>
      <w:bookmarkEnd w:id="100"/>
      <w:bookmarkEnd w:id="101"/>
    </w:p>
    <w:p w14:paraId="4622E87E">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五、资格审查资料</w:t>
      </w:r>
    </w:p>
    <w:p w14:paraId="6F16ED49">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六、技术部分</w:t>
      </w:r>
    </w:p>
    <w:p w14:paraId="14A21D0E">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 xml:space="preserve">七、商务部分 </w:t>
      </w:r>
    </w:p>
    <w:p w14:paraId="75E8CC44">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八、其他资料</w:t>
      </w:r>
    </w:p>
    <w:p w14:paraId="34446766">
      <w:pPr>
        <w:spacing w:line="500" w:lineRule="exact"/>
        <w:ind w:firstLine="480" w:firstLineChars="200"/>
        <w:rPr>
          <w:rFonts w:hint="eastAsia" w:cs="宋体" w:asciiTheme="minorEastAsia" w:hAnsiTheme="minorEastAsia" w:eastAsiaTheme="minorEastAsia"/>
          <w:bCs/>
          <w:color w:val="auto"/>
          <w:sz w:val="24"/>
          <w:highlight w:val="none"/>
        </w:rPr>
      </w:pPr>
    </w:p>
    <w:p w14:paraId="38B49948">
      <w:pPr>
        <w:spacing w:line="0" w:lineRule="atLeast"/>
        <w:jc w:val="center"/>
        <w:rPr>
          <w:rFonts w:cs="宋体" w:asciiTheme="minorEastAsia" w:hAnsiTheme="minorEastAsia" w:eastAsiaTheme="minorEastAsia"/>
          <w:b/>
          <w:bCs/>
          <w:color w:val="auto"/>
          <w:sz w:val="24"/>
          <w:highlight w:val="none"/>
        </w:rPr>
      </w:pPr>
      <w:r>
        <w:rPr>
          <w:rFonts w:asciiTheme="minorEastAsia" w:hAnsiTheme="minorEastAsia" w:eastAsiaTheme="minorEastAsia"/>
          <w:color w:val="auto"/>
          <w:sz w:val="24"/>
          <w:szCs w:val="24"/>
          <w:highlight w:val="none"/>
        </w:rPr>
        <w:br w:type="page"/>
      </w:r>
    </w:p>
    <w:p w14:paraId="181282B1">
      <w:pPr>
        <w:spacing w:line="0" w:lineRule="atLeast"/>
        <w:jc w:val="center"/>
        <w:outlineLvl w:val="0"/>
        <w:rPr>
          <w:rFonts w:cs="宋体" w:asciiTheme="minorEastAsia" w:hAnsiTheme="minorEastAsia" w:eastAsiaTheme="minorEastAsia"/>
          <w:b/>
          <w:bCs/>
          <w:color w:val="auto"/>
          <w:sz w:val="30"/>
          <w:szCs w:val="30"/>
          <w:highlight w:val="none"/>
        </w:rPr>
      </w:pPr>
      <w:bookmarkStart w:id="102" w:name="_Toc8764"/>
      <w:bookmarkStart w:id="103" w:name="_Toc9992"/>
      <w:bookmarkStart w:id="104" w:name="_Toc16807"/>
      <w:bookmarkStart w:id="105" w:name="_Toc21074"/>
      <w:bookmarkStart w:id="106" w:name="_Toc11316"/>
      <w:bookmarkStart w:id="107" w:name="_Toc24483"/>
      <w:r>
        <w:rPr>
          <w:rFonts w:hint="eastAsia" w:cs="宋体" w:asciiTheme="minorEastAsia" w:hAnsiTheme="minorEastAsia" w:eastAsiaTheme="minorEastAsia"/>
          <w:b/>
          <w:bCs/>
          <w:color w:val="auto"/>
          <w:sz w:val="30"/>
          <w:szCs w:val="30"/>
          <w:highlight w:val="none"/>
        </w:rPr>
        <w:t>一、磋商函及磋商函附录</w:t>
      </w:r>
      <w:bookmarkEnd w:id="102"/>
      <w:bookmarkEnd w:id="103"/>
      <w:bookmarkEnd w:id="104"/>
      <w:bookmarkEnd w:id="105"/>
      <w:bookmarkEnd w:id="106"/>
      <w:bookmarkEnd w:id="107"/>
    </w:p>
    <w:p w14:paraId="5AB7464B">
      <w:pPr>
        <w:spacing w:line="0" w:lineRule="atLeast"/>
        <w:jc w:val="center"/>
        <w:rPr>
          <w:rFonts w:cs="宋体" w:asciiTheme="minorEastAsia" w:hAnsiTheme="minorEastAsia" w:eastAsiaTheme="minorEastAsia"/>
          <w:b/>
          <w:bCs/>
          <w:color w:val="auto"/>
          <w:sz w:val="24"/>
          <w:highlight w:val="none"/>
        </w:rPr>
      </w:pPr>
    </w:p>
    <w:p w14:paraId="77F69985">
      <w:pPr>
        <w:spacing w:line="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（一）磋商函</w:t>
      </w:r>
    </w:p>
    <w:p w14:paraId="08313A3F">
      <w:pPr>
        <w:spacing w:line="440" w:lineRule="exact"/>
        <w:rPr>
          <w:rFonts w:cs="宋体" w:asciiTheme="minorEastAsia" w:hAnsiTheme="minorEastAsia" w:eastAsiaTheme="minorEastAsia"/>
          <w:color w:val="auto"/>
          <w:sz w:val="24"/>
          <w:highlight w:val="none"/>
        </w:rPr>
      </w:pPr>
    </w:p>
    <w:p w14:paraId="50044432">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lang w:val="en-US" w:eastAsia="zh-CN"/>
        </w:rPr>
        <w:t xml:space="preserve"> </w:t>
      </w:r>
    </w:p>
    <w:p w14:paraId="5C08F34A">
      <w:pPr>
        <w:spacing w:line="46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根据已收到贵方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（项目名称）磋商文件的全部内容，遵照《中华人民共和国政府采购法》等有关规定，我单位经研究上述磋商文件及其它有关文件后，我方愿 以人民币（</w:t>
      </w:r>
      <w:r>
        <w:rPr>
          <w:rFonts w:hint="eastAsia" w:cs="宋体" w:asciiTheme="minorEastAsia" w:hAnsiTheme="minorEastAsia" w:eastAsiaTheme="minorEastAsia"/>
          <w:color w:val="auto"/>
          <w:sz w:val="24"/>
          <w:highlight w:val="none"/>
          <w:u w:val="none"/>
          <w:lang w:val="en-US" w:eastAsia="zh-CN"/>
        </w:rPr>
        <w:t>大写：</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（小写：</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 xml:space="preserve">¥元）的磋商报价（该磋商报价为“磋商函附录”中各项目价格的合计），承包上述项目的采购。 </w:t>
      </w:r>
    </w:p>
    <w:p w14:paraId="2B047141">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 xml:space="preserve">1、 我方已详细审阅全部磋商文件，包括修改文件（如有）及有关附件，我方完全知道必须放弃提出含糊不清或误解的权力。 </w:t>
      </w:r>
    </w:p>
    <w:p w14:paraId="40085AFA">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 一旦我方中标，我们将按照磋商文件中规定的各项要求和我们的响应文件中的表述和承诺，按期、按质、按量完成中标义务。</w:t>
      </w:r>
    </w:p>
    <w:p w14:paraId="7A7C2CA3">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 xml:space="preserve">3、 我方愿在中标后向采购代理机构交纳代理费以及相关费用。 </w:t>
      </w:r>
    </w:p>
    <w:p w14:paraId="15F2A25F">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 我方同意所递交的响应文件在规定的投标有效期</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 xml:space="preserve">日历天内有效，在此期间我方投标有可能中标，我方将受此约束。 </w:t>
      </w:r>
    </w:p>
    <w:p w14:paraId="07B00A0A">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5、除非另外达成协议并生效，贵方的成交通知书和本响应文件将构成约束我们双方的合同。</w:t>
      </w:r>
    </w:p>
    <w:p w14:paraId="65453126">
      <w:pPr>
        <w:spacing w:line="460" w:lineRule="exact"/>
        <w:ind w:firstLine="3840" w:firstLineChars="1600"/>
        <w:rPr>
          <w:rFonts w:cs="宋体" w:asciiTheme="minorEastAsia" w:hAnsiTheme="minorEastAsia" w:eastAsiaTheme="minorEastAsia"/>
          <w:color w:val="auto"/>
          <w:sz w:val="24"/>
          <w:highlight w:val="none"/>
        </w:rPr>
      </w:pPr>
    </w:p>
    <w:p w14:paraId="0D28883B">
      <w:pPr>
        <w:spacing w:line="460" w:lineRule="exact"/>
        <w:ind w:firstLine="3840" w:firstLineChars="1600"/>
        <w:rPr>
          <w:rFonts w:cs="宋体" w:asciiTheme="minorEastAsia" w:hAnsiTheme="minorEastAsia" w:eastAsiaTheme="minorEastAsia"/>
          <w:color w:val="auto"/>
          <w:sz w:val="24"/>
          <w:highlight w:val="none"/>
        </w:rPr>
      </w:pPr>
    </w:p>
    <w:p w14:paraId="2AA47067">
      <w:pPr>
        <w:spacing w:line="700" w:lineRule="exact"/>
        <w:ind w:left="0" w:leftChars="0" w:right="480" w:firstLine="4200" w:firstLineChars="17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30E3600A">
      <w:pPr>
        <w:wordWrap w:val="0"/>
        <w:spacing w:line="700" w:lineRule="exact"/>
        <w:ind w:firstLine="54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5E41F421">
      <w:pPr>
        <w:spacing w:line="700" w:lineRule="exact"/>
        <w:ind w:left="0" w:leftChars="0" w:right="480" w:firstLine="4200" w:firstLineChars="175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期：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14:paraId="7166775C">
      <w:pPr>
        <w:rPr>
          <w:rFonts w:cs="宋体" w:asciiTheme="minorEastAsia" w:hAnsiTheme="minorEastAsia" w:eastAsiaTheme="minorEastAsia"/>
          <w:color w:val="auto"/>
          <w:sz w:val="24"/>
          <w:highlight w:val="none"/>
        </w:rPr>
        <w:sectPr>
          <w:headerReference r:id="rId6" w:type="default"/>
          <w:footerReference r:id="rId7" w:type="default"/>
          <w:pgSz w:w="11900" w:h="16838"/>
          <w:pgMar w:top="1417" w:right="1417" w:bottom="1417" w:left="1417" w:header="720" w:footer="720" w:gutter="0"/>
          <w:pgBorders>
            <w:top w:val="none" w:sz="0" w:space="0"/>
            <w:left w:val="none" w:sz="0" w:space="0"/>
            <w:bottom w:val="none" w:sz="0" w:space="0"/>
            <w:right w:val="none" w:sz="0" w:space="0"/>
          </w:pgBorders>
          <w:pgNumType w:fmt="decimal" w:start="1"/>
          <w:cols w:space="720" w:num="1"/>
          <w:docGrid w:type="lines" w:linePitch="360" w:charSpace="0"/>
        </w:sectPr>
      </w:pPr>
    </w:p>
    <w:p w14:paraId="6D7B9C41">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bookmarkStart w:id="108" w:name="page58"/>
      <w:bookmarkEnd w:id="108"/>
      <w:r>
        <w:rPr>
          <w:rFonts w:hint="eastAsia" w:cs="宋体" w:asciiTheme="minorEastAsia" w:hAnsiTheme="minorEastAsia" w:eastAsiaTheme="minorEastAsia"/>
          <w:b/>
          <w:bCs/>
          <w:color w:val="auto"/>
          <w:sz w:val="30"/>
          <w:szCs w:val="30"/>
          <w:highlight w:val="none"/>
        </w:rPr>
        <w:t>（二）磋商函附录（第一次报价）</w:t>
      </w:r>
    </w:p>
    <w:tbl>
      <w:tblPr>
        <w:tblStyle w:val="1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707"/>
        <w:gridCol w:w="1044"/>
        <w:gridCol w:w="3838"/>
      </w:tblGrid>
      <w:tr w14:paraId="1CC4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F79D818">
            <w:pPr>
              <w:spacing w:line="331"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项目名称</w:t>
            </w:r>
          </w:p>
        </w:tc>
        <w:tc>
          <w:tcPr>
            <w:tcW w:w="6589" w:type="dxa"/>
            <w:gridSpan w:val="3"/>
            <w:tcBorders>
              <w:top w:val="single" w:color="auto" w:sz="4" w:space="0"/>
              <w:left w:val="nil"/>
              <w:bottom w:val="single" w:color="auto" w:sz="4" w:space="0"/>
              <w:right w:val="single" w:color="auto" w:sz="4" w:space="0"/>
            </w:tcBorders>
            <w:vAlign w:val="center"/>
          </w:tcPr>
          <w:p w14:paraId="1EFB5173">
            <w:pPr>
              <w:spacing w:line="331" w:lineRule="exact"/>
              <w:jc w:val="center"/>
              <w:rPr>
                <w:rFonts w:cs="宋体" w:asciiTheme="minorEastAsia" w:hAnsiTheme="minorEastAsia" w:eastAsiaTheme="minorEastAsia"/>
                <w:color w:val="auto"/>
                <w:kern w:val="2"/>
                <w:sz w:val="24"/>
                <w:szCs w:val="22"/>
                <w:highlight w:val="none"/>
              </w:rPr>
            </w:pPr>
          </w:p>
        </w:tc>
      </w:tr>
      <w:tr w14:paraId="3B3B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8AF80D9">
            <w:pPr>
              <w:spacing w:line="300"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响应人名称</w:t>
            </w:r>
          </w:p>
        </w:tc>
        <w:tc>
          <w:tcPr>
            <w:tcW w:w="6589" w:type="dxa"/>
            <w:gridSpan w:val="3"/>
            <w:tcBorders>
              <w:top w:val="single" w:color="auto" w:sz="4" w:space="0"/>
              <w:left w:val="nil"/>
              <w:bottom w:val="single" w:color="auto" w:sz="4" w:space="0"/>
              <w:right w:val="single" w:color="auto" w:sz="4" w:space="0"/>
            </w:tcBorders>
            <w:vAlign w:val="center"/>
          </w:tcPr>
          <w:p w14:paraId="641DD417">
            <w:pPr>
              <w:spacing w:line="300" w:lineRule="exact"/>
              <w:jc w:val="center"/>
              <w:rPr>
                <w:rFonts w:cs="宋体" w:asciiTheme="minorEastAsia" w:hAnsiTheme="minorEastAsia" w:eastAsiaTheme="minorEastAsia"/>
                <w:color w:val="auto"/>
                <w:kern w:val="2"/>
                <w:sz w:val="24"/>
                <w:szCs w:val="22"/>
                <w:highlight w:val="none"/>
              </w:rPr>
            </w:pPr>
          </w:p>
        </w:tc>
      </w:tr>
      <w:tr w14:paraId="1B38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CB803DE">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法定代表人姓名</w:t>
            </w:r>
          </w:p>
        </w:tc>
        <w:tc>
          <w:tcPr>
            <w:tcW w:w="6589" w:type="dxa"/>
            <w:gridSpan w:val="3"/>
            <w:tcBorders>
              <w:top w:val="single" w:color="auto" w:sz="4" w:space="0"/>
              <w:left w:val="nil"/>
              <w:bottom w:val="single" w:color="auto" w:sz="4" w:space="0"/>
              <w:right w:val="single" w:color="auto" w:sz="4" w:space="0"/>
            </w:tcBorders>
            <w:vAlign w:val="center"/>
          </w:tcPr>
          <w:p w14:paraId="10177F7C">
            <w:pPr>
              <w:spacing w:line="300" w:lineRule="exact"/>
              <w:jc w:val="center"/>
              <w:rPr>
                <w:rFonts w:cs="宋体" w:asciiTheme="minorEastAsia" w:hAnsiTheme="minorEastAsia" w:eastAsiaTheme="minorEastAsia"/>
                <w:color w:val="auto"/>
                <w:kern w:val="2"/>
                <w:sz w:val="24"/>
                <w:szCs w:val="22"/>
                <w:highlight w:val="none"/>
              </w:rPr>
            </w:pPr>
          </w:p>
        </w:tc>
      </w:tr>
      <w:tr w14:paraId="6F06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D369AB6">
            <w:pPr>
              <w:spacing w:line="300" w:lineRule="exact"/>
              <w:ind w:right="-239"/>
              <w:jc w:val="both"/>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lang w:eastAsia="zh-CN"/>
              </w:rPr>
              <w:t>统一社会信用代码</w:t>
            </w:r>
          </w:p>
        </w:tc>
        <w:tc>
          <w:tcPr>
            <w:tcW w:w="6589" w:type="dxa"/>
            <w:gridSpan w:val="3"/>
            <w:tcBorders>
              <w:top w:val="single" w:color="auto" w:sz="4" w:space="0"/>
              <w:left w:val="nil"/>
              <w:bottom w:val="single" w:color="auto" w:sz="4" w:space="0"/>
              <w:right w:val="single" w:color="auto" w:sz="4" w:space="0"/>
            </w:tcBorders>
            <w:vAlign w:val="center"/>
          </w:tcPr>
          <w:p w14:paraId="040B48FD">
            <w:pPr>
              <w:spacing w:line="300" w:lineRule="exact"/>
              <w:jc w:val="center"/>
              <w:rPr>
                <w:rFonts w:cs="宋体" w:asciiTheme="minorEastAsia" w:hAnsiTheme="minorEastAsia" w:eastAsiaTheme="minorEastAsia"/>
                <w:color w:val="auto"/>
                <w:kern w:val="2"/>
                <w:sz w:val="24"/>
                <w:szCs w:val="22"/>
                <w:highlight w:val="none"/>
              </w:rPr>
            </w:pPr>
          </w:p>
        </w:tc>
      </w:tr>
      <w:tr w14:paraId="4B5B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C9CBB72">
            <w:pPr>
              <w:spacing w:line="300" w:lineRule="exact"/>
              <w:ind w:right="-239"/>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rPr>
              <w:t>项目</w:t>
            </w:r>
            <w:r>
              <w:rPr>
                <w:rFonts w:hint="eastAsia" w:cs="宋体" w:asciiTheme="minorEastAsia" w:hAnsiTheme="minorEastAsia" w:eastAsiaTheme="minorEastAsia"/>
                <w:color w:val="auto"/>
                <w:spacing w:val="-1"/>
                <w:kern w:val="2"/>
                <w:sz w:val="24"/>
                <w:szCs w:val="22"/>
                <w:highlight w:val="none"/>
                <w:lang w:val="en-US" w:eastAsia="zh-CN"/>
              </w:rPr>
              <w:t>负责人</w:t>
            </w:r>
          </w:p>
        </w:tc>
        <w:tc>
          <w:tcPr>
            <w:tcW w:w="1707" w:type="dxa"/>
            <w:tcBorders>
              <w:top w:val="single" w:color="auto" w:sz="4" w:space="0"/>
              <w:left w:val="nil"/>
              <w:bottom w:val="single" w:color="auto" w:sz="4" w:space="0"/>
              <w:right w:val="single" w:color="auto" w:sz="4" w:space="0"/>
            </w:tcBorders>
            <w:vAlign w:val="center"/>
          </w:tcPr>
          <w:p w14:paraId="1AB3CF74">
            <w:pPr>
              <w:spacing w:line="300" w:lineRule="exact"/>
              <w:jc w:val="center"/>
              <w:rPr>
                <w:rFonts w:cs="宋体" w:asciiTheme="minorEastAsia" w:hAnsiTheme="minorEastAsia" w:eastAsiaTheme="minorEastAsia"/>
                <w:color w:val="auto"/>
                <w:kern w:val="2"/>
                <w:sz w:val="24"/>
                <w:szCs w:val="22"/>
                <w:highlight w:val="none"/>
              </w:rPr>
            </w:pPr>
          </w:p>
        </w:tc>
        <w:tc>
          <w:tcPr>
            <w:tcW w:w="1044" w:type="dxa"/>
            <w:tcBorders>
              <w:top w:val="single" w:color="auto" w:sz="4" w:space="0"/>
              <w:left w:val="nil"/>
              <w:bottom w:val="single" w:color="auto" w:sz="4" w:space="0"/>
              <w:right w:val="single" w:color="auto" w:sz="4" w:space="0"/>
            </w:tcBorders>
            <w:vAlign w:val="center"/>
          </w:tcPr>
          <w:p w14:paraId="396732A2">
            <w:pPr>
              <w:spacing w:line="300" w:lineRule="exact"/>
              <w:ind w:right="-239"/>
              <w:jc w:val="both"/>
              <w:rPr>
                <w:rFonts w:hint="default" w:cs="宋体" w:asciiTheme="minorEastAsia" w:hAnsiTheme="minorEastAsia" w:eastAsiaTheme="minorEastAsia"/>
                <w:color w:val="auto"/>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联系电话</w:t>
            </w:r>
          </w:p>
        </w:tc>
        <w:tc>
          <w:tcPr>
            <w:tcW w:w="3838" w:type="dxa"/>
            <w:tcBorders>
              <w:top w:val="single" w:color="auto" w:sz="4" w:space="0"/>
              <w:left w:val="nil"/>
              <w:bottom w:val="single" w:color="auto" w:sz="4" w:space="0"/>
              <w:right w:val="single" w:color="auto" w:sz="4" w:space="0"/>
            </w:tcBorders>
            <w:vAlign w:val="center"/>
          </w:tcPr>
          <w:p w14:paraId="229AAA95">
            <w:pPr>
              <w:spacing w:line="300" w:lineRule="exact"/>
              <w:jc w:val="center"/>
              <w:rPr>
                <w:rFonts w:cs="宋体" w:asciiTheme="minorEastAsia" w:hAnsiTheme="minorEastAsia" w:eastAsiaTheme="minorEastAsia"/>
                <w:color w:val="auto"/>
                <w:kern w:val="2"/>
                <w:sz w:val="24"/>
                <w:szCs w:val="22"/>
                <w:highlight w:val="none"/>
              </w:rPr>
            </w:pPr>
          </w:p>
        </w:tc>
      </w:tr>
      <w:tr w14:paraId="4722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837B82E">
            <w:pPr>
              <w:spacing w:line="295" w:lineRule="exact"/>
              <w:ind w:right="-239"/>
              <w:jc w:val="center"/>
              <w:rPr>
                <w:rFonts w:hint="default" w:cs="宋体" w:asciiTheme="minorEastAsia" w:hAnsiTheme="minorEastAsia" w:eastAsiaTheme="minorEastAsia"/>
                <w:color w:val="auto"/>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供货期限</w:t>
            </w:r>
          </w:p>
        </w:tc>
        <w:tc>
          <w:tcPr>
            <w:tcW w:w="6589" w:type="dxa"/>
            <w:gridSpan w:val="3"/>
            <w:tcBorders>
              <w:top w:val="single" w:color="auto" w:sz="4" w:space="0"/>
              <w:left w:val="nil"/>
              <w:bottom w:val="single" w:color="auto" w:sz="4" w:space="0"/>
              <w:right w:val="single" w:color="auto" w:sz="4" w:space="0"/>
            </w:tcBorders>
            <w:vAlign w:val="center"/>
          </w:tcPr>
          <w:p w14:paraId="228B2122">
            <w:pPr>
              <w:spacing w:line="295" w:lineRule="exact"/>
              <w:jc w:val="center"/>
              <w:rPr>
                <w:rFonts w:cs="宋体" w:asciiTheme="minorEastAsia" w:hAnsiTheme="minorEastAsia" w:eastAsiaTheme="minorEastAsia"/>
                <w:color w:val="auto"/>
                <w:kern w:val="2"/>
                <w:sz w:val="24"/>
                <w:szCs w:val="22"/>
                <w:highlight w:val="none"/>
                <w:u w:val="single"/>
              </w:rPr>
            </w:pPr>
          </w:p>
        </w:tc>
      </w:tr>
      <w:tr w14:paraId="2F81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6D61CF5">
            <w:pPr>
              <w:spacing w:line="295" w:lineRule="exact"/>
              <w:ind w:right="-239"/>
              <w:jc w:val="center"/>
              <w:rPr>
                <w:rFonts w:hint="default" w:cs="宋体" w:asciiTheme="minorEastAsia" w:hAnsiTheme="minorEastAsia" w:eastAsiaTheme="minorEastAsia"/>
                <w:color w:val="auto"/>
                <w:spacing w:val="-1"/>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供货地点</w:t>
            </w:r>
          </w:p>
        </w:tc>
        <w:tc>
          <w:tcPr>
            <w:tcW w:w="6589" w:type="dxa"/>
            <w:gridSpan w:val="3"/>
            <w:tcBorders>
              <w:top w:val="single" w:color="auto" w:sz="4" w:space="0"/>
              <w:left w:val="nil"/>
              <w:bottom w:val="single" w:color="auto" w:sz="4" w:space="0"/>
              <w:right w:val="single" w:color="auto" w:sz="4" w:space="0"/>
            </w:tcBorders>
            <w:vAlign w:val="center"/>
          </w:tcPr>
          <w:p w14:paraId="5FE261F3">
            <w:pPr>
              <w:spacing w:line="295" w:lineRule="exact"/>
              <w:jc w:val="center"/>
              <w:rPr>
                <w:rFonts w:cs="宋体" w:asciiTheme="minorEastAsia" w:hAnsiTheme="minorEastAsia" w:eastAsiaTheme="minorEastAsia"/>
                <w:color w:val="auto"/>
                <w:kern w:val="2"/>
                <w:sz w:val="24"/>
                <w:szCs w:val="22"/>
                <w:highlight w:val="none"/>
                <w:u w:val="single"/>
              </w:rPr>
            </w:pPr>
          </w:p>
        </w:tc>
      </w:tr>
      <w:tr w14:paraId="45E8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37DC6E4">
            <w:pPr>
              <w:spacing w:line="240" w:lineRule="exact"/>
              <w:ind w:left="1164" w:right="-239"/>
              <w:jc w:val="center"/>
              <w:rPr>
                <w:rFonts w:cs="宋体" w:asciiTheme="minorEastAsia" w:hAnsiTheme="minorEastAsia" w:eastAsiaTheme="minorEastAsia"/>
                <w:color w:val="auto"/>
                <w:kern w:val="2"/>
                <w:sz w:val="24"/>
                <w:szCs w:val="22"/>
                <w:highlight w:val="none"/>
              </w:rPr>
            </w:pPr>
          </w:p>
          <w:p w14:paraId="6BA8B48E">
            <w:pPr>
              <w:spacing w:line="30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磋商总报价</w:t>
            </w:r>
          </w:p>
        </w:tc>
        <w:tc>
          <w:tcPr>
            <w:tcW w:w="6589" w:type="dxa"/>
            <w:gridSpan w:val="3"/>
            <w:tcBorders>
              <w:top w:val="single" w:color="auto" w:sz="4" w:space="0"/>
              <w:left w:val="nil"/>
              <w:bottom w:val="single" w:color="auto" w:sz="4" w:space="0"/>
              <w:right w:val="single" w:color="auto" w:sz="4" w:space="0"/>
            </w:tcBorders>
            <w:vAlign w:val="center"/>
          </w:tcPr>
          <w:p w14:paraId="65C1CAC0">
            <w:pPr>
              <w:spacing w:line="240" w:lineRule="exact"/>
              <w:ind w:left="108" w:right="-239"/>
              <w:jc w:val="center"/>
              <w:rPr>
                <w:rFonts w:cs="宋体" w:asciiTheme="minorEastAsia" w:hAnsiTheme="minorEastAsia" w:eastAsiaTheme="minorEastAsia"/>
                <w:color w:val="auto"/>
                <w:kern w:val="2"/>
                <w:sz w:val="24"/>
                <w:szCs w:val="22"/>
                <w:highlight w:val="none"/>
              </w:rPr>
            </w:pPr>
          </w:p>
          <w:p w14:paraId="49489D60">
            <w:pPr>
              <w:spacing w:line="307" w:lineRule="exact"/>
              <w:ind w:right="-239"/>
              <w:rPr>
                <w:rFonts w:hint="eastAsia"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大写：</w:t>
            </w:r>
          </w:p>
          <w:p w14:paraId="0466EA9C">
            <w:pPr>
              <w:pStyle w:val="15"/>
              <w:ind w:left="0" w:leftChars="0" w:firstLine="0" w:firstLineChars="0"/>
            </w:pPr>
            <w:r>
              <w:rPr>
                <w:rFonts w:hint="eastAsia" w:cs="宋体" w:asciiTheme="minorEastAsia" w:hAnsiTheme="minorEastAsia" w:eastAsiaTheme="minorEastAsia"/>
                <w:color w:val="auto"/>
                <w:kern w:val="2"/>
                <w:sz w:val="24"/>
                <w:szCs w:val="22"/>
                <w:highlight w:val="none"/>
              </w:rPr>
              <w:t>小写：</w:t>
            </w:r>
          </w:p>
        </w:tc>
      </w:tr>
      <w:tr w14:paraId="7427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F22B0E0">
            <w:pPr>
              <w:spacing w:line="38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质量要求</w:t>
            </w:r>
          </w:p>
        </w:tc>
        <w:tc>
          <w:tcPr>
            <w:tcW w:w="6589" w:type="dxa"/>
            <w:gridSpan w:val="3"/>
            <w:tcBorders>
              <w:top w:val="single" w:color="auto" w:sz="4" w:space="0"/>
              <w:left w:val="nil"/>
              <w:bottom w:val="single" w:color="auto" w:sz="4" w:space="0"/>
              <w:right w:val="single" w:color="auto" w:sz="4" w:space="0"/>
            </w:tcBorders>
            <w:vAlign w:val="center"/>
          </w:tcPr>
          <w:p w14:paraId="41980A69">
            <w:pPr>
              <w:spacing w:line="387" w:lineRule="exact"/>
              <w:jc w:val="center"/>
              <w:rPr>
                <w:rFonts w:cs="宋体" w:asciiTheme="minorEastAsia" w:hAnsiTheme="minorEastAsia" w:eastAsiaTheme="minorEastAsia"/>
                <w:color w:val="auto"/>
                <w:kern w:val="2"/>
                <w:sz w:val="24"/>
                <w:szCs w:val="22"/>
                <w:highlight w:val="none"/>
                <w:u w:val="single"/>
              </w:rPr>
            </w:pPr>
          </w:p>
        </w:tc>
      </w:tr>
      <w:tr w14:paraId="1DED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DD63C76">
            <w:pPr>
              <w:spacing w:line="387" w:lineRule="exact"/>
              <w:ind w:right="-239"/>
              <w:jc w:val="center"/>
              <w:rPr>
                <w:rFonts w:hint="eastAsia" w:cs="宋体" w:asciiTheme="minorEastAsia" w:hAnsiTheme="minorEastAsia" w:eastAsiaTheme="minorEastAsia"/>
                <w:color w:val="auto"/>
                <w:spacing w:val="-1"/>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质保期</w:t>
            </w:r>
          </w:p>
        </w:tc>
        <w:tc>
          <w:tcPr>
            <w:tcW w:w="6589" w:type="dxa"/>
            <w:gridSpan w:val="3"/>
            <w:tcBorders>
              <w:top w:val="single" w:color="auto" w:sz="4" w:space="0"/>
              <w:left w:val="nil"/>
              <w:bottom w:val="single" w:color="auto" w:sz="4" w:space="0"/>
              <w:right w:val="single" w:color="auto" w:sz="4" w:space="0"/>
            </w:tcBorders>
            <w:vAlign w:val="center"/>
          </w:tcPr>
          <w:p w14:paraId="3BC0DBC2">
            <w:pPr>
              <w:spacing w:line="387" w:lineRule="exact"/>
              <w:jc w:val="center"/>
              <w:rPr>
                <w:rFonts w:cs="宋体" w:asciiTheme="minorEastAsia" w:hAnsiTheme="minorEastAsia" w:eastAsiaTheme="minorEastAsia"/>
                <w:color w:val="auto"/>
                <w:kern w:val="2"/>
                <w:sz w:val="24"/>
                <w:szCs w:val="22"/>
                <w:highlight w:val="none"/>
                <w:u w:val="single"/>
              </w:rPr>
            </w:pPr>
          </w:p>
        </w:tc>
      </w:tr>
      <w:tr w14:paraId="04CC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A482489">
            <w:pPr>
              <w:adjustRightInd w:val="0"/>
              <w:snapToGrid w:val="0"/>
              <w:spacing w:line="400" w:lineRule="exact"/>
              <w:jc w:val="center"/>
              <w:rPr>
                <w:rFonts w:cs="宋体" w:asciiTheme="minorEastAsia" w:hAnsiTheme="minorEastAsia" w:eastAsiaTheme="minorEastAsia"/>
                <w:b/>
                <w:color w:val="auto"/>
                <w:kern w:val="2"/>
                <w:sz w:val="24"/>
                <w:szCs w:val="22"/>
                <w:highlight w:val="none"/>
              </w:rPr>
            </w:pPr>
            <w:r>
              <w:rPr>
                <w:rFonts w:hint="eastAsia" w:cs="宋体" w:asciiTheme="minorEastAsia" w:hAnsiTheme="minorEastAsia" w:eastAsiaTheme="minorEastAsia"/>
                <w:bCs/>
                <w:color w:val="auto"/>
                <w:kern w:val="2"/>
                <w:sz w:val="24"/>
                <w:szCs w:val="22"/>
                <w:highlight w:val="none"/>
              </w:rPr>
              <w:t>备注</w:t>
            </w:r>
          </w:p>
        </w:tc>
        <w:tc>
          <w:tcPr>
            <w:tcW w:w="6589" w:type="dxa"/>
            <w:gridSpan w:val="3"/>
            <w:tcBorders>
              <w:top w:val="single" w:color="auto" w:sz="4" w:space="0"/>
              <w:left w:val="nil"/>
              <w:bottom w:val="single" w:color="auto" w:sz="4" w:space="0"/>
              <w:right w:val="single" w:color="auto" w:sz="4" w:space="0"/>
            </w:tcBorders>
            <w:vAlign w:val="center"/>
          </w:tcPr>
          <w:p w14:paraId="533251FF">
            <w:pPr>
              <w:suppressAutoHyphens/>
              <w:snapToGrid w:val="0"/>
              <w:spacing w:line="400" w:lineRule="exact"/>
              <w:rPr>
                <w:rFonts w:cs="宋体" w:asciiTheme="minorEastAsia" w:hAnsiTheme="minorEastAsia" w:eastAsiaTheme="minorEastAsia"/>
                <w:b/>
                <w:color w:val="auto"/>
                <w:kern w:val="2"/>
                <w:sz w:val="24"/>
                <w:szCs w:val="22"/>
                <w:highlight w:val="none"/>
              </w:rPr>
            </w:pPr>
          </w:p>
        </w:tc>
      </w:tr>
    </w:tbl>
    <w:p w14:paraId="77CB3FD6">
      <w:pPr>
        <w:spacing w:line="44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注：该表中所有空白项均为必填项</w:t>
      </w:r>
      <w:r>
        <w:rPr>
          <w:rFonts w:hint="eastAsia" w:ascii="宋体" w:hAnsi="宋体" w:cs="宋体"/>
          <w:b/>
          <w:bCs/>
          <w:color w:val="auto"/>
          <w:sz w:val="24"/>
          <w:highlight w:val="none"/>
          <w:lang w:eastAsia="zh-CN"/>
        </w:rPr>
        <w:t>；</w:t>
      </w:r>
    </w:p>
    <w:p w14:paraId="4E9DF5F1">
      <w:pPr>
        <w:spacing w:line="440" w:lineRule="exact"/>
        <w:rPr>
          <w:rFonts w:cs="宋体" w:asciiTheme="minorEastAsia" w:hAnsiTheme="minorEastAsia" w:eastAsiaTheme="minorEastAsia"/>
          <w:color w:val="auto"/>
          <w:sz w:val="24"/>
          <w:highlight w:val="none"/>
        </w:rPr>
      </w:pPr>
    </w:p>
    <w:p w14:paraId="22B10D3F">
      <w:pPr>
        <w:spacing w:line="44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2189A84B">
      <w:pPr>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60D26207">
      <w:pPr>
        <w:spacing w:line="700" w:lineRule="exac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日期：   年   月   日 </w:t>
      </w:r>
    </w:p>
    <w:p w14:paraId="39B34701">
      <w:pPr>
        <w:spacing w:line="440" w:lineRule="exact"/>
        <w:jc w:val="center"/>
        <w:outlineLvl w:val="0"/>
        <w:rPr>
          <w:rFonts w:hint="eastAsia" w:cs="宋体" w:asciiTheme="minorEastAsia" w:hAnsiTheme="minorEastAsia" w:eastAsiaTheme="minorEastAsia"/>
          <w:b/>
          <w:bCs/>
          <w:color w:val="auto"/>
          <w:sz w:val="30"/>
          <w:szCs w:val="30"/>
          <w:highlight w:val="none"/>
        </w:rPr>
      </w:pPr>
      <w:bookmarkStart w:id="109" w:name="_Toc6390"/>
    </w:p>
    <w:p w14:paraId="03F6217D">
      <w:pPr>
        <w:spacing w:line="440" w:lineRule="exact"/>
        <w:jc w:val="center"/>
        <w:outlineLvl w:val="0"/>
        <w:rPr>
          <w:rFonts w:hint="eastAsia" w:cs="宋体" w:asciiTheme="minorEastAsia" w:hAnsiTheme="minorEastAsia" w:eastAsiaTheme="minorEastAsia"/>
          <w:b/>
          <w:bCs/>
          <w:color w:val="auto"/>
          <w:sz w:val="30"/>
          <w:szCs w:val="30"/>
          <w:highlight w:val="none"/>
        </w:rPr>
      </w:pPr>
    </w:p>
    <w:p w14:paraId="72CD40E7">
      <w:pPr>
        <w:keepNext w:val="0"/>
        <w:keepLines w:val="0"/>
        <w:widowControl/>
        <w:suppressLineNumbers w:val="0"/>
        <w:jc w:val="center"/>
        <w:rPr>
          <w:rFonts w:hint="eastAsia" w:cs="宋体" w:asciiTheme="minorEastAsia" w:hAnsiTheme="minorEastAsia" w:eastAsiaTheme="minorEastAsia"/>
          <w:b/>
          <w:bCs/>
          <w:color w:val="auto"/>
          <w:sz w:val="30"/>
          <w:szCs w:val="30"/>
          <w:highlight w:val="none"/>
        </w:rPr>
      </w:pPr>
      <w:r>
        <w:rPr>
          <w:rFonts w:hint="eastAsia" w:ascii="宋体" w:hAnsi="宋体" w:eastAsia="宋体" w:cs="宋体"/>
          <w:b/>
          <w:bCs/>
          <w:color w:val="000000"/>
          <w:kern w:val="0"/>
          <w:sz w:val="31"/>
          <w:szCs w:val="31"/>
          <w:lang w:val="en-US" w:eastAsia="zh-CN" w:bidi="ar"/>
        </w:rPr>
        <w:t>附件一：报价明细表</w:t>
      </w:r>
    </w:p>
    <w:p w14:paraId="354DC121">
      <w:pPr>
        <w:spacing w:line="440" w:lineRule="exact"/>
        <w:jc w:val="center"/>
        <w:outlineLvl w:val="0"/>
        <w:rPr>
          <w:rFonts w:hint="eastAsia" w:cs="宋体" w:asciiTheme="minorEastAsia" w:hAnsiTheme="minorEastAsia" w:eastAsiaTheme="minorEastAsia"/>
          <w:b/>
          <w:bCs/>
          <w:color w:val="auto"/>
          <w:sz w:val="30"/>
          <w:szCs w:val="30"/>
          <w:highlight w:val="none"/>
        </w:rPr>
      </w:pPr>
    </w:p>
    <w:tbl>
      <w:tblPr>
        <w:tblStyle w:val="17"/>
        <w:tblpPr w:leftFromText="180" w:rightFromText="180" w:vertAnchor="text" w:horzAnchor="page" w:tblpX="2101" w:tblpY="120"/>
        <w:tblOverlap w:val="never"/>
        <w:tblW w:w="9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521"/>
        <w:gridCol w:w="1190"/>
        <w:gridCol w:w="844"/>
        <w:gridCol w:w="844"/>
        <w:gridCol w:w="949"/>
        <w:gridCol w:w="949"/>
        <w:gridCol w:w="1022"/>
        <w:gridCol w:w="922"/>
      </w:tblGrid>
      <w:tr w14:paraId="23BD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F5E5">
            <w:pPr>
              <w:jc w:val="center"/>
              <w:rPr>
                <w:rFonts w:hint="eastAsia" w:ascii="宋体" w:hAnsi="宋体" w:eastAsia="宋体" w:cs="宋体"/>
                <w:i w:val="0"/>
                <w:iCs w:val="0"/>
                <w:color w:val="000000"/>
                <w:sz w:val="24"/>
                <w:szCs w:val="24"/>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C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1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AE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制造商</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D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7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74E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单价（元）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287E">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合价（元）</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1337">
            <w:pPr>
              <w:keepNext w:val="0"/>
              <w:keepLines w:val="0"/>
              <w:widowControl/>
              <w:suppressLineNumbers w:val="0"/>
              <w:tabs>
                <w:tab w:val="left" w:pos="1200"/>
                <w:tab w:val="left" w:pos="1600"/>
                <w:tab w:val="left" w:pos="2000"/>
              </w:tabs>
              <w:ind w:left="198" w:leftChars="99" w:right="892" w:rightChars="446" w:firstLine="0" w:firstLineChars="0"/>
              <w:jc w:val="both"/>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2478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1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1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A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7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3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E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8D9C">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7963">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1229">
            <w:pPr>
              <w:jc w:val="center"/>
              <w:rPr>
                <w:rFonts w:hint="eastAsia" w:ascii="宋体" w:hAnsi="宋体" w:eastAsia="宋体" w:cs="宋体"/>
                <w:i w:val="0"/>
                <w:iCs w:val="0"/>
                <w:color w:val="000000"/>
                <w:sz w:val="24"/>
                <w:szCs w:val="24"/>
                <w:u w:val="none"/>
              </w:rPr>
            </w:pPr>
          </w:p>
        </w:tc>
      </w:tr>
      <w:tr w14:paraId="558D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F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4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F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A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3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C209">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A975">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0EA7">
            <w:pPr>
              <w:jc w:val="center"/>
              <w:rPr>
                <w:rFonts w:hint="eastAsia" w:ascii="宋体" w:hAnsi="宋体" w:eastAsia="宋体" w:cs="宋体"/>
                <w:i w:val="0"/>
                <w:iCs w:val="0"/>
                <w:color w:val="000000"/>
                <w:sz w:val="24"/>
                <w:szCs w:val="24"/>
                <w:u w:val="none"/>
              </w:rPr>
            </w:pPr>
          </w:p>
        </w:tc>
      </w:tr>
      <w:tr w14:paraId="0748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7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B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9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2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E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CA4D">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0D37">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8E31">
            <w:pPr>
              <w:jc w:val="center"/>
              <w:rPr>
                <w:rFonts w:hint="eastAsia" w:ascii="宋体" w:hAnsi="宋体" w:eastAsia="宋体" w:cs="宋体"/>
                <w:i w:val="0"/>
                <w:iCs w:val="0"/>
                <w:color w:val="000000"/>
                <w:sz w:val="24"/>
                <w:szCs w:val="24"/>
                <w:u w:val="none"/>
              </w:rPr>
            </w:pPr>
          </w:p>
        </w:tc>
      </w:tr>
      <w:tr w14:paraId="2824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A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6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A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F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F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7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E74">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0CE8">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CDAB">
            <w:pPr>
              <w:jc w:val="center"/>
              <w:rPr>
                <w:rFonts w:hint="eastAsia" w:ascii="宋体" w:hAnsi="宋体" w:eastAsia="宋体" w:cs="宋体"/>
                <w:i w:val="0"/>
                <w:iCs w:val="0"/>
                <w:color w:val="000000"/>
                <w:sz w:val="24"/>
                <w:szCs w:val="24"/>
                <w:u w:val="none"/>
              </w:rPr>
            </w:pPr>
          </w:p>
        </w:tc>
      </w:tr>
      <w:tr w14:paraId="327D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7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9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E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2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2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5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9A4D">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F594">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44AE">
            <w:pPr>
              <w:jc w:val="center"/>
              <w:rPr>
                <w:rFonts w:hint="eastAsia" w:ascii="宋体" w:hAnsi="宋体" w:eastAsia="宋体" w:cs="宋体"/>
                <w:i w:val="0"/>
                <w:iCs w:val="0"/>
                <w:color w:val="000000"/>
                <w:sz w:val="24"/>
                <w:szCs w:val="24"/>
                <w:u w:val="none"/>
              </w:rPr>
            </w:pPr>
          </w:p>
        </w:tc>
      </w:tr>
      <w:tr w14:paraId="16C6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8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2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C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6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2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C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6BCB">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5D7D">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FAB1">
            <w:pPr>
              <w:jc w:val="center"/>
              <w:rPr>
                <w:rFonts w:hint="eastAsia" w:ascii="宋体" w:hAnsi="宋体" w:eastAsia="宋体" w:cs="宋体"/>
                <w:i w:val="0"/>
                <w:iCs w:val="0"/>
                <w:color w:val="000000"/>
                <w:sz w:val="24"/>
                <w:szCs w:val="24"/>
                <w:u w:val="none"/>
              </w:rPr>
            </w:pPr>
          </w:p>
        </w:tc>
      </w:tr>
      <w:tr w14:paraId="039C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A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2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9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3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B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B3F6">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12D3">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EAB5">
            <w:pPr>
              <w:jc w:val="center"/>
              <w:rPr>
                <w:rFonts w:hint="eastAsia" w:ascii="宋体" w:hAnsi="宋体" w:eastAsia="宋体" w:cs="宋体"/>
                <w:i w:val="0"/>
                <w:iCs w:val="0"/>
                <w:color w:val="000000"/>
                <w:sz w:val="24"/>
                <w:szCs w:val="24"/>
                <w:u w:val="none"/>
              </w:rPr>
            </w:pPr>
          </w:p>
        </w:tc>
      </w:tr>
      <w:tr w14:paraId="5677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7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F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9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C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B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6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2F76">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842F">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015F">
            <w:pPr>
              <w:jc w:val="center"/>
              <w:rPr>
                <w:rFonts w:hint="eastAsia" w:ascii="宋体" w:hAnsi="宋体" w:eastAsia="宋体" w:cs="宋体"/>
                <w:i w:val="0"/>
                <w:iCs w:val="0"/>
                <w:color w:val="000000"/>
                <w:sz w:val="24"/>
                <w:szCs w:val="24"/>
                <w:u w:val="none"/>
              </w:rPr>
            </w:pPr>
          </w:p>
        </w:tc>
      </w:tr>
      <w:tr w14:paraId="205A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7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C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3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8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3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671D">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7A54">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96C1">
            <w:pPr>
              <w:jc w:val="center"/>
              <w:rPr>
                <w:rFonts w:hint="eastAsia" w:ascii="宋体" w:hAnsi="宋体" w:eastAsia="宋体" w:cs="宋体"/>
                <w:i w:val="0"/>
                <w:iCs w:val="0"/>
                <w:color w:val="000000"/>
                <w:sz w:val="24"/>
                <w:szCs w:val="24"/>
                <w:u w:val="none"/>
              </w:rPr>
            </w:pPr>
          </w:p>
        </w:tc>
      </w:tr>
      <w:tr w14:paraId="2EC8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3A4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BDB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4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F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03BC">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AD23">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F892">
            <w:pPr>
              <w:jc w:val="center"/>
              <w:rPr>
                <w:rFonts w:hint="eastAsia" w:ascii="宋体" w:hAnsi="宋体" w:eastAsia="宋体" w:cs="宋体"/>
                <w:i w:val="0"/>
                <w:iCs w:val="0"/>
                <w:color w:val="000000"/>
                <w:sz w:val="24"/>
                <w:szCs w:val="24"/>
                <w:u w:val="none"/>
              </w:rPr>
            </w:pPr>
          </w:p>
        </w:tc>
      </w:tr>
    </w:tbl>
    <w:p w14:paraId="766C5C58">
      <w:pPr>
        <w:spacing w:line="440" w:lineRule="exact"/>
        <w:jc w:val="center"/>
        <w:outlineLvl w:val="0"/>
        <w:rPr>
          <w:rFonts w:hint="eastAsia" w:cs="宋体" w:asciiTheme="minorEastAsia" w:hAnsiTheme="minorEastAsia" w:eastAsiaTheme="minorEastAsia"/>
          <w:b w:val="0"/>
          <w:bCs w:val="0"/>
          <w:color w:val="auto"/>
          <w:sz w:val="24"/>
          <w:szCs w:val="24"/>
          <w:highlight w:val="none"/>
          <w:lang w:val="en-US" w:eastAsia="zh-CN"/>
        </w:rPr>
      </w:pPr>
    </w:p>
    <w:p w14:paraId="7C30E21B">
      <w:pPr>
        <w:spacing w:line="440" w:lineRule="exact"/>
        <w:jc w:val="center"/>
        <w:outlineLvl w:val="0"/>
        <w:rPr>
          <w:rFonts w:hint="eastAsia"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 w:val="0"/>
          <w:bCs w:val="0"/>
          <w:color w:val="auto"/>
          <w:sz w:val="24"/>
          <w:szCs w:val="24"/>
          <w:highlight w:val="none"/>
          <w:lang w:val="en-US" w:eastAsia="zh-CN"/>
        </w:rPr>
        <w:t>注：此表格若不够用，可根据实际自行添加或扩展表格；</w:t>
      </w:r>
    </w:p>
    <w:p w14:paraId="1B146D29">
      <w:pPr>
        <w:spacing w:line="440" w:lineRule="exact"/>
        <w:jc w:val="center"/>
        <w:outlineLvl w:val="0"/>
        <w:rPr>
          <w:rFonts w:hint="eastAsia" w:cs="宋体" w:asciiTheme="minorEastAsia" w:hAnsiTheme="minorEastAsia" w:eastAsiaTheme="minorEastAsia"/>
          <w:b/>
          <w:bCs/>
          <w:color w:val="auto"/>
          <w:sz w:val="30"/>
          <w:szCs w:val="30"/>
          <w:highlight w:val="none"/>
        </w:rPr>
      </w:pPr>
    </w:p>
    <w:p w14:paraId="72F9D8B4">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709A2437">
      <w:pPr>
        <w:spacing w:line="44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7405A2C0">
      <w:pPr>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5989D7EE">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日期：   年   月   日 </w:t>
      </w:r>
    </w:p>
    <w:p w14:paraId="032D6CED">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299DDF1F">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171A6F1E">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0749CE70">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17E0A61A">
      <w:pPr>
        <w:keepNext w:val="0"/>
        <w:keepLines w:val="0"/>
        <w:widowControl/>
        <w:suppressLineNumbers w:val="0"/>
        <w:jc w:val="center"/>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kern w:val="0"/>
          <w:sz w:val="31"/>
          <w:szCs w:val="31"/>
          <w:lang w:val="en-US" w:eastAsia="zh-CN" w:bidi="ar"/>
        </w:rPr>
        <w:t>附件二：技术参数偏离表</w:t>
      </w:r>
    </w:p>
    <w:tbl>
      <w:tblPr>
        <w:tblStyle w:val="17"/>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75"/>
        <w:gridCol w:w="1770"/>
        <w:gridCol w:w="2055"/>
        <w:gridCol w:w="2175"/>
        <w:gridCol w:w="2175"/>
      </w:tblGrid>
      <w:tr w14:paraId="5E72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0" w:type="dxa"/>
            <w:tcBorders>
              <w:top w:val="double" w:color="auto" w:sz="4" w:space="0"/>
              <w:left w:val="double" w:color="auto" w:sz="4" w:space="0"/>
            </w:tcBorders>
            <w:noWrap w:val="0"/>
            <w:vAlign w:val="center"/>
          </w:tcPr>
          <w:p w14:paraId="6D94BBE8">
            <w:pPr>
              <w:spacing w:line="400" w:lineRule="exact"/>
              <w:ind w:left="-141"/>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1675" w:type="dxa"/>
            <w:tcBorders>
              <w:top w:val="double" w:color="auto" w:sz="4" w:space="0"/>
            </w:tcBorders>
            <w:noWrap w:val="0"/>
            <w:vAlign w:val="center"/>
          </w:tcPr>
          <w:p w14:paraId="79B476B7">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产品</w:t>
            </w:r>
            <w:r>
              <w:rPr>
                <w:rFonts w:hint="eastAsia" w:ascii="宋体" w:hAnsi="宋体" w:cs="宋体"/>
                <w:bCs/>
                <w:color w:val="000000" w:themeColor="text1"/>
                <w:sz w:val="24"/>
                <w:szCs w:val="24"/>
                <w:highlight w:val="none"/>
                <w:lang w:val="en-US" w:eastAsia="zh-CN"/>
                <w14:textFill>
                  <w14:solidFill>
                    <w14:schemeClr w14:val="tx1"/>
                  </w14:solidFill>
                </w14:textFill>
              </w:rPr>
              <w:t>名称</w:t>
            </w:r>
          </w:p>
        </w:tc>
        <w:tc>
          <w:tcPr>
            <w:tcW w:w="1770" w:type="dxa"/>
            <w:tcBorders>
              <w:top w:val="double" w:color="auto" w:sz="4" w:space="0"/>
            </w:tcBorders>
            <w:noWrap w:val="0"/>
            <w:vAlign w:val="center"/>
          </w:tcPr>
          <w:p w14:paraId="0E47A592">
            <w:pPr>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磋商文件要求 </w:t>
            </w:r>
          </w:p>
          <w:p w14:paraId="003C4919">
            <w:pPr>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的规格参数</w:t>
            </w:r>
          </w:p>
          <w:p w14:paraId="20E20AFA">
            <w:pPr>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p>
        </w:tc>
        <w:tc>
          <w:tcPr>
            <w:tcW w:w="2055" w:type="dxa"/>
            <w:tcBorders>
              <w:top w:val="double" w:color="auto" w:sz="4" w:space="0"/>
            </w:tcBorders>
            <w:noWrap w:val="0"/>
            <w:vAlign w:val="center"/>
          </w:tcPr>
          <w:p w14:paraId="6DBDBFFB">
            <w:pPr>
              <w:widowControl/>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响应文件规格 </w:t>
            </w:r>
          </w:p>
          <w:p w14:paraId="5DF7B296">
            <w:pPr>
              <w:widowControl/>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参数</w:t>
            </w:r>
          </w:p>
          <w:p w14:paraId="3FF476F7">
            <w:pPr>
              <w:widowControl/>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p>
        </w:tc>
        <w:tc>
          <w:tcPr>
            <w:tcW w:w="2175" w:type="dxa"/>
            <w:tcBorders>
              <w:top w:val="double" w:color="auto" w:sz="4" w:space="0"/>
              <w:right w:val="double" w:color="auto" w:sz="4" w:space="0"/>
            </w:tcBorders>
            <w:noWrap w:val="0"/>
            <w:vAlign w:val="center"/>
          </w:tcPr>
          <w:p w14:paraId="3EC8ACE6">
            <w:pPr>
              <w:widowControl/>
              <w:spacing w:line="40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偏离说明</w:t>
            </w:r>
          </w:p>
        </w:tc>
        <w:tc>
          <w:tcPr>
            <w:tcW w:w="2175" w:type="dxa"/>
            <w:tcBorders>
              <w:top w:val="double" w:color="auto" w:sz="4" w:space="0"/>
              <w:right w:val="double" w:color="auto" w:sz="4" w:space="0"/>
            </w:tcBorders>
            <w:noWrap w:val="0"/>
            <w:vAlign w:val="center"/>
          </w:tcPr>
          <w:p w14:paraId="5E7A534E">
            <w:pPr>
              <w:widowControl/>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备注</w:t>
            </w:r>
          </w:p>
        </w:tc>
      </w:tr>
      <w:tr w14:paraId="4839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38A9A381">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666FBC5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2771CD15">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0885454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019247FE">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87687F6">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7DEF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7435FCE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36C0BF0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60DD2F5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0C208C3E">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BB326F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544EC270">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7A35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444881F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5871C80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6484649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5322D2C5">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39C6BC51">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1615A67B">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5845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21F0998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2E1136EB">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4AE056C6">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21E659E4">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370F3D3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2446C016">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443E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1C7DF2C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7F20144E">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4319560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30AC0272">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3C35D0E5">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97B4E6C">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1EBD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1ABF96C8">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2F1B4AE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535CCA9D">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660CCE6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9568C3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6DC5CC00">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17F0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bottom w:val="double" w:color="auto" w:sz="4" w:space="0"/>
            </w:tcBorders>
            <w:noWrap w:val="0"/>
            <w:vAlign w:val="center"/>
          </w:tcPr>
          <w:p w14:paraId="519C5DDB">
            <w:pPr>
              <w:spacing w:line="4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p>
        </w:tc>
        <w:tc>
          <w:tcPr>
            <w:tcW w:w="1675" w:type="dxa"/>
            <w:tcBorders>
              <w:bottom w:val="double" w:color="auto" w:sz="4" w:space="0"/>
            </w:tcBorders>
            <w:noWrap w:val="0"/>
            <w:vAlign w:val="center"/>
          </w:tcPr>
          <w:p w14:paraId="1926541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tcBorders>
              <w:bottom w:val="double" w:color="auto" w:sz="4" w:space="0"/>
            </w:tcBorders>
            <w:noWrap w:val="0"/>
            <w:vAlign w:val="center"/>
          </w:tcPr>
          <w:p w14:paraId="60BC9846">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tcBorders>
              <w:bottom w:val="double" w:color="auto" w:sz="4" w:space="0"/>
            </w:tcBorders>
            <w:noWrap w:val="0"/>
            <w:vAlign w:val="center"/>
          </w:tcPr>
          <w:p w14:paraId="2DD02522">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bottom w:val="double" w:color="auto" w:sz="4" w:space="0"/>
              <w:right w:val="double" w:color="auto" w:sz="4" w:space="0"/>
            </w:tcBorders>
            <w:noWrap w:val="0"/>
            <w:vAlign w:val="center"/>
          </w:tcPr>
          <w:p w14:paraId="3B6AAF3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bottom w:val="double" w:color="auto" w:sz="4" w:space="0"/>
              <w:right w:val="double" w:color="auto" w:sz="4" w:space="0"/>
            </w:tcBorders>
            <w:noWrap w:val="0"/>
            <w:vAlign w:val="center"/>
          </w:tcPr>
          <w:p w14:paraId="6D72823D">
            <w:pPr>
              <w:spacing w:line="400" w:lineRule="exact"/>
              <w:jc w:val="center"/>
              <w:rPr>
                <w:rFonts w:ascii="宋体" w:hAnsi="宋体" w:cs="宋体"/>
                <w:bCs/>
                <w:color w:val="000000" w:themeColor="text1"/>
                <w:szCs w:val="21"/>
                <w:highlight w:val="none"/>
                <w14:textFill>
                  <w14:solidFill>
                    <w14:schemeClr w14:val="tx1"/>
                  </w14:solidFill>
                </w14:textFill>
              </w:rPr>
            </w:pPr>
          </w:p>
        </w:tc>
      </w:tr>
    </w:tbl>
    <w:p w14:paraId="71A0B568">
      <w:pPr>
        <w:keepNext w:val="0"/>
        <w:keepLines w:val="0"/>
        <w:widowControl/>
        <w:suppressLineNumbers w:val="0"/>
        <w:jc w:val="both"/>
        <w:rPr>
          <w:rFonts w:hint="eastAsia" w:ascii="宋体" w:hAnsi="宋体" w:eastAsia="宋体" w:cs="宋体"/>
          <w:b w:val="0"/>
          <w:bCs w:val="0"/>
          <w:color w:val="000000"/>
          <w:kern w:val="0"/>
          <w:sz w:val="24"/>
          <w:szCs w:val="24"/>
          <w:lang w:val="en-US" w:eastAsia="zh-CN" w:bidi="ar"/>
        </w:rPr>
      </w:pPr>
    </w:p>
    <w:p w14:paraId="406A30C9">
      <w:pPr>
        <w:keepNext w:val="0"/>
        <w:keepLines w:val="0"/>
        <w:widowControl/>
        <w:suppressLineNumbers w:val="0"/>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注：此表格若不够用可根据实际自行添加或扩展表格。 </w:t>
      </w:r>
    </w:p>
    <w:p w14:paraId="02C6EA0E">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（本项目所涉及的规格参数、性能指标，供应商需提供相关证明材料附后，如说</w:t>
      </w:r>
    </w:p>
    <w:p w14:paraId="1EE0A2D2">
      <w:pPr>
        <w:keepNext w:val="0"/>
        <w:keepLines w:val="0"/>
        <w:widowControl/>
        <w:suppressLineNumbers w:val="0"/>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明书或技术白皮书或第三方检测报告等）</w:t>
      </w:r>
    </w:p>
    <w:p w14:paraId="7ED84781">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786338C1">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49963863">
      <w:pPr>
        <w:spacing w:line="44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57E190C8">
      <w:pPr>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69FE1C9F">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日期：   年   月   日 </w:t>
      </w:r>
    </w:p>
    <w:p w14:paraId="6EDB7DE0">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7895BEEF">
      <w:pPr>
        <w:keepNext w:val="0"/>
        <w:keepLines w:val="0"/>
        <w:widowControl/>
        <w:suppressLineNumbers w:val="0"/>
        <w:jc w:val="both"/>
        <w:rPr>
          <w:rFonts w:hint="eastAsia" w:ascii="宋体" w:hAnsi="宋体" w:eastAsia="宋体" w:cs="宋体"/>
          <w:b/>
          <w:bCs/>
          <w:color w:val="000000"/>
          <w:kern w:val="0"/>
          <w:sz w:val="31"/>
          <w:szCs w:val="31"/>
          <w:lang w:val="en-US" w:eastAsia="zh-CN" w:bidi="ar"/>
        </w:rPr>
      </w:pPr>
    </w:p>
    <w:p w14:paraId="4EBB2FB8">
      <w:pPr>
        <w:keepNext w:val="0"/>
        <w:keepLines w:val="0"/>
        <w:widowControl/>
        <w:suppressLineNumbers w:val="0"/>
        <w:jc w:val="both"/>
        <w:rPr>
          <w:rFonts w:hint="eastAsia" w:ascii="宋体" w:hAnsi="宋体" w:eastAsia="宋体" w:cs="宋体"/>
          <w:b/>
          <w:bCs/>
          <w:color w:val="000000"/>
          <w:kern w:val="0"/>
          <w:sz w:val="31"/>
          <w:szCs w:val="31"/>
          <w:lang w:val="en-US" w:eastAsia="zh-CN" w:bidi="ar"/>
        </w:rPr>
      </w:pPr>
    </w:p>
    <w:p w14:paraId="0D89CE36">
      <w:pPr>
        <w:spacing w:line="440" w:lineRule="exact"/>
        <w:jc w:val="center"/>
        <w:outlineLvl w:val="0"/>
        <w:rPr>
          <w:rFonts w:cs="宋体" w:asciiTheme="minorEastAsia" w:hAnsiTheme="minorEastAsia" w:eastAsiaTheme="minorEastAsia"/>
          <w:b/>
          <w:bCs/>
          <w:color w:val="auto"/>
          <w:sz w:val="24"/>
          <w:highlight w:val="none"/>
        </w:rPr>
      </w:pPr>
      <w:bookmarkStart w:id="110" w:name="_Toc25657"/>
      <w:bookmarkStart w:id="111" w:name="_Toc4763"/>
      <w:bookmarkStart w:id="112" w:name="_Toc9432"/>
      <w:bookmarkStart w:id="113" w:name="_Toc30095"/>
      <w:bookmarkStart w:id="114" w:name="_Toc8022"/>
      <w:r>
        <w:rPr>
          <w:rFonts w:hint="eastAsia" w:cs="宋体" w:asciiTheme="minorEastAsia" w:hAnsiTheme="minorEastAsia" w:eastAsiaTheme="minorEastAsia"/>
          <w:b/>
          <w:bCs/>
          <w:color w:val="auto"/>
          <w:sz w:val="30"/>
          <w:szCs w:val="30"/>
          <w:highlight w:val="none"/>
        </w:rPr>
        <w:t>二、法定代表人身份证明</w:t>
      </w:r>
      <w:bookmarkEnd w:id="109"/>
      <w:bookmarkEnd w:id="110"/>
      <w:bookmarkEnd w:id="111"/>
      <w:bookmarkEnd w:id="112"/>
      <w:bookmarkEnd w:id="113"/>
      <w:bookmarkEnd w:id="114"/>
    </w:p>
    <w:p w14:paraId="01D954EA">
      <w:pPr>
        <w:spacing w:line="480" w:lineRule="exact"/>
        <w:textAlignment w:val="center"/>
        <w:rPr>
          <w:rFonts w:cs="宋体" w:asciiTheme="minorEastAsia" w:hAnsiTheme="minorEastAsia" w:eastAsiaTheme="minorEastAsia"/>
          <w:color w:val="auto"/>
          <w:sz w:val="24"/>
          <w:highlight w:val="none"/>
        </w:rPr>
      </w:pPr>
    </w:p>
    <w:p w14:paraId="16FACF41">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w:t>
      </w:r>
    </w:p>
    <w:p w14:paraId="02A7F1A8">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单位性质：</w:t>
      </w:r>
    </w:p>
    <w:p w14:paraId="0019887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p>
    <w:p w14:paraId="2D9ADCB0">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成立时间：     年  月  日</w:t>
      </w:r>
    </w:p>
    <w:p w14:paraId="61BBB505">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经营期限：</w:t>
      </w:r>
    </w:p>
    <w:p w14:paraId="3AA3DE82">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    名：         性        别：</w:t>
      </w:r>
    </w:p>
    <w:p w14:paraId="24881AC7">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龄：         职        务：</w:t>
      </w:r>
    </w:p>
    <w:p w14:paraId="7995776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（响应人名称）的法定代表人。</w:t>
      </w:r>
    </w:p>
    <w:p w14:paraId="65610FE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4B60C2C4">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szCs w:val="24"/>
        </w:rPr>
        <w:t>附：法定代表人身份证明</w:t>
      </w:r>
    </w:p>
    <w:p w14:paraId="5A5A6721">
      <w:pPr>
        <w:spacing w:line="480" w:lineRule="exact"/>
        <w:textAlignment w:val="center"/>
        <w:rPr>
          <w:rFonts w:cs="宋体" w:asciiTheme="minorEastAsia" w:hAnsiTheme="minorEastAsia" w:eastAsiaTheme="minorEastAsia"/>
          <w:color w:val="auto"/>
          <w:sz w:val="24"/>
          <w:highlight w:val="none"/>
        </w:rPr>
      </w:pPr>
    </w:p>
    <w:p w14:paraId="7844D771">
      <w:pPr>
        <w:spacing w:line="480" w:lineRule="exact"/>
        <w:textAlignment w:val="center"/>
        <w:rPr>
          <w:rFonts w:cs="宋体" w:asciiTheme="minorEastAsia" w:hAnsiTheme="minorEastAsia" w:eastAsiaTheme="minorEastAsia"/>
          <w:color w:val="auto"/>
          <w:sz w:val="24"/>
          <w:highlight w:val="none"/>
        </w:rPr>
      </w:pPr>
    </w:p>
    <w:p w14:paraId="010E8D91">
      <w:pPr>
        <w:wordWrap w:val="0"/>
        <w:spacing w:line="52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 xml:space="preserve"> （</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6860BF3D">
      <w:pPr>
        <w:spacing w:line="480" w:lineRule="exact"/>
        <w:textAlignment w:val="center"/>
        <w:rPr>
          <w:rFonts w:cs="宋体" w:asciiTheme="minorEastAsia" w:hAnsiTheme="minorEastAsia" w:eastAsiaTheme="minorEastAsia"/>
          <w:color w:val="auto"/>
          <w:sz w:val="24"/>
          <w:highlight w:val="none"/>
          <w:u w:val="single"/>
        </w:rPr>
      </w:pPr>
    </w:p>
    <w:p w14:paraId="173FB882">
      <w:pPr>
        <w:spacing w:line="480" w:lineRule="exact"/>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日期：</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年   月   日          </w:t>
      </w:r>
    </w:p>
    <w:p w14:paraId="3685A2E6">
      <w:pPr>
        <w:spacing w:beforeLines="100" w:afterLines="50" w:line="480" w:lineRule="exact"/>
        <w:textAlignment w:val="center"/>
        <w:rPr>
          <w:rFonts w:cs="宋体" w:asciiTheme="minorEastAsia" w:hAnsiTheme="minorEastAsia" w:eastAsiaTheme="minorEastAsia"/>
          <w:color w:val="auto"/>
          <w:sz w:val="24"/>
          <w:highlight w:val="none"/>
        </w:rPr>
      </w:pPr>
    </w:p>
    <w:p w14:paraId="232A537F">
      <w:pPr>
        <w:spacing w:line="114" w:lineRule="exact"/>
        <w:rPr>
          <w:rFonts w:cs="宋体" w:asciiTheme="minorEastAsia" w:hAnsiTheme="minorEastAsia" w:eastAsiaTheme="minorEastAsia"/>
          <w:color w:val="auto"/>
          <w:sz w:val="24"/>
          <w:highlight w:val="none"/>
        </w:rPr>
      </w:pPr>
    </w:p>
    <w:p w14:paraId="2D508759">
      <w:pPr>
        <w:spacing w:line="0" w:lineRule="atLeast"/>
        <w:ind w:left="3740"/>
        <w:rPr>
          <w:rFonts w:cs="宋体" w:asciiTheme="minorEastAsia" w:hAnsiTheme="minorEastAsia" w:eastAsiaTheme="minorEastAsia"/>
          <w:b/>
          <w:bCs/>
          <w:color w:val="auto"/>
          <w:sz w:val="24"/>
          <w:highlight w:val="none"/>
        </w:rPr>
      </w:pPr>
    </w:p>
    <w:p w14:paraId="25F8B1C4">
      <w:pPr>
        <w:spacing w:line="0" w:lineRule="atLeast"/>
        <w:ind w:left="3740"/>
        <w:rPr>
          <w:rFonts w:cs="宋体" w:asciiTheme="minorEastAsia" w:hAnsiTheme="minorEastAsia" w:eastAsiaTheme="minorEastAsia"/>
          <w:b/>
          <w:bCs/>
          <w:color w:val="auto"/>
          <w:sz w:val="24"/>
          <w:highlight w:val="none"/>
        </w:rPr>
      </w:pPr>
    </w:p>
    <w:p w14:paraId="64F762D0">
      <w:pPr>
        <w:spacing w:line="0" w:lineRule="atLeast"/>
        <w:ind w:left="3740"/>
        <w:rPr>
          <w:rFonts w:cs="宋体" w:asciiTheme="minorEastAsia" w:hAnsiTheme="minorEastAsia" w:eastAsiaTheme="minorEastAsia"/>
          <w:b/>
          <w:bCs/>
          <w:color w:val="auto"/>
          <w:sz w:val="24"/>
          <w:highlight w:val="none"/>
        </w:rPr>
      </w:pPr>
    </w:p>
    <w:p w14:paraId="06865D8A">
      <w:pPr>
        <w:spacing w:line="0" w:lineRule="atLeast"/>
        <w:ind w:left="3740"/>
        <w:rPr>
          <w:rFonts w:cs="宋体" w:asciiTheme="minorEastAsia" w:hAnsiTheme="minorEastAsia" w:eastAsiaTheme="minorEastAsia"/>
          <w:b/>
          <w:bCs/>
          <w:color w:val="auto"/>
          <w:sz w:val="24"/>
          <w:highlight w:val="none"/>
        </w:rPr>
      </w:pPr>
    </w:p>
    <w:p w14:paraId="3E78CFB9">
      <w:pPr>
        <w:spacing w:line="0" w:lineRule="atLeast"/>
        <w:ind w:left="3740"/>
        <w:rPr>
          <w:rFonts w:cs="宋体" w:asciiTheme="minorEastAsia" w:hAnsiTheme="minorEastAsia" w:eastAsiaTheme="minorEastAsia"/>
          <w:b/>
          <w:bCs/>
          <w:color w:val="auto"/>
          <w:sz w:val="24"/>
          <w:highlight w:val="none"/>
        </w:rPr>
      </w:pPr>
    </w:p>
    <w:p w14:paraId="0FD1FCE1">
      <w:pPr>
        <w:spacing w:line="0" w:lineRule="atLeast"/>
        <w:ind w:left="3740"/>
        <w:rPr>
          <w:rFonts w:cs="宋体" w:asciiTheme="minorEastAsia" w:hAnsiTheme="minorEastAsia" w:eastAsiaTheme="minorEastAsia"/>
          <w:b/>
          <w:bCs/>
          <w:color w:val="auto"/>
          <w:sz w:val="24"/>
          <w:highlight w:val="none"/>
        </w:rPr>
      </w:pPr>
    </w:p>
    <w:p w14:paraId="313E3D45">
      <w:pPr>
        <w:spacing w:line="0" w:lineRule="atLeast"/>
        <w:ind w:left="3740"/>
        <w:rPr>
          <w:rFonts w:cs="宋体" w:asciiTheme="minorEastAsia" w:hAnsiTheme="minorEastAsia" w:eastAsiaTheme="minorEastAsia"/>
          <w:b/>
          <w:bCs/>
          <w:color w:val="auto"/>
          <w:sz w:val="24"/>
          <w:highlight w:val="none"/>
        </w:rPr>
      </w:pPr>
    </w:p>
    <w:p w14:paraId="40B07039">
      <w:pPr>
        <w:spacing w:line="0" w:lineRule="atLeast"/>
        <w:ind w:left="3740"/>
        <w:rPr>
          <w:rFonts w:cs="宋体" w:asciiTheme="minorEastAsia" w:hAnsiTheme="minorEastAsia" w:eastAsiaTheme="minorEastAsia"/>
          <w:b/>
          <w:bCs/>
          <w:color w:val="auto"/>
          <w:sz w:val="24"/>
          <w:highlight w:val="none"/>
        </w:rPr>
      </w:pPr>
    </w:p>
    <w:p w14:paraId="4A3D866C">
      <w:pPr>
        <w:spacing w:line="0" w:lineRule="atLeast"/>
        <w:ind w:left="3740"/>
        <w:rPr>
          <w:rFonts w:cs="宋体" w:asciiTheme="minorEastAsia" w:hAnsiTheme="minorEastAsia" w:eastAsiaTheme="minorEastAsia"/>
          <w:b/>
          <w:bCs/>
          <w:color w:val="auto"/>
          <w:sz w:val="24"/>
          <w:highlight w:val="none"/>
        </w:rPr>
      </w:pPr>
    </w:p>
    <w:p w14:paraId="3DEF8A88">
      <w:pPr>
        <w:spacing w:line="0" w:lineRule="atLeast"/>
        <w:rPr>
          <w:rFonts w:cs="宋体" w:asciiTheme="minorEastAsia" w:hAnsiTheme="minorEastAsia" w:eastAsiaTheme="minorEastAsia"/>
          <w:b/>
          <w:bCs/>
          <w:color w:val="auto"/>
          <w:sz w:val="24"/>
          <w:highlight w:val="none"/>
        </w:rPr>
      </w:pPr>
    </w:p>
    <w:p w14:paraId="6104A71A">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5B8519F6">
      <w:pPr>
        <w:spacing w:beforeLines="100" w:afterLines="50" w:line="480" w:lineRule="exact"/>
        <w:jc w:val="center"/>
        <w:textAlignment w:val="center"/>
        <w:outlineLvl w:val="0"/>
        <w:rPr>
          <w:rFonts w:cs="宋体" w:asciiTheme="minorEastAsia" w:hAnsiTheme="minorEastAsia" w:eastAsiaTheme="minorEastAsia"/>
          <w:color w:val="auto"/>
          <w:sz w:val="24"/>
          <w:highlight w:val="none"/>
        </w:rPr>
      </w:pPr>
      <w:r>
        <w:rPr>
          <w:rFonts w:cs="宋体" w:asciiTheme="minorEastAsia" w:hAnsiTheme="minorEastAsia" w:eastAsiaTheme="minorEastAsia"/>
          <w:b/>
          <w:bCs/>
          <w:color w:val="auto"/>
          <w:sz w:val="24"/>
          <w:highlight w:val="none"/>
        </w:rPr>
        <w:br w:type="page"/>
      </w:r>
      <w:bookmarkStart w:id="115" w:name="_Toc28054"/>
      <w:bookmarkStart w:id="116" w:name="_Toc31687"/>
      <w:bookmarkStart w:id="117" w:name="_Toc14818"/>
      <w:bookmarkStart w:id="118" w:name="_Toc14392"/>
      <w:bookmarkStart w:id="119" w:name="_Toc7629"/>
      <w:bookmarkStart w:id="120" w:name="_Toc30202"/>
      <w:r>
        <w:rPr>
          <w:rFonts w:hint="eastAsia" w:cs="宋体" w:asciiTheme="minorEastAsia" w:hAnsiTheme="minorEastAsia" w:eastAsiaTheme="minorEastAsia"/>
          <w:b/>
          <w:bCs/>
          <w:color w:val="auto"/>
          <w:sz w:val="30"/>
          <w:szCs w:val="30"/>
          <w:highlight w:val="none"/>
        </w:rPr>
        <w:t>三、授权委托书</w:t>
      </w:r>
      <w:bookmarkEnd w:id="115"/>
      <w:bookmarkEnd w:id="116"/>
      <w:bookmarkEnd w:id="117"/>
      <w:bookmarkEnd w:id="118"/>
      <w:bookmarkEnd w:id="119"/>
      <w:bookmarkEnd w:id="120"/>
    </w:p>
    <w:p w14:paraId="28A9E9BD">
      <w:pPr>
        <w:spacing w:line="480" w:lineRule="exact"/>
        <w:ind w:firstLine="720" w:firstLineChars="3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本人</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（响应人名称）</w:t>
      </w:r>
      <w:r>
        <w:rPr>
          <w:rFonts w:hint="eastAsia" w:cs="宋体" w:asciiTheme="minorEastAsia" w:hAnsiTheme="minorEastAsia" w:eastAsiaTheme="minorEastAsia"/>
          <w:color w:val="auto"/>
          <w:sz w:val="24"/>
          <w:szCs w:val="24"/>
          <w:highlight w:val="none"/>
        </w:rPr>
        <w:t>的法定代表人，现委托</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为我方代理人。代理人根据授权，以我方名义签署、澄清、说明、补正、递交、撤回、修改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（项目名称）响应文件、签订合同和处理有关事宜，其法律后果由我方承担。</w:t>
      </w:r>
    </w:p>
    <w:p w14:paraId="0A01C8C9">
      <w:pPr>
        <w:spacing w:beforeLines="100"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代理人无转委托权。</w:t>
      </w:r>
    </w:p>
    <w:p w14:paraId="27FB2D15">
      <w:pPr>
        <w:spacing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附：法定代表人身份证及委托代理人身份证扫描件</w:t>
      </w:r>
    </w:p>
    <w:p w14:paraId="0CB80246">
      <w:pPr>
        <w:spacing w:line="480" w:lineRule="exact"/>
        <w:textAlignment w:val="center"/>
        <w:rPr>
          <w:rFonts w:cs="宋体" w:asciiTheme="minorEastAsia" w:hAnsiTheme="minorEastAsia" w:eastAsiaTheme="minorEastAsia"/>
          <w:color w:val="auto"/>
          <w:sz w:val="24"/>
          <w:szCs w:val="24"/>
          <w:highlight w:val="none"/>
        </w:rPr>
      </w:pPr>
    </w:p>
    <w:p w14:paraId="18685835">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szCs w:val="24"/>
          <w:highlight w:val="none"/>
        </w:rPr>
        <w:t>）</w:t>
      </w:r>
    </w:p>
    <w:p w14:paraId="7C943F2D">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法人</w:t>
      </w:r>
      <w:r>
        <w:rPr>
          <w:rFonts w:hint="eastAsia" w:cs="宋体" w:asciiTheme="minorEastAsia" w:hAnsiTheme="minorEastAsia" w:eastAsiaTheme="minorEastAsia"/>
          <w:color w:val="auto"/>
          <w:sz w:val="24"/>
          <w:highlight w:val="none"/>
        </w:rPr>
        <w:t>电子签章</w:t>
      </w:r>
      <w:r>
        <w:rPr>
          <w:rFonts w:hint="eastAsia" w:cs="宋体" w:asciiTheme="minorEastAsia" w:hAnsiTheme="minorEastAsia" w:eastAsiaTheme="minorEastAsia"/>
          <w:color w:val="auto"/>
          <w:sz w:val="24"/>
          <w:szCs w:val="24"/>
          <w:highlight w:val="none"/>
        </w:rPr>
        <w:t>）</w:t>
      </w:r>
    </w:p>
    <w:p w14:paraId="45C1642C">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14:paraId="4D2221EC">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委托代理人身份证号码：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14:paraId="6702E418">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联系电话</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14:paraId="4D69B084">
      <w:pPr>
        <w:keepNext w:val="0"/>
        <w:keepLines w:val="0"/>
        <w:pageBreakBefore w:val="0"/>
        <w:widowControl/>
        <w:kinsoku/>
        <w:wordWrap/>
        <w:overflowPunct/>
        <w:topLinePunct w:val="0"/>
        <w:autoSpaceDE/>
        <w:autoSpaceDN/>
        <w:bidi w:val="0"/>
        <w:adjustRightInd/>
        <w:snapToGrid/>
        <w:spacing w:line="600" w:lineRule="exact"/>
        <w:ind w:firstLine="4560" w:firstLineChars="19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16AA3728">
      <w:pPr>
        <w:spacing w:beforeLines="100" w:afterLines="50" w:line="480" w:lineRule="exact"/>
        <w:textAlignment w:val="center"/>
        <w:rPr>
          <w:rFonts w:cs="宋体" w:asciiTheme="minorEastAsia" w:hAnsiTheme="minorEastAsia" w:eastAsiaTheme="minorEastAsia"/>
          <w:b/>
          <w:bCs/>
          <w:color w:val="auto"/>
          <w:sz w:val="24"/>
          <w:szCs w:val="24"/>
          <w:highlight w:val="none"/>
        </w:rPr>
      </w:pPr>
    </w:p>
    <w:p w14:paraId="3A90017F">
      <w:pPr>
        <w:spacing w:line="400" w:lineRule="exact"/>
        <w:rPr>
          <w:rFonts w:cs="宋体" w:asciiTheme="minorEastAsia" w:hAnsiTheme="minorEastAsia" w:eastAsiaTheme="minorEastAsia"/>
          <w:b/>
          <w:bCs/>
          <w:color w:val="auto"/>
          <w:sz w:val="24"/>
          <w:highlight w:val="none"/>
        </w:rPr>
      </w:pPr>
      <w:bookmarkStart w:id="121" w:name="_Toc466566720"/>
      <w:bookmarkEnd w:id="121"/>
    </w:p>
    <w:p w14:paraId="3E14CE1D">
      <w:pPr>
        <w:spacing w:line="400" w:lineRule="exact"/>
        <w:jc w:val="center"/>
        <w:outlineLvl w:val="0"/>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bCs/>
          <w:color w:val="auto"/>
          <w:sz w:val="24"/>
          <w:highlight w:val="none"/>
        </w:rPr>
        <w:br w:type="page"/>
      </w:r>
      <w:bookmarkStart w:id="122" w:name="_Toc7633"/>
      <w:bookmarkStart w:id="123" w:name="_Toc6506"/>
      <w:bookmarkStart w:id="124" w:name="_Toc32717"/>
      <w:bookmarkStart w:id="125" w:name="_Toc11405"/>
      <w:bookmarkStart w:id="126" w:name="_Toc4050"/>
      <w:bookmarkStart w:id="127" w:name="_Toc29411"/>
      <w:r>
        <w:rPr>
          <w:rFonts w:hint="eastAsia" w:cs="宋体" w:asciiTheme="minorEastAsia" w:hAnsiTheme="minorEastAsia" w:eastAsiaTheme="minorEastAsia"/>
          <w:b/>
          <w:bCs/>
          <w:color w:val="auto"/>
          <w:sz w:val="30"/>
          <w:szCs w:val="30"/>
          <w:highlight w:val="none"/>
        </w:rPr>
        <w:t>四、磋商承诺函</w:t>
      </w:r>
      <w:bookmarkEnd w:id="122"/>
      <w:bookmarkEnd w:id="123"/>
      <w:bookmarkEnd w:id="124"/>
      <w:bookmarkEnd w:id="125"/>
      <w:bookmarkEnd w:id="126"/>
      <w:bookmarkEnd w:id="127"/>
    </w:p>
    <w:p w14:paraId="25D0B23F">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致</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（采购人）：</w:t>
      </w:r>
    </w:p>
    <w:p w14:paraId="4BA512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我公司作为本次磋商项目的响应人，根据竞争性磋商文件要求，现郑重承诺如下：</w:t>
      </w:r>
    </w:p>
    <w:p w14:paraId="0D3B5E8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3B73718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二、参加本次磋商采购活动，不存在与单位负责人为同一人或者存在直接控股、管理关系的其他</w:t>
      </w:r>
      <w:r>
        <w:rPr>
          <w:rFonts w:hint="eastAsia" w:asciiTheme="minorEastAsia" w:hAnsiTheme="minorEastAsia" w:eastAsiaTheme="minorEastAsia"/>
          <w:color w:val="auto"/>
          <w:sz w:val="24"/>
          <w:szCs w:val="24"/>
          <w:highlight w:val="none"/>
          <w:lang w:eastAsia="zh-CN"/>
        </w:rPr>
        <w:t>响应人</w:t>
      </w:r>
      <w:r>
        <w:rPr>
          <w:rFonts w:hint="eastAsia" w:asciiTheme="minorEastAsia" w:hAnsiTheme="minorEastAsia" w:eastAsiaTheme="minorEastAsia"/>
          <w:color w:val="auto"/>
          <w:sz w:val="24"/>
          <w:szCs w:val="24"/>
          <w:highlight w:val="none"/>
        </w:rPr>
        <w:t>参与同一合同项下的政府采购活动的行为。</w:t>
      </w:r>
    </w:p>
    <w:p w14:paraId="5DA403B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三、参加本次磋商活动，不存在为磋商项目提供整体设计、规范编制或者项目管理、监理、检测等服务的行为。</w:t>
      </w:r>
    </w:p>
    <w:p w14:paraId="69B6AF8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四、参加本次磋商活动，不存在和其他</w:t>
      </w:r>
      <w:r>
        <w:rPr>
          <w:rFonts w:hint="eastAsia" w:asciiTheme="minorEastAsia" w:hAnsiTheme="minorEastAsia" w:eastAsiaTheme="minorEastAsia"/>
          <w:color w:val="auto"/>
          <w:sz w:val="24"/>
          <w:szCs w:val="24"/>
          <w:highlight w:val="none"/>
          <w:lang w:eastAsia="zh-CN"/>
        </w:rPr>
        <w:t>响应人</w:t>
      </w:r>
      <w:r>
        <w:rPr>
          <w:rFonts w:hint="eastAsia" w:asciiTheme="minorEastAsia" w:hAnsiTheme="minorEastAsia" w:eastAsiaTheme="minorEastAsia"/>
          <w:color w:val="auto"/>
          <w:sz w:val="24"/>
          <w:szCs w:val="24"/>
          <w:highlight w:val="none"/>
        </w:rPr>
        <w:t>在同一合同项下的采购项目中，同时委托同一个自然人、同一家庭的人员、同一单位的人员作为代理人的行为。</w:t>
      </w:r>
    </w:p>
    <w:p w14:paraId="2DC86E3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五、响应人参加本次磋商活动要求在近三年内响应人和其法定代表人没有行贿犯罪行为。</w:t>
      </w:r>
    </w:p>
    <w:p w14:paraId="4D950FA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六、参加本次磋商活动，不存在联合体磋商。</w:t>
      </w:r>
    </w:p>
    <w:p w14:paraId="506DB51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七、竞争性磋商文件中提供的能够给予我公司带来优惠、好处的任何材料资料和技术、服务、商务等响应承诺情况都是真实的、有效的、合法的。</w:t>
      </w:r>
    </w:p>
    <w:p w14:paraId="502A055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290F821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九、存在以下行为之一的愿意接受相关部门的处理：</w:t>
      </w:r>
    </w:p>
    <w:p w14:paraId="76D25B2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（一）磋商有效期内撤销竞争性磋商文件的；</w:t>
      </w:r>
    </w:p>
    <w:p w14:paraId="27F9CAF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（二）在采购人确定中标人以前放弃中标候选资格的；</w:t>
      </w:r>
    </w:p>
    <w:p w14:paraId="2AF9749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（三）由于中标人的原因未能按照竞争性磋商文件的规定与采购人签订合同；</w:t>
      </w:r>
    </w:p>
    <w:p w14:paraId="095FFD5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（四）在响应文件中提供虚假材料谋取中标；</w:t>
      </w:r>
    </w:p>
    <w:p w14:paraId="22458AB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（五）与采购人、其他响应人或者招标代理机构恶意串通的；</w:t>
      </w:r>
    </w:p>
    <w:p w14:paraId="657632D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（六）磋商有效期内，响应人在政府采购活动中有违法、违规、违纪行为。</w:t>
      </w:r>
    </w:p>
    <w:p w14:paraId="587FDD4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由此产生的一切法律后果和责任由我公司承担。我公司声明放弃对此提出任何异议和追索的权利。</w:t>
      </w:r>
    </w:p>
    <w:p w14:paraId="20AE352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本公司对上述承诺的内容事项真实性负责。如经查实上述承诺的内容事项存在虚假，我公司愿意接受以提供虚假材料谋取中标追究法律责任。</w:t>
      </w:r>
    </w:p>
    <w:p w14:paraId="4CB92168">
      <w:pPr>
        <w:spacing w:line="360" w:lineRule="auto"/>
        <w:ind w:firstLine="480" w:firstLineChars="200"/>
        <w:rPr>
          <w:rFonts w:asciiTheme="minorEastAsia" w:hAnsiTheme="minorEastAsia" w:eastAsiaTheme="minorEastAsia"/>
          <w:color w:val="auto"/>
          <w:sz w:val="24"/>
          <w:szCs w:val="24"/>
          <w:highlight w:val="none"/>
        </w:rPr>
      </w:pPr>
    </w:p>
    <w:p w14:paraId="7D79103C">
      <w:pPr>
        <w:snapToGrid w:val="0"/>
        <w:spacing w:line="360" w:lineRule="auto"/>
        <w:rPr>
          <w:rFonts w:asciiTheme="minorEastAsia" w:hAnsiTheme="minorEastAsia" w:eastAsiaTheme="minorEastAsia"/>
          <w:color w:val="auto"/>
          <w:sz w:val="24"/>
          <w:szCs w:val="24"/>
          <w:highlight w:val="none"/>
        </w:rPr>
      </w:pPr>
    </w:p>
    <w:p w14:paraId="3B5833EA">
      <w:pPr>
        <w:spacing w:line="360" w:lineRule="auto"/>
        <w:ind w:firstLine="480" w:firstLineChars="20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asciiTheme="minorEastAsia" w:hAnsiTheme="minorEastAsia" w:eastAsiaTheme="minorEastAsia"/>
          <w:color w:val="auto"/>
          <w:sz w:val="24"/>
          <w:szCs w:val="24"/>
          <w:highlight w:val="none"/>
        </w:rPr>
        <w:t>）</w:t>
      </w:r>
    </w:p>
    <w:p w14:paraId="25D8E888">
      <w:pPr>
        <w:spacing w:line="360" w:lineRule="auto"/>
        <w:ind w:firstLine="480" w:firstLineChars="20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（法人</w:t>
      </w:r>
      <w:r>
        <w:rPr>
          <w:rFonts w:hint="eastAsia" w:asciiTheme="minorEastAsia" w:hAnsiTheme="minorEastAsia" w:eastAsiaTheme="minorEastAsia"/>
          <w:color w:val="auto"/>
          <w:sz w:val="24"/>
          <w:szCs w:val="24"/>
          <w:highlight w:val="none"/>
          <w:lang w:eastAsia="zh-CN"/>
        </w:rPr>
        <w:t>电子</w:t>
      </w:r>
      <w:r>
        <w:rPr>
          <w:rFonts w:hint="eastAsia" w:asciiTheme="minorEastAsia" w:hAnsiTheme="minorEastAsia" w:eastAsiaTheme="minorEastAsia"/>
          <w:color w:val="auto"/>
          <w:sz w:val="24"/>
          <w:szCs w:val="24"/>
          <w:highlight w:val="none"/>
        </w:rPr>
        <w:t>签章）</w:t>
      </w:r>
    </w:p>
    <w:p w14:paraId="402D3D33">
      <w:pPr>
        <w:spacing w:line="360" w:lineRule="auto"/>
        <w:ind w:firstLine="480" w:firstLineChars="20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日期：</w:t>
      </w:r>
      <w:r>
        <w:rPr>
          <w:rFonts w:hint="eastAsia" w:asciiTheme="minorEastAsia" w:hAnsiTheme="minorEastAsia" w:eastAsiaTheme="minorEastAsia"/>
          <w:color w:val="auto"/>
          <w:sz w:val="24"/>
          <w:szCs w:val="24"/>
          <w:highlight w:val="none"/>
          <w:lang w:val="en-US" w:eastAsia="zh-CN"/>
        </w:rPr>
        <w:t xml:space="preserve">  年  月  日</w:t>
      </w:r>
    </w:p>
    <w:p w14:paraId="0C2F1825">
      <w:pPr>
        <w:spacing w:line="460" w:lineRule="exact"/>
        <w:ind w:firstLine="480" w:firstLineChars="200"/>
        <w:jc w:val="right"/>
        <w:rPr>
          <w:rFonts w:cs="宋体" w:asciiTheme="minorEastAsia" w:hAnsiTheme="minorEastAsia" w:eastAsiaTheme="minorEastAsia"/>
          <w:color w:val="auto"/>
          <w:sz w:val="24"/>
          <w:highlight w:val="none"/>
        </w:rPr>
      </w:pPr>
    </w:p>
    <w:p w14:paraId="4F89C7CD">
      <w:pPr>
        <w:spacing w:line="460" w:lineRule="exact"/>
        <w:ind w:firstLine="480" w:firstLineChars="200"/>
        <w:rPr>
          <w:rFonts w:cs="宋体" w:asciiTheme="minorEastAsia" w:hAnsiTheme="minorEastAsia" w:eastAsiaTheme="minorEastAsia"/>
          <w:color w:val="auto"/>
          <w:sz w:val="24"/>
          <w:highlight w:val="none"/>
        </w:rPr>
      </w:pPr>
    </w:p>
    <w:p w14:paraId="1161D8D8">
      <w:pPr>
        <w:spacing w:line="460" w:lineRule="exact"/>
        <w:ind w:firstLine="480" w:firstLineChars="200"/>
        <w:rPr>
          <w:rFonts w:cs="宋体" w:asciiTheme="minorEastAsia" w:hAnsiTheme="minorEastAsia" w:eastAsiaTheme="minorEastAsia"/>
          <w:color w:val="auto"/>
          <w:sz w:val="24"/>
          <w:highlight w:val="none"/>
        </w:rPr>
      </w:pPr>
    </w:p>
    <w:p w14:paraId="0B4F8372">
      <w:pPr>
        <w:spacing w:line="460" w:lineRule="exact"/>
        <w:ind w:firstLine="480" w:firstLineChars="200"/>
        <w:rPr>
          <w:rFonts w:cs="宋体" w:asciiTheme="minorEastAsia" w:hAnsiTheme="minorEastAsia" w:eastAsiaTheme="minorEastAsia"/>
          <w:color w:val="auto"/>
          <w:sz w:val="24"/>
          <w:highlight w:val="none"/>
        </w:rPr>
      </w:pPr>
    </w:p>
    <w:p w14:paraId="64BB2A67">
      <w:pPr>
        <w:spacing w:line="460" w:lineRule="exact"/>
        <w:ind w:firstLine="480" w:firstLineChars="200"/>
        <w:rPr>
          <w:rFonts w:cs="宋体" w:asciiTheme="minorEastAsia" w:hAnsiTheme="minorEastAsia" w:eastAsiaTheme="minorEastAsia"/>
          <w:color w:val="auto"/>
          <w:sz w:val="24"/>
          <w:highlight w:val="none"/>
        </w:rPr>
      </w:pPr>
    </w:p>
    <w:p w14:paraId="5817A7C0">
      <w:pPr>
        <w:spacing w:line="460" w:lineRule="exact"/>
        <w:ind w:firstLine="480" w:firstLineChars="200"/>
        <w:rPr>
          <w:rFonts w:cs="宋体" w:asciiTheme="minorEastAsia" w:hAnsiTheme="minorEastAsia" w:eastAsiaTheme="minorEastAsia"/>
          <w:color w:val="auto"/>
          <w:sz w:val="24"/>
          <w:highlight w:val="none"/>
        </w:rPr>
      </w:pPr>
    </w:p>
    <w:p w14:paraId="7E5B72BE">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1B2D53B8">
      <w:pPr>
        <w:spacing w:beforeLines="100" w:afterLines="50" w:line="480" w:lineRule="exact"/>
        <w:textAlignment w:val="center"/>
        <w:rPr>
          <w:rFonts w:cs="宋体" w:asciiTheme="minorEastAsia" w:hAnsiTheme="minorEastAsia" w:eastAsiaTheme="minorEastAsia"/>
          <w:b/>
          <w:bCs/>
          <w:color w:val="auto"/>
          <w:sz w:val="24"/>
          <w:highlight w:val="none"/>
        </w:rPr>
      </w:pPr>
    </w:p>
    <w:p w14:paraId="7C47AE0B">
      <w:pPr>
        <w:spacing w:beforeLines="100" w:afterLines="50" w:line="480" w:lineRule="exact"/>
        <w:textAlignment w:val="center"/>
        <w:rPr>
          <w:rFonts w:cs="宋体" w:asciiTheme="minorEastAsia" w:hAnsiTheme="minorEastAsia" w:eastAsiaTheme="minorEastAsia"/>
          <w:b/>
          <w:bCs/>
          <w:color w:val="auto"/>
          <w:sz w:val="24"/>
          <w:highlight w:val="none"/>
        </w:rPr>
      </w:pPr>
    </w:p>
    <w:p w14:paraId="3E6EC1F5">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57BDA1CF">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518DB17E">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2219CE6A">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756E02D3">
      <w:pPr>
        <w:spacing w:beforeLines="100" w:afterLines="50" w:line="480" w:lineRule="exact"/>
        <w:jc w:val="center"/>
        <w:textAlignment w:val="center"/>
        <w:rPr>
          <w:rFonts w:cs="宋体" w:asciiTheme="minorEastAsia" w:hAnsiTheme="minorEastAsia" w:eastAsiaTheme="minorEastAsia"/>
          <w:b/>
          <w:bCs/>
          <w:color w:val="auto"/>
          <w:sz w:val="24"/>
          <w:highlight w:val="none"/>
        </w:rPr>
      </w:pPr>
      <w:bookmarkStart w:id="128" w:name="_Toc20745"/>
      <w:bookmarkStart w:id="129" w:name="_Toc2807"/>
      <w:bookmarkStart w:id="130" w:name="_Toc5084"/>
      <w:bookmarkStart w:id="131" w:name="_Toc18966"/>
    </w:p>
    <w:p w14:paraId="388CBB35">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br w:type="page"/>
      </w:r>
      <w:bookmarkEnd w:id="128"/>
      <w:bookmarkEnd w:id="129"/>
      <w:bookmarkEnd w:id="130"/>
      <w:bookmarkEnd w:id="131"/>
    </w:p>
    <w:p w14:paraId="669B6C68"/>
    <w:p w14:paraId="19D697D9">
      <w:pPr>
        <w:spacing w:line="480" w:lineRule="exact"/>
        <w:jc w:val="center"/>
        <w:outlineLvl w:val="1"/>
        <w:rPr>
          <w:rFonts w:cs="宋体" w:asciiTheme="minorEastAsia" w:hAnsiTheme="minorEastAsia" w:eastAsiaTheme="minorEastAsia"/>
          <w:b/>
          <w:color w:val="auto"/>
          <w:sz w:val="30"/>
          <w:szCs w:val="30"/>
          <w:highlight w:val="none"/>
        </w:rPr>
      </w:pPr>
      <w:bookmarkStart w:id="132" w:name="_Toc943"/>
      <w:r>
        <w:rPr>
          <w:rFonts w:hint="eastAsia" w:cs="宋体" w:asciiTheme="minorEastAsia" w:hAnsiTheme="minorEastAsia" w:eastAsiaTheme="minorEastAsia"/>
          <w:b/>
          <w:color w:val="auto"/>
          <w:sz w:val="30"/>
          <w:szCs w:val="30"/>
          <w:highlight w:val="none"/>
          <w:lang w:val="en-US" w:eastAsia="zh-CN"/>
        </w:rPr>
        <w:t>五</w:t>
      </w:r>
      <w:r>
        <w:rPr>
          <w:rFonts w:hint="eastAsia" w:cs="宋体" w:asciiTheme="minorEastAsia" w:hAnsiTheme="minorEastAsia" w:eastAsiaTheme="minorEastAsia"/>
          <w:b/>
          <w:color w:val="auto"/>
          <w:sz w:val="30"/>
          <w:szCs w:val="30"/>
          <w:highlight w:val="none"/>
        </w:rPr>
        <w:t>、资格审查资料</w:t>
      </w:r>
      <w:bookmarkEnd w:id="132"/>
    </w:p>
    <w:p w14:paraId="09E210B0">
      <w:pPr>
        <w:jc w:val="center"/>
        <w:outlineLvl w:val="2"/>
        <w:rPr>
          <w:rFonts w:cs="宋体" w:asciiTheme="minorEastAsia" w:hAnsiTheme="minorEastAsia" w:eastAsiaTheme="minorEastAsia"/>
          <w:b/>
          <w:color w:val="auto"/>
          <w:sz w:val="24"/>
          <w:highlight w:val="none"/>
        </w:rPr>
      </w:pPr>
      <w:bookmarkStart w:id="133" w:name="_Toc21649"/>
      <w:bookmarkStart w:id="134" w:name="_Toc3147"/>
      <w:bookmarkStart w:id="135" w:name="_Toc5999"/>
      <w:bookmarkStart w:id="136" w:name="_Toc1155"/>
      <w:bookmarkStart w:id="137" w:name="_Toc463691057"/>
      <w:bookmarkStart w:id="138" w:name="_Toc6691"/>
      <w:bookmarkStart w:id="139" w:name="_Toc489602205"/>
      <w:r>
        <w:rPr>
          <w:rFonts w:hint="eastAsia" w:cs="宋体" w:asciiTheme="minorEastAsia" w:hAnsiTheme="minorEastAsia" w:eastAsiaTheme="minorEastAsia"/>
          <w:b/>
          <w:color w:val="auto"/>
          <w:sz w:val="24"/>
          <w:highlight w:val="none"/>
        </w:rPr>
        <w:t>（一）投标</w:t>
      </w:r>
      <w:r>
        <w:rPr>
          <w:rFonts w:hint="eastAsia" w:cs="宋体" w:asciiTheme="minorEastAsia" w:hAnsiTheme="minorEastAsia" w:eastAsiaTheme="minorEastAsia"/>
          <w:b/>
          <w:color w:val="auto"/>
          <w:sz w:val="24"/>
          <w:highlight w:val="none"/>
          <w:lang w:eastAsia="zh-CN"/>
        </w:rPr>
        <w:t>响应人</w:t>
      </w:r>
      <w:r>
        <w:rPr>
          <w:rFonts w:hint="eastAsia" w:cs="宋体" w:asciiTheme="minorEastAsia" w:hAnsiTheme="minorEastAsia" w:eastAsiaTheme="minorEastAsia"/>
          <w:b/>
          <w:color w:val="auto"/>
          <w:sz w:val="24"/>
          <w:highlight w:val="none"/>
        </w:rPr>
        <w:t>基本情况表</w:t>
      </w:r>
      <w:bookmarkEnd w:id="133"/>
      <w:bookmarkEnd w:id="134"/>
      <w:bookmarkEnd w:id="135"/>
      <w:bookmarkEnd w:id="136"/>
      <w:bookmarkEnd w:id="137"/>
      <w:bookmarkEnd w:id="138"/>
      <w:bookmarkEnd w:id="139"/>
    </w:p>
    <w:tbl>
      <w:tblPr>
        <w:tblStyle w:val="17"/>
        <w:tblW w:w="9588" w:type="dxa"/>
        <w:tblInd w:w="-418" w:type="dxa"/>
        <w:tblLayout w:type="fixed"/>
        <w:tblCellMar>
          <w:top w:w="0" w:type="dxa"/>
          <w:left w:w="108" w:type="dxa"/>
          <w:bottom w:w="0" w:type="dxa"/>
          <w:right w:w="108" w:type="dxa"/>
        </w:tblCellMar>
      </w:tblPr>
      <w:tblGrid>
        <w:gridCol w:w="2015"/>
        <w:gridCol w:w="1105"/>
        <w:gridCol w:w="1295"/>
        <w:gridCol w:w="1114"/>
        <w:gridCol w:w="1046"/>
        <w:gridCol w:w="372"/>
        <w:gridCol w:w="2641"/>
      </w:tblGrid>
      <w:tr w14:paraId="2CCE58CB">
        <w:tblPrEx>
          <w:tblCellMar>
            <w:top w:w="0" w:type="dxa"/>
            <w:left w:w="108" w:type="dxa"/>
            <w:bottom w:w="0" w:type="dxa"/>
            <w:right w:w="108" w:type="dxa"/>
          </w:tblCellMar>
        </w:tblPrEx>
        <w:trPr>
          <w:trHeight w:val="559"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F797AB8">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lang w:eastAsia="zh-CN"/>
              </w:rPr>
              <w:t>响应人</w:t>
            </w:r>
            <w:r>
              <w:rPr>
                <w:rFonts w:hint="eastAsia" w:asciiTheme="minorEastAsia" w:hAnsiTheme="minorEastAsia" w:eastAsiaTheme="minorEastAsia"/>
                <w:color w:val="auto"/>
                <w:spacing w:val="-1"/>
                <w:sz w:val="24"/>
                <w:highlight w:val="none"/>
              </w:rPr>
              <w:t>名称</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8D37696">
            <w:pPr>
              <w:spacing w:line="500" w:lineRule="exact"/>
              <w:jc w:val="center"/>
              <w:rPr>
                <w:rFonts w:asciiTheme="minorEastAsia" w:hAnsiTheme="minorEastAsia" w:eastAsiaTheme="minorEastAsia"/>
                <w:color w:val="auto"/>
                <w:sz w:val="24"/>
                <w:highlight w:val="none"/>
              </w:rPr>
            </w:pPr>
          </w:p>
        </w:tc>
      </w:tr>
      <w:tr w14:paraId="27A2AE01">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383CF7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注册地址</w:t>
            </w:r>
          </w:p>
        </w:tc>
        <w:tc>
          <w:tcPr>
            <w:tcW w:w="3514"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20CAF53">
            <w:pPr>
              <w:spacing w:line="500" w:lineRule="exact"/>
              <w:jc w:val="center"/>
              <w:rPr>
                <w:rFonts w:asciiTheme="minorEastAsia" w:hAnsiTheme="minorEastAsia" w:eastAsiaTheme="minorEastAsia"/>
                <w:color w:val="auto"/>
                <w:sz w:val="24"/>
                <w:highlight w:val="none"/>
              </w:rPr>
            </w:pPr>
          </w:p>
        </w:tc>
        <w:tc>
          <w:tcPr>
            <w:tcW w:w="141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476A9F0">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邮政编码</w:t>
            </w:r>
          </w:p>
        </w:tc>
        <w:tc>
          <w:tcPr>
            <w:tcW w:w="264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C782B18">
            <w:pPr>
              <w:spacing w:line="500" w:lineRule="exact"/>
              <w:jc w:val="center"/>
              <w:rPr>
                <w:rFonts w:asciiTheme="minorEastAsia" w:hAnsiTheme="minorEastAsia" w:eastAsiaTheme="minorEastAsia"/>
                <w:color w:val="auto"/>
                <w:sz w:val="24"/>
                <w:highlight w:val="none"/>
              </w:rPr>
            </w:pPr>
          </w:p>
        </w:tc>
      </w:tr>
      <w:tr w14:paraId="5E1FCA60">
        <w:tblPrEx>
          <w:tblCellMar>
            <w:top w:w="0" w:type="dxa"/>
            <w:left w:w="108" w:type="dxa"/>
            <w:bottom w:w="0" w:type="dxa"/>
            <w:right w:w="108" w:type="dxa"/>
          </w:tblCellMar>
        </w:tblPrEx>
        <w:trPr>
          <w:trHeight w:val="566" w:hRule="atLeast"/>
        </w:trPr>
        <w:tc>
          <w:tcPr>
            <w:tcW w:w="201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14:paraId="30F9504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联系方式</w:t>
            </w:r>
          </w:p>
        </w:tc>
        <w:tc>
          <w:tcPr>
            <w:tcW w:w="110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C96B3F3">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联系人</w:t>
            </w:r>
          </w:p>
        </w:tc>
        <w:tc>
          <w:tcPr>
            <w:tcW w:w="240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3CE548E">
            <w:pPr>
              <w:spacing w:line="500" w:lineRule="exact"/>
              <w:jc w:val="center"/>
              <w:rPr>
                <w:rFonts w:asciiTheme="minorEastAsia" w:hAnsiTheme="minorEastAsia" w:eastAsiaTheme="minorEastAsia"/>
                <w:color w:val="auto"/>
                <w:sz w:val="24"/>
                <w:highlight w:val="none"/>
              </w:rPr>
            </w:pPr>
          </w:p>
        </w:tc>
        <w:tc>
          <w:tcPr>
            <w:tcW w:w="141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215FB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电子邮件</w:t>
            </w:r>
          </w:p>
        </w:tc>
        <w:tc>
          <w:tcPr>
            <w:tcW w:w="264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6699AD0">
            <w:pPr>
              <w:spacing w:line="500" w:lineRule="exact"/>
              <w:jc w:val="center"/>
              <w:rPr>
                <w:rFonts w:asciiTheme="minorEastAsia" w:hAnsiTheme="minorEastAsia" w:eastAsiaTheme="minorEastAsia"/>
                <w:color w:val="auto"/>
                <w:sz w:val="24"/>
                <w:highlight w:val="none"/>
              </w:rPr>
            </w:pPr>
          </w:p>
        </w:tc>
      </w:tr>
      <w:tr w14:paraId="5FF38678">
        <w:tblPrEx>
          <w:tblCellMar>
            <w:top w:w="0" w:type="dxa"/>
            <w:left w:w="108" w:type="dxa"/>
            <w:bottom w:w="0" w:type="dxa"/>
            <w:right w:w="108" w:type="dxa"/>
          </w:tblCellMar>
        </w:tblPrEx>
        <w:trPr>
          <w:trHeight w:val="569" w:hRule="atLeast"/>
        </w:trPr>
        <w:tc>
          <w:tcPr>
            <w:tcW w:w="2015" w:type="dxa"/>
            <w:vMerge w:val="continue"/>
            <w:tcBorders>
              <w:top w:val="nil"/>
              <w:left w:val="single" w:color="000000" w:sz="6" w:space="0"/>
              <w:bottom w:val="single" w:color="000000" w:sz="6" w:space="0"/>
              <w:right w:val="single" w:color="000000" w:sz="6" w:space="0"/>
            </w:tcBorders>
            <w:vAlign w:val="center"/>
          </w:tcPr>
          <w:p w14:paraId="0DB3D0D7">
            <w:pPr>
              <w:widowControl/>
              <w:spacing w:line="500" w:lineRule="exact"/>
              <w:jc w:val="left"/>
              <w:rPr>
                <w:rFonts w:asciiTheme="minorEastAsia" w:hAnsiTheme="minorEastAsia" w:eastAsiaTheme="minorEastAsia"/>
                <w:color w:val="auto"/>
                <w:sz w:val="24"/>
                <w:highlight w:val="none"/>
              </w:rPr>
            </w:pPr>
          </w:p>
        </w:tc>
        <w:tc>
          <w:tcPr>
            <w:tcW w:w="240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B3F25B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电话（手机号）</w:t>
            </w:r>
          </w:p>
        </w:tc>
        <w:tc>
          <w:tcPr>
            <w:tcW w:w="517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DCB8780">
            <w:pPr>
              <w:spacing w:line="500" w:lineRule="exact"/>
              <w:jc w:val="center"/>
              <w:rPr>
                <w:rFonts w:asciiTheme="minorEastAsia" w:hAnsiTheme="minorEastAsia" w:eastAsiaTheme="minorEastAsia"/>
                <w:color w:val="auto"/>
                <w:sz w:val="24"/>
                <w:highlight w:val="none"/>
              </w:rPr>
            </w:pPr>
          </w:p>
        </w:tc>
      </w:tr>
      <w:tr w14:paraId="7AD540BA">
        <w:tblPrEx>
          <w:tblCellMar>
            <w:top w:w="0" w:type="dxa"/>
            <w:left w:w="108" w:type="dxa"/>
            <w:bottom w:w="0" w:type="dxa"/>
            <w:right w:w="108" w:type="dxa"/>
          </w:tblCellMar>
        </w:tblPrEx>
        <w:trPr>
          <w:trHeight w:val="567"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BFA43A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法定代表人</w:t>
            </w:r>
          </w:p>
        </w:tc>
        <w:tc>
          <w:tcPr>
            <w:tcW w:w="110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434E7B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29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162A729">
            <w:pPr>
              <w:spacing w:line="500" w:lineRule="exact"/>
              <w:jc w:val="center"/>
              <w:rPr>
                <w:rFonts w:asciiTheme="minorEastAsia" w:hAnsiTheme="minorEastAsia" w:eastAsiaTheme="minorEastAsia"/>
                <w:color w:val="auto"/>
                <w:sz w:val="24"/>
                <w:highlight w:val="none"/>
              </w:rPr>
            </w:pPr>
          </w:p>
        </w:tc>
        <w:tc>
          <w:tcPr>
            <w:tcW w:w="216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5DB9A0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301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C5AEDDE">
            <w:pPr>
              <w:spacing w:line="500" w:lineRule="exact"/>
              <w:jc w:val="center"/>
              <w:rPr>
                <w:rFonts w:asciiTheme="minorEastAsia" w:hAnsiTheme="minorEastAsia" w:eastAsiaTheme="minorEastAsia"/>
                <w:color w:val="auto"/>
                <w:sz w:val="24"/>
                <w:highlight w:val="none"/>
              </w:rPr>
            </w:pPr>
          </w:p>
        </w:tc>
      </w:tr>
      <w:tr w14:paraId="32684852">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B5661EF">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lang w:val="en-US" w:eastAsia="zh-CN"/>
              </w:rPr>
              <w:t>项目</w:t>
            </w:r>
            <w:r>
              <w:rPr>
                <w:rFonts w:hint="eastAsia" w:asciiTheme="minorEastAsia" w:hAnsiTheme="minorEastAsia" w:eastAsiaTheme="minorEastAsia"/>
                <w:color w:val="auto"/>
                <w:spacing w:val="-1"/>
                <w:sz w:val="24"/>
                <w:highlight w:val="none"/>
              </w:rPr>
              <w:t>负责人</w:t>
            </w:r>
          </w:p>
        </w:tc>
        <w:tc>
          <w:tcPr>
            <w:tcW w:w="110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EF25B4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29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6BE8A7D">
            <w:pPr>
              <w:spacing w:line="500" w:lineRule="exact"/>
              <w:jc w:val="center"/>
              <w:rPr>
                <w:rFonts w:asciiTheme="minorEastAsia" w:hAnsiTheme="minorEastAsia" w:eastAsiaTheme="minorEastAsia"/>
                <w:color w:val="auto"/>
                <w:sz w:val="24"/>
                <w:highlight w:val="none"/>
              </w:rPr>
            </w:pPr>
          </w:p>
        </w:tc>
        <w:tc>
          <w:tcPr>
            <w:tcW w:w="216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EC3840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301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75F468C">
            <w:pPr>
              <w:spacing w:line="500" w:lineRule="exact"/>
              <w:jc w:val="center"/>
              <w:rPr>
                <w:rFonts w:asciiTheme="minorEastAsia" w:hAnsiTheme="minorEastAsia" w:eastAsiaTheme="minorEastAsia"/>
                <w:color w:val="auto"/>
                <w:sz w:val="24"/>
                <w:highlight w:val="none"/>
              </w:rPr>
            </w:pPr>
          </w:p>
        </w:tc>
      </w:tr>
      <w:tr w14:paraId="796348E7">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7C51D93">
            <w:pPr>
              <w:spacing w:line="500" w:lineRule="exact"/>
              <w:jc w:val="center"/>
              <w:rPr>
                <w:rFonts w:hint="default" w:asciiTheme="minorEastAsia" w:hAnsiTheme="minorEastAsia" w:eastAsiaTheme="minorEastAsia"/>
                <w:color w:val="auto"/>
                <w:spacing w:val="-1"/>
                <w:sz w:val="24"/>
                <w:highlight w:val="none"/>
                <w:lang w:val="en-US" w:eastAsia="zh-CN"/>
              </w:rPr>
            </w:pPr>
            <w:r>
              <w:rPr>
                <w:rFonts w:hint="eastAsia" w:asciiTheme="minorEastAsia" w:hAnsiTheme="minorEastAsia" w:eastAsiaTheme="minorEastAsia"/>
                <w:color w:val="auto"/>
                <w:spacing w:val="-1"/>
                <w:sz w:val="24"/>
                <w:highlight w:val="none"/>
                <w:lang w:val="en-US" w:eastAsia="zh-CN"/>
              </w:rPr>
              <w:t>注册资金</w:t>
            </w:r>
          </w:p>
        </w:tc>
        <w:tc>
          <w:tcPr>
            <w:tcW w:w="240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5BB5F09">
            <w:pPr>
              <w:spacing w:line="500" w:lineRule="exact"/>
              <w:jc w:val="center"/>
              <w:rPr>
                <w:rFonts w:asciiTheme="minorEastAsia" w:hAnsiTheme="minorEastAsia" w:eastAsiaTheme="minorEastAsia"/>
                <w:color w:val="auto"/>
                <w:sz w:val="24"/>
                <w:highlight w:val="none"/>
              </w:rPr>
            </w:pPr>
          </w:p>
        </w:tc>
        <w:tc>
          <w:tcPr>
            <w:tcW w:w="216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53526C8">
            <w:pPr>
              <w:spacing w:line="500" w:lineRule="exact"/>
              <w:jc w:val="center"/>
              <w:rPr>
                <w:rFonts w:hint="eastAsia"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lang w:val="en-US" w:eastAsia="zh-CN"/>
              </w:rPr>
              <w:t>开户银行及户名</w:t>
            </w:r>
          </w:p>
          <w:p w14:paraId="26776099">
            <w:pPr>
              <w:spacing w:line="500" w:lineRule="exact"/>
              <w:jc w:val="center"/>
              <w:rPr>
                <w:rFonts w:hint="eastAsia" w:asciiTheme="minorEastAsia" w:hAnsiTheme="minorEastAsia" w:eastAsiaTheme="minorEastAsia"/>
                <w:color w:val="auto"/>
                <w:spacing w:val="-1"/>
                <w:sz w:val="24"/>
                <w:highlight w:val="none"/>
              </w:rPr>
            </w:pPr>
          </w:p>
        </w:tc>
        <w:tc>
          <w:tcPr>
            <w:tcW w:w="301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450908A">
            <w:pPr>
              <w:spacing w:line="500" w:lineRule="exact"/>
              <w:jc w:val="center"/>
              <w:rPr>
                <w:rFonts w:asciiTheme="minorEastAsia" w:hAnsiTheme="minorEastAsia" w:eastAsiaTheme="minorEastAsia"/>
                <w:color w:val="auto"/>
                <w:sz w:val="24"/>
                <w:highlight w:val="none"/>
              </w:rPr>
            </w:pPr>
          </w:p>
        </w:tc>
      </w:tr>
      <w:tr w14:paraId="30E9390F">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AEB651B">
            <w:pPr>
              <w:spacing w:line="500" w:lineRule="exact"/>
              <w:jc w:val="center"/>
              <w:rPr>
                <w:rFonts w:hint="default" w:asciiTheme="minorEastAsia" w:hAnsiTheme="minorEastAsia" w:eastAsiaTheme="minorEastAsia"/>
                <w:color w:val="auto"/>
                <w:spacing w:val="-1"/>
                <w:sz w:val="24"/>
                <w:highlight w:val="none"/>
                <w:lang w:val="en-US" w:eastAsia="zh-CN"/>
              </w:rPr>
            </w:pPr>
            <w:r>
              <w:rPr>
                <w:rFonts w:hint="eastAsia" w:asciiTheme="minorEastAsia" w:hAnsiTheme="minorEastAsia" w:eastAsiaTheme="minorEastAsia"/>
                <w:color w:val="auto"/>
                <w:spacing w:val="-1"/>
                <w:sz w:val="24"/>
                <w:highlight w:val="none"/>
                <w:lang w:val="en-US" w:eastAsia="zh-CN"/>
              </w:rPr>
              <w:t>账号</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AB922F5">
            <w:pPr>
              <w:spacing w:line="500" w:lineRule="exact"/>
              <w:jc w:val="center"/>
              <w:rPr>
                <w:rFonts w:asciiTheme="minorEastAsia" w:hAnsiTheme="minorEastAsia" w:eastAsiaTheme="minorEastAsia"/>
                <w:color w:val="auto"/>
                <w:sz w:val="24"/>
                <w:highlight w:val="none"/>
              </w:rPr>
            </w:pPr>
          </w:p>
        </w:tc>
      </w:tr>
      <w:tr w14:paraId="316E1CAC">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6DBCCC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成立时间</w:t>
            </w:r>
          </w:p>
        </w:tc>
        <w:tc>
          <w:tcPr>
            <w:tcW w:w="240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BD3AD7C">
            <w:pPr>
              <w:spacing w:line="500" w:lineRule="exact"/>
              <w:jc w:val="center"/>
              <w:rPr>
                <w:rFonts w:asciiTheme="minorEastAsia" w:hAnsiTheme="minorEastAsia" w:eastAsiaTheme="minorEastAsia"/>
                <w:color w:val="auto"/>
                <w:sz w:val="24"/>
                <w:highlight w:val="none"/>
              </w:rPr>
            </w:pPr>
          </w:p>
        </w:tc>
        <w:tc>
          <w:tcPr>
            <w:tcW w:w="517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E2C32EB">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员工总人数：</w:t>
            </w:r>
          </w:p>
        </w:tc>
      </w:tr>
      <w:tr w14:paraId="45222816">
        <w:tblPrEx>
          <w:tblCellMar>
            <w:top w:w="0" w:type="dxa"/>
            <w:left w:w="108" w:type="dxa"/>
            <w:bottom w:w="0" w:type="dxa"/>
            <w:right w:w="108" w:type="dxa"/>
          </w:tblCellMar>
        </w:tblPrEx>
        <w:trPr>
          <w:trHeight w:val="685"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DAF6D3C">
            <w:pPr>
              <w:spacing w:line="500" w:lineRule="exact"/>
              <w:jc w:val="center"/>
              <w:rPr>
                <w:rFonts w:hint="eastAsia"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lang w:val="en-US" w:eastAsia="zh-CN"/>
              </w:rPr>
              <w:t>统一社会信用代码</w:t>
            </w:r>
          </w:p>
          <w:p w14:paraId="43A7E44C">
            <w:pPr>
              <w:spacing w:line="500" w:lineRule="exact"/>
              <w:jc w:val="center"/>
              <w:rPr>
                <w:rFonts w:hint="eastAsia" w:asciiTheme="minorEastAsia" w:hAnsiTheme="minorEastAsia" w:eastAsiaTheme="minorEastAsia"/>
                <w:color w:val="auto"/>
                <w:spacing w:val="-1"/>
                <w:sz w:val="24"/>
                <w:highlight w:val="none"/>
              </w:rPr>
            </w:pP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742C39">
            <w:pPr>
              <w:spacing w:line="500" w:lineRule="exact"/>
              <w:jc w:val="center"/>
              <w:rPr>
                <w:rFonts w:asciiTheme="minorEastAsia" w:hAnsiTheme="minorEastAsia" w:eastAsiaTheme="minorEastAsia"/>
                <w:color w:val="auto"/>
                <w:sz w:val="24"/>
                <w:highlight w:val="none"/>
              </w:rPr>
            </w:pPr>
          </w:p>
        </w:tc>
      </w:tr>
      <w:tr w14:paraId="17EB66C5">
        <w:tblPrEx>
          <w:tblCellMar>
            <w:top w:w="0" w:type="dxa"/>
            <w:left w:w="108" w:type="dxa"/>
            <w:bottom w:w="0" w:type="dxa"/>
            <w:right w:w="108" w:type="dxa"/>
          </w:tblCellMar>
        </w:tblPrEx>
        <w:trPr>
          <w:trHeight w:val="1457"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13D66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经营范围</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CC37219">
            <w:pPr>
              <w:spacing w:line="500" w:lineRule="exact"/>
              <w:jc w:val="center"/>
              <w:rPr>
                <w:rFonts w:asciiTheme="minorEastAsia" w:hAnsiTheme="minorEastAsia" w:eastAsiaTheme="minorEastAsia"/>
                <w:color w:val="auto"/>
                <w:sz w:val="24"/>
                <w:highlight w:val="none"/>
              </w:rPr>
            </w:pPr>
          </w:p>
        </w:tc>
      </w:tr>
      <w:tr w14:paraId="2CF9D630">
        <w:tblPrEx>
          <w:tblCellMar>
            <w:top w:w="0" w:type="dxa"/>
            <w:left w:w="108" w:type="dxa"/>
            <w:bottom w:w="0" w:type="dxa"/>
            <w:right w:w="108" w:type="dxa"/>
          </w:tblCellMar>
        </w:tblPrEx>
        <w:trPr>
          <w:trHeight w:val="198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C8AC5E1">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备</w:t>
            </w:r>
            <w:r>
              <w:rPr>
                <w:rFonts w:hint="eastAsia" w:asciiTheme="minorEastAsia" w:hAnsiTheme="minorEastAsia" w:eastAsiaTheme="minorEastAsia"/>
                <w:color w:val="auto"/>
                <w:spacing w:val="4"/>
                <w:sz w:val="24"/>
                <w:highlight w:val="none"/>
              </w:rPr>
              <w:t> </w:t>
            </w:r>
            <w:r>
              <w:rPr>
                <w:rFonts w:hint="eastAsia" w:asciiTheme="minorEastAsia" w:hAnsiTheme="minorEastAsia" w:eastAsiaTheme="minorEastAsia"/>
                <w:color w:val="auto"/>
                <w:spacing w:val="-1"/>
                <w:sz w:val="24"/>
                <w:highlight w:val="none"/>
              </w:rPr>
              <w:t>注</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B85947F">
            <w:pPr>
              <w:spacing w:line="500" w:lineRule="exact"/>
              <w:jc w:val="center"/>
              <w:rPr>
                <w:rFonts w:asciiTheme="minorEastAsia" w:hAnsiTheme="minorEastAsia" w:eastAsiaTheme="minorEastAsia"/>
                <w:color w:val="auto"/>
                <w:sz w:val="24"/>
                <w:highlight w:val="none"/>
              </w:rPr>
            </w:pPr>
          </w:p>
        </w:tc>
      </w:tr>
    </w:tbl>
    <w:p w14:paraId="732A0575">
      <w:pPr>
        <w:rPr>
          <w:rFonts w:cs="宋体" w:asciiTheme="minorEastAsia" w:hAnsiTheme="minorEastAsia" w:eastAsiaTheme="minorEastAsia"/>
          <w:b/>
          <w:color w:val="auto"/>
          <w:sz w:val="24"/>
          <w:highlight w:val="none"/>
        </w:rPr>
      </w:pPr>
    </w:p>
    <w:p w14:paraId="58F1F68A">
      <w:pPr>
        <w:keepNext w:val="0"/>
        <w:keepLines w:val="0"/>
        <w:widowControl/>
        <w:suppressLineNumbers w:val="0"/>
        <w:jc w:val="left"/>
      </w:pPr>
      <w:r>
        <w:rPr>
          <w:rFonts w:hint="eastAsia" w:ascii="宋体" w:hAnsi="宋体" w:eastAsia="宋体" w:cs="宋体"/>
          <w:color w:val="000000"/>
          <w:kern w:val="0"/>
          <w:sz w:val="24"/>
          <w:szCs w:val="24"/>
          <w:lang w:val="en-US" w:eastAsia="zh-CN" w:bidi="ar"/>
        </w:rPr>
        <w:t>附：1、营业执照、税务登记证、组织机构代码证（或“三证合一”的营业执照）等相关证件的扫描件</w:t>
      </w:r>
    </w:p>
    <w:p w14:paraId="18A4D754">
      <w:pPr>
        <w:spacing w:line="520" w:lineRule="exact"/>
        <w:ind w:firstLine="4418" w:firstLineChars="1841"/>
        <w:textAlignment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lang w:val="en-US" w:eastAsia="zh-CN"/>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（公章电子签章）</w:t>
      </w:r>
    </w:p>
    <w:p w14:paraId="62ABE382">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p w14:paraId="23A6C717">
      <w:pPr>
        <w:keepNext w:val="0"/>
        <w:keepLines w:val="0"/>
        <w:widowControl/>
        <w:suppressLineNumbers w:val="0"/>
        <w:jc w:val="center"/>
      </w:pPr>
      <w:r>
        <w:rPr>
          <w:rFonts w:asciiTheme="minorEastAsia" w:hAnsiTheme="minorEastAsia" w:eastAsiaTheme="minorEastAsia"/>
          <w:color w:val="auto"/>
          <w:sz w:val="24"/>
          <w:highlight w:val="none"/>
        </w:rPr>
        <w:br w:type="page"/>
      </w:r>
      <w:r>
        <w:rPr>
          <w:rFonts w:hint="eastAsia" w:ascii="宋体" w:hAnsi="宋体" w:eastAsia="宋体" w:cs="宋体"/>
          <w:b/>
          <w:bCs/>
          <w:color w:val="000000"/>
          <w:kern w:val="0"/>
          <w:sz w:val="28"/>
          <w:szCs w:val="28"/>
          <w:lang w:val="en-US" w:eastAsia="zh-CN" w:bidi="ar"/>
        </w:rPr>
        <w:t>（二）资格证明资料</w:t>
      </w:r>
    </w:p>
    <w:p w14:paraId="0209D0C7">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（格式自拟，应逐页加盖企业公章签章）</w:t>
      </w:r>
    </w:p>
    <w:p w14:paraId="19C44E2A">
      <w:pPr>
        <w:keepNext/>
        <w:widowControl/>
        <w:spacing w:line="420" w:lineRule="exact"/>
        <w:jc w:val="both"/>
        <w:outlineLvl w:val="2"/>
        <w:rPr>
          <w:rFonts w:hint="eastAsia" w:asciiTheme="minorEastAsia" w:hAnsiTheme="minorEastAsia" w:eastAsiaTheme="minorEastAsia"/>
          <w:b/>
          <w:bCs/>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44BC5F3">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（三）</w:t>
      </w:r>
      <w:r>
        <w:rPr>
          <w:rFonts w:hint="eastAsia" w:ascii="宋体" w:hAnsi="宋体" w:eastAsia="宋体" w:cs="宋体"/>
          <w:color w:val="000000"/>
          <w:kern w:val="0"/>
          <w:sz w:val="28"/>
          <w:szCs w:val="28"/>
          <w:lang w:val="en-US" w:eastAsia="zh-CN" w:bidi="ar"/>
        </w:rPr>
        <w:t>、</w:t>
      </w:r>
      <w:r>
        <w:rPr>
          <w:rFonts w:hint="eastAsia" w:ascii="宋体" w:hAnsi="宋体" w:eastAsia="宋体" w:cs="宋体"/>
          <w:b/>
          <w:bCs/>
          <w:color w:val="000000"/>
          <w:kern w:val="0"/>
          <w:sz w:val="31"/>
          <w:szCs w:val="31"/>
          <w:lang w:val="en-US" w:eastAsia="zh-CN" w:bidi="ar"/>
        </w:rPr>
        <w:t>业绩一览表及证明材料</w:t>
      </w:r>
    </w:p>
    <w:tbl>
      <w:tblPr>
        <w:tblStyle w:val="18"/>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689"/>
        <w:gridCol w:w="1581"/>
        <w:gridCol w:w="1704"/>
        <w:gridCol w:w="1259"/>
        <w:gridCol w:w="1765"/>
      </w:tblGrid>
      <w:tr w14:paraId="53F8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7D518DE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序号</w:t>
            </w:r>
          </w:p>
        </w:tc>
        <w:tc>
          <w:tcPr>
            <w:tcW w:w="1689" w:type="dxa"/>
          </w:tcPr>
          <w:p w14:paraId="63470BEA">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项目名称</w:t>
            </w:r>
          </w:p>
        </w:tc>
        <w:tc>
          <w:tcPr>
            <w:tcW w:w="1581" w:type="dxa"/>
          </w:tcPr>
          <w:p w14:paraId="654102AA">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中标日期</w:t>
            </w:r>
          </w:p>
        </w:tc>
        <w:tc>
          <w:tcPr>
            <w:tcW w:w="1704" w:type="dxa"/>
          </w:tcPr>
          <w:p w14:paraId="2AF71C8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采购单位</w:t>
            </w:r>
          </w:p>
        </w:tc>
        <w:tc>
          <w:tcPr>
            <w:tcW w:w="1259" w:type="dxa"/>
          </w:tcPr>
          <w:p w14:paraId="43A40F9B">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中标金额</w:t>
            </w:r>
          </w:p>
        </w:tc>
        <w:tc>
          <w:tcPr>
            <w:tcW w:w="1765" w:type="dxa"/>
          </w:tcPr>
          <w:p w14:paraId="4BDFCA9D">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合同签订日期</w:t>
            </w:r>
          </w:p>
        </w:tc>
      </w:tr>
      <w:tr w14:paraId="34D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75C7EE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612642E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2710DA4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1A8B9FA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3A434B0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9E57C66">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0D9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349AD8E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2428A79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5FC60EC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78112CA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1410E9CC">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E05946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2F0B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3983EC8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7D96133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6A24FEB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087A45D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43C4CD3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7450FAC">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4E0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21B0F35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60D9D76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777ADFD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1A27EC8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76FC963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707145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0BCE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0E02302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16133FB6">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529EB7B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67654A1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7330D56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14F91B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5A5E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221C88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3104CAB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41D4C68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121C59B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50A9FADC">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B429D6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59D8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A699B82">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04661D6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09379A6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38E1911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71EA241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7C230EF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723B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31A072C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1C2F262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3FE24E9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0CB0A36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53DFBC1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503DA3A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60F0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0FD9AD46">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0DDE4E8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1BBE4D5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6C8EA93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0C9F970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A9A681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6D5F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2575730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7A39CBE2">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770DFAE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2E38483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22B7525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1C64C4C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65CE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D06E96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6BC4804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370A26E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54BFEFD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6257BF0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50F5E47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4437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39" w:type="dxa"/>
          </w:tcPr>
          <w:p w14:paraId="20F2C0F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1100BD9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421515D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6DDBE73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04E2763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6A9C86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bl>
    <w:p w14:paraId="6F6FBF0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303F2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B24CEE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C91708B">
      <w:pPr>
        <w:spacing w:line="360" w:lineRule="auto"/>
        <w:ind w:firstLine="480" w:firstLineChars="20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asciiTheme="minorEastAsia" w:hAnsiTheme="minorEastAsia" w:eastAsiaTheme="minorEastAsia"/>
          <w:color w:val="auto"/>
          <w:sz w:val="24"/>
          <w:szCs w:val="24"/>
          <w:highlight w:val="none"/>
        </w:rPr>
        <w:t>）</w:t>
      </w:r>
    </w:p>
    <w:p w14:paraId="11C17886">
      <w:pPr>
        <w:spacing w:line="360" w:lineRule="auto"/>
        <w:ind w:firstLine="480" w:firstLineChars="20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日期：</w:t>
      </w:r>
      <w:r>
        <w:rPr>
          <w:rFonts w:hint="eastAsia" w:asciiTheme="minorEastAsia" w:hAnsiTheme="minorEastAsia" w:eastAsiaTheme="minorEastAsia"/>
          <w:color w:val="auto"/>
          <w:sz w:val="24"/>
          <w:szCs w:val="24"/>
          <w:highlight w:val="none"/>
          <w:lang w:val="en-US" w:eastAsia="zh-CN"/>
        </w:rPr>
        <w:t xml:space="preserve">  年  月  日</w:t>
      </w:r>
    </w:p>
    <w:p w14:paraId="13FEAC4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B7CE86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7D149D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DFA751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A55945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0B2040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81E3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注：供应商所列项目清单须后附中标通知书或合同协议书原件的扫描件并加盖公章，时间要求为自 2022 年 01 月 01 日以来（以合同签订时间为准）。</w:t>
      </w:r>
    </w:p>
    <w:p w14:paraId="6BDBE152">
      <w:pPr>
        <w:keepNext/>
        <w:widowControl/>
        <w:spacing w:line="420" w:lineRule="exact"/>
        <w:jc w:val="both"/>
        <w:outlineLvl w:val="2"/>
        <w:rPr>
          <w:rFonts w:hint="eastAsia" w:asciiTheme="minorEastAsia" w:hAnsiTheme="minorEastAsia" w:eastAsiaTheme="minorEastAsia"/>
          <w:b/>
          <w:bCs/>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B53EE1">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六</w:t>
      </w:r>
      <w:r>
        <w:rPr>
          <w:rFonts w:hint="eastAsia" w:ascii="宋体" w:hAnsi="宋体" w:eastAsia="宋体" w:cs="宋体"/>
          <w:color w:val="000000"/>
          <w:kern w:val="0"/>
          <w:sz w:val="48"/>
          <w:szCs w:val="48"/>
          <w:lang w:val="en-US" w:eastAsia="zh-CN" w:bidi="ar"/>
        </w:rPr>
        <w:t>、</w:t>
      </w:r>
      <w:r>
        <w:rPr>
          <w:rFonts w:hint="eastAsia" w:ascii="宋体" w:hAnsi="宋体" w:eastAsia="宋体" w:cs="宋体"/>
          <w:b/>
          <w:bCs/>
          <w:color w:val="000000"/>
          <w:kern w:val="0"/>
          <w:sz w:val="31"/>
          <w:szCs w:val="31"/>
          <w:lang w:val="en-US" w:eastAsia="zh-CN" w:bidi="ar"/>
        </w:rPr>
        <w:t>技术部分</w:t>
      </w:r>
    </w:p>
    <w:p w14:paraId="2CEB7BA4">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（格式自拟，需逐页加盖企业公章签章）</w:t>
      </w:r>
    </w:p>
    <w:p w14:paraId="040C206D">
      <w:pPr>
        <w:keepNext/>
        <w:widowControl/>
        <w:spacing w:line="420" w:lineRule="exact"/>
        <w:jc w:val="both"/>
        <w:outlineLvl w:val="2"/>
        <w:rPr>
          <w:rFonts w:hint="eastAsia" w:asciiTheme="minorEastAsia" w:hAnsiTheme="minorEastAsia" w:eastAsiaTheme="minorEastAsia"/>
          <w:b/>
          <w:bCs/>
          <w:color w:val="auto"/>
          <w:sz w:val="24"/>
          <w:highlight w:val="none"/>
        </w:rPr>
      </w:pPr>
    </w:p>
    <w:p w14:paraId="7F42352D">
      <w:pPr>
        <w:keepNext/>
        <w:widowControl/>
        <w:spacing w:line="420" w:lineRule="exact"/>
        <w:jc w:val="center"/>
        <w:outlineLvl w:val="2"/>
        <w:rPr>
          <w:rFonts w:hint="eastAsia" w:asciiTheme="minorEastAsia" w:hAnsiTheme="minorEastAsia" w:eastAsiaTheme="minorEastAsia"/>
          <w:b/>
          <w:bCs/>
          <w:color w:val="auto"/>
          <w:sz w:val="24"/>
          <w:highlight w:val="none"/>
        </w:rPr>
      </w:pPr>
    </w:p>
    <w:p w14:paraId="7E614BDB">
      <w:pPr>
        <w:keepNext/>
        <w:widowControl/>
        <w:spacing w:line="420" w:lineRule="exact"/>
        <w:jc w:val="center"/>
        <w:outlineLvl w:val="2"/>
        <w:rPr>
          <w:rFonts w:hint="eastAsia" w:asciiTheme="minorEastAsia" w:hAnsiTheme="minorEastAsia" w:eastAsiaTheme="minorEastAsia"/>
          <w:b/>
          <w:bCs/>
          <w:color w:val="auto"/>
          <w:sz w:val="24"/>
          <w:highlight w:val="none"/>
        </w:rPr>
      </w:pPr>
    </w:p>
    <w:p w14:paraId="05606B0B">
      <w:pPr>
        <w:keepNext/>
        <w:widowControl/>
        <w:spacing w:line="420" w:lineRule="exact"/>
        <w:jc w:val="center"/>
        <w:outlineLvl w:val="2"/>
        <w:rPr>
          <w:rFonts w:hint="eastAsia" w:asciiTheme="minorEastAsia" w:hAnsiTheme="minorEastAsia" w:eastAsiaTheme="minorEastAsia"/>
          <w:b/>
          <w:bCs/>
          <w:color w:val="auto"/>
          <w:sz w:val="24"/>
          <w:highlight w:val="none"/>
        </w:rPr>
      </w:pPr>
    </w:p>
    <w:p w14:paraId="22F01954">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55A754AB">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七、</w:t>
      </w:r>
      <w:r>
        <w:rPr>
          <w:rFonts w:hint="eastAsia" w:ascii="宋体" w:hAnsi="宋体" w:eastAsia="宋体" w:cs="宋体"/>
          <w:b/>
          <w:bCs/>
          <w:color w:val="000000"/>
          <w:kern w:val="0"/>
          <w:sz w:val="28"/>
          <w:szCs w:val="28"/>
          <w:lang w:val="en-US" w:eastAsia="zh-CN" w:bidi="ar"/>
        </w:rPr>
        <w:t>商务部分</w:t>
      </w:r>
    </w:p>
    <w:p w14:paraId="4BF6409B">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（格式自拟，需逐页加盖企业公章签章）</w:t>
      </w:r>
    </w:p>
    <w:p w14:paraId="60601BEC">
      <w:pPr>
        <w:pStyle w:val="15"/>
        <w:jc w:val="cente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B20B71">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八、其他资料</w:t>
      </w:r>
    </w:p>
    <w:p w14:paraId="0ECDC28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14:paraId="629C98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（供应商认为应附的其它相关资料，格式自拟，需逐页加盖企业公章签章）</w:t>
      </w:r>
    </w:p>
    <w:p w14:paraId="62AF53F9">
      <w:pPr>
        <w:keepNext w:val="0"/>
        <w:keepLines w:val="0"/>
        <w:widowControl/>
        <w:suppressLineNumbers w:val="0"/>
        <w:jc w:val="center"/>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5CAC75EE">
      <w:pPr>
        <w:keepNext w:val="0"/>
        <w:keepLines w:val="0"/>
        <w:widowControl/>
        <w:suppressLineNumbers w:val="0"/>
        <w:spacing w:line="480" w:lineRule="auto"/>
        <w:jc w:val="center"/>
      </w:pPr>
      <w:r>
        <w:rPr>
          <w:rFonts w:hint="eastAsia" w:ascii="宋体" w:hAnsi="宋体" w:eastAsia="宋体" w:cs="宋体"/>
          <w:b/>
          <w:bCs/>
          <w:color w:val="000000"/>
          <w:kern w:val="0"/>
          <w:sz w:val="24"/>
          <w:szCs w:val="24"/>
          <w:lang w:val="en-US" w:eastAsia="zh-CN" w:bidi="ar"/>
        </w:rPr>
        <w:t>中小企业声明函</w:t>
      </w:r>
    </w:p>
    <w:p w14:paraId="485AD9BF">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中小企业声明函（货物）</w:t>
      </w:r>
    </w:p>
    <w:p w14:paraId="2E7475B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14:paraId="38E98E29">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（单位名称）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（项目名称）</w:t>
      </w:r>
      <w:r>
        <w:rPr>
          <w:rFonts w:hint="eastAsia" w:ascii="宋体" w:hAnsi="宋体" w:cs="宋体"/>
          <w:color w:val="000000" w:themeColor="text1"/>
          <w:kern w:val="0"/>
          <w:sz w:val="24"/>
          <w:szCs w:val="24"/>
          <w:highlight w:val="none"/>
          <w:lang w:bidi="ar"/>
          <w14:textFill>
            <w14:solidFill>
              <w14:schemeClr w14:val="tx1"/>
            </w14:solidFill>
          </w14:textFill>
        </w:rPr>
        <w:t>采购活动，提供的货物全部由符合政策要求的中小企业制造。相关企业（含联合体中的中小企业、签订分包意向协议的中小企业）的具体情况如下：</w:t>
      </w:r>
    </w:p>
    <w:p w14:paraId="1F352796">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w:t>
      </w:r>
      <w:r>
        <w:rPr>
          <w:rFonts w:hint="eastAsia" w:ascii="宋体" w:hAnsi="宋体" w:cs="宋体"/>
          <w:color w:val="000000" w:themeColor="text1"/>
          <w:kern w:val="0"/>
          <w:sz w:val="24"/>
          <w:szCs w:val="24"/>
          <w:highlight w:val="none"/>
          <w:u w:val="single"/>
          <w:lang w:bidi="ar"/>
          <w14:textFill>
            <w14:solidFill>
              <w14:schemeClr w14:val="tx1"/>
            </w14:solidFill>
          </w14:textFill>
        </w:rPr>
        <w:t>（标的名称）</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color w:val="000000" w:themeColor="text1"/>
          <w:kern w:val="0"/>
          <w:sz w:val="24"/>
          <w:szCs w:val="24"/>
          <w:highlight w:val="none"/>
          <w:u w:val="single"/>
          <w:lang w:bidi="ar"/>
          <w14:textFill>
            <w14:solidFill>
              <w14:schemeClr w14:val="tx1"/>
            </w14:solidFill>
          </w14:textFill>
        </w:rPr>
        <w:t>（</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磋商</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文件中明确的所属行业） </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 xml:space="preserve">； </w:t>
      </w:r>
    </w:p>
    <w:p w14:paraId="52FBF71A">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w:t>
      </w:r>
      <w:r>
        <w:rPr>
          <w:rFonts w:hint="eastAsia" w:ascii="宋体" w:hAnsi="宋体" w:cs="宋体"/>
          <w:color w:val="000000" w:themeColor="text1"/>
          <w:kern w:val="0"/>
          <w:sz w:val="24"/>
          <w:szCs w:val="24"/>
          <w:highlight w:val="none"/>
          <w:u w:val="single"/>
          <w:lang w:bidi="ar"/>
          <w14:textFill>
            <w14:solidFill>
              <w14:schemeClr w14:val="tx1"/>
            </w14:solidFill>
          </w14:textFill>
        </w:rPr>
        <w:t>（标的名称）</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color w:val="000000" w:themeColor="text1"/>
          <w:kern w:val="0"/>
          <w:sz w:val="24"/>
          <w:szCs w:val="24"/>
          <w:highlight w:val="none"/>
          <w:u w:val="single"/>
          <w:lang w:bidi="ar"/>
          <w14:textFill>
            <w14:solidFill>
              <w14:schemeClr w14:val="tx1"/>
            </w14:solidFill>
          </w14:textFill>
        </w:rPr>
        <w:t>（</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磋商</w:t>
      </w:r>
      <w:r>
        <w:rPr>
          <w:rFonts w:hint="eastAsia" w:ascii="宋体" w:hAnsi="宋体" w:cs="宋体"/>
          <w:color w:val="000000" w:themeColor="text1"/>
          <w:kern w:val="0"/>
          <w:sz w:val="24"/>
          <w:szCs w:val="24"/>
          <w:highlight w:val="none"/>
          <w:u w:val="single"/>
          <w:lang w:bidi="ar"/>
          <w14:textFill>
            <w14:solidFill>
              <w14:schemeClr w14:val="tx1"/>
            </w14:solidFill>
          </w14:textFill>
        </w:rPr>
        <w:t>文件中明确的所属行业）</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 xml:space="preserve"> </w:t>
      </w:r>
    </w:p>
    <w:p w14:paraId="4318E449">
      <w:pPr>
        <w:autoSpaceDE w:val="0"/>
        <w:autoSpaceDN w:val="0"/>
        <w:spacing w:beforeLines="0" w:afterLines="0" w:line="360" w:lineRule="auto"/>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w:t>
      </w:r>
    </w:p>
    <w:p w14:paraId="1443C35C">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以上企业，不属于大企业的分支机构，不存在控股股东 为大企业的情形，也不存在与大企业的负责人为同一人的情形。</w:t>
      </w:r>
    </w:p>
    <w:p w14:paraId="15A0613D">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本企业对上述声明内容的真实性负责。如有虚假，将依 法承担相应责任。</w:t>
      </w:r>
    </w:p>
    <w:p w14:paraId="065F7609">
      <w:pPr>
        <w:autoSpaceDE w:val="0"/>
        <w:autoSpaceDN w:val="0"/>
        <w:spacing w:beforeLines="0" w:afterLines="0" w:line="360" w:lineRule="auto"/>
        <w:ind w:firstLine="3840" w:firstLineChars="1600"/>
        <w:jc w:val="left"/>
        <w:rPr>
          <w:rFonts w:hint="eastAsia" w:ascii="宋体" w:hAnsi="宋体" w:cs="宋体"/>
          <w:color w:val="000000" w:themeColor="text1"/>
          <w:kern w:val="0"/>
          <w:sz w:val="24"/>
          <w:szCs w:val="24"/>
          <w:highlight w:val="none"/>
          <w:lang w:bidi="ar"/>
          <w14:textFill>
            <w14:solidFill>
              <w14:schemeClr w14:val="tx1"/>
            </w14:solidFill>
          </w14:textFill>
        </w:rPr>
      </w:pPr>
    </w:p>
    <w:p w14:paraId="47848578">
      <w:pPr>
        <w:keepNext w:val="0"/>
        <w:keepLines w:val="0"/>
        <w:pageBreakBefore w:val="0"/>
        <w:widowControl/>
        <w:kinsoku/>
        <w:wordWrap/>
        <w:overflowPunct/>
        <w:topLinePunct w:val="0"/>
        <w:autoSpaceDE/>
        <w:autoSpaceDN/>
        <w:bidi w:val="0"/>
        <w:adjustRightInd/>
        <w:snapToGrid/>
        <w:spacing w:line="600" w:lineRule="exact"/>
        <w:ind w:firstLine="2160" w:firstLineChars="900"/>
        <w:textAlignment w:val="center"/>
        <w:rPr>
          <w:rFonts w:hint="eastAsia" w:ascii="宋体" w:hAnsi="宋体" w:eastAsia="宋体" w:cs="宋体"/>
          <w:b w:val="0"/>
          <w:bCs w:val="0"/>
          <w:color w:val="auto"/>
          <w:sz w:val="24"/>
          <w:szCs w:val="24"/>
          <w:u w:val="single"/>
        </w:rPr>
      </w:pPr>
      <w:r>
        <w:rPr>
          <w:rFonts w:hint="eastAsia" w:hAnsi="宋体" w:cs="宋体"/>
          <w:b w:val="0"/>
          <w:bCs w:val="0"/>
          <w:color w:val="auto"/>
          <w:sz w:val="24"/>
          <w:szCs w:val="24"/>
          <w:lang w:val="en-US" w:eastAsia="zh-CN"/>
        </w:rPr>
        <w:t xml:space="preserve">    </w:t>
      </w:r>
      <w:r>
        <w:rPr>
          <w:rFonts w:hint="eastAsia" w:cs="宋体" w:asciiTheme="minorEastAsia" w:hAnsiTheme="minorEastAsia" w:eastAsiaTheme="minorEastAsia"/>
          <w:color w:val="auto"/>
          <w:sz w:val="24"/>
          <w:szCs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szCs w:val="24"/>
          <w:highlight w:val="none"/>
        </w:rPr>
        <w:t>）</w:t>
      </w:r>
    </w:p>
    <w:p w14:paraId="6D38316B">
      <w:pPr>
        <w:widowControl/>
        <w:spacing w:line="360" w:lineRule="auto"/>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auto"/>
          <w:sz w:val="24"/>
          <w:szCs w:val="24"/>
        </w:rPr>
        <w:t>日    期：</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none"/>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none"/>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none"/>
        </w:rPr>
        <w:t>日</w:t>
      </w:r>
      <w:r>
        <w:rPr>
          <w:rFonts w:hint="eastAsia" w:ascii="宋体" w:hAnsi="宋体" w:cs="宋体"/>
          <w:color w:val="000000" w:themeColor="text1"/>
          <w:kern w:val="0"/>
          <w:sz w:val="24"/>
          <w:szCs w:val="24"/>
          <w:highlight w:val="none"/>
          <w:lang w:bidi="ar"/>
          <w14:textFill>
            <w14:solidFill>
              <w14:schemeClr w14:val="tx1"/>
            </w14:solidFill>
          </w14:textFill>
        </w:rPr>
        <w:t xml:space="preserve"> </w:t>
      </w:r>
    </w:p>
    <w:p w14:paraId="48026AE8">
      <w:pPr>
        <w:widowControl/>
        <w:spacing w:beforeLines="0" w:afterLines="0" w:line="360" w:lineRule="auto"/>
        <w:ind w:firstLine="567"/>
        <w:jc w:val="left"/>
        <w:rPr>
          <w:rFonts w:hint="eastAsia" w:ascii="宋体" w:hAnsi="宋体" w:cs="宋体"/>
          <w:i w:val="0"/>
          <w:iCs w:val="0"/>
          <w:color w:val="000000" w:themeColor="text1"/>
          <w:kern w:val="0"/>
          <w:sz w:val="24"/>
          <w:szCs w:val="24"/>
          <w:highlight w:val="none"/>
          <w:lang w:bidi="ar"/>
          <w14:textFill>
            <w14:solidFill>
              <w14:schemeClr w14:val="tx1"/>
            </w14:solidFill>
          </w14:textFill>
        </w:rPr>
      </w:pPr>
    </w:p>
    <w:p w14:paraId="1B086DA6">
      <w:pPr>
        <w:widowControl/>
        <w:spacing w:beforeLines="0" w:afterLines="0" w:line="360" w:lineRule="auto"/>
        <w:ind w:firstLine="420"/>
        <w:jc w:val="left"/>
        <w:rPr>
          <w:rFonts w:hint="eastAsia" w:ascii="宋体" w:hAnsi="宋体" w:cs="宋体"/>
          <w:i w:val="0"/>
          <w:iCs w:val="0"/>
          <w:color w:val="000000" w:themeColor="text1"/>
          <w:kern w:val="0"/>
          <w:sz w:val="24"/>
          <w:szCs w:val="24"/>
          <w:highlight w:val="none"/>
          <w:lang w:bidi="ar"/>
          <w14:textFill>
            <w14:solidFill>
              <w14:schemeClr w14:val="tx1"/>
            </w14:solidFill>
          </w14:textFill>
        </w:rPr>
      </w:pPr>
    </w:p>
    <w:p w14:paraId="6489138A">
      <w:pPr>
        <w:widowControl/>
        <w:spacing w:beforeLines="0" w:afterLines="0" w:line="360" w:lineRule="auto"/>
        <w:ind w:firstLine="567"/>
        <w:jc w:val="left"/>
        <w:rPr>
          <w:rFonts w:hint="eastAsia" w:ascii="宋体" w:hAnsi="宋体" w:cs="宋体"/>
          <w:i w:val="0"/>
          <w:iCs w:val="0"/>
          <w:color w:val="000000" w:themeColor="text1"/>
          <w:sz w:val="24"/>
          <w:szCs w:val="24"/>
          <w:highlight w:val="none"/>
          <w14:textFill>
            <w14:solidFill>
              <w14:schemeClr w14:val="tx1"/>
            </w14:solidFill>
          </w14:textFill>
        </w:rPr>
      </w:pPr>
      <w:r>
        <w:rPr>
          <w:rFonts w:hint="eastAsia" w:ascii="宋体" w:hAnsi="宋体" w:cs="宋体"/>
          <w:i w:val="0"/>
          <w:iCs w:val="0"/>
          <w:color w:val="000000" w:themeColor="text1"/>
          <w:kern w:val="0"/>
          <w:sz w:val="24"/>
          <w:szCs w:val="24"/>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1FE2790A">
      <w:pPr>
        <w:widowControl/>
        <w:spacing w:beforeLines="0" w:afterLines="0" w:line="360" w:lineRule="auto"/>
        <w:ind w:firstLine="567"/>
        <w:jc w:val="left"/>
        <w:rPr>
          <w:rFonts w:hint="eastAsia" w:ascii="宋体" w:hAnsi="宋体" w:cs="宋体"/>
          <w:i w:val="0"/>
          <w:iCs w:val="0"/>
          <w:color w:val="000000" w:themeColor="text1"/>
          <w:sz w:val="24"/>
          <w:szCs w:val="24"/>
          <w:highlight w:val="none"/>
          <w14:textFill>
            <w14:solidFill>
              <w14:schemeClr w14:val="tx1"/>
            </w14:solidFill>
          </w14:textFill>
        </w:rPr>
      </w:pPr>
      <w:r>
        <w:rPr>
          <w:rFonts w:hint="eastAsia" w:ascii="宋体" w:hAnsi="宋体" w:cs="宋体"/>
          <w:i w:val="0"/>
          <w:iCs w:val="0"/>
          <w:color w:val="000000" w:themeColor="text1"/>
          <w:kern w:val="0"/>
          <w:sz w:val="24"/>
          <w:szCs w:val="24"/>
          <w:highlight w:val="none"/>
          <w:lang w:bidi="ar"/>
          <w14:textFill>
            <w14:solidFill>
              <w14:schemeClr w14:val="tx1"/>
            </w14:solidFill>
          </w14:textFill>
        </w:rPr>
        <w:t xml:space="preserve">本企业对上述声明内容的真实性负责。如有虚假，将依法承担相应责任。 </w:t>
      </w:r>
    </w:p>
    <w:p w14:paraId="60A419D4">
      <w:pPr>
        <w:widowControl/>
        <w:spacing w:line="360" w:lineRule="auto"/>
        <w:ind w:firstLine="402" w:firstLineChars="200"/>
        <w:jc w:val="left"/>
      </w:pPr>
      <w:r>
        <w:rPr>
          <w:rFonts w:hint="eastAsia" w:hAnsi="宋体" w:cs="宋体"/>
          <w:b/>
          <w:bCs/>
          <w:color w:val="000000" w:themeColor="text1"/>
          <w:highlight w:val="none"/>
          <w14:textFill>
            <w14:solidFill>
              <w14:schemeClr w14:val="tx1"/>
            </w14:solidFill>
          </w14:textFill>
        </w:rPr>
        <w:t>注：1、</w:t>
      </w:r>
      <w:r>
        <w:rPr>
          <w:rFonts w:hAnsi="宋体" w:cs="宋体"/>
          <w:b/>
          <w:bCs/>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hAnsi="宋体" w:cs="宋体"/>
          <w:b/>
          <w:bCs/>
          <w:color w:val="000000" w:themeColor="text1"/>
          <w:highlight w:val="none"/>
          <w:lang w:eastAsia="zh-CN"/>
          <w14:textFill>
            <w14:solidFill>
              <w14:schemeClr w14:val="tx1"/>
            </w14:solidFill>
          </w14:textFill>
        </w:rPr>
        <w:t>。</w:t>
      </w: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9D1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5A0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2CFE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2CFE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18F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FC39">
    <w:pPr>
      <w:pStyle w:val="11"/>
      <w:pBdr>
        <w:bottom w:val="none" w:color="auto" w:sz="0" w:space="0"/>
      </w:pBdr>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6B42">
    <w:pPr>
      <w:pStyle w:val="11"/>
      <w:pBdr>
        <w:bottom w:val="none" w:color="auto" w:sz="0" w:space="0"/>
      </w:pBdr>
      <w:ind w:firstLine="360" w:firstLineChars="20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2CCE4"/>
    <w:multiLevelType w:val="singleLevel"/>
    <w:tmpl w:val="1D02CCE4"/>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zg3MTA1YjM1YWRhNDA2MTY1NzI4YTNmYTk5NTAifQ=="/>
  </w:docVars>
  <w:rsids>
    <w:rsidRoot w:val="0D8F4082"/>
    <w:rsid w:val="006B061E"/>
    <w:rsid w:val="00C43492"/>
    <w:rsid w:val="00D85EAB"/>
    <w:rsid w:val="00F46D15"/>
    <w:rsid w:val="00FE1942"/>
    <w:rsid w:val="01010A3B"/>
    <w:rsid w:val="01087562"/>
    <w:rsid w:val="013C0780"/>
    <w:rsid w:val="01965B57"/>
    <w:rsid w:val="019B53E2"/>
    <w:rsid w:val="019D115B"/>
    <w:rsid w:val="01A9229B"/>
    <w:rsid w:val="01AD2697"/>
    <w:rsid w:val="01DB6127"/>
    <w:rsid w:val="02300221"/>
    <w:rsid w:val="02654FC5"/>
    <w:rsid w:val="029B588B"/>
    <w:rsid w:val="02D432A2"/>
    <w:rsid w:val="02D86C93"/>
    <w:rsid w:val="03202776"/>
    <w:rsid w:val="0335375A"/>
    <w:rsid w:val="03A26DD8"/>
    <w:rsid w:val="03D319EF"/>
    <w:rsid w:val="03DA7E95"/>
    <w:rsid w:val="04884442"/>
    <w:rsid w:val="04F6345F"/>
    <w:rsid w:val="04FA2D68"/>
    <w:rsid w:val="04FE6165"/>
    <w:rsid w:val="059211F2"/>
    <w:rsid w:val="064621DB"/>
    <w:rsid w:val="065D6773"/>
    <w:rsid w:val="0682582D"/>
    <w:rsid w:val="0683598A"/>
    <w:rsid w:val="06A25465"/>
    <w:rsid w:val="06C61153"/>
    <w:rsid w:val="07167666"/>
    <w:rsid w:val="07481326"/>
    <w:rsid w:val="07746BCF"/>
    <w:rsid w:val="07A82607"/>
    <w:rsid w:val="07AE2423"/>
    <w:rsid w:val="07CF1170"/>
    <w:rsid w:val="08182917"/>
    <w:rsid w:val="08C47FFD"/>
    <w:rsid w:val="08F301FA"/>
    <w:rsid w:val="08F476A6"/>
    <w:rsid w:val="092846A9"/>
    <w:rsid w:val="09295200"/>
    <w:rsid w:val="09781FDD"/>
    <w:rsid w:val="09B63701"/>
    <w:rsid w:val="09C63218"/>
    <w:rsid w:val="0A07673B"/>
    <w:rsid w:val="0A2444C3"/>
    <w:rsid w:val="0A4D7B7C"/>
    <w:rsid w:val="0A6A409C"/>
    <w:rsid w:val="0A901219"/>
    <w:rsid w:val="0AB17A25"/>
    <w:rsid w:val="0AF168EA"/>
    <w:rsid w:val="0B2A3871"/>
    <w:rsid w:val="0B540690"/>
    <w:rsid w:val="0B9A4324"/>
    <w:rsid w:val="0D037D85"/>
    <w:rsid w:val="0D1D426C"/>
    <w:rsid w:val="0D2E1801"/>
    <w:rsid w:val="0D37536F"/>
    <w:rsid w:val="0D40647F"/>
    <w:rsid w:val="0D8F4082"/>
    <w:rsid w:val="0DC93DE0"/>
    <w:rsid w:val="0DDB457D"/>
    <w:rsid w:val="0E4B734D"/>
    <w:rsid w:val="0EAB2689"/>
    <w:rsid w:val="0EC63CAC"/>
    <w:rsid w:val="0F075BB4"/>
    <w:rsid w:val="0F180B2F"/>
    <w:rsid w:val="0F6D746C"/>
    <w:rsid w:val="0FC05C73"/>
    <w:rsid w:val="101E3939"/>
    <w:rsid w:val="102E1C79"/>
    <w:rsid w:val="103849D0"/>
    <w:rsid w:val="10920432"/>
    <w:rsid w:val="10F26D85"/>
    <w:rsid w:val="11724107"/>
    <w:rsid w:val="11A3553E"/>
    <w:rsid w:val="12364C83"/>
    <w:rsid w:val="12456514"/>
    <w:rsid w:val="1299650D"/>
    <w:rsid w:val="12B416BA"/>
    <w:rsid w:val="12F82055"/>
    <w:rsid w:val="1314009B"/>
    <w:rsid w:val="13377613"/>
    <w:rsid w:val="13464D95"/>
    <w:rsid w:val="139A1C63"/>
    <w:rsid w:val="13BB1914"/>
    <w:rsid w:val="14232BF3"/>
    <w:rsid w:val="143D34A1"/>
    <w:rsid w:val="144759F9"/>
    <w:rsid w:val="14494352"/>
    <w:rsid w:val="1461070D"/>
    <w:rsid w:val="147E3611"/>
    <w:rsid w:val="14A423A8"/>
    <w:rsid w:val="14A71174"/>
    <w:rsid w:val="14B024AD"/>
    <w:rsid w:val="14C667C2"/>
    <w:rsid w:val="14E07884"/>
    <w:rsid w:val="15211C0E"/>
    <w:rsid w:val="15211C4B"/>
    <w:rsid w:val="155C0EB1"/>
    <w:rsid w:val="156E3637"/>
    <w:rsid w:val="158C0C3F"/>
    <w:rsid w:val="158F1A82"/>
    <w:rsid w:val="16233A5E"/>
    <w:rsid w:val="16327640"/>
    <w:rsid w:val="163F22FA"/>
    <w:rsid w:val="16901BAB"/>
    <w:rsid w:val="16AC6E82"/>
    <w:rsid w:val="16ED64EB"/>
    <w:rsid w:val="172F2754"/>
    <w:rsid w:val="17374439"/>
    <w:rsid w:val="174B4B7B"/>
    <w:rsid w:val="17855360"/>
    <w:rsid w:val="187D0936"/>
    <w:rsid w:val="187E2A36"/>
    <w:rsid w:val="187F58D8"/>
    <w:rsid w:val="1891792F"/>
    <w:rsid w:val="18A70D35"/>
    <w:rsid w:val="18B322AE"/>
    <w:rsid w:val="19047941"/>
    <w:rsid w:val="192D39C5"/>
    <w:rsid w:val="19393A07"/>
    <w:rsid w:val="195B7099"/>
    <w:rsid w:val="196A3BC0"/>
    <w:rsid w:val="19F7441D"/>
    <w:rsid w:val="1A0E7548"/>
    <w:rsid w:val="1A12131B"/>
    <w:rsid w:val="1A3D2698"/>
    <w:rsid w:val="1A554870"/>
    <w:rsid w:val="1AE4114C"/>
    <w:rsid w:val="1AE436C5"/>
    <w:rsid w:val="1B577A36"/>
    <w:rsid w:val="1B9D2966"/>
    <w:rsid w:val="1BC51942"/>
    <w:rsid w:val="1BEF2D2A"/>
    <w:rsid w:val="1C1B065A"/>
    <w:rsid w:val="1C332F1E"/>
    <w:rsid w:val="1C3D3A6E"/>
    <w:rsid w:val="1C4416D3"/>
    <w:rsid w:val="1D8B6732"/>
    <w:rsid w:val="1DB45D52"/>
    <w:rsid w:val="1DC430AB"/>
    <w:rsid w:val="1DEA6F84"/>
    <w:rsid w:val="1E1C2C1E"/>
    <w:rsid w:val="1E340C41"/>
    <w:rsid w:val="1EDC4412"/>
    <w:rsid w:val="1F1C595D"/>
    <w:rsid w:val="1F8765F7"/>
    <w:rsid w:val="1F8B3294"/>
    <w:rsid w:val="201E6FC3"/>
    <w:rsid w:val="20381B49"/>
    <w:rsid w:val="207E22A7"/>
    <w:rsid w:val="209C5B8B"/>
    <w:rsid w:val="209E3F6A"/>
    <w:rsid w:val="20A52531"/>
    <w:rsid w:val="20A57B28"/>
    <w:rsid w:val="20A976C4"/>
    <w:rsid w:val="218D2B42"/>
    <w:rsid w:val="21924CFE"/>
    <w:rsid w:val="220152DE"/>
    <w:rsid w:val="220B7F0B"/>
    <w:rsid w:val="2221619E"/>
    <w:rsid w:val="2265586D"/>
    <w:rsid w:val="22A11053"/>
    <w:rsid w:val="22EC411D"/>
    <w:rsid w:val="22F132C7"/>
    <w:rsid w:val="23157238"/>
    <w:rsid w:val="23420FAA"/>
    <w:rsid w:val="235C0A1E"/>
    <w:rsid w:val="237E3F4A"/>
    <w:rsid w:val="23B56380"/>
    <w:rsid w:val="23BF77BF"/>
    <w:rsid w:val="23C6233B"/>
    <w:rsid w:val="23DF164F"/>
    <w:rsid w:val="24005FE0"/>
    <w:rsid w:val="24017E29"/>
    <w:rsid w:val="241819DE"/>
    <w:rsid w:val="243E53B7"/>
    <w:rsid w:val="247F2A28"/>
    <w:rsid w:val="24BD38CC"/>
    <w:rsid w:val="24C5681F"/>
    <w:rsid w:val="24E85B0E"/>
    <w:rsid w:val="2504624B"/>
    <w:rsid w:val="252C08C4"/>
    <w:rsid w:val="25423C43"/>
    <w:rsid w:val="25920E87"/>
    <w:rsid w:val="25C75569"/>
    <w:rsid w:val="260727D5"/>
    <w:rsid w:val="26542EC0"/>
    <w:rsid w:val="26CE1083"/>
    <w:rsid w:val="26D7128E"/>
    <w:rsid w:val="26F1465A"/>
    <w:rsid w:val="27081C70"/>
    <w:rsid w:val="2766333F"/>
    <w:rsid w:val="278E77D7"/>
    <w:rsid w:val="27D605AC"/>
    <w:rsid w:val="27EA373C"/>
    <w:rsid w:val="28150416"/>
    <w:rsid w:val="283852AB"/>
    <w:rsid w:val="28480BD5"/>
    <w:rsid w:val="285F10A5"/>
    <w:rsid w:val="2868347B"/>
    <w:rsid w:val="28723DEF"/>
    <w:rsid w:val="28CD61DB"/>
    <w:rsid w:val="2958695E"/>
    <w:rsid w:val="295B072D"/>
    <w:rsid w:val="29CE2227"/>
    <w:rsid w:val="29DB7CAB"/>
    <w:rsid w:val="2A3833D0"/>
    <w:rsid w:val="2ABD4919"/>
    <w:rsid w:val="2AD42605"/>
    <w:rsid w:val="2B354F14"/>
    <w:rsid w:val="2B4D4F30"/>
    <w:rsid w:val="2B797ADB"/>
    <w:rsid w:val="2B8A5411"/>
    <w:rsid w:val="2B8D22CE"/>
    <w:rsid w:val="2BD1110F"/>
    <w:rsid w:val="2BD137A1"/>
    <w:rsid w:val="2BE36EAA"/>
    <w:rsid w:val="2C04739E"/>
    <w:rsid w:val="2C210A56"/>
    <w:rsid w:val="2C295695"/>
    <w:rsid w:val="2C504E98"/>
    <w:rsid w:val="2C956D4E"/>
    <w:rsid w:val="2CE61B8D"/>
    <w:rsid w:val="2D0B45E4"/>
    <w:rsid w:val="2D192C73"/>
    <w:rsid w:val="2D1F4EBC"/>
    <w:rsid w:val="2D922713"/>
    <w:rsid w:val="2DBB4593"/>
    <w:rsid w:val="2DC6679F"/>
    <w:rsid w:val="2DCA18ED"/>
    <w:rsid w:val="2DCA6ECC"/>
    <w:rsid w:val="2DCE1B4F"/>
    <w:rsid w:val="2E2306FF"/>
    <w:rsid w:val="2E666C21"/>
    <w:rsid w:val="2E7806D6"/>
    <w:rsid w:val="2E8C5F2F"/>
    <w:rsid w:val="2EEF6BEA"/>
    <w:rsid w:val="2F2339A9"/>
    <w:rsid w:val="2F7D2349"/>
    <w:rsid w:val="2FBA37D4"/>
    <w:rsid w:val="2FD2652C"/>
    <w:rsid w:val="2FDD11E5"/>
    <w:rsid w:val="30002BAF"/>
    <w:rsid w:val="300120F6"/>
    <w:rsid w:val="30206CBC"/>
    <w:rsid w:val="302935FF"/>
    <w:rsid w:val="30817D16"/>
    <w:rsid w:val="308C38E6"/>
    <w:rsid w:val="31213060"/>
    <w:rsid w:val="31795F3E"/>
    <w:rsid w:val="31A57F61"/>
    <w:rsid w:val="31B77767"/>
    <w:rsid w:val="31BB2624"/>
    <w:rsid w:val="31DD3FFD"/>
    <w:rsid w:val="31E16592"/>
    <w:rsid w:val="32087FC3"/>
    <w:rsid w:val="320923C1"/>
    <w:rsid w:val="325E34B4"/>
    <w:rsid w:val="32675554"/>
    <w:rsid w:val="327348EE"/>
    <w:rsid w:val="32DD2181"/>
    <w:rsid w:val="32E67C7C"/>
    <w:rsid w:val="33CC5D95"/>
    <w:rsid w:val="33E05B7C"/>
    <w:rsid w:val="34004ED2"/>
    <w:rsid w:val="340A275D"/>
    <w:rsid w:val="342C6056"/>
    <w:rsid w:val="34AF20BD"/>
    <w:rsid w:val="34D70141"/>
    <w:rsid w:val="35AC7913"/>
    <w:rsid w:val="36033AE1"/>
    <w:rsid w:val="36415F19"/>
    <w:rsid w:val="36952C22"/>
    <w:rsid w:val="36C0792D"/>
    <w:rsid w:val="36CA5847"/>
    <w:rsid w:val="36D714BA"/>
    <w:rsid w:val="36FD3E6E"/>
    <w:rsid w:val="371E3A29"/>
    <w:rsid w:val="37206A37"/>
    <w:rsid w:val="376D78A1"/>
    <w:rsid w:val="376F5217"/>
    <w:rsid w:val="37853CE3"/>
    <w:rsid w:val="37B620E2"/>
    <w:rsid w:val="381226D1"/>
    <w:rsid w:val="38222A28"/>
    <w:rsid w:val="38342AA2"/>
    <w:rsid w:val="385C4BC4"/>
    <w:rsid w:val="386F48F8"/>
    <w:rsid w:val="38981C91"/>
    <w:rsid w:val="38B84881"/>
    <w:rsid w:val="38F848ED"/>
    <w:rsid w:val="391B3C49"/>
    <w:rsid w:val="394568C7"/>
    <w:rsid w:val="398154AF"/>
    <w:rsid w:val="39904C3E"/>
    <w:rsid w:val="39AE6931"/>
    <w:rsid w:val="39D1514C"/>
    <w:rsid w:val="39DF28E3"/>
    <w:rsid w:val="3A232C09"/>
    <w:rsid w:val="3A2E1C27"/>
    <w:rsid w:val="3A7262DF"/>
    <w:rsid w:val="3ADA7FB4"/>
    <w:rsid w:val="3AEF2CC1"/>
    <w:rsid w:val="3B8931A5"/>
    <w:rsid w:val="3C0C4260"/>
    <w:rsid w:val="3C103098"/>
    <w:rsid w:val="3C386065"/>
    <w:rsid w:val="3C5E638A"/>
    <w:rsid w:val="3CAE0608"/>
    <w:rsid w:val="3CD61CFF"/>
    <w:rsid w:val="3CFA5A1F"/>
    <w:rsid w:val="3D0718EB"/>
    <w:rsid w:val="3D2832C7"/>
    <w:rsid w:val="3D286C78"/>
    <w:rsid w:val="3D864BBD"/>
    <w:rsid w:val="3D954E00"/>
    <w:rsid w:val="3DB41E4E"/>
    <w:rsid w:val="3DDE542E"/>
    <w:rsid w:val="3DF504A0"/>
    <w:rsid w:val="3DFB1002"/>
    <w:rsid w:val="3E4724D8"/>
    <w:rsid w:val="3E824A11"/>
    <w:rsid w:val="3E8264FA"/>
    <w:rsid w:val="3EBF28B3"/>
    <w:rsid w:val="3ECD2378"/>
    <w:rsid w:val="3EDB735D"/>
    <w:rsid w:val="3F06462F"/>
    <w:rsid w:val="3FB329A2"/>
    <w:rsid w:val="3FDC26AA"/>
    <w:rsid w:val="40103488"/>
    <w:rsid w:val="40A435AC"/>
    <w:rsid w:val="40B94814"/>
    <w:rsid w:val="40DC2D46"/>
    <w:rsid w:val="417B7450"/>
    <w:rsid w:val="41872CB2"/>
    <w:rsid w:val="41CC6917"/>
    <w:rsid w:val="42424E2B"/>
    <w:rsid w:val="42EA2341"/>
    <w:rsid w:val="43087A90"/>
    <w:rsid w:val="430B60A7"/>
    <w:rsid w:val="43367544"/>
    <w:rsid w:val="433B45BA"/>
    <w:rsid w:val="43470FC7"/>
    <w:rsid w:val="43645C16"/>
    <w:rsid w:val="438B7CFE"/>
    <w:rsid w:val="43AF738A"/>
    <w:rsid w:val="43EE7018"/>
    <w:rsid w:val="44185676"/>
    <w:rsid w:val="444529B0"/>
    <w:rsid w:val="44494618"/>
    <w:rsid w:val="445157F9"/>
    <w:rsid w:val="44891C79"/>
    <w:rsid w:val="44894F93"/>
    <w:rsid w:val="44D65112"/>
    <w:rsid w:val="458319E2"/>
    <w:rsid w:val="45A07A0A"/>
    <w:rsid w:val="45C81AEB"/>
    <w:rsid w:val="45F12DF0"/>
    <w:rsid w:val="45FD79E7"/>
    <w:rsid w:val="460E4306"/>
    <w:rsid w:val="464F391E"/>
    <w:rsid w:val="46A02AC6"/>
    <w:rsid w:val="46A211E8"/>
    <w:rsid w:val="46A60640"/>
    <w:rsid w:val="46B06893"/>
    <w:rsid w:val="46BF5A44"/>
    <w:rsid w:val="474D7C19"/>
    <w:rsid w:val="475454CF"/>
    <w:rsid w:val="477F680B"/>
    <w:rsid w:val="47B60484"/>
    <w:rsid w:val="47B642F1"/>
    <w:rsid w:val="47D17F53"/>
    <w:rsid w:val="48005001"/>
    <w:rsid w:val="483B0352"/>
    <w:rsid w:val="48692167"/>
    <w:rsid w:val="488028A3"/>
    <w:rsid w:val="488D3DEF"/>
    <w:rsid w:val="48D35628"/>
    <w:rsid w:val="49096D51"/>
    <w:rsid w:val="491868E5"/>
    <w:rsid w:val="493727B9"/>
    <w:rsid w:val="4957681F"/>
    <w:rsid w:val="49C20D29"/>
    <w:rsid w:val="49C36851"/>
    <w:rsid w:val="49EF3AEA"/>
    <w:rsid w:val="49F27852"/>
    <w:rsid w:val="4A322C3C"/>
    <w:rsid w:val="4A852E89"/>
    <w:rsid w:val="4AB36562"/>
    <w:rsid w:val="4B14730E"/>
    <w:rsid w:val="4B44389C"/>
    <w:rsid w:val="4B5F6561"/>
    <w:rsid w:val="4B9304A5"/>
    <w:rsid w:val="4BD95797"/>
    <w:rsid w:val="4C1A57FA"/>
    <w:rsid w:val="4C6A7741"/>
    <w:rsid w:val="4CA70251"/>
    <w:rsid w:val="4CB4148C"/>
    <w:rsid w:val="4CD12DC0"/>
    <w:rsid w:val="4CE124A7"/>
    <w:rsid w:val="4D1155D9"/>
    <w:rsid w:val="4D241E9C"/>
    <w:rsid w:val="4D26727B"/>
    <w:rsid w:val="4D447DD6"/>
    <w:rsid w:val="4D475E34"/>
    <w:rsid w:val="4D6E2F78"/>
    <w:rsid w:val="4D763316"/>
    <w:rsid w:val="4DA430A4"/>
    <w:rsid w:val="4E63710A"/>
    <w:rsid w:val="4E665A31"/>
    <w:rsid w:val="4E6724CF"/>
    <w:rsid w:val="4EA728BF"/>
    <w:rsid w:val="4EA81D39"/>
    <w:rsid w:val="4ECB2D04"/>
    <w:rsid w:val="4EE334F2"/>
    <w:rsid w:val="4F0C71D9"/>
    <w:rsid w:val="4F377047"/>
    <w:rsid w:val="4F8265F7"/>
    <w:rsid w:val="4FA9570C"/>
    <w:rsid w:val="4FAF7AA9"/>
    <w:rsid w:val="4FB16C19"/>
    <w:rsid w:val="4FBF4A16"/>
    <w:rsid w:val="501F1A47"/>
    <w:rsid w:val="502F0A15"/>
    <w:rsid w:val="50811E1F"/>
    <w:rsid w:val="50BC5A36"/>
    <w:rsid w:val="51BC0228"/>
    <w:rsid w:val="52225145"/>
    <w:rsid w:val="52D01C1F"/>
    <w:rsid w:val="52D04951"/>
    <w:rsid w:val="52E141EC"/>
    <w:rsid w:val="52F0362E"/>
    <w:rsid w:val="53277E51"/>
    <w:rsid w:val="53AE2320"/>
    <w:rsid w:val="53BF6181"/>
    <w:rsid w:val="53CA4C80"/>
    <w:rsid w:val="53CA50EE"/>
    <w:rsid w:val="53D06289"/>
    <w:rsid w:val="53EB1733"/>
    <w:rsid w:val="540C5D72"/>
    <w:rsid w:val="541D1254"/>
    <w:rsid w:val="544A6756"/>
    <w:rsid w:val="54614638"/>
    <w:rsid w:val="547109CA"/>
    <w:rsid w:val="54AB08F4"/>
    <w:rsid w:val="54AF2FD2"/>
    <w:rsid w:val="54D51B2F"/>
    <w:rsid w:val="551D3EDE"/>
    <w:rsid w:val="557C4EC1"/>
    <w:rsid w:val="559E390F"/>
    <w:rsid w:val="55A06D2F"/>
    <w:rsid w:val="55E63270"/>
    <w:rsid w:val="56951575"/>
    <w:rsid w:val="56E55CE3"/>
    <w:rsid w:val="56F72230"/>
    <w:rsid w:val="56FF5614"/>
    <w:rsid w:val="573E2A4A"/>
    <w:rsid w:val="574A05B2"/>
    <w:rsid w:val="575C2E58"/>
    <w:rsid w:val="57A20E63"/>
    <w:rsid w:val="57C92E92"/>
    <w:rsid w:val="58816EE6"/>
    <w:rsid w:val="58D03DBE"/>
    <w:rsid w:val="58E14F7F"/>
    <w:rsid w:val="58EB4BB9"/>
    <w:rsid w:val="58F03289"/>
    <w:rsid w:val="58F36B87"/>
    <w:rsid w:val="58FF2761"/>
    <w:rsid w:val="590034D9"/>
    <w:rsid w:val="59745DBA"/>
    <w:rsid w:val="59A019EB"/>
    <w:rsid w:val="59DC0BCE"/>
    <w:rsid w:val="5A145A8B"/>
    <w:rsid w:val="5A2E2F94"/>
    <w:rsid w:val="5A5056D0"/>
    <w:rsid w:val="5A6E21F4"/>
    <w:rsid w:val="5AA1498D"/>
    <w:rsid w:val="5ABB593A"/>
    <w:rsid w:val="5AF41743"/>
    <w:rsid w:val="5AF706B9"/>
    <w:rsid w:val="5B5871ED"/>
    <w:rsid w:val="5B7839DE"/>
    <w:rsid w:val="5BE07A8A"/>
    <w:rsid w:val="5BFE196B"/>
    <w:rsid w:val="5C495D9A"/>
    <w:rsid w:val="5C4B7A26"/>
    <w:rsid w:val="5C7D12AE"/>
    <w:rsid w:val="5CBB785C"/>
    <w:rsid w:val="5CD00CBD"/>
    <w:rsid w:val="5CE0402E"/>
    <w:rsid w:val="5D29597E"/>
    <w:rsid w:val="5D403FF9"/>
    <w:rsid w:val="5D5977A1"/>
    <w:rsid w:val="5D9F7BD9"/>
    <w:rsid w:val="5DD17A54"/>
    <w:rsid w:val="5E1E1B52"/>
    <w:rsid w:val="5E622F17"/>
    <w:rsid w:val="5F3C1128"/>
    <w:rsid w:val="5F9D4AAC"/>
    <w:rsid w:val="5FBF7663"/>
    <w:rsid w:val="5FE154D4"/>
    <w:rsid w:val="60352AA6"/>
    <w:rsid w:val="60B8658C"/>
    <w:rsid w:val="60C116AE"/>
    <w:rsid w:val="612B4FB0"/>
    <w:rsid w:val="612D58C9"/>
    <w:rsid w:val="61446C03"/>
    <w:rsid w:val="616831DE"/>
    <w:rsid w:val="61714AF2"/>
    <w:rsid w:val="61A07E69"/>
    <w:rsid w:val="61C4733F"/>
    <w:rsid w:val="62261C1B"/>
    <w:rsid w:val="62326812"/>
    <w:rsid w:val="62351D55"/>
    <w:rsid w:val="6275470F"/>
    <w:rsid w:val="632C5010"/>
    <w:rsid w:val="634D097A"/>
    <w:rsid w:val="637F642F"/>
    <w:rsid w:val="638D43BD"/>
    <w:rsid w:val="639B2628"/>
    <w:rsid w:val="63C35FC8"/>
    <w:rsid w:val="63F7561D"/>
    <w:rsid w:val="642D6B39"/>
    <w:rsid w:val="643605ED"/>
    <w:rsid w:val="644F374D"/>
    <w:rsid w:val="64B85CC2"/>
    <w:rsid w:val="651E4B62"/>
    <w:rsid w:val="65257F68"/>
    <w:rsid w:val="655F4AD1"/>
    <w:rsid w:val="65B57AE4"/>
    <w:rsid w:val="65EE2A50"/>
    <w:rsid w:val="660951F0"/>
    <w:rsid w:val="66245845"/>
    <w:rsid w:val="665054B9"/>
    <w:rsid w:val="66876CE5"/>
    <w:rsid w:val="66A852F5"/>
    <w:rsid w:val="66B71DB0"/>
    <w:rsid w:val="67254250"/>
    <w:rsid w:val="67442580"/>
    <w:rsid w:val="67C43EFC"/>
    <w:rsid w:val="67C779FD"/>
    <w:rsid w:val="67CB0A25"/>
    <w:rsid w:val="68115652"/>
    <w:rsid w:val="68190258"/>
    <w:rsid w:val="689A13DC"/>
    <w:rsid w:val="68DD7F19"/>
    <w:rsid w:val="68E87F7E"/>
    <w:rsid w:val="68F14C3B"/>
    <w:rsid w:val="68F6116F"/>
    <w:rsid w:val="692C2B1C"/>
    <w:rsid w:val="694420CC"/>
    <w:rsid w:val="697320E8"/>
    <w:rsid w:val="697B04CD"/>
    <w:rsid w:val="6A021BA9"/>
    <w:rsid w:val="6A453562"/>
    <w:rsid w:val="6A6E4160"/>
    <w:rsid w:val="6AB44269"/>
    <w:rsid w:val="6B11709A"/>
    <w:rsid w:val="6B520DC8"/>
    <w:rsid w:val="6BA76010"/>
    <w:rsid w:val="6BF35286"/>
    <w:rsid w:val="6C0D1248"/>
    <w:rsid w:val="6C186930"/>
    <w:rsid w:val="6C2F0565"/>
    <w:rsid w:val="6C506213"/>
    <w:rsid w:val="6C8031B1"/>
    <w:rsid w:val="6C830E21"/>
    <w:rsid w:val="6C95591D"/>
    <w:rsid w:val="6C9B0449"/>
    <w:rsid w:val="6C9B52B0"/>
    <w:rsid w:val="6CCA7D73"/>
    <w:rsid w:val="6D5E2269"/>
    <w:rsid w:val="6D6C0E2A"/>
    <w:rsid w:val="6DEB0B31"/>
    <w:rsid w:val="6E4C4ABE"/>
    <w:rsid w:val="6EAB3BD4"/>
    <w:rsid w:val="6EFD04AE"/>
    <w:rsid w:val="6F46728C"/>
    <w:rsid w:val="6F485E32"/>
    <w:rsid w:val="6F521E52"/>
    <w:rsid w:val="6F5F177E"/>
    <w:rsid w:val="6F667D0E"/>
    <w:rsid w:val="6FCF744E"/>
    <w:rsid w:val="6FE54084"/>
    <w:rsid w:val="6FF27251"/>
    <w:rsid w:val="6FF90D43"/>
    <w:rsid w:val="704A2430"/>
    <w:rsid w:val="70754723"/>
    <w:rsid w:val="708153C7"/>
    <w:rsid w:val="7098357B"/>
    <w:rsid w:val="70BD7386"/>
    <w:rsid w:val="70D311C0"/>
    <w:rsid w:val="70E65DAA"/>
    <w:rsid w:val="714205EC"/>
    <w:rsid w:val="71794BF8"/>
    <w:rsid w:val="71847AD9"/>
    <w:rsid w:val="718A2779"/>
    <w:rsid w:val="718B55F7"/>
    <w:rsid w:val="720457DC"/>
    <w:rsid w:val="72373B73"/>
    <w:rsid w:val="723C7F0B"/>
    <w:rsid w:val="7242215A"/>
    <w:rsid w:val="72615139"/>
    <w:rsid w:val="72940443"/>
    <w:rsid w:val="72EC6E5A"/>
    <w:rsid w:val="730D5D09"/>
    <w:rsid w:val="73143E7C"/>
    <w:rsid w:val="73242B74"/>
    <w:rsid w:val="733777E5"/>
    <w:rsid w:val="733E0DE9"/>
    <w:rsid w:val="73664D38"/>
    <w:rsid w:val="740C1080"/>
    <w:rsid w:val="74252118"/>
    <w:rsid w:val="74280680"/>
    <w:rsid w:val="742908E5"/>
    <w:rsid w:val="749E3893"/>
    <w:rsid w:val="74AB2123"/>
    <w:rsid w:val="74B2500C"/>
    <w:rsid w:val="74CD72B7"/>
    <w:rsid w:val="74D03E7A"/>
    <w:rsid w:val="74DF5BCF"/>
    <w:rsid w:val="755D6BDA"/>
    <w:rsid w:val="757F5A80"/>
    <w:rsid w:val="75AC329E"/>
    <w:rsid w:val="75DF4163"/>
    <w:rsid w:val="75EB0D5A"/>
    <w:rsid w:val="764811BC"/>
    <w:rsid w:val="76635BA9"/>
    <w:rsid w:val="76650B0D"/>
    <w:rsid w:val="76854814"/>
    <w:rsid w:val="76FA6F8D"/>
    <w:rsid w:val="771947C1"/>
    <w:rsid w:val="771B2074"/>
    <w:rsid w:val="77490794"/>
    <w:rsid w:val="77536BB7"/>
    <w:rsid w:val="777E56D7"/>
    <w:rsid w:val="777F175A"/>
    <w:rsid w:val="77815ADF"/>
    <w:rsid w:val="77B110D9"/>
    <w:rsid w:val="78364152"/>
    <w:rsid w:val="78612658"/>
    <w:rsid w:val="78715547"/>
    <w:rsid w:val="78AC0A38"/>
    <w:rsid w:val="79103908"/>
    <w:rsid w:val="791E14DF"/>
    <w:rsid w:val="7926025A"/>
    <w:rsid w:val="7990523D"/>
    <w:rsid w:val="79AD33B5"/>
    <w:rsid w:val="79B7167F"/>
    <w:rsid w:val="79ED53F5"/>
    <w:rsid w:val="7A077C8D"/>
    <w:rsid w:val="7A083C89"/>
    <w:rsid w:val="7AA27811"/>
    <w:rsid w:val="7AB66EE0"/>
    <w:rsid w:val="7AE51B4E"/>
    <w:rsid w:val="7AE77A1E"/>
    <w:rsid w:val="7AF704E8"/>
    <w:rsid w:val="7BA2010D"/>
    <w:rsid w:val="7BD92C04"/>
    <w:rsid w:val="7C564BDE"/>
    <w:rsid w:val="7C7648FF"/>
    <w:rsid w:val="7CB02467"/>
    <w:rsid w:val="7CD724D4"/>
    <w:rsid w:val="7D4009BF"/>
    <w:rsid w:val="7D4C20DE"/>
    <w:rsid w:val="7DA05B77"/>
    <w:rsid w:val="7DD87E16"/>
    <w:rsid w:val="7DFD0BF6"/>
    <w:rsid w:val="7E067AE5"/>
    <w:rsid w:val="7E1F2380"/>
    <w:rsid w:val="7E2632C2"/>
    <w:rsid w:val="7E266DD3"/>
    <w:rsid w:val="7E72225C"/>
    <w:rsid w:val="7E77762F"/>
    <w:rsid w:val="7E965634"/>
    <w:rsid w:val="7EC505F5"/>
    <w:rsid w:val="7EE8052D"/>
    <w:rsid w:val="7F0A193F"/>
    <w:rsid w:val="7F362DD7"/>
    <w:rsid w:val="7F4E6255"/>
    <w:rsid w:val="7F780FFA"/>
    <w:rsid w:val="7F887B3D"/>
    <w:rsid w:val="7FA61E14"/>
    <w:rsid w:val="7FF7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rPr>
      <w:rFonts w:ascii="Times New Roman" w:hAnsi="Times New Roman" w:eastAsia="宋体" w:cs="Times New Roman"/>
      <w:lang w:val="en-US" w:eastAsia="zh-CN" w:bidi="ar-SA"/>
    </w:rPr>
  </w:style>
  <w:style w:type="paragraph" w:styleId="2">
    <w:name w:val="heading 2"/>
    <w:basedOn w:val="1"/>
    <w:next w:val="1"/>
    <w:autoRedefine/>
    <w:qFormat/>
    <w:uiPriority w:val="0"/>
    <w:pPr>
      <w:keepNext/>
      <w:spacing w:before="240" w:beforeLines="0" w:after="60" w:afterLines="0"/>
      <w:outlineLvl w:val="1"/>
    </w:pPr>
    <w:rPr>
      <w:rFonts w:ascii="Arial" w:hAnsi="Arial"/>
      <w:kern w:val="2"/>
      <w:sz w:val="28"/>
      <w:szCs w:val="28"/>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next w:val="5"/>
    <w:autoRedefine/>
    <w:qFormat/>
    <w:uiPriority w:val="0"/>
    <w:pPr>
      <w:widowControl w:val="0"/>
      <w:spacing w:after="120"/>
      <w:jc w:val="both"/>
    </w:pPr>
    <w:rPr>
      <w:kern w:val="2"/>
      <w:sz w:val="21"/>
      <w:szCs w:val="24"/>
    </w:rPr>
  </w:style>
  <w:style w:type="paragraph" w:styleId="5">
    <w:name w:val="Body Text 2"/>
    <w:basedOn w:val="1"/>
    <w:autoRedefine/>
    <w:qFormat/>
    <w:uiPriority w:val="0"/>
    <w:pPr>
      <w:spacing w:after="120" w:line="480" w:lineRule="auto"/>
      <w:ind w:firstLine="560" w:firstLineChars="200"/>
    </w:pPr>
    <w:rPr>
      <w:rFonts w:ascii="Calibri" w:hAnsi="Calibri" w:eastAsia="仿宋_GB2312"/>
      <w:sz w:val="28"/>
      <w:szCs w:val="24"/>
    </w:rPr>
  </w:style>
  <w:style w:type="paragraph" w:styleId="6">
    <w:name w:val="Body Text Indent"/>
    <w:basedOn w:val="1"/>
    <w:next w:val="7"/>
    <w:autoRedefine/>
    <w:semiHidden/>
    <w:unhideWhenUsed/>
    <w:qFormat/>
    <w:uiPriority w:val="99"/>
    <w:pPr>
      <w:spacing w:after="120"/>
      <w:ind w:left="420" w:leftChars="200"/>
    </w:pPr>
  </w:style>
  <w:style w:type="paragraph" w:styleId="7">
    <w:name w:val="envelope return"/>
    <w:basedOn w:val="1"/>
    <w:autoRedefine/>
    <w:qFormat/>
    <w:uiPriority w:val="99"/>
    <w:rPr>
      <w:rFonts w:ascii="Arial" w:hAnsi="Arial"/>
    </w:rPr>
  </w:style>
  <w:style w:type="paragraph" w:styleId="8">
    <w:name w:val="List 2"/>
    <w:basedOn w:val="1"/>
    <w:autoRedefine/>
    <w:qFormat/>
    <w:uiPriority w:val="0"/>
    <w:pPr>
      <w:ind w:left="100" w:leftChars="200" w:hanging="200" w:hangingChars="200"/>
    </w:pPr>
  </w:style>
  <w:style w:type="paragraph" w:styleId="9">
    <w:name w:val="Plain Text"/>
    <w:basedOn w:val="1"/>
    <w:autoRedefine/>
    <w:unhideWhenUsed/>
    <w:qFormat/>
    <w:uiPriority w:val="0"/>
    <w:rPr>
      <w:rFonts w:hint="eastAsia" w:ascii="宋体" w:hAnsi="Courier New"/>
      <w:sz w:val="21"/>
      <w:szCs w:val="21"/>
    </w:rPr>
  </w:style>
  <w:style w:type="paragraph" w:styleId="10">
    <w:name w:val="footer"/>
    <w:basedOn w:val="1"/>
    <w:autoRedefine/>
    <w:unhideWhenUsed/>
    <w:qFormat/>
    <w:uiPriority w:val="0"/>
    <w:pPr>
      <w:tabs>
        <w:tab w:val="center" w:pos="4153"/>
        <w:tab w:val="right" w:pos="8306"/>
      </w:tabs>
      <w:snapToGrid w:val="0"/>
    </w:pPr>
    <w:rPr>
      <w:kern w:val="2"/>
      <w:sz w:val="18"/>
    </w:rPr>
  </w:style>
  <w:style w:type="paragraph" w:styleId="11">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2">
    <w:name w:val="toc 1"/>
    <w:basedOn w:val="1"/>
    <w:next w:val="1"/>
    <w:autoRedefine/>
    <w:qFormat/>
    <w:uiPriority w:val="39"/>
    <w:pPr>
      <w:widowControl w:val="0"/>
      <w:jc w:val="both"/>
    </w:pPr>
    <w:rPr>
      <w:kern w:val="2"/>
      <w:sz w:val="21"/>
      <w:szCs w:val="24"/>
    </w:rPr>
  </w:style>
  <w:style w:type="paragraph" w:styleId="1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paragraph" w:styleId="1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4"/>
    <w:autoRedefine/>
    <w:qFormat/>
    <w:uiPriority w:val="0"/>
    <w:pPr>
      <w:ind w:firstLine="420"/>
    </w:pPr>
    <w:rPr>
      <w:rFonts w:eastAsia="楷体_GB2312"/>
      <w:sz w:val="32"/>
      <w:szCs w:val="32"/>
    </w:rPr>
  </w:style>
  <w:style w:type="paragraph" w:styleId="16">
    <w:name w:val="Body Text First Indent 2"/>
    <w:basedOn w:val="6"/>
    <w:next w:val="1"/>
    <w:autoRedefine/>
    <w:unhideWhenUsed/>
    <w:qFormat/>
    <w:uiPriority w:val="99"/>
    <w:pPr>
      <w:ind w:firstLine="420" w:firstLineChars="2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hint="default" w:ascii="monospace" w:hAnsi="monospace" w:eastAsia="monospace" w:cs="monospace"/>
      <w:color w:val="333333"/>
      <w:sz w:val="19"/>
      <w:szCs w:val="19"/>
      <w:shd w:val="clear" w:fill="FFFFFF"/>
    </w:rPr>
  </w:style>
  <w:style w:type="character" w:styleId="29">
    <w:name w:val="HTML Cite"/>
    <w:basedOn w:val="19"/>
    <w:autoRedefine/>
    <w:qFormat/>
    <w:uiPriority w:val="0"/>
  </w:style>
  <w:style w:type="character" w:styleId="30">
    <w:name w:val="HTML Keyboard"/>
    <w:basedOn w:val="19"/>
    <w:autoRedefine/>
    <w:qFormat/>
    <w:uiPriority w:val="0"/>
    <w:rPr>
      <w:rFonts w:ascii="monospace" w:hAnsi="monospace" w:eastAsia="monospace" w:cs="monospace"/>
      <w:sz w:val="20"/>
    </w:rPr>
  </w:style>
  <w:style w:type="character" w:styleId="31">
    <w:name w:val="HTML Sample"/>
    <w:basedOn w:val="19"/>
    <w:autoRedefine/>
    <w:qFormat/>
    <w:uiPriority w:val="0"/>
    <w:rPr>
      <w:rFonts w:hint="default" w:ascii="monospace" w:hAnsi="monospace" w:eastAsia="monospace" w:cs="monospace"/>
    </w:rPr>
  </w:style>
  <w:style w:type="paragraph" w:customStyle="1" w:styleId="32">
    <w:name w:val="Default"/>
    <w:next w:val="1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无间隔1"/>
    <w:basedOn w:val="1"/>
    <w:autoRedefine/>
    <w:qFormat/>
    <w:uiPriority w:val="1"/>
    <w:pPr>
      <w:spacing w:line="400" w:lineRule="exact"/>
    </w:pPr>
    <w:rPr>
      <w:sz w:val="24"/>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hover"/>
    <w:basedOn w:val="19"/>
    <w:autoRedefine/>
    <w:qFormat/>
    <w:uiPriority w:val="0"/>
    <w:rPr>
      <w:color w:val="2590EB"/>
    </w:rPr>
  </w:style>
  <w:style w:type="character" w:customStyle="1" w:styleId="36">
    <w:name w:val="hover1"/>
    <w:basedOn w:val="19"/>
    <w:autoRedefine/>
    <w:qFormat/>
    <w:uiPriority w:val="0"/>
    <w:rPr>
      <w:color w:val="2590EB"/>
    </w:rPr>
  </w:style>
  <w:style w:type="character" w:customStyle="1" w:styleId="37">
    <w:name w:val="hover2"/>
    <w:basedOn w:val="19"/>
    <w:autoRedefine/>
    <w:qFormat/>
    <w:uiPriority w:val="0"/>
  </w:style>
  <w:style w:type="character" w:customStyle="1" w:styleId="38">
    <w:name w:val="mini-outputtext1"/>
    <w:basedOn w:val="19"/>
    <w:autoRedefine/>
    <w:qFormat/>
    <w:uiPriority w:val="0"/>
  </w:style>
  <w:style w:type="character" w:customStyle="1" w:styleId="39">
    <w:name w:val="hover3"/>
    <w:basedOn w:val="19"/>
    <w:autoRedefine/>
    <w:qFormat/>
    <w:uiPriority w:val="0"/>
  </w:style>
  <w:style w:type="character" w:customStyle="1" w:styleId="40">
    <w:name w:val="layui-layer-tabnow"/>
    <w:basedOn w:val="19"/>
    <w:autoRedefine/>
    <w:qFormat/>
    <w:uiPriority w:val="0"/>
    <w:rPr>
      <w:bdr w:val="single" w:color="CCCCCC" w:sz="6" w:space="0"/>
      <w:shd w:val="clear" w:fill="FFFFFF"/>
    </w:rPr>
  </w:style>
  <w:style w:type="character" w:customStyle="1" w:styleId="41">
    <w:name w:val="first-child"/>
    <w:basedOn w:val="19"/>
    <w:autoRedefine/>
    <w:qFormat/>
    <w:uiPriority w:val="0"/>
  </w:style>
  <w:style w:type="paragraph" w:customStyle="1" w:styleId="42">
    <w:name w:val="Table Text"/>
    <w:basedOn w:val="1"/>
    <w:autoRedefine/>
    <w:semiHidden/>
    <w:qFormat/>
    <w:uiPriority w:val="0"/>
    <w:rPr>
      <w:rFonts w:ascii="宋体" w:hAnsi="宋体" w:eastAsia="宋体" w:cs="宋体"/>
      <w:sz w:val="24"/>
      <w:szCs w:val="24"/>
    </w:rPr>
  </w:style>
  <w:style w:type="table" w:customStyle="1" w:styleId="4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17190</Words>
  <Characters>18929</Characters>
  <Lines>0</Lines>
  <Paragraphs>0</Paragraphs>
  <TotalTime>34</TotalTime>
  <ScaleCrop>false</ScaleCrop>
  <LinksUpToDate>false</LinksUpToDate>
  <CharactersWithSpaces>19098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2023-07-26T03:14:00Z</dcterms:created>
  <dc:creator>yoyo。</dc:creator>
  <cp:lastModifiedBy>123456</cp:lastModifiedBy>
  <cp:lastPrinted>2025-06-24T03:36:00Z</cp:lastPrinted>
  <dcterms:modified xsi:type="dcterms:W3CDTF">2025-06-25T01:47:12Z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F4F46797252947FAAC6357B6C81568D7_13</vt:lpwstr>
  </property>
  <property fmtid="{D5CDD505-2E9C-101B-9397-08002B2CF9AE}" pid="4" name="KSOTemplateDocerSaveRecord">
    <vt:lpwstr>eyJoZGlkIjoiYWZjNmQ0MzE3NmMxMDA0MjAxNTFmYTAzZDBlOTQyNDUiLCJ1c2VySWQiOiIxNTk2ODIzMzQ1In0=</vt:lpwstr>
  </property>
</Properties>
</file>