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D076C">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
          <w:color w:val="auto"/>
          <w:kern w:val="0"/>
          <w:sz w:val="56"/>
          <w:szCs w:val="56"/>
          <w:highlight w:val="none"/>
          <w:lang w:eastAsia="zh-CN"/>
        </w:rPr>
      </w:pPr>
      <w:bookmarkStart w:id="112" w:name="_GoBack"/>
      <w:bookmarkEnd w:id="112"/>
    </w:p>
    <w:p w14:paraId="735C439C">
      <w:pPr>
        <w:pStyle w:val="17"/>
        <w:keepNext w:val="0"/>
        <w:keepLines w:val="0"/>
        <w:pageBreakBefore w:val="0"/>
        <w:widowControl/>
        <w:kinsoku w:val="0"/>
        <w:wordWrap/>
        <w:bidi w:val="0"/>
        <w:adjustRightInd w:val="0"/>
        <w:snapToGrid w:val="0"/>
        <w:spacing w:after="0" w:line="360" w:lineRule="auto"/>
        <w:ind w:left="0" w:leftChars="0" w:right="0" w:rightChars="0"/>
        <w:jc w:val="center"/>
        <w:outlineLvl w:val="0"/>
        <w:rPr>
          <w:color w:val="auto"/>
          <w:sz w:val="21"/>
          <w:szCs w:val="16"/>
          <w:highlight w:val="none"/>
        </w:rPr>
      </w:pPr>
      <w:bookmarkStart w:id="0" w:name="_Toc24831"/>
      <w:r>
        <w:rPr>
          <w:rFonts w:hint="eastAsia" w:ascii="宋体" w:hAnsi="宋体" w:cs="宋体"/>
          <w:b/>
          <w:color w:val="auto"/>
          <w:kern w:val="0"/>
          <w:sz w:val="48"/>
          <w:szCs w:val="48"/>
          <w:highlight w:val="none"/>
          <w:lang w:eastAsia="zh-CN"/>
        </w:rPr>
        <w:t>灵宝市农业农村局灵宝市2025年农业防灾救灾补助资金药品采购项目</w:t>
      </w:r>
      <w:bookmarkEnd w:id="0"/>
    </w:p>
    <w:p w14:paraId="51E237C4">
      <w:pPr>
        <w:keepNext w:val="0"/>
        <w:keepLines w:val="0"/>
        <w:pageBreakBefore w:val="0"/>
        <w:widowControl/>
        <w:kinsoku w:val="0"/>
        <w:wordWrap/>
        <w:bidi w:val="0"/>
        <w:adjustRightInd w:val="0"/>
        <w:snapToGrid w:val="0"/>
        <w:spacing w:line="360" w:lineRule="auto"/>
        <w:ind w:left="0" w:leftChars="0" w:right="0" w:rightChars="0"/>
        <w:jc w:val="center"/>
        <w:outlineLvl w:val="0"/>
        <w:rPr>
          <w:rFonts w:hint="eastAsia" w:ascii="宋体" w:hAnsi="宋体" w:cs="宋体"/>
          <w:b/>
          <w:color w:val="auto"/>
          <w:spacing w:val="20"/>
          <w:kern w:val="0"/>
          <w:sz w:val="60"/>
          <w:szCs w:val="60"/>
          <w:highlight w:val="none"/>
        </w:rPr>
      </w:pPr>
      <w:bookmarkStart w:id="1" w:name="_Toc11779"/>
    </w:p>
    <w:p w14:paraId="74FC9DCD">
      <w:pPr>
        <w:keepNext w:val="0"/>
        <w:keepLines w:val="0"/>
        <w:pageBreakBefore w:val="0"/>
        <w:widowControl/>
        <w:kinsoku w:val="0"/>
        <w:wordWrap/>
        <w:bidi w:val="0"/>
        <w:adjustRightInd w:val="0"/>
        <w:snapToGrid w:val="0"/>
        <w:spacing w:line="360" w:lineRule="auto"/>
        <w:ind w:left="0" w:leftChars="0" w:right="0" w:rightChars="0"/>
        <w:jc w:val="center"/>
        <w:outlineLvl w:val="0"/>
        <w:rPr>
          <w:rFonts w:ascii="宋体" w:hAnsi="宋体" w:cs="宋体"/>
          <w:b/>
          <w:color w:val="auto"/>
          <w:spacing w:val="20"/>
          <w:sz w:val="60"/>
          <w:szCs w:val="60"/>
          <w:highlight w:val="none"/>
        </w:rPr>
      </w:pPr>
      <w:bookmarkStart w:id="2" w:name="_Toc22180"/>
      <w:r>
        <w:rPr>
          <w:rFonts w:hint="eastAsia" w:ascii="宋体" w:hAnsi="宋体" w:cs="宋体"/>
          <w:b/>
          <w:color w:val="auto"/>
          <w:spacing w:val="20"/>
          <w:kern w:val="0"/>
          <w:sz w:val="60"/>
          <w:szCs w:val="60"/>
          <w:highlight w:val="none"/>
        </w:rPr>
        <w:t>竞争性磋商文件</w:t>
      </w:r>
      <w:bookmarkEnd w:id="1"/>
      <w:bookmarkEnd w:id="2"/>
    </w:p>
    <w:p w14:paraId="66A64DBE">
      <w:pPr>
        <w:keepNext w:val="0"/>
        <w:keepLines w:val="0"/>
        <w:pageBreakBefore w:val="0"/>
        <w:widowControl/>
        <w:kinsoku w:val="0"/>
        <w:wordWrap/>
        <w:bidi w:val="0"/>
        <w:adjustRightInd w:val="0"/>
        <w:snapToGrid w:val="0"/>
        <w:spacing w:line="360" w:lineRule="auto"/>
        <w:ind w:left="0" w:leftChars="0" w:right="0" w:rightChars="0"/>
        <w:jc w:val="both"/>
        <w:rPr>
          <w:rFonts w:hint="eastAsia" w:ascii="宋体" w:hAnsi="宋体" w:cs="宋体"/>
          <w:b/>
          <w:color w:val="auto"/>
          <w:spacing w:val="20"/>
          <w:kern w:val="0"/>
          <w:sz w:val="28"/>
          <w:szCs w:val="28"/>
          <w:highlight w:val="none"/>
          <w:lang w:eastAsia="zh-CN"/>
        </w:rPr>
      </w:pPr>
      <w:r>
        <w:rPr>
          <w:rFonts w:hint="eastAsia" w:ascii="宋体" w:hAnsi="宋体" w:cs="宋体"/>
          <w:b/>
          <w:color w:val="auto"/>
          <w:spacing w:val="20"/>
          <w:kern w:val="0"/>
          <w:sz w:val="28"/>
          <w:szCs w:val="28"/>
          <w:highlight w:val="none"/>
        </w:rPr>
        <w:t>项目编号：</w:t>
      </w:r>
      <w:r>
        <w:rPr>
          <w:rFonts w:hint="eastAsia" w:ascii="宋体" w:hAnsi="宋体" w:cs="宋体"/>
          <w:b/>
          <w:color w:val="auto"/>
          <w:spacing w:val="20"/>
          <w:kern w:val="0"/>
          <w:sz w:val="28"/>
          <w:szCs w:val="28"/>
          <w:highlight w:val="none"/>
          <w:lang w:val="en-US" w:eastAsia="zh-CN"/>
        </w:rPr>
        <w:t>灵宝竞磋采购-2025-</w:t>
      </w:r>
      <w:r>
        <w:rPr>
          <w:rFonts w:hint="eastAsia" w:eastAsia="宋体"/>
          <w:sz w:val="28"/>
          <w:szCs w:val="28"/>
          <w:highlight w:val="none"/>
          <w:lang w:eastAsia="zh-CN"/>
        </w:rPr>
        <w:drawing>
          <wp:anchor distT="0" distB="0" distL="114300" distR="114300" simplePos="0" relativeHeight="251659264" behindDoc="0" locked="0" layoutInCell="1" allowOverlap="1">
            <wp:simplePos x="0" y="0"/>
            <wp:positionH relativeFrom="column">
              <wp:posOffset>588010</wp:posOffset>
            </wp:positionH>
            <wp:positionV relativeFrom="paragraph">
              <wp:posOffset>943610</wp:posOffset>
            </wp:positionV>
            <wp:extent cx="4636135" cy="1567815"/>
            <wp:effectExtent l="0" t="0" r="12065" b="13335"/>
            <wp:wrapTopAndBottom/>
            <wp:docPr id="4" name="图片 5" descr="5a174cb79c9777742916e75fc8ceb0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5a174cb79c9777742916e75fc8ceb0cd"/>
                    <pic:cNvPicPr>
                      <a:picLocks noChangeAspect="1"/>
                    </pic:cNvPicPr>
                  </pic:nvPicPr>
                  <pic:blipFill>
                    <a:blip r:embed="rId9">
                      <a:clrChange>
                        <a:clrFrom>
                          <a:srgbClr val="000000"/>
                        </a:clrFrom>
                        <a:clrTo>
                          <a:srgbClr val="000000">
                            <a:alpha val="0"/>
                          </a:srgbClr>
                        </a:clrTo>
                      </a:clrChange>
                    </a:blip>
                    <a:stretch>
                      <a:fillRect/>
                    </a:stretch>
                  </pic:blipFill>
                  <pic:spPr>
                    <a:xfrm>
                      <a:off x="0" y="0"/>
                      <a:ext cx="4636135" cy="1567815"/>
                    </a:xfrm>
                    <a:prstGeom prst="rect">
                      <a:avLst/>
                    </a:prstGeom>
                    <a:noFill/>
                    <a:ln>
                      <a:noFill/>
                    </a:ln>
                  </pic:spPr>
                </pic:pic>
              </a:graphicData>
            </a:graphic>
          </wp:anchor>
        </w:drawing>
      </w:r>
      <w:r>
        <w:rPr>
          <w:rFonts w:hint="eastAsia" w:ascii="宋体" w:hAnsi="宋体" w:cs="宋体"/>
          <w:b/>
          <w:color w:val="auto"/>
          <w:spacing w:val="20"/>
          <w:kern w:val="0"/>
          <w:sz w:val="28"/>
          <w:szCs w:val="28"/>
          <w:highlight w:val="none"/>
          <w:lang w:val="en-US" w:eastAsia="zh-CN"/>
        </w:rPr>
        <w:t>110</w:t>
      </w:r>
      <w:r>
        <w:rPr>
          <w:rFonts w:hint="eastAsia" w:ascii="宋体" w:hAnsi="宋体" w:cs="宋体"/>
          <w:b/>
          <w:color w:val="auto"/>
          <w:spacing w:val="20"/>
          <w:kern w:val="0"/>
          <w:sz w:val="28"/>
          <w:szCs w:val="28"/>
          <w:highlight w:val="none"/>
          <w:lang w:eastAsia="zh-CN"/>
        </w:rPr>
        <w:t>；</w:t>
      </w:r>
      <w:r>
        <w:rPr>
          <w:rFonts w:hint="eastAsia" w:ascii="宋体" w:hAnsi="宋体" w:cs="宋体"/>
          <w:b/>
          <w:color w:val="auto"/>
          <w:spacing w:val="20"/>
          <w:kern w:val="0"/>
          <w:sz w:val="28"/>
          <w:szCs w:val="28"/>
          <w:highlight w:val="none"/>
          <w:lang w:val="en-US" w:eastAsia="zh-CN"/>
        </w:rPr>
        <w:t>LBGZ[2025]203-ZC150</w:t>
      </w:r>
    </w:p>
    <w:p w14:paraId="7BAA9949">
      <w:pPr>
        <w:keepNext w:val="0"/>
        <w:keepLines w:val="0"/>
        <w:pageBreakBefore w:val="0"/>
        <w:widowControl/>
        <w:kinsoku w:val="0"/>
        <w:wordWrap/>
        <w:bidi w:val="0"/>
        <w:adjustRightInd w:val="0"/>
        <w:snapToGrid w:val="0"/>
        <w:spacing w:line="360" w:lineRule="auto"/>
        <w:ind w:left="0" w:leftChars="0" w:right="0" w:rightChars="0"/>
        <w:jc w:val="both"/>
        <w:rPr>
          <w:rFonts w:hint="eastAsia" w:ascii="宋体" w:hAnsi="宋体" w:cs="宋体"/>
          <w:b/>
          <w:color w:val="auto"/>
          <w:spacing w:val="20"/>
          <w:kern w:val="0"/>
          <w:sz w:val="28"/>
          <w:szCs w:val="28"/>
          <w:highlight w:val="none"/>
          <w:lang w:eastAsia="zh-CN"/>
        </w:rPr>
      </w:pPr>
    </w:p>
    <w:p w14:paraId="35F5BD9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bidi w:val="0"/>
        <w:adjustRightInd w:val="0"/>
        <w:snapToGrid w:val="0"/>
        <w:spacing w:beforeAutospacing="0" w:afterAutospacing="0" w:line="360" w:lineRule="auto"/>
        <w:ind w:left="0" w:leftChars="0" w:right="0" w:rightChars="0"/>
        <w:jc w:val="center"/>
        <w:rPr>
          <w:rFonts w:hint="eastAsia" w:ascii="宋体" w:hAnsi="宋体" w:cs="宋体"/>
          <w:b/>
          <w:color w:val="auto"/>
          <w:spacing w:val="20"/>
          <w:kern w:val="0"/>
          <w:sz w:val="32"/>
          <w:szCs w:val="32"/>
          <w:highlight w:val="none"/>
          <w:lang w:eastAsia="zh-CN"/>
        </w:rPr>
      </w:pPr>
    </w:p>
    <w:p w14:paraId="60C0FB2C">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b/>
          <w:color w:val="auto"/>
          <w:kern w:val="0"/>
          <w:sz w:val="36"/>
          <w:szCs w:val="36"/>
          <w:highlight w:val="none"/>
        </w:rPr>
      </w:pPr>
    </w:p>
    <w:p w14:paraId="33256E3E">
      <w:pPr>
        <w:keepNext w:val="0"/>
        <w:keepLines w:val="0"/>
        <w:pageBreakBefore w:val="0"/>
        <w:widowControl/>
        <w:kinsoku w:val="0"/>
        <w:wordWrap/>
        <w:bidi w:val="0"/>
        <w:adjustRightInd w:val="0"/>
        <w:snapToGrid w:val="0"/>
        <w:spacing w:line="480" w:lineRule="auto"/>
        <w:ind w:left="0" w:leftChars="0" w:right="0" w:rightChars="0" w:firstLine="1606" w:firstLineChars="500"/>
        <w:jc w:val="left"/>
        <w:outlineLvl w:val="0"/>
        <w:rPr>
          <w:rFonts w:ascii="宋体" w:hAnsi="宋体" w:cs="宋体"/>
          <w:b/>
          <w:color w:val="auto"/>
          <w:sz w:val="32"/>
          <w:szCs w:val="32"/>
          <w:highlight w:val="none"/>
        </w:rPr>
      </w:pPr>
      <w:bookmarkStart w:id="3" w:name="_Toc19099"/>
      <w:bookmarkStart w:id="4" w:name="_Toc31259"/>
      <w:r>
        <w:rPr>
          <w:rFonts w:hint="eastAsia" w:ascii="宋体" w:hAnsi="宋体" w:cs="宋体"/>
          <w:b/>
          <w:color w:val="auto"/>
          <w:kern w:val="0"/>
          <w:sz w:val="32"/>
          <w:szCs w:val="32"/>
          <w:highlight w:val="none"/>
        </w:rPr>
        <w:t>采购人：灵宝市农业农村局</w:t>
      </w:r>
      <w:bookmarkEnd w:id="3"/>
      <w:bookmarkEnd w:id="4"/>
    </w:p>
    <w:p w14:paraId="63208115">
      <w:pPr>
        <w:keepNext w:val="0"/>
        <w:keepLines w:val="0"/>
        <w:pageBreakBefore w:val="0"/>
        <w:widowControl/>
        <w:kinsoku w:val="0"/>
        <w:wordWrap/>
        <w:bidi w:val="0"/>
        <w:adjustRightInd w:val="0"/>
        <w:snapToGrid w:val="0"/>
        <w:spacing w:line="480" w:lineRule="auto"/>
        <w:ind w:left="0" w:leftChars="0" w:right="0" w:rightChars="0" w:firstLine="1606" w:firstLineChars="500"/>
        <w:jc w:val="left"/>
        <w:outlineLvl w:val="0"/>
        <w:rPr>
          <w:rFonts w:hint="eastAsia" w:ascii="宋体" w:hAnsi="宋体" w:eastAsia="宋体" w:cs="宋体"/>
          <w:b/>
          <w:color w:val="auto"/>
          <w:kern w:val="0"/>
          <w:sz w:val="32"/>
          <w:szCs w:val="32"/>
          <w:highlight w:val="none"/>
          <w:lang w:eastAsia="zh-CN"/>
        </w:rPr>
      </w:pPr>
      <w:bookmarkStart w:id="5" w:name="_Toc16621"/>
      <w:bookmarkStart w:id="6" w:name="_Toc26804"/>
      <w:r>
        <w:rPr>
          <w:rFonts w:hint="eastAsia" w:ascii="宋体" w:hAnsi="宋体" w:cs="宋体"/>
          <w:b/>
          <w:color w:val="auto"/>
          <w:kern w:val="0"/>
          <w:sz w:val="32"/>
          <w:szCs w:val="32"/>
          <w:highlight w:val="none"/>
        </w:rPr>
        <w:t>代理机构：</w:t>
      </w:r>
      <w:bookmarkEnd w:id="5"/>
      <w:r>
        <w:rPr>
          <w:rFonts w:hint="eastAsia" w:ascii="宋体" w:hAnsi="宋体" w:cs="宋体"/>
          <w:b/>
          <w:color w:val="auto"/>
          <w:kern w:val="0"/>
          <w:sz w:val="32"/>
          <w:szCs w:val="32"/>
          <w:highlight w:val="none"/>
          <w:lang w:eastAsia="zh-CN"/>
        </w:rPr>
        <w:t>傲唐集团有限公司</w:t>
      </w:r>
      <w:bookmarkEnd w:id="6"/>
    </w:p>
    <w:p w14:paraId="1F5B05C0">
      <w:pPr>
        <w:keepNext w:val="0"/>
        <w:keepLines w:val="0"/>
        <w:pageBreakBefore w:val="0"/>
        <w:widowControl/>
        <w:kinsoku w:val="0"/>
        <w:wordWrap/>
        <w:bidi w:val="0"/>
        <w:adjustRightInd w:val="0"/>
        <w:snapToGrid w:val="0"/>
        <w:spacing w:line="480" w:lineRule="auto"/>
        <w:ind w:left="0" w:leftChars="0" w:right="0" w:rightChars="0" w:firstLine="1606" w:firstLineChars="500"/>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日</w:t>
      </w:r>
      <w:r>
        <w:rPr>
          <w:rFonts w:hint="eastAsia" w:ascii="宋体" w:hAnsi="宋体" w:cs="宋体"/>
          <w:b/>
          <w:color w:val="auto"/>
          <w:kern w:val="0"/>
          <w:sz w:val="32"/>
          <w:szCs w:val="32"/>
          <w:highlight w:val="none"/>
          <w:lang w:val="en-US" w:eastAsia="zh-CN"/>
        </w:rPr>
        <w:t xml:space="preserve">    </w:t>
      </w:r>
      <w:r>
        <w:rPr>
          <w:rFonts w:hint="eastAsia" w:ascii="宋体" w:hAnsi="宋体" w:cs="宋体"/>
          <w:b/>
          <w:color w:val="auto"/>
          <w:kern w:val="0"/>
          <w:sz w:val="32"/>
          <w:szCs w:val="32"/>
          <w:highlight w:val="none"/>
        </w:rPr>
        <w:t>期：二零二</w:t>
      </w: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年</w:t>
      </w:r>
      <w:r>
        <w:rPr>
          <w:rFonts w:hint="eastAsia" w:ascii="宋体" w:hAnsi="宋体" w:cs="宋体"/>
          <w:b/>
          <w:color w:val="auto"/>
          <w:kern w:val="0"/>
          <w:sz w:val="32"/>
          <w:szCs w:val="32"/>
          <w:highlight w:val="none"/>
          <w:lang w:val="en-US" w:eastAsia="zh-CN"/>
        </w:rPr>
        <w:t>七</w:t>
      </w:r>
      <w:r>
        <w:rPr>
          <w:rFonts w:hint="eastAsia" w:ascii="宋体" w:hAnsi="宋体" w:cs="宋体"/>
          <w:b/>
          <w:color w:val="auto"/>
          <w:kern w:val="0"/>
          <w:sz w:val="32"/>
          <w:szCs w:val="32"/>
          <w:highlight w:val="none"/>
        </w:rPr>
        <w:t>月</w:t>
      </w:r>
    </w:p>
    <w:p w14:paraId="7471F6EB">
      <w:pPr>
        <w:pStyle w:val="17"/>
        <w:keepNext w:val="0"/>
        <w:keepLines w:val="0"/>
        <w:pageBreakBefore w:val="0"/>
        <w:widowControl/>
        <w:kinsoku w:val="0"/>
        <w:wordWrap/>
        <w:bidi w:val="0"/>
        <w:adjustRightInd w:val="0"/>
        <w:snapToGrid w:val="0"/>
        <w:spacing w:after="0" w:line="360" w:lineRule="auto"/>
        <w:ind w:left="0" w:leftChars="0" w:right="0" w:rightChars="0"/>
        <w:jc w:val="center"/>
        <w:rPr>
          <w:rFonts w:ascii="宋体" w:hAnsi="宋体" w:eastAsia="宋体" w:cs="Times New Roman"/>
          <w:color w:val="auto"/>
          <w:kern w:val="2"/>
          <w:sz w:val="21"/>
          <w:highlight w:val="none"/>
          <w:lang w:val="en-US" w:eastAsia="zh-CN" w:bidi="ar-SA"/>
        </w:rPr>
        <w:sectPr>
          <w:footerReference r:id="rId5" w:type="default"/>
          <w:pgSz w:w="11906" w:h="16838"/>
          <w:pgMar w:top="1417" w:right="1417" w:bottom="1417" w:left="1417" w:header="851" w:footer="992" w:gutter="0"/>
          <w:pgNumType w:fmt="decimal"/>
          <w:cols w:space="0" w:num="1"/>
          <w:rtlGutter w:val="0"/>
          <w:docGrid w:type="lines" w:linePitch="333" w:charSpace="0"/>
        </w:sectPr>
      </w:pPr>
    </w:p>
    <w:sdt>
      <w:sdtPr>
        <w:rPr>
          <w:rFonts w:ascii="宋体" w:hAnsi="宋体" w:eastAsia="宋体" w:cs="Times New Roman"/>
          <w:color w:val="auto"/>
          <w:kern w:val="2"/>
          <w:sz w:val="21"/>
          <w:highlight w:val="none"/>
          <w:lang w:val="en-US" w:eastAsia="zh-CN" w:bidi="ar-SA"/>
        </w:rPr>
        <w:id w:val="147452345"/>
        <w15:color w:val="DBDBDB"/>
        <w:docPartObj>
          <w:docPartGallery w:val="Table of Contents"/>
          <w:docPartUnique/>
        </w:docPartObj>
      </w:sdtPr>
      <w:sdtEndPr>
        <w:rPr>
          <w:rFonts w:ascii="宋体" w:hAnsi="宋体" w:eastAsia="宋体" w:cs="Times New Roman"/>
          <w:color w:val="auto"/>
          <w:kern w:val="2"/>
          <w:sz w:val="22"/>
          <w:szCs w:val="21"/>
          <w:highlight w:val="none"/>
          <w:lang w:val="en-US" w:eastAsia="zh-CN" w:bidi="ar-SA"/>
        </w:rPr>
      </w:sdtEndPr>
      <w:sdtContent>
        <w:p w14:paraId="3E45A139">
          <w:pPr>
            <w:keepNext w:val="0"/>
            <w:keepLines w:val="0"/>
            <w:pageBreakBefore w:val="0"/>
            <w:widowControl/>
            <w:kinsoku w:val="0"/>
            <w:wordWrap/>
            <w:bidi w:val="0"/>
            <w:adjustRightInd w:val="0"/>
            <w:snapToGrid w:val="0"/>
            <w:spacing w:line="480" w:lineRule="auto"/>
            <w:ind w:left="0" w:leftChars="0" w:right="0" w:rightChars="0"/>
            <w:jc w:val="center"/>
            <w:rPr>
              <w:rFonts w:hint="eastAsia" w:ascii="仿宋" w:hAnsi="仿宋" w:eastAsia="仿宋" w:cs="仿宋"/>
              <w:color w:val="auto"/>
              <w:kern w:val="2"/>
              <w:sz w:val="36"/>
              <w:szCs w:val="36"/>
              <w:highlight w:val="none"/>
              <w:lang w:val="en-US" w:eastAsia="zh-CN" w:bidi="ar-SA"/>
            </w:rPr>
          </w:pPr>
          <w:r>
            <w:rPr>
              <w:rFonts w:hint="eastAsia"/>
              <w:b/>
              <w:color w:val="auto"/>
              <w:sz w:val="40"/>
              <w:highlight w:val="none"/>
            </w:rPr>
            <w:t>目录</w:t>
          </w:r>
          <w:r>
            <w:rPr>
              <w:rFonts w:hint="eastAsia" w:ascii="仿宋" w:hAnsi="仿宋" w:eastAsia="仿宋" w:cs="仿宋"/>
              <w:color w:val="auto"/>
              <w:sz w:val="36"/>
              <w:szCs w:val="36"/>
              <w:highlight w:val="none"/>
            </w:rPr>
            <w:fldChar w:fldCharType="begin"/>
          </w:r>
          <w:r>
            <w:rPr>
              <w:rFonts w:hint="eastAsia" w:ascii="仿宋" w:hAnsi="仿宋" w:eastAsia="仿宋" w:cs="仿宋"/>
              <w:color w:val="auto"/>
              <w:sz w:val="36"/>
              <w:szCs w:val="36"/>
              <w:highlight w:val="none"/>
            </w:rPr>
            <w:instrText xml:space="preserve">TOC \o "1-1" \h \u </w:instrText>
          </w:r>
          <w:r>
            <w:rPr>
              <w:rFonts w:hint="eastAsia" w:ascii="仿宋" w:hAnsi="仿宋" w:eastAsia="仿宋" w:cs="仿宋"/>
              <w:color w:val="auto"/>
              <w:sz w:val="36"/>
              <w:szCs w:val="36"/>
              <w:highlight w:val="none"/>
            </w:rPr>
            <w:fldChar w:fldCharType="separate"/>
          </w:r>
        </w:p>
        <w:p w14:paraId="60B0611A">
          <w:pPr>
            <w:pStyle w:val="21"/>
            <w:keepNext w:val="0"/>
            <w:keepLines w:val="0"/>
            <w:pageBreakBefore w:val="0"/>
            <w:widowControl/>
            <w:tabs>
              <w:tab w:val="right" w:leader="dot" w:pos="8312"/>
            </w:tabs>
            <w:kinsoku w:val="0"/>
            <w:wordWrap/>
            <w:bidi w:val="0"/>
            <w:adjustRightInd w:val="0"/>
            <w:snapToGrid w:val="0"/>
            <w:spacing w:line="480" w:lineRule="auto"/>
            <w:ind w:left="0" w:leftChars="0" w:right="0" w:rightChars="0"/>
            <w:jc w:val="center"/>
            <w:rPr>
              <w:sz w:val="28"/>
              <w:szCs w:val="28"/>
              <w:highlight w:val="none"/>
            </w:rPr>
          </w:pPr>
        </w:p>
        <w:p w14:paraId="09EF0BDE">
          <w:pPr>
            <w:pStyle w:val="21"/>
            <w:keepNext w:val="0"/>
            <w:keepLines w:val="0"/>
            <w:pageBreakBefore w:val="0"/>
            <w:widowControl/>
            <w:tabs>
              <w:tab w:val="right" w:leader="dot" w:pos="8312"/>
            </w:tabs>
            <w:kinsoku w:val="0"/>
            <w:wordWrap/>
            <w:overflowPunct/>
            <w:topLinePunct w:val="0"/>
            <w:autoSpaceDE/>
            <w:autoSpaceDN/>
            <w:bidi w:val="0"/>
            <w:adjustRightInd w:val="0"/>
            <w:snapToGrid w:val="0"/>
            <w:spacing w:line="480" w:lineRule="auto"/>
            <w:ind w:left="0" w:leftChars="0" w:right="0" w:rightChars="0"/>
            <w:jc w:val="both"/>
            <w:textAlignment w:val="auto"/>
            <w:rPr>
              <w:sz w:val="36"/>
              <w:szCs w:val="36"/>
              <w:highlight w:val="none"/>
            </w:rPr>
          </w:pPr>
          <w:r>
            <w:rPr>
              <w:rFonts w:hint="eastAsia" w:ascii="仿宋" w:hAnsi="仿宋" w:eastAsia="仿宋" w:cs="仿宋"/>
              <w:color w:val="auto"/>
              <w:sz w:val="36"/>
              <w:szCs w:val="44"/>
              <w:highlight w:val="none"/>
            </w:rPr>
            <w:fldChar w:fldCharType="begin"/>
          </w:r>
          <w:r>
            <w:rPr>
              <w:rFonts w:hint="eastAsia" w:ascii="仿宋" w:hAnsi="仿宋" w:eastAsia="仿宋" w:cs="仿宋"/>
              <w:sz w:val="36"/>
              <w:szCs w:val="44"/>
              <w:highlight w:val="none"/>
            </w:rPr>
            <w:instrText xml:space="preserve"> HYPERLINK \l _Toc30306 </w:instrText>
          </w:r>
          <w:r>
            <w:rPr>
              <w:rFonts w:hint="eastAsia" w:ascii="仿宋" w:hAnsi="仿宋" w:eastAsia="仿宋" w:cs="仿宋"/>
              <w:sz w:val="36"/>
              <w:szCs w:val="44"/>
              <w:highlight w:val="none"/>
            </w:rPr>
            <w:fldChar w:fldCharType="separate"/>
          </w:r>
          <w:r>
            <w:rPr>
              <w:rFonts w:hint="eastAsia"/>
              <w:bCs/>
              <w:sz w:val="36"/>
              <w:szCs w:val="32"/>
              <w:highlight w:val="none"/>
            </w:rPr>
            <w:t>第一章 竞争性磋商公告</w:t>
          </w:r>
          <w:r>
            <w:rPr>
              <w:sz w:val="36"/>
              <w:szCs w:val="36"/>
              <w:highlight w:val="none"/>
            </w:rPr>
            <w:tab/>
          </w:r>
          <w:r>
            <w:rPr>
              <w:sz w:val="36"/>
              <w:szCs w:val="36"/>
              <w:highlight w:val="none"/>
            </w:rPr>
            <w:fldChar w:fldCharType="begin"/>
          </w:r>
          <w:r>
            <w:rPr>
              <w:sz w:val="36"/>
              <w:szCs w:val="36"/>
              <w:highlight w:val="none"/>
            </w:rPr>
            <w:instrText xml:space="preserve"> PAGEREF _Toc30306 \h </w:instrText>
          </w:r>
          <w:r>
            <w:rPr>
              <w:sz w:val="36"/>
              <w:szCs w:val="36"/>
              <w:highlight w:val="none"/>
            </w:rPr>
            <w:fldChar w:fldCharType="separate"/>
          </w:r>
          <w:r>
            <w:rPr>
              <w:sz w:val="36"/>
              <w:szCs w:val="36"/>
              <w:highlight w:val="none"/>
            </w:rPr>
            <w:t>1</w:t>
          </w:r>
          <w:r>
            <w:rPr>
              <w:sz w:val="36"/>
              <w:szCs w:val="36"/>
              <w:highlight w:val="none"/>
            </w:rPr>
            <w:fldChar w:fldCharType="end"/>
          </w:r>
          <w:r>
            <w:rPr>
              <w:rFonts w:hint="eastAsia" w:ascii="仿宋" w:hAnsi="仿宋" w:eastAsia="仿宋" w:cs="仿宋"/>
              <w:color w:val="auto"/>
              <w:sz w:val="36"/>
              <w:szCs w:val="44"/>
              <w:highlight w:val="none"/>
            </w:rPr>
            <w:fldChar w:fldCharType="end"/>
          </w:r>
        </w:p>
        <w:p w14:paraId="1E02D1EA">
          <w:pPr>
            <w:pStyle w:val="21"/>
            <w:keepNext w:val="0"/>
            <w:keepLines w:val="0"/>
            <w:pageBreakBefore w:val="0"/>
            <w:widowControl/>
            <w:tabs>
              <w:tab w:val="right" w:leader="dot" w:pos="8312"/>
            </w:tabs>
            <w:kinsoku w:val="0"/>
            <w:wordWrap/>
            <w:overflowPunct/>
            <w:topLinePunct w:val="0"/>
            <w:autoSpaceDE/>
            <w:autoSpaceDN/>
            <w:bidi w:val="0"/>
            <w:adjustRightInd w:val="0"/>
            <w:snapToGrid w:val="0"/>
            <w:spacing w:line="480" w:lineRule="auto"/>
            <w:ind w:left="0" w:leftChars="0" w:right="0" w:rightChars="0"/>
            <w:jc w:val="both"/>
            <w:textAlignment w:val="auto"/>
            <w:rPr>
              <w:sz w:val="36"/>
              <w:szCs w:val="36"/>
              <w:highlight w:val="none"/>
            </w:rPr>
          </w:pPr>
          <w:r>
            <w:rPr>
              <w:rFonts w:hint="eastAsia" w:ascii="仿宋" w:hAnsi="仿宋" w:eastAsia="仿宋" w:cs="仿宋"/>
              <w:color w:val="auto"/>
              <w:sz w:val="36"/>
              <w:szCs w:val="44"/>
              <w:highlight w:val="none"/>
            </w:rPr>
            <w:fldChar w:fldCharType="begin"/>
          </w:r>
          <w:r>
            <w:rPr>
              <w:rFonts w:hint="eastAsia" w:ascii="仿宋" w:hAnsi="仿宋" w:eastAsia="仿宋" w:cs="仿宋"/>
              <w:sz w:val="36"/>
              <w:szCs w:val="44"/>
              <w:highlight w:val="none"/>
            </w:rPr>
            <w:instrText xml:space="preserve"> HYPERLINK \l _Toc21402 </w:instrText>
          </w:r>
          <w:r>
            <w:rPr>
              <w:rFonts w:hint="eastAsia" w:ascii="仿宋" w:hAnsi="仿宋" w:eastAsia="仿宋" w:cs="仿宋"/>
              <w:sz w:val="36"/>
              <w:szCs w:val="44"/>
              <w:highlight w:val="none"/>
            </w:rPr>
            <w:fldChar w:fldCharType="separate"/>
          </w:r>
          <w:r>
            <w:rPr>
              <w:rFonts w:hint="eastAsia"/>
              <w:bCs/>
              <w:sz w:val="36"/>
              <w:szCs w:val="32"/>
              <w:highlight w:val="none"/>
            </w:rPr>
            <w:t>第二章 供应商须知</w:t>
          </w:r>
          <w:r>
            <w:rPr>
              <w:sz w:val="36"/>
              <w:szCs w:val="36"/>
              <w:highlight w:val="none"/>
            </w:rPr>
            <w:tab/>
          </w:r>
          <w:r>
            <w:rPr>
              <w:sz w:val="36"/>
              <w:szCs w:val="36"/>
              <w:highlight w:val="none"/>
            </w:rPr>
            <w:fldChar w:fldCharType="begin"/>
          </w:r>
          <w:r>
            <w:rPr>
              <w:sz w:val="36"/>
              <w:szCs w:val="36"/>
              <w:highlight w:val="none"/>
            </w:rPr>
            <w:instrText xml:space="preserve"> PAGEREF _Toc21402 \h </w:instrText>
          </w:r>
          <w:r>
            <w:rPr>
              <w:sz w:val="36"/>
              <w:szCs w:val="36"/>
              <w:highlight w:val="none"/>
            </w:rPr>
            <w:fldChar w:fldCharType="separate"/>
          </w:r>
          <w:r>
            <w:rPr>
              <w:sz w:val="36"/>
              <w:szCs w:val="36"/>
              <w:highlight w:val="none"/>
            </w:rPr>
            <w:t>6</w:t>
          </w:r>
          <w:r>
            <w:rPr>
              <w:sz w:val="36"/>
              <w:szCs w:val="36"/>
              <w:highlight w:val="none"/>
            </w:rPr>
            <w:fldChar w:fldCharType="end"/>
          </w:r>
          <w:r>
            <w:rPr>
              <w:rFonts w:hint="eastAsia" w:ascii="仿宋" w:hAnsi="仿宋" w:eastAsia="仿宋" w:cs="仿宋"/>
              <w:color w:val="auto"/>
              <w:sz w:val="36"/>
              <w:szCs w:val="44"/>
              <w:highlight w:val="none"/>
            </w:rPr>
            <w:fldChar w:fldCharType="end"/>
          </w:r>
        </w:p>
        <w:p w14:paraId="7A01D197">
          <w:pPr>
            <w:pStyle w:val="21"/>
            <w:keepNext w:val="0"/>
            <w:keepLines w:val="0"/>
            <w:pageBreakBefore w:val="0"/>
            <w:widowControl/>
            <w:tabs>
              <w:tab w:val="right" w:leader="dot" w:pos="8312"/>
            </w:tabs>
            <w:kinsoku w:val="0"/>
            <w:wordWrap/>
            <w:overflowPunct/>
            <w:topLinePunct w:val="0"/>
            <w:autoSpaceDE/>
            <w:autoSpaceDN/>
            <w:bidi w:val="0"/>
            <w:adjustRightInd w:val="0"/>
            <w:snapToGrid w:val="0"/>
            <w:spacing w:line="480" w:lineRule="auto"/>
            <w:ind w:left="0" w:leftChars="0" w:right="0" w:rightChars="0"/>
            <w:jc w:val="both"/>
            <w:textAlignment w:val="auto"/>
            <w:rPr>
              <w:sz w:val="36"/>
              <w:szCs w:val="36"/>
              <w:highlight w:val="none"/>
            </w:rPr>
          </w:pPr>
          <w:r>
            <w:rPr>
              <w:rFonts w:hint="eastAsia" w:ascii="仿宋" w:hAnsi="仿宋" w:eastAsia="仿宋" w:cs="仿宋"/>
              <w:color w:val="auto"/>
              <w:sz w:val="36"/>
              <w:szCs w:val="44"/>
              <w:highlight w:val="none"/>
            </w:rPr>
            <w:fldChar w:fldCharType="begin"/>
          </w:r>
          <w:r>
            <w:rPr>
              <w:rFonts w:hint="eastAsia" w:ascii="仿宋" w:hAnsi="仿宋" w:eastAsia="仿宋" w:cs="仿宋"/>
              <w:sz w:val="36"/>
              <w:szCs w:val="44"/>
              <w:highlight w:val="none"/>
            </w:rPr>
            <w:instrText xml:space="preserve"> HYPERLINK \l _Toc11929 </w:instrText>
          </w:r>
          <w:r>
            <w:rPr>
              <w:rFonts w:hint="eastAsia" w:ascii="仿宋" w:hAnsi="仿宋" w:eastAsia="仿宋" w:cs="仿宋"/>
              <w:sz w:val="36"/>
              <w:szCs w:val="44"/>
              <w:highlight w:val="none"/>
            </w:rPr>
            <w:fldChar w:fldCharType="separate"/>
          </w:r>
          <w:r>
            <w:rPr>
              <w:rFonts w:hAnsi="宋体" w:eastAsia="宋体" w:cs="宋体"/>
              <w:bCs/>
              <w:sz w:val="36"/>
              <w:szCs w:val="44"/>
              <w:highlight w:val="none"/>
            </w:rPr>
            <w:t>第</w:t>
          </w:r>
          <w:r>
            <w:rPr>
              <w:rFonts w:hint="eastAsia" w:hAnsi="宋体" w:eastAsia="宋体" w:cs="宋体"/>
              <w:bCs/>
              <w:sz w:val="36"/>
              <w:szCs w:val="44"/>
              <w:highlight w:val="none"/>
              <w:lang w:val="en-US" w:eastAsia="zh-CN"/>
            </w:rPr>
            <w:t>三</w:t>
          </w:r>
          <w:r>
            <w:rPr>
              <w:rFonts w:hAnsi="宋体" w:eastAsia="宋体" w:cs="宋体"/>
              <w:bCs/>
              <w:sz w:val="36"/>
              <w:szCs w:val="44"/>
              <w:highlight w:val="none"/>
            </w:rPr>
            <w:t>章 评审标准</w:t>
          </w:r>
          <w:r>
            <w:rPr>
              <w:sz w:val="36"/>
              <w:szCs w:val="36"/>
              <w:highlight w:val="none"/>
            </w:rPr>
            <w:tab/>
          </w:r>
          <w:r>
            <w:rPr>
              <w:sz w:val="36"/>
              <w:szCs w:val="36"/>
              <w:highlight w:val="none"/>
            </w:rPr>
            <w:fldChar w:fldCharType="begin"/>
          </w:r>
          <w:r>
            <w:rPr>
              <w:sz w:val="36"/>
              <w:szCs w:val="36"/>
              <w:highlight w:val="none"/>
            </w:rPr>
            <w:instrText xml:space="preserve"> PAGEREF _Toc11929 \h </w:instrText>
          </w:r>
          <w:r>
            <w:rPr>
              <w:sz w:val="36"/>
              <w:szCs w:val="36"/>
              <w:highlight w:val="none"/>
            </w:rPr>
            <w:fldChar w:fldCharType="separate"/>
          </w:r>
          <w:r>
            <w:rPr>
              <w:sz w:val="36"/>
              <w:szCs w:val="36"/>
              <w:highlight w:val="none"/>
            </w:rPr>
            <w:t>3</w:t>
          </w:r>
          <w:r>
            <w:rPr>
              <w:rFonts w:hint="eastAsia"/>
              <w:sz w:val="36"/>
              <w:szCs w:val="36"/>
              <w:highlight w:val="none"/>
              <w:lang w:val="en-US" w:eastAsia="zh-CN"/>
            </w:rPr>
            <w:t>4</w:t>
          </w:r>
          <w:r>
            <w:rPr>
              <w:sz w:val="36"/>
              <w:szCs w:val="36"/>
              <w:highlight w:val="none"/>
            </w:rPr>
            <w:fldChar w:fldCharType="end"/>
          </w:r>
          <w:r>
            <w:rPr>
              <w:rFonts w:hint="eastAsia" w:ascii="仿宋" w:hAnsi="仿宋" w:eastAsia="仿宋" w:cs="仿宋"/>
              <w:color w:val="auto"/>
              <w:sz w:val="36"/>
              <w:szCs w:val="44"/>
              <w:highlight w:val="none"/>
            </w:rPr>
            <w:fldChar w:fldCharType="end"/>
          </w:r>
        </w:p>
        <w:p w14:paraId="4ACC61C9">
          <w:pPr>
            <w:pStyle w:val="21"/>
            <w:keepNext w:val="0"/>
            <w:keepLines w:val="0"/>
            <w:pageBreakBefore w:val="0"/>
            <w:widowControl/>
            <w:tabs>
              <w:tab w:val="right" w:leader="dot" w:pos="8312"/>
            </w:tabs>
            <w:kinsoku w:val="0"/>
            <w:wordWrap/>
            <w:overflowPunct/>
            <w:topLinePunct w:val="0"/>
            <w:autoSpaceDE/>
            <w:autoSpaceDN/>
            <w:bidi w:val="0"/>
            <w:adjustRightInd w:val="0"/>
            <w:snapToGrid w:val="0"/>
            <w:spacing w:line="480" w:lineRule="auto"/>
            <w:ind w:left="0" w:leftChars="0" w:right="0" w:rightChars="0"/>
            <w:jc w:val="both"/>
            <w:textAlignment w:val="auto"/>
            <w:rPr>
              <w:sz w:val="36"/>
              <w:szCs w:val="36"/>
              <w:highlight w:val="none"/>
            </w:rPr>
          </w:pPr>
          <w:r>
            <w:rPr>
              <w:rFonts w:hint="eastAsia" w:ascii="仿宋" w:hAnsi="仿宋" w:eastAsia="仿宋" w:cs="仿宋"/>
              <w:color w:val="auto"/>
              <w:sz w:val="36"/>
              <w:szCs w:val="44"/>
              <w:highlight w:val="none"/>
            </w:rPr>
            <w:fldChar w:fldCharType="begin"/>
          </w:r>
          <w:r>
            <w:rPr>
              <w:rFonts w:hint="eastAsia" w:ascii="仿宋" w:hAnsi="仿宋" w:eastAsia="仿宋" w:cs="仿宋"/>
              <w:sz w:val="36"/>
              <w:szCs w:val="44"/>
              <w:highlight w:val="none"/>
            </w:rPr>
            <w:instrText xml:space="preserve"> HYPERLINK \l _Toc30035 </w:instrText>
          </w:r>
          <w:r>
            <w:rPr>
              <w:rFonts w:hint="eastAsia" w:ascii="仿宋" w:hAnsi="仿宋" w:eastAsia="仿宋" w:cs="仿宋"/>
              <w:sz w:val="36"/>
              <w:szCs w:val="44"/>
              <w:highlight w:val="none"/>
            </w:rPr>
            <w:fldChar w:fldCharType="separate"/>
          </w:r>
          <w:r>
            <w:rPr>
              <w:rFonts w:hAnsi="宋体" w:eastAsia="宋体" w:cs="宋体"/>
              <w:sz w:val="36"/>
              <w:szCs w:val="44"/>
              <w:highlight w:val="none"/>
            </w:rPr>
            <w:t>第四章 合同条款及各式</w:t>
          </w:r>
          <w:r>
            <w:rPr>
              <w:sz w:val="36"/>
              <w:szCs w:val="36"/>
              <w:highlight w:val="none"/>
            </w:rPr>
            <w:tab/>
          </w:r>
          <w:r>
            <w:rPr>
              <w:sz w:val="36"/>
              <w:szCs w:val="36"/>
              <w:highlight w:val="none"/>
            </w:rPr>
            <w:fldChar w:fldCharType="begin"/>
          </w:r>
          <w:r>
            <w:rPr>
              <w:sz w:val="36"/>
              <w:szCs w:val="36"/>
              <w:highlight w:val="none"/>
            </w:rPr>
            <w:instrText xml:space="preserve"> PAGEREF _Toc30035 \h </w:instrText>
          </w:r>
          <w:r>
            <w:rPr>
              <w:sz w:val="36"/>
              <w:szCs w:val="36"/>
              <w:highlight w:val="none"/>
            </w:rPr>
            <w:fldChar w:fldCharType="separate"/>
          </w:r>
          <w:r>
            <w:rPr>
              <w:sz w:val="36"/>
              <w:szCs w:val="36"/>
              <w:highlight w:val="none"/>
            </w:rPr>
            <w:t>4</w:t>
          </w:r>
          <w:r>
            <w:rPr>
              <w:rFonts w:hint="eastAsia"/>
              <w:sz w:val="36"/>
              <w:szCs w:val="36"/>
              <w:highlight w:val="none"/>
              <w:lang w:val="en-US" w:eastAsia="zh-CN"/>
            </w:rPr>
            <w:t>6</w:t>
          </w:r>
          <w:r>
            <w:rPr>
              <w:sz w:val="36"/>
              <w:szCs w:val="36"/>
              <w:highlight w:val="none"/>
            </w:rPr>
            <w:fldChar w:fldCharType="end"/>
          </w:r>
          <w:r>
            <w:rPr>
              <w:rFonts w:hint="eastAsia" w:ascii="仿宋" w:hAnsi="仿宋" w:eastAsia="仿宋" w:cs="仿宋"/>
              <w:color w:val="auto"/>
              <w:sz w:val="36"/>
              <w:szCs w:val="44"/>
              <w:highlight w:val="none"/>
            </w:rPr>
            <w:fldChar w:fldCharType="end"/>
          </w:r>
        </w:p>
        <w:p w14:paraId="61245A7B">
          <w:pPr>
            <w:pStyle w:val="21"/>
            <w:keepNext w:val="0"/>
            <w:keepLines w:val="0"/>
            <w:pageBreakBefore w:val="0"/>
            <w:widowControl/>
            <w:tabs>
              <w:tab w:val="right" w:leader="dot" w:pos="8312"/>
            </w:tabs>
            <w:kinsoku w:val="0"/>
            <w:wordWrap/>
            <w:overflowPunct/>
            <w:topLinePunct w:val="0"/>
            <w:autoSpaceDE/>
            <w:autoSpaceDN/>
            <w:bidi w:val="0"/>
            <w:adjustRightInd w:val="0"/>
            <w:snapToGrid w:val="0"/>
            <w:spacing w:line="480" w:lineRule="auto"/>
            <w:ind w:left="0" w:leftChars="0" w:right="0" w:rightChars="0"/>
            <w:jc w:val="both"/>
            <w:textAlignment w:val="auto"/>
            <w:rPr>
              <w:sz w:val="36"/>
              <w:szCs w:val="36"/>
              <w:highlight w:val="none"/>
            </w:rPr>
          </w:pPr>
          <w:r>
            <w:rPr>
              <w:rFonts w:hint="eastAsia" w:ascii="仿宋" w:hAnsi="仿宋" w:eastAsia="仿宋" w:cs="仿宋"/>
              <w:color w:val="auto"/>
              <w:sz w:val="36"/>
              <w:szCs w:val="44"/>
              <w:highlight w:val="none"/>
            </w:rPr>
            <w:fldChar w:fldCharType="begin"/>
          </w:r>
          <w:r>
            <w:rPr>
              <w:rFonts w:hint="eastAsia" w:ascii="仿宋" w:hAnsi="仿宋" w:eastAsia="仿宋" w:cs="仿宋"/>
              <w:sz w:val="36"/>
              <w:szCs w:val="44"/>
              <w:highlight w:val="none"/>
            </w:rPr>
            <w:instrText xml:space="preserve"> HYPERLINK \l _Toc19183 </w:instrText>
          </w:r>
          <w:r>
            <w:rPr>
              <w:rFonts w:hint="eastAsia" w:ascii="仿宋" w:hAnsi="仿宋" w:eastAsia="仿宋" w:cs="仿宋"/>
              <w:sz w:val="36"/>
              <w:szCs w:val="44"/>
              <w:highlight w:val="none"/>
            </w:rPr>
            <w:fldChar w:fldCharType="separate"/>
          </w:r>
          <w:r>
            <w:rPr>
              <w:rFonts w:hint="eastAsia"/>
              <w:bCs/>
              <w:sz w:val="36"/>
              <w:szCs w:val="32"/>
              <w:highlight w:val="none"/>
            </w:rPr>
            <w:t>第</w:t>
          </w:r>
          <w:r>
            <w:rPr>
              <w:rFonts w:hint="eastAsia"/>
              <w:bCs/>
              <w:sz w:val="36"/>
              <w:szCs w:val="32"/>
              <w:highlight w:val="none"/>
              <w:lang w:val="en-US" w:eastAsia="zh-CN"/>
            </w:rPr>
            <w:t>五</w:t>
          </w:r>
          <w:r>
            <w:rPr>
              <w:rFonts w:hint="eastAsia"/>
              <w:bCs/>
              <w:sz w:val="36"/>
              <w:szCs w:val="32"/>
              <w:highlight w:val="none"/>
            </w:rPr>
            <w:t>章 采购</w:t>
          </w:r>
          <w:r>
            <w:rPr>
              <w:rFonts w:hint="eastAsia"/>
              <w:bCs/>
              <w:sz w:val="36"/>
              <w:szCs w:val="32"/>
              <w:highlight w:val="none"/>
              <w:lang w:val="en-US" w:eastAsia="zh-CN"/>
            </w:rPr>
            <w:t>内容及技术要求</w:t>
          </w:r>
          <w:r>
            <w:rPr>
              <w:sz w:val="36"/>
              <w:szCs w:val="36"/>
              <w:highlight w:val="none"/>
            </w:rPr>
            <w:tab/>
          </w:r>
          <w:r>
            <w:rPr>
              <w:sz w:val="36"/>
              <w:szCs w:val="36"/>
              <w:highlight w:val="none"/>
            </w:rPr>
            <w:fldChar w:fldCharType="begin"/>
          </w:r>
          <w:r>
            <w:rPr>
              <w:sz w:val="36"/>
              <w:szCs w:val="36"/>
              <w:highlight w:val="none"/>
            </w:rPr>
            <w:instrText xml:space="preserve"> PAGEREF _Toc19183 \h </w:instrText>
          </w:r>
          <w:r>
            <w:rPr>
              <w:sz w:val="36"/>
              <w:szCs w:val="36"/>
              <w:highlight w:val="none"/>
            </w:rPr>
            <w:fldChar w:fldCharType="separate"/>
          </w:r>
          <w:r>
            <w:rPr>
              <w:rFonts w:hint="eastAsia"/>
              <w:sz w:val="36"/>
              <w:szCs w:val="36"/>
              <w:highlight w:val="none"/>
              <w:lang w:val="en-US" w:eastAsia="zh-CN"/>
            </w:rPr>
            <w:t>48</w:t>
          </w:r>
          <w:r>
            <w:rPr>
              <w:sz w:val="36"/>
              <w:szCs w:val="36"/>
              <w:highlight w:val="none"/>
            </w:rPr>
            <w:fldChar w:fldCharType="end"/>
          </w:r>
          <w:r>
            <w:rPr>
              <w:rFonts w:hint="eastAsia" w:ascii="仿宋" w:hAnsi="仿宋" w:eastAsia="仿宋" w:cs="仿宋"/>
              <w:color w:val="auto"/>
              <w:sz w:val="36"/>
              <w:szCs w:val="44"/>
              <w:highlight w:val="none"/>
            </w:rPr>
            <w:fldChar w:fldCharType="end"/>
          </w:r>
        </w:p>
        <w:p w14:paraId="5815D74B">
          <w:pPr>
            <w:pStyle w:val="21"/>
            <w:keepNext w:val="0"/>
            <w:keepLines w:val="0"/>
            <w:pageBreakBefore w:val="0"/>
            <w:widowControl/>
            <w:tabs>
              <w:tab w:val="right" w:leader="dot" w:pos="8312"/>
            </w:tabs>
            <w:kinsoku w:val="0"/>
            <w:wordWrap/>
            <w:overflowPunct/>
            <w:topLinePunct w:val="0"/>
            <w:autoSpaceDE/>
            <w:autoSpaceDN/>
            <w:bidi w:val="0"/>
            <w:adjustRightInd w:val="0"/>
            <w:snapToGrid w:val="0"/>
            <w:spacing w:line="480" w:lineRule="auto"/>
            <w:ind w:left="0" w:leftChars="0" w:right="0" w:rightChars="0"/>
            <w:jc w:val="both"/>
            <w:textAlignment w:val="auto"/>
            <w:rPr>
              <w:sz w:val="28"/>
              <w:szCs w:val="28"/>
              <w:highlight w:val="none"/>
            </w:rPr>
          </w:pPr>
          <w:r>
            <w:rPr>
              <w:rFonts w:hint="eastAsia" w:ascii="仿宋" w:hAnsi="仿宋" w:eastAsia="仿宋" w:cs="仿宋"/>
              <w:color w:val="auto"/>
              <w:sz w:val="36"/>
              <w:szCs w:val="44"/>
              <w:highlight w:val="none"/>
            </w:rPr>
            <w:fldChar w:fldCharType="begin"/>
          </w:r>
          <w:r>
            <w:rPr>
              <w:rFonts w:hint="eastAsia" w:ascii="仿宋" w:hAnsi="仿宋" w:eastAsia="仿宋" w:cs="仿宋"/>
              <w:sz w:val="36"/>
              <w:szCs w:val="44"/>
              <w:highlight w:val="none"/>
            </w:rPr>
            <w:instrText xml:space="preserve"> HYPERLINK \l _Toc31215 </w:instrText>
          </w:r>
          <w:r>
            <w:rPr>
              <w:rFonts w:hint="eastAsia" w:ascii="仿宋" w:hAnsi="仿宋" w:eastAsia="仿宋" w:cs="仿宋"/>
              <w:sz w:val="36"/>
              <w:szCs w:val="44"/>
              <w:highlight w:val="none"/>
            </w:rPr>
            <w:fldChar w:fldCharType="separate"/>
          </w:r>
          <w:r>
            <w:rPr>
              <w:rFonts w:hint="eastAsia" w:ascii="宋体" w:hAnsi="宋体" w:cs="宋体"/>
              <w:sz w:val="36"/>
              <w:szCs w:val="44"/>
              <w:highlight w:val="none"/>
            </w:rPr>
            <w:t xml:space="preserve">第六章 </w:t>
          </w:r>
          <w:r>
            <w:rPr>
              <w:rFonts w:hint="eastAsia" w:ascii="宋体" w:hAnsi="宋体" w:cs="宋体"/>
              <w:sz w:val="36"/>
              <w:szCs w:val="44"/>
              <w:highlight w:val="none"/>
              <w:lang w:eastAsia="zh-CN"/>
            </w:rPr>
            <w:t>投标文件</w:t>
          </w:r>
          <w:r>
            <w:rPr>
              <w:rFonts w:hint="eastAsia" w:ascii="宋体" w:hAnsi="宋体" w:cs="宋体"/>
              <w:sz w:val="36"/>
              <w:szCs w:val="44"/>
              <w:highlight w:val="none"/>
            </w:rPr>
            <w:t>格式</w:t>
          </w:r>
          <w:r>
            <w:rPr>
              <w:sz w:val="36"/>
              <w:szCs w:val="36"/>
              <w:highlight w:val="none"/>
            </w:rPr>
            <w:tab/>
          </w:r>
          <w:r>
            <w:rPr>
              <w:sz w:val="36"/>
              <w:szCs w:val="36"/>
              <w:highlight w:val="none"/>
            </w:rPr>
            <w:fldChar w:fldCharType="begin"/>
          </w:r>
          <w:r>
            <w:rPr>
              <w:sz w:val="36"/>
              <w:szCs w:val="36"/>
              <w:highlight w:val="none"/>
            </w:rPr>
            <w:instrText xml:space="preserve"> PAGEREF _Toc31215 \h </w:instrText>
          </w:r>
          <w:r>
            <w:rPr>
              <w:sz w:val="36"/>
              <w:szCs w:val="36"/>
              <w:highlight w:val="none"/>
            </w:rPr>
            <w:fldChar w:fldCharType="separate"/>
          </w:r>
          <w:r>
            <w:rPr>
              <w:sz w:val="36"/>
              <w:szCs w:val="36"/>
              <w:highlight w:val="none"/>
            </w:rPr>
            <w:t>5</w:t>
          </w:r>
          <w:r>
            <w:rPr>
              <w:rFonts w:hint="eastAsia"/>
              <w:sz w:val="36"/>
              <w:szCs w:val="36"/>
              <w:highlight w:val="none"/>
              <w:lang w:val="en-US" w:eastAsia="zh-CN"/>
            </w:rPr>
            <w:t>1</w:t>
          </w:r>
          <w:r>
            <w:rPr>
              <w:sz w:val="36"/>
              <w:szCs w:val="36"/>
              <w:highlight w:val="none"/>
            </w:rPr>
            <w:fldChar w:fldCharType="end"/>
          </w:r>
          <w:r>
            <w:rPr>
              <w:rFonts w:hint="eastAsia" w:ascii="仿宋" w:hAnsi="仿宋" w:eastAsia="仿宋" w:cs="仿宋"/>
              <w:color w:val="auto"/>
              <w:sz w:val="36"/>
              <w:szCs w:val="44"/>
              <w:highlight w:val="none"/>
            </w:rPr>
            <w:fldChar w:fldCharType="end"/>
          </w:r>
        </w:p>
        <w:p w14:paraId="377B9964">
          <w:pPr>
            <w:pStyle w:val="17"/>
            <w:keepNext w:val="0"/>
            <w:keepLines w:val="0"/>
            <w:pageBreakBefore w:val="0"/>
            <w:widowControl/>
            <w:kinsoku w:val="0"/>
            <w:wordWrap/>
            <w:bidi w:val="0"/>
            <w:adjustRightInd w:val="0"/>
            <w:snapToGrid w:val="0"/>
            <w:spacing w:after="0" w:line="480" w:lineRule="auto"/>
            <w:ind w:left="0" w:leftChars="0" w:right="0" w:rightChars="0"/>
            <w:jc w:val="center"/>
            <w:rPr>
              <w:color w:val="auto"/>
              <w:sz w:val="28"/>
              <w:szCs w:val="21"/>
              <w:highlight w:val="none"/>
            </w:rPr>
          </w:pPr>
          <w:r>
            <w:rPr>
              <w:rFonts w:hint="eastAsia" w:ascii="仿宋" w:hAnsi="仿宋" w:eastAsia="仿宋" w:cs="仿宋"/>
              <w:color w:val="auto"/>
              <w:sz w:val="36"/>
              <w:szCs w:val="36"/>
              <w:highlight w:val="none"/>
            </w:rPr>
            <w:fldChar w:fldCharType="end"/>
          </w:r>
        </w:p>
      </w:sdtContent>
    </w:sdt>
    <w:p w14:paraId="6E76D688">
      <w:pPr>
        <w:keepNext w:val="0"/>
        <w:keepLines w:val="0"/>
        <w:pageBreakBefore w:val="0"/>
        <w:widowControl/>
        <w:kinsoku w:val="0"/>
        <w:wordWrap/>
        <w:bidi w:val="0"/>
        <w:adjustRightInd w:val="0"/>
        <w:snapToGrid w:val="0"/>
        <w:spacing w:line="480" w:lineRule="auto"/>
        <w:ind w:left="0" w:leftChars="0" w:right="0" w:rightChars="0"/>
        <w:rPr>
          <w:color w:val="auto"/>
          <w:sz w:val="28"/>
          <w:szCs w:val="21"/>
          <w:highlight w:val="none"/>
        </w:rPr>
      </w:pPr>
    </w:p>
    <w:p w14:paraId="01013AC5">
      <w:pPr>
        <w:keepNext w:val="0"/>
        <w:keepLines w:val="0"/>
        <w:pageBreakBefore w:val="0"/>
        <w:widowControl/>
        <w:kinsoku w:val="0"/>
        <w:wordWrap/>
        <w:bidi w:val="0"/>
        <w:adjustRightInd w:val="0"/>
        <w:snapToGrid w:val="0"/>
        <w:spacing w:line="360" w:lineRule="auto"/>
        <w:ind w:left="0" w:leftChars="0" w:right="0" w:rightChars="0"/>
        <w:jc w:val="center"/>
        <w:outlineLvl w:val="0"/>
        <w:rPr>
          <w:rFonts w:hint="eastAsia"/>
          <w:b/>
          <w:bCs/>
          <w:color w:val="auto"/>
          <w:sz w:val="32"/>
          <w:szCs w:val="22"/>
          <w:highlight w:val="none"/>
        </w:rPr>
        <w:sectPr>
          <w:pgSz w:w="11906" w:h="16838"/>
          <w:pgMar w:top="1417" w:right="1417" w:bottom="1417" w:left="1417" w:header="851" w:footer="992" w:gutter="0"/>
          <w:cols w:space="0" w:num="1"/>
          <w:rtlGutter w:val="0"/>
          <w:docGrid w:type="lines" w:linePitch="333" w:charSpace="0"/>
        </w:sectPr>
      </w:pPr>
      <w:bookmarkStart w:id="7" w:name="_Toc30306"/>
    </w:p>
    <w:p w14:paraId="7A490019">
      <w:pPr>
        <w:keepNext w:val="0"/>
        <w:keepLines w:val="0"/>
        <w:pageBreakBefore w:val="0"/>
        <w:widowControl/>
        <w:kinsoku w:val="0"/>
        <w:wordWrap/>
        <w:bidi w:val="0"/>
        <w:adjustRightInd w:val="0"/>
        <w:snapToGrid w:val="0"/>
        <w:spacing w:line="360" w:lineRule="auto"/>
        <w:ind w:left="0" w:leftChars="0" w:right="0" w:rightChars="0"/>
        <w:jc w:val="center"/>
        <w:outlineLvl w:val="0"/>
        <w:rPr>
          <w:b/>
          <w:bCs/>
          <w:color w:val="auto"/>
          <w:sz w:val="32"/>
          <w:szCs w:val="22"/>
          <w:highlight w:val="none"/>
        </w:rPr>
      </w:pPr>
      <w:r>
        <w:rPr>
          <w:rFonts w:hint="eastAsia"/>
          <w:b/>
          <w:bCs/>
          <w:color w:val="auto"/>
          <w:sz w:val="32"/>
          <w:szCs w:val="22"/>
          <w:highlight w:val="none"/>
        </w:rPr>
        <w:t>第一章  竞争性磋商公告</w:t>
      </w:r>
      <w:bookmarkEnd w:id="7"/>
    </w:p>
    <w:p w14:paraId="1935AE2F">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灵宝市农业农村局灵宝市2025年农业防灾救灾补助资金药品采购项目</w:t>
      </w:r>
      <w:r>
        <w:rPr>
          <w:rFonts w:hint="eastAsia" w:ascii="宋体" w:hAnsi="宋体" w:eastAsia="宋体" w:cs="宋体"/>
          <w:color w:val="auto"/>
          <w:sz w:val="24"/>
          <w:szCs w:val="24"/>
          <w:highlight w:val="none"/>
        </w:rPr>
        <w:t>的潜在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应凭CA数字证书通过《三门峡市公共资源交易中心网》（网址：http://gzjy.smx.gov.cn）获取招标文件，并于</w:t>
      </w:r>
      <w:r>
        <w:rPr>
          <w:rFonts w:hint="eastAsia" w:ascii="宋体" w:hAnsi="宋体" w:eastAsia="宋体" w:cs="宋体"/>
          <w:color w:val="auto"/>
          <w:sz w:val="24"/>
          <w:szCs w:val="24"/>
          <w:highlight w:val="none"/>
          <w:lang w:eastAsia="zh-CN"/>
        </w:rPr>
        <w:t>2025年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0分</w:t>
      </w:r>
      <w:r>
        <w:rPr>
          <w:rFonts w:hint="eastAsia" w:ascii="宋体" w:hAnsi="宋体" w:eastAsia="宋体" w:cs="宋体"/>
          <w:color w:val="auto"/>
          <w:sz w:val="24"/>
          <w:szCs w:val="24"/>
          <w:highlight w:val="none"/>
        </w:rPr>
        <w:t>（北京时间）前递交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w:t>
      </w:r>
    </w:p>
    <w:p w14:paraId="39B862B1">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一、项目概况：</w:t>
      </w:r>
    </w:p>
    <w:p w14:paraId="6CC19BE5">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1、项目名称：灵宝市农业农村局灵宝市2025年农业防灾救灾补助资金药品采购项目</w:t>
      </w:r>
    </w:p>
    <w:p w14:paraId="20267722">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2、项目编号：</w:t>
      </w:r>
      <w:r>
        <w:rPr>
          <w:rFonts w:hint="eastAsia" w:ascii="宋体" w:hAnsi="宋体" w:eastAsia="宋体" w:cs="宋体"/>
          <w:color w:val="auto"/>
          <w:sz w:val="24"/>
          <w:szCs w:val="24"/>
          <w:highlight w:val="none"/>
          <w:lang w:val="en-US" w:eastAsia="zh-CN"/>
        </w:rPr>
        <w:t>灵宝竞磋采购-2025-110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LBGZ[2025]203-ZC150</w:t>
      </w:r>
    </w:p>
    <w:p w14:paraId="5906A1F5">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招标范围</w:t>
      </w:r>
      <w:r>
        <w:rPr>
          <w:rFonts w:hint="eastAsia" w:ascii="宋体" w:hAnsi="宋体" w:eastAsia="宋体" w:cs="宋体"/>
          <w:color w:val="auto"/>
          <w:sz w:val="24"/>
          <w:szCs w:val="24"/>
          <w:highlight w:val="none"/>
          <w:lang w:eastAsia="zh-CN"/>
        </w:rPr>
        <w:t>：灵宝市农业农村局灵宝市2025年农业防灾救灾补助资金药品采购项目，主要内容为农业防灾救灾补助资金药品采购、</w:t>
      </w:r>
      <w:r>
        <w:rPr>
          <w:rFonts w:hint="eastAsia" w:ascii="宋体" w:hAnsi="宋体" w:eastAsia="宋体" w:cs="宋体"/>
          <w:sz w:val="24"/>
          <w:szCs w:val="24"/>
          <w:highlight w:val="none"/>
          <w:lang w:val="en-US" w:eastAsia="zh-CN"/>
        </w:rPr>
        <w:t>生物药剂采购及飞防服务</w:t>
      </w:r>
      <w:r>
        <w:rPr>
          <w:rFonts w:hint="eastAsia" w:ascii="宋体" w:hAnsi="宋体" w:eastAsia="宋体" w:cs="宋体"/>
          <w:color w:val="auto"/>
          <w:sz w:val="24"/>
          <w:szCs w:val="24"/>
          <w:highlight w:val="none"/>
          <w:lang w:eastAsia="zh-CN"/>
        </w:rPr>
        <w:t>，具体详见竞争性磋商文件</w:t>
      </w:r>
      <w:r>
        <w:rPr>
          <w:rFonts w:hint="eastAsia" w:ascii="宋体" w:hAnsi="宋体" w:eastAsia="宋体" w:cs="宋体"/>
          <w:color w:val="auto"/>
          <w:sz w:val="24"/>
          <w:szCs w:val="24"/>
          <w:highlight w:val="none"/>
          <w:lang w:val="en-US" w:eastAsia="zh-CN"/>
        </w:rPr>
        <w:t>采购清单要求</w:t>
      </w:r>
      <w:r>
        <w:rPr>
          <w:rFonts w:hint="eastAsia" w:ascii="宋体" w:hAnsi="宋体" w:eastAsia="宋体" w:cs="宋体"/>
          <w:color w:val="auto"/>
          <w:sz w:val="24"/>
          <w:szCs w:val="24"/>
          <w:highlight w:val="none"/>
          <w:lang w:eastAsia="zh-CN"/>
        </w:rPr>
        <w:t>。</w:t>
      </w:r>
    </w:p>
    <w:p w14:paraId="5ACA889D">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4、资金来源：财政资金，已落实</w:t>
      </w:r>
      <w:r>
        <w:rPr>
          <w:rFonts w:hint="eastAsia" w:ascii="宋体" w:hAnsi="宋体" w:cs="宋体"/>
          <w:color w:val="auto"/>
          <w:sz w:val="24"/>
          <w:szCs w:val="24"/>
          <w:highlight w:val="none"/>
          <w:lang w:eastAsia="zh-CN"/>
        </w:rPr>
        <w:t>。</w:t>
      </w:r>
    </w:p>
    <w:p w14:paraId="76F1FC99">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5、标段划分：</w:t>
      </w:r>
      <w:r>
        <w:rPr>
          <w:rFonts w:hint="eastAsia" w:ascii="宋体" w:hAnsi="宋体" w:eastAsia="宋体" w:cs="宋体"/>
          <w:color w:val="auto"/>
          <w:sz w:val="24"/>
          <w:szCs w:val="24"/>
          <w:highlight w:val="none"/>
          <w:lang w:val="en-US" w:eastAsia="zh-CN"/>
        </w:rPr>
        <w:t>本项目共分为两个</w:t>
      </w:r>
      <w:r>
        <w:rPr>
          <w:rFonts w:hint="eastAsia" w:ascii="宋体" w:hAnsi="宋体" w:eastAsia="宋体" w:cs="宋体"/>
          <w:color w:val="auto"/>
          <w:sz w:val="24"/>
          <w:szCs w:val="24"/>
          <w:highlight w:val="none"/>
        </w:rPr>
        <w:t>标段</w:t>
      </w:r>
      <w:r>
        <w:rPr>
          <w:rFonts w:hint="eastAsia" w:ascii="宋体" w:hAnsi="宋体" w:eastAsia="宋体" w:cs="宋体"/>
          <w:color w:val="auto"/>
          <w:sz w:val="24"/>
          <w:szCs w:val="24"/>
          <w:highlight w:val="none"/>
          <w:lang w:val="en-US" w:eastAsia="zh-CN"/>
        </w:rPr>
        <w:t>。</w:t>
      </w:r>
    </w:p>
    <w:p w14:paraId="57323622">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6、采购内容</w:t>
      </w:r>
    </w:p>
    <w:p w14:paraId="05CE2854">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一标段采购内容：40%唑醚·戊唑醇悬浮剂2100公斤；14%氯虫·高氯氟微囊悬浮</w:t>
      </w:r>
      <w:r>
        <w:rPr>
          <w:rFonts w:hint="eastAsia" w:ascii="宋体" w:hAnsi="宋体" w:eastAsia="宋体" w:cs="宋体"/>
          <w:sz w:val="24"/>
          <w:szCs w:val="24"/>
          <w:highlight w:val="none"/>
          <w:lang w:eastAsia="zh-CN"/>
        </w:rPr>
        <w:t>-悬浮</w:t>
      </w:r>
      <w:r>
        <w:rPr>
          <w:rFonts w:hint="eastAsia" w:ascii="宋体" w:hAnsi="宋体" w:eastAsia="宋体" w:cs="宋体"/>
          <w:sz w:val="24"/>
          <w:szCs w:val="24"/>
          <w:highlight w:val="none"/>
          <w:lang w:val="en-US" w:eastAsia="zh-CN"/>
        </w:rPr>
        <w:t>剂1575公斤；27%苯醚·咯·噻虫悬浮种衣剂108升；主要用于</w:t>
      </w:r>
      <w:r>
        <w:rPr>
          <w:rFonts w:hint="eastAsia" w:ascii="宋体" w:hAnsi="宋体" w:eastAsia="宋体" w:cs="宋体"/>
          <w:sz w:val="24"/>
          <w:szCs w:val="24"/>
          <w:highlight w:val="none"/>
          <w:lang w:eastAsia="zh-CN"/>
        </w:rPr>
        <w:t>玉米</w:t>
      </w:r>
      <w:r>
        <w:rPr>
          <w:rFonts w:hint="eastAsia" w:ascii="宋体" w:hAnsi="宋体" w:eastAsia="宋体" w:cs="宋体"/>
          <w:sz w:val="24"/>
          <w:szCs w:val="24"/>
          <w:highlight w:val="none"/>
        </w:rPr>
        <w:t>重大病虫</w:t>
      </w:r>
      <w:r>
        <w:rPr>
          <w:rFonts w:hint="eastAsia" w:ascii="宋体" w:hAnsi="宋体" w:eastAsia="宋体" w:cs="宋体"/>
          <w:sz w:val="24"/>
          <w:szCs w:val="24"/>
          <w:highlight w:val="none"/>
          <w:lang w:eastAsia="zh-CN"/>
        </w:rPr>
        <w:t>害</w:t>
      </w:r>
      <w:r>
        <w:rPr>
          <w:rFonts w:hint="eastAsia" w:ascii="宋体" w:hAnsi="宋体" w:eastAsia="宋体" w:cs="宋体"/>
          <w:color w:val="auto"/>
          <w:sz w:val="24"/>
          <w:szCs w:val="24"/>
          <w:highlight w:val="none"/>
        </w:rPr>
        <w:t>防控</w:t>
      </w:r>
      <w:r>
        <w:rPr>
          <w:rFonts w:hint="eastAsia" w:ascii="宋体" w:hAnsi="宋体" w:eastAsia="宋体" w:cs="宋体"/>
          <w:color w:val="auto"/>
          <w:sz w:val="24"/>
          <w:szCs w:val="24"/>
          <w:highlight w:val="none"/>
          <w:lang w:eastAsia="zh-CN"/>
        </w:rPr>
        <w:t>和小麦拌种。</w:t>
      </w:r>
    </w:p>
    <w:p w14:paraId="48D25AF4">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二标段采购内容：玉米</w:t>
      </w:r>
      <w:r>
        <w:rPr>
          <w:rFonts w:hint="eastAsia" w:ascii="宋体" w:hAnsi="宋体" w:eastAsia="宋体" w:cs="宋体"/>
          <w:sz w:val="24"/>
          <w:szCs w:val="24"/>
          <w:highlight w:val="none"/>
        </w:rPr>
        <w:t>生物</w:t>
      </w:r>
      <w:r>
        <w:rPr>
          <w:rFonts w:hint="eastAsia" w:ascii="宋体" w:hAnsi="宋体" w:eastAsia="宋体" w:cs="宋体"/>
          <w:sz w:val="24"/>
          <w:szCs w:val="24"/>
          <w:highlight w:val="none"/>
          <w:lang w:eastAsia="zh-CN"/>
        </w:rPr>
        <w:t>赤眼蜂</w:t>
      </w:r>
      <w:r>
        <w:rPr>
          <w:rFonts w:hint="eastAsia" w:ascii="宋体" w:hAnsi="宋体" w:eastAsia="宋体" w:cs="宋体"/>
          <w:sz w:val="24"/>
          <w:szCs w:val="24"/>
          <w:highlight w:val="none"/>
          <w:lang w:val="en-US" w:eastAsia="zh-CN"/>
        </w:rPr>
        <w:t>统防统治4000亩（每亩无人机投放4个点位，每个点位2500头）；农区蝗虫统防统治5000亩，（生物药剂及飞防服务）；省级农作物病虫疫情智能化监测点仪器设备的升级改造和维护所需的材料和服务。</w:t>
      </w:r>
    </w:p>
    <w:p w14:paraId="3208819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、预算资金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采购最高限价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76</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其中一标段53.9万元；二标段22.1万元。</w:t>
      </w:r>
    </w:p>
    <w:p w14:paraId="21DD90A5">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、质量要求：合格</w:t>
      </w:r>
      <w:r>
        <w:rPr>
          <w:rFonts w:hint="eastAsia" w:ascii="宋体" w:hAnsi="宋体" w:cs="宋体"/>
          <w:color w:val="auto"/>
          <w:sz w:val="24"/>
          <w:szCs w:val="24"/>
          <w:highlight w:val="none"/>
          <w:lang w:eastAsia="zh-CN"/>
        </w:rPr>
        <w:t>。</w:t>
      </w:r>
    </w:p>
    <w:p w14:paraId="6D71A60F">
      <w:pPr>
        <w:pStyle w:val="79"/>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供货服务</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lang w:eastAsia="zh-CN"/>
        </w:rPr>
        <w:t>签订合同后</w:t>
      </w:r>
      <w:r>
        <w:rPr>
          <w:rFonts w:hint="eastAsia" w:ascii="宋体" w:hAnsi="宋体" w:eastAsia="宋体" w:cs="宋体"/>
          <w:color w:val="auto"/>
          <w:sz w:val="24"/>
          <w:szCs w:val="24"/>
          <w:highlight w:val="none"/>
          <w:lang w:val="en-US" w:eastAsia="zh-CN"/>
        </w:rPr>
        <w:t>5日历天</w:t>
      </w:r>
      <w:r>
        <w:rPr>
          <w:rFonts w:hint="eastAsia" w:ascii="宋体" w:hAnsi="宋体" w:eastAsia="宋体" w:cs="宋体"/>
          <w:color w:val="auto"/>
          <w:sz w:val="24"/>
          <w:szCs w:val="24"/>
          <w:highlight w:val="none"/>
          <w:lang w:eastAsia="zh-CN"/>
        </w:rPr>
        <w:t>内供货完毕</w:t>
      </w:r>
      <w:r>
        <w:rPr>
          <w:rFonts w:hint="eastAsia" w:ascii="宋体" w:hAnsi="宋体" w:cs="宋体"/>
          <w:color w:val="auto"/>
          <w:sz w:val="24"/>
          <w:szCs w:val="24"/>
          <w:highlight w:val="none"/>
          <w:lang w:eastAsia="zh-CN"/>
        </w:rPr>
        <w:t>。</w:t>
      </w:r>
    </w:p>
    <w:p w14:paraId="33089979">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、实施地点：灵宝市境内</w:t>
      </w:r>
      <w:r>
        <w:rPr>
          <w:rFonts w:hint="eastAsia" w:ascii="宋体" w:hAnsi="宋体" w:cs="宋体"/>
          <w:color w:val="auto"/>
          <w:sz w:val="24"/>
          <w:szCs w:val="24"/>
          <w:highlight w:val="none"/>
          <w:lang w:eastAsia="zh-CN"/>
        </w:rPr>
        <w:t>。</w:t>
      </w:r>
    </w:p>
    <w:p w14:paraId="71E5AD51">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二、供应商资格要求</w:t>
      </w:r>
    </w:p>
    <w:p w14:paraId="36B95C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1、满足《中华人民共和国政府采购法》第二十二条规定</w:t>
      </w:r>
      <w:r>
        <w:rPr>
          <w:rFonts w:hint="eastAsia" w:ascii="宋体" w:hAnsi="宋体" w:cs="宋体"/>
          <w:i w:val="0"/>
          <w:iCs w:val="0"/>
          <w:caps w:val="0"/>
          <w:color w:val="333333"/>
          <w:spacing w:val="0"/>
          <w:kern w:val="0"/>
          <w:sz w:val="24"/>
          <w:szCs w:val="24"/>
          <w:highlight w:val="none"/>
          <w:lang w:val="en-US" w:eastAsia="zh-CN" w:bidi="ar"/>
        </w:rPr>
        <w:t>。</w:t>
      </w:r>
    </w:p>
    <w:p w14:paraId="2DA59F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2、落实政府采购政策满足的资格要求：</w:t>
      </w:r>
      <w:r>
        <w:rPr>
          <w:rFonts w:hint="eastAsia" w:ascii="宋体" w:hAnsi="宋体" w:eastAsia="宋体" w:cs="宋体"/>
          <w:color w:val="0C0C0C"/>
          <w:kern w:val="0"/>
          <w:sz w:val="24"/>
          <w:szCs w:val="24"/>
          <w:highlight w:val="none"/>
          <w:shd w:val="clear" w:fill="FFFFFF"/>
          <w:lang w:val="en-US" w:eastAsia="zh-CN" w:bidi="ar"/>
        </w:rPr>
        <w:t>本项目非专门面向中小微企业采购项目,执行促进中小企业（监狱企业、残疾人福利性企业）发展等政府采购政策。</w:t>
      </w:r>
    </w:p>
    <w:p w14:paraId="41A372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333333"/>
          <w:spacing w:val="0"/>
          <w:kern w:val="0"/>
          <w:sz w:val="24"/>
          <w:szCs w:val="24"/>
          <w:highlight w:val="none"/>
          <w:lang w:val="en-US" w:eastAsia="zh-CN" w:bidi="ar"/>
        </w:rPr>
        <w:t>3、本项目的特定资格要求</w:t>
      </w:r>
    </w:p>
    <w:p w14:paraId="19B2D4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0C0C0C"/>
          <w:kern w:val="0"/>
          <w:sz w:val="24"/>
          <w:szCs w:val="24"/>
          <w:highlight w:val="none"/>
          <w:shd w:val="clear" w:fill="FFFFFF"/>
          <w:lang w:val="en-US" w:eastAsia="zh-CN" w:bidi="ar"/>
        </w:rPr>
      </w:pPr>
      <w:r>
        <w:rPr>
          <w:rFonts w:hint="eastAsia" w:ascii="宋体" w:hAnsi="宋体" w:eastAsia="宋体" w:cs="宋体"/>
          <w:color w:val="0C0C0C"/>
          <w:kern w:val="0"/>
          <w:sz w:val="24"/>
          <w:szCs w:val="24"/>
          <w:highlight w:val="none"/>
          <w:shd w:val="clear" w:fill="FFFFFF"/>
          <w:lang w:val="en-US" w:eastAsia="zh-CN" w:bidi="ar"/>
        </w:rPr>
        <w:t>3.1供应商须具有独立承担民事责任的能力和有效营业执照。</w:t>
      </w:r>
    </w:p>
    <w:p w14:paraId="429551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0C0C0C"/>
          <w:kern w:val="0"/>
          <w:sz w:val="24"/>
          <w:szCs w:val="24"/>
          <w:highlight w:val="none"/>
          <w:shd w:val="clear" w:fill="FFFFFF"/>
          <w:lang w:val="en-US" w:eastAsia="zh-CN" w:bidi="ar"/>
        </w:rPr>
      </w:pPr>
      <w:r>
        <w:rPr>
          <w:rFonts w:hint="eastAsia" w:ascii="宋体" w:hAnsi="宋体" w:eastAsia="宋体" w:cs="宋体"/>
          <w:color w:val="0C0C0C"/>
          <w:kern w:val="0"/>
          <w:sz w:val="24"/>
          <w:szCs w:val="24"/>
          <w:highlight w:val="none"/>
          <w:shd w:val="clear" w:fill="FFFFFF"/>
          <w:lang w:val="en-US" w:eastAsia="zh-CN" w:bidi="ar"/>
        </w:rPr>
        <w:t>3.2一标段供应商为生产商的需提供农药生产许可证(登记对象必须包含</w:t>
      </w:r>
      <w:r>
        <w:rPr>
          <w:rFonts w:hint="eastAsia" w:ascii="宋体" w:hAnsi="宋体" w:cs="宋体"/>
          <w:color w:val="0C0C0C"/>
          <w:kern w:val="0"/>
          <w:sz w:val="24"/>
          <w:szCs w:val="24"/>
          <w:highlight w:val="none"/>
          <w:shd w:val="clear" w:fill="FFFFFF"/>
          <w:lang w:val="en-US" w:eastAsia="zh-CN" w:bidi="ar"/>
        </w:rPr>
        <w:t>玉米</w:t>
      </w:r>
      <w:r>
        <w:rPr>
          <w:rFonts w:hint="eastAsia" w:ascii="宋体" w:hAnsi="宋体" w:eastAsia="宋体" w:cs="宋体"/>
          <w:color w:val="0C0C0C"/>
          <w:kern w:val="0"/>
          <w:sz w:val="24"/>
          <w:szCs w:val="24"/>
          <w:highlight w:val="none"/>
          <w:shd w:val="clear" w:fill="FFFFFF"/>
          <w:lang w:val="en-US" w:eastAsia="zh-CN" w:bidi="ar"/>
        </w:rPr>
        <w:t>)，若供应商为经销商的需提供农药经营许可证；所提供的农药产品须 “三证”（生产许可证或生产批准证、农药登记证(登记对象必须包含</w:t>
      </w:r>
      <w:r>
        <w:rPr>
          <w:rFonts w:hint="eastAsia" w:ascii="宋体" w:hAnsi="宋体" w:cs="宋体"/>
          <w:color w:val="0C0C0C"/>
          <w:kern w:val="0"/>
          <w:sz w:val="24"/>
          <w:szCs w:val="24"/>
          <w:highlight w:val="none"/>
          <w:shd w:val="clear" w:fill="FFFFFF"/>
          <w:lang w:val="en-US" w:eastAsia="zh-CN" w:bidi="ar"/>
        </w:rPr>
        <w:t>玉米</w:t>
      </w:r>
      <w:r>
        <w:rPr>
          <w:rFonts w:hint="eastAsia" w:ascii="宋体" w:hAnsi="宋体" w:eastAsia="宋体" w:cs="宋体"/>
          <w:color w:val="0C0C0C"/>
          <w:kern w:val="0"/>
          <w:sz w:val="24"/>
          <w:szCs w:val="24"/>
          <w:highlight w:val="none"/>
          <w:shd w:val="clear" w:fill="FFFFFF"/>
          <w:lang w:val="en-US" w:eastAsia="zh-CN" w:bidi="ar"/>
        </w:rPr>
        <w:t>)、产品标准证）齐全，并在有效期内。</w:t>
      </w:r>
    </w:p>
    <w:p w14:paraId="719985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sz w:val="24"/>
          <w:szCs w:val="24"/>
          <w:highlight w:val="none"/>
        </w:rPr>
      </w:pPr>
      <w:r>
        <w:rPr>
          <w:rFonts w:hint="eastAsia" w:ascii="宋体" w:hAnsi="宋体" w:eastAsia="宋体" w:cs="宋体"/>
          <w:color w:val="0C0C0C"/>
          <w:kern w:val="0"/>
          <w:sz w:val="24"/>
          <w:szCs w:val="24"/>
          <w:highlight w:val="none"/>
          <w:shd w:val="clear" w:fill="FFFFFF"/>
          <w:lang w:val="en-US" w:eastAsia="zh-CN" w:bidi="ar"/>
        </w:rPr>
        <w:t>二标段</w:t>
      </w:r>
      <w:r>
        <w:rPr>
          <w:rFonts w:hint="eastAsia" w:ascii="宋体" w:hAnsi="宋体" w:eastAsia="宋体" w:cs="宋体"/>
          <w:sz w:val="24"/>
          <w:szCs w:val="24"/>
          <w:highlight w:val="none"/>
          <w:u w:val="none"/>
          <w:lang w:eastAsia="zh-CN"/>
        </w:rPr>
        <w:t>供应商</w:t>
      </w:r>
      <w:r>
        <w:rPr>
          <w:rFonts w:hint="eastAsia" w:ascii="宋体" w:hAnsi="宋体" w:eastAsia="宋体" w:cs="宋体"/>
          <w:color w:val="333333"/>
          <w:kern w:val="0"/>
          <w:sz w:val="24"/>
          <w:szCs w:val="24"/>
          <w:highlight w:val="none"/>
          <w:lang w:val="en-US" w:eastAsia="zh-CN" w:bidi="ar"/>
        </w:rPr>
        <w:t>需具有满足本次病虫害统防的植保飞行器作业能力（需提供植保无人机等飞行器相关作业能力证明或承诺函）</w:t>
      </w:r>
      <w:r>
        <w:rPr>
          <w:rFonts w:hint="eastAsia" w:ascii="宋体" w:hAnsi="宋体" w:eastAsia="宋体" w:cs="宋体"/>
          <w:sz w:val="24"/>
          <w:szCs w:val="24"/>
          <w:highlight w:val="none"/>
          <w:lang w:val="en-US" w:eastAsia="zh-CN"/>
        </w:rPr>
        <w:t>。</w:t>
      </w:r>
    </w:p>
    <w:p w14:paraId="439933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3.3供应商具有履行合同所必须的设备和专业能力，具有良好的社会信誉，在实施项目中没有出现不良记录，并且没有出现经营管理、产品质量安全、纳税、环保等问题，能够接受行业管理部门的监督、管理（提供承诺书）。</w:t>
      </w:r>
    </w:p>
    <w:p w14:paraId="65439E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3.4参加政府采购活动前三年内，在经营活动中没有重大违法记录（承诺对象公司、法人）。</w:t>
      </w:r>
    </w:p>
    <w:p w14:paraId="058E6A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3.5企业自行出具本企业无商业贿赂和不正当竞争行为的承诺书（承诺对象公司、法人）。</w:t>
      </w:r>
    </w:p>
    <w:p w14:paraId="342A91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3.6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r>
        <w:rPr>
          <w:rFonts w:hint="eastAsia" w:ascii="宋体" w:hAnsi="宋体" w:cs="宋体"/>
          <w:color w:val="333333"/>
          <w:kern w:val="0"/>
          <w:sz w:val="24"/>
          <w:szCs w:val="24"/>
          <w:highlight w:val="none"/>
          <w:lang w:val="en-US" w:eastAsia="zh-CN" w:bidi="ar"/>
        </w:rPr>
        <w:t>。</w:t>
      </w:r>
    </w:p>
    <w:p w14:paraId="314D33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 xml:space="preserve">3.7单位负责人为同一人或者存在控股、管理关系的不同单位，不得同时参加本项目的投标；（提供“国家企业信用信息公示系统”中公示的公司信息、股东或投资人信息查询截图，查询时间自公告发布之日起）。 </w:t>
      </w:r>
    </w:p>
    <w:p w14:paraId="799092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3.8本项目不接受联合体投标。</w:t>
      </w:r>
    </w:p>
    <w:p w14:paraId="12E5EF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3.9本次磋商实行资格后审，资格审查的具体要求见竞争性磋商文件。</w:t>
      </w:r>
    </w:p>
    <w:p w14:paraId="1DBEC2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注：每个供应商可投报多个标包，但只能中一个标包；若同一供应商同时被推荐为多个标包的第一中标候选人，则无条件按照标段序号采取“取前舍后”的原则。</w:t>
      </w:r>
    </w:p>
    <w:p w14:paraId="0797B1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三、竞争性磋商文件下载：</w:t>
      </w:r>
    </w:p>
    <w:p w14:paraId="54DCD9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1、竞争性磋商文件下载时间：2025年7月31日至2025年8月12日9时00分。</w:t>
      </w:r>
    </w:p>
    <w:p w14:paraId="676670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2、竞争性磋商文件获取方式：本项目没有报名环节，供应商凭CA数字证书通过三门峡市公共资源交易中心网（网址：gzjy.smx.gov.cn），点击交易平台选择“市场主体登录”，在所参与项目右侧点击参与投标，即可直接下载本项目竞争性磋商文件。本项目采用全电子化招标，不再收取竞争性磋商文件费。</w:t>
      </w:r>
    </w:p>
    <w:p w14:paraId="4E21A6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办理CA证书：http://gzjy.smx.gov.cn/bzzx/008001/20211105/57b16af9-ab87-4395-a723-7758c628a3f8.html</w:t>
      </w:r>
    </w:p>
    <w:p w14:paraId="4FBA55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三门峡市公共资源交易平台操作手册：</w:t>
      </w:r>
    </w:p>
    <w:p w14:paraId="65E2E1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http://gzjy.smx.gov.cn/bzzx/008001/20200325/1d4d9bd4-82a2-4284-b2f7-428c4c69ef58.html</w:t>
      </w:r>
    </w:p>
    <w:p w14:paraId="2CB734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四、投标文件递交截止时间及地点</w:t>
      </w:r>
    </w:p>
    <w:p w14:paraId="1E9BA3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1、投标文件递交截止时间：2025年8月12日9时00分（北京时间）。</w:t>
      </w:r>
    </w:p>
    <w:p w14:paraId="47129D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2、投标文件递交地点：在三门峡市公共资源交易中心网络平台上传加密投标文件。</w:t>
      </w:r>
    </w:p>
    <w:p w14:paraId="14F11A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3、项目实行资格后审，审查内容以投标截止时间前在三门峡市公共资源交易中心网提交投标文件的信息为准。其上传资料真实性由供应商自行承担。原件扫描件清晰可辨。否则，由此造成应得分而未得分或资格审查不合格等情况的，由供应商承担责任。</w:t>
      </w:r>
    </w:p>
    <w:p w14:paraId="7D3903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五、投标保证金</w:t>
      </w:r>
    </w:p>
    <w:p w14:paraId="5DECBC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按照《河南省财政厅关于优化政府采购营商环境有关问题的通知》（豫财购[2019]4号文）的要求本项目不再收取保证金。</w:t>
      </w:r>
    </w:p>
    <w:p w14:paraId="7D25C7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六、磋商时间及地点</w:t>
      </w:r>
    </w:p>
    <w:p w14:paraId="45403A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1、磋商时间：2025年8月12日9时00分。</w:t>
      </w:r>
    </w:p>
    <w:p w14:paraId="7E8710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2、地点：灵宝市公共资源交易中心开标二室（灵宝市金城大道信用联社12楼）。</w:t>
      </w:r>
    </w:p>
    <w:p w14:paraId="578394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3、本项目为不见面开标项目，开标当日，供应商无需到开标现场参加开标会议，供应商应当在投标截止时间前，登陆不见面开标大厅选择登陆三门峡市公共资源电子招投标系统进行登陆（网址为</w:t>
      </w:r>
    </w:p>
    <w:p w14:paraId="451C62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http://122.112.246.33/BidOpening/bidopeninghallaction/hall/login）。在线准时参加开标活动并进行投标文件解密等。每位供应商的解密时间为开标时间起30分钟内完成。因供应商原因未能解密、解密失败或解密超时的将被拒绝。</w:t>
      </w:r>
    </w:p>
    <w:p w14:paraId="69E7A1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七、其他事项</w:t>
      </w:r>
    </w:p>
    <w:p w14:paraId="1E0BBF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1、本项目实行资格后审，根据优化营商环境的要求，评标时审查内容以投标（响应）文件为准</w:t>
      </w:r>
      <w:r>
        <w:rPr>
          <w:rFonts w:hint="eastAsia" w:ascii="宋体" w:hAnsi="宋体" w:cs="宋体"/>
          <w:color w:val="333333"/>
          <w:kern w:val="0"/>
          <w:sz w:val="24"/>
          <w:szCs w:val="24"/>
          <w:highlight w:val="none"/>
          <w:lang w:val="en-US" w:eastAsia="zh-CN" w:bidi="ar"/>
        </w:rPr>
        <w:t>。</w:t>
      </w:r>
    </w:p>
    <w:p w14:paraId="3E662E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（1）资格评（预）审部分：资格评（预）审以投标（响应）文件为准，其上传资料真实性由供应商自行承担。</w:t>
      </w:r>
    </w:p>
    <w:p w14:paraId="59BFA8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（2）评标打分部分：评标打分部分仍按照100分制原则进行，涉及到资格审查、企业荣誉、人员业绩、企业业绩等计分部分时，以供应商自行上传到投标（响应）文件中的相应内容为准。</w:t>
      </w:r>
    </w:p>
    <w:p w14:paraId="6BC64A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3）投标文件编制部分：在竞争性磋商文件中要求供应商按照投标（响应）文件格式进行投标文件编制，在投标文件编制时，应明确将投标单位企业基本情况、资质情况、人员情况、财务情况、业绩情况编入投标文件，便于进行资格审查及评标打分以投标文件业绩信息为准，可使用电子营业执照。</w:t>
      </w:r>
    </w:p>
    <w:p w14:paraId="306051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2、供应商递交的资料和投标（响应）文件不论成交与否均不予退还</w:t>
      </w:r>
      <w:r>
        <w:rPr>
          <w:rFonts w:hint="eastAsia" w:ascii="宋体" w:hAnsi="宋体" w:cs="宋体"/>
          <w:color w:val="333333"/>
          <w:kern w:val="0"/>
          <w:sz w:val="24"/>
          <w:szCs w:val="24"/>
          <w:highlight w:val="none"/>
          <w:lang w:val="en-US" w:eastAsia="zh-CN" w:bidi="ar"/>
        </w:rPr>
        <w:t>。</w:t>
      </w:r>
    </w:p>
    <w:p w14:paraId="3FF6D6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3、本项目不组织供应商踏勘现场</w:t>
      </w:r>
      <w:r>
        <w:rPr>
          <w:rFonts w:hint="eastAsia" w:ascii="宋体" w:hAnsi="宋体" w:cs="宋体"/>
          <w:color w:val="333333"/>
          <w:kern w:val="0"/>
          <w:sz w:val="24"/>
          <w:szCs w:val="24"/>
          <w:highlight w:val="none"/>
          <w:lang w:val="en-US" w:eastAsia="zh-CN" w:bidi="ar"/>
        </w:rPr>
        <w:t>。</w:t>
      </w:r>
    </w:p>
    <w:p w14:paraId="4664B5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4、供应商应仔细阅读操作手册，在本公告中要求的截止时间前完成竞争性磋商投标文件的上传工作。并充分考虑人为操作等因素，因供应商操作不当造成的无法投标等一切后果，由供应商自行承担。</w:t>
      </w:r>
    </w:p>
    <w:p w14:paraId="4EEB6B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5、本项目为电子化、无纸化交易项目，开标时不再接受任何纸质资料，为保证您能投标成功，请需仔细阅读竞争性磋商文件和三门峡市公共资源交易中心官网业务办理指南。</w:t>
      </w:r>
    </w:p>
    <w:p w14:paraId="7DEE2D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八、发布公告的媒介</w:t>
      </w:r>
    </w:p>
    <w:p w14:paraId="5DCDE5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本次磋商公告同时在《河南省政府采购网》、《三门峡市公共资源交易服务平台》、《中国采购与招标网》上发布。</w:t>
      </w:r>
    </w:p>
    <w:p w14:paraId="002E2C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九、联系方式</w:t>
      </w:r>
    </w:p>
    <w:p w14:paraId="6C5716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监督单位：灵宝市财政局政府采购监督管理科</w:t>
      </w:r>
    </w:p>
    <w:p w14:paraId="1C66FC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联系电话：0398-8852670</w:t>
      </w:r>
    </w:p>
    <w:p w14:paraId="74662C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监督部门：中 共灵宝市农业农村局党组</w:t>
      </w:r>
    </w:p>
    <w:p w14:paraId="570243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default"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联系电话：</w:t>
      </w:r>
      <w:r>
        <w:rPr>
          <w:rFonts w:hint="eastAsia" w:ascii="宋体" w:hAnsi="宋体" w:cs="宋体"/>
          <w:color w:val="333333"/>
          <w:kern w:val="0"/>
          <w:sz w:val="24"/>
          <w:szCs w:val="24"/>
          <w:highlight w:val="none"/>
          <w:lang w:val="en-US" w:eastAsia="zh-CN" w:bidi="ar"/>
        </w:rPr>
        <w:t>15238907869</w:t>
      </w:r>
    </w:p>
    <w:p w14:paraId="29CCC9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采购人：灵宝市农业农村局</w:t>
      </w:r>
    </w:p>
    <w:p w14:paraId="4A7F40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联系人：侯女士</w:t>
      </w:r>
    </w:p>
    <w:p w14:paraId="4F50B5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联系方式：0398-8856615</w:t>
      </w:r>
    </w:p>
    <w:p w14:paraId="0AB441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地 址：灵宝市文化广场科技馆内</w:t>
      </w:r>
    </w:p>
    <w:p w14:paraId="065203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代理机构：傲唐集团有限公司</w:t>
      </w:r>
    </w:p>
    <w:p w14:paraId="2C658F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联系人：孟女士</w:t>
      </w:r>
    </w:p>
    <w:p w14:paraId="0B268498">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联系方式：19526346816</w:t>
      </w:r>
    </w:p>
    <w:p w14:paraId="482A1CAB">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地址：河南省三门峡市湖滨区召公路明城佳苑五号楼1402室</w:t>
      </w:r>
    </w:p>
    <w:p w14:paraId="6BF596FA">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kern w:val="2"/>
          <w:sz w:val="24"/>
          <w:szCs w:val="24"/>
          <w:highlight w:val="none"/>
          <w:lang w:val="en-US" w:eastAsia="zh-CN" w:bidi="ar-SA"/>
        </w:rPr>
      </w:pPr>
    </w:p>
    <w:p w14:paraId="64C5A829">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br w:type="page"/>
      </w:r>
    </w:p>
    <w:p w14:paraId="2E3712EA">
      <w:pPr>
        <w:keepNext w:val="0"/>
        <w:keepLines w:val="0"/>
        <w:pageBreakBefore w:val="0"/>
        <w:widowControl/>
        <w:kinsoku w:val="0"/>
        <w:wordWrap/>
        <w:bidi w:val="0"/>
        <w:adjustRightInd w:val="0"/>
        <w:snapToGrid w:val="0"/>
        <w:spacing w:line="360" w:lineRule="auto"/>
        <w:ind w:left="0" w:leftChars="0" w:right="0" w:rightChars="0"/>
        <w:jc w:val="center"/>
        <w:outlineLvl w:val="0"/>
        <w:rPr>
          <w:rFonts w:hint="eastAsia" w:ascii="宋体" w:hAnsi="宋体" w:eastAsia="宋体" w:cs="宋体"/>
          <w:b/>
          <w:bCs/>
          <w:color w:val="auto"/>
          <w:sz w:val="32"/>
          <w:szCs w:val="32"/>
          <w:highlight w:val="none"/>
        </w:rPr>
      </w:pPr>
      <w:bookmarkStart w:id="8" w:name="_Toc21402"/>
      <w:bookmarkStart w:id="9" w:name="_Toc70237179"/>
      <w:r>
        <w:rPr>
          <w:rFonts w:hint="eastAsia" w:ascii="宋体" w:hAnsi="宋体" w:eastAsia="宋体" w:cs="宋体"/>
          <w:b/>
          <w:bCs/>
          <w:color w:val="auto"/>
          <w:sz w:val="32"/>
          <w:szCs w:val="32"/>
          <w:highlight w:val="none"/>
        </w:rPr>
        <w:t>第二章 供应商须知</w:t>
      </w:r>
      <w:bookmarkEnd w:id="8"/>
      <w:bookmarkEnd w:id="9"/>
      <w:bookmarkStart w:id="10" w:name="_Toc44996337"/>
      <w:bookmarkEnd w:id="10"/>
    </w:p>
    <w:tbl>
      <w:tblPr>
        <w:tblStyle w:val="28"/>
        <w:tblW w:w="9058" w:type="dxa"/>
        <w:tblInd w:w="87" w:type="dxa"/>
        <w:tblLayout w:type="fixed"/>
        <w:tblCellMar>
          <w:top w:w="0" w:type="dxa"/>
          <w:left w:w="108" w:type="dxa"/>
          <w:bottom w:w="0" w:type="dxa"/>
          <w:right w:w="108" w:type="dxa"/>
        </w:tblCellMar>
      </w:tblPr>
      <w:tblGrid>
        <w:gridCol w:w="670"/>
        <w:gridCol w:w="1993"/>
        <w:gridCol w:w="6395"/>
      </w:tblGrid>
      <w:tr w14:paraId="550A960E">
        <w:tblPrEx>
          <w:tblCellMar>
            <w:top w:w="0" w:type="dxa"/>
            <w:left w:w="108" w:type="dxa"/>
            <w:bottom w:w="0" w:type="dxa"/>
            <w:right w:w="108" w:type="dxa"/>
          </w:tblCellMar>
        </w:tblPrEx>
        <w:trPr>
          <w:trHeight w:val="892" w:hRule="atLeast"/>
        </w:trPr>
        <w:tc>
          <w:tcPr>
            <w:tcW w:w="670" w:type="dxa"/>
            <w:tcBorders>
              <w:top w:val="single" w:color="auto" w:sz="4" w:space="0"/>
              <w:left w:val="single" w:color="auto" w:sz="4" w:space="0"/>
              <w:bottom w:val="single" w:color="auto" w:sz="4" w:space="0"/>
              <w:right w:val="single" w:color="auto" w:sz="4" w:space="0"/>
            </w:tcBorders>
            <w:vAlign w:val="center"/>
          </w:tcPr>
          <w:p w14:paraId="2C376A3D">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93" w:type="dxa"/>
            <w:tcBorders>
              <w:top w:val="single" w:color="auto" w:sz="4" w:space="0"/>
              <w:left w:val="nil"/>
              <w:bottom w:val="single" w:color="auto" w:sz="4" w:space="0"/>
              <w:right w:val="single" w:color="auto" w:sz="4" w:space="0"/>
            </w:tcBorders>
            <w:vAlign w:val="center"/>
          </w:tcPr>
          <w:p w14:paraId="32AB2621">
            <w:pPr>
              <w:keepNext w:val="0"/>
              <w:keepLines w:val="0"/>
              <w:pageBreakBefore w:val="0"/>
              <w:widowControl/>
              <w:kinsoku w:val="0"/>
              <w:wordWrap/>
              <w:bidi w:val="0"/>
              <w:adjustRightInd w:val="0"/>
              <w:snapToGrid w:val="0"/>
              <w:spacing w:line="360" w:lineRule="auto"/>
              <w:ind w:left="0" w:leftChars="0" w:right="0" w:rightChars="0"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条款名称</w:t>
            </w:r>
          </w:p>
        </w:tc>
        <w:tc>
          <w:tcPr>
            <w:tcW w:w="6395" w:type="dxa"/>
            <w:tcBorders>
              <w:top w:val="single" w:color="auto" w:sz="4" w:space="0"/>
              <w:left w:val="nil"/>
              <w:bottom w:val="single" w:color="auto" w:sz="4" w:space="0"/>
              <w:right w:val="single" w:color="auto" w:sz="4" w:space="0"/>
            </w:tcBorders>
          </w:tcPr>
          <w:p w14:paraId="18FD3C4D">
            <w:pPr>
              <w:keepNext w:val="0"/>
              <w:keepLines w:val="0"/>
              <w:pageBreakBefore w:val="0"/>
              <w:widowControl/>
              <w:kinsoku w:val="0"/>
              <w:wordWrap/>
              <w:bidi w:val="0"/>
              <w:adjustRightInd w:val="0"/>
              <w:snapToGrid w:val="0"/>
              <w:spacing w:line="360" w:lineRule="auto"/>
              <w:ind w:left="0" w:leftChars="0" w:right="0" w:rightChars="0" w:firstLine="1080" w:firstLineChars="4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14:paraId="749B84DD">
        <w:tblPrEx>
          <w:tblCellMar>
            <w:top w:w="0" w:type="dxa"/>
            <w:left w:w="108" w:type="dxa"/>
            <w:bottom w:w="0" w:type="dxa"/>
            <w:right w:w="108" w:type="dxa"/>
          </w:tblCellMar>
        </w:tblPrEx>
        <w:trPr>
          <w:trHeight w:val="1945" w:hRule="atLeast"/>
        </w:trPr>
        <w:tc>
          <w:tcPr>
            <w:tcW w:w="670" w:type="dxa"/>
            <w:tcBorders>
              <w:top w:val="single" w:color="auto" w:sz="4" w:space="0"/>
              <w:left w:val="single" w:color="auto" w:sz="4" w:space="0"/>
              <w:bottom w:val="single" w:color="auto" w:sz="4" w:space="0"/>
              <w:right w:val="single" w:color="auto" w:sz="4" w:space="0"/>
            </w:tcBorders>
            <w:vAlign w:val="center"/>
          </w:tcPr>
          <w:p w14:paraId="70287086">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993" w:type="dxa"/>
            <w:tcBorders>
              <w:top w:val="single" w:color="auto" w:sz="4" w:space="0"/>
              <w:left w:val="nil"/>
              <w:bottom w:val="single" w:color="auto" w:sz="4" w:space="0"/>
              <w:right w:val="single" w:color="auto" w:sz="4" w:space="0"/>
            </w:tcBorders>
            <w:vAlign w:val="center"/>
          </w:tcPr>
          <w:p w14:paraId="21EBA0C3">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395" w:type="dxa"/>
            <w:tcBorders>
              <w:top w:val="single" w:color="auto" w:sz="4" w:space="0"/>
              <w:left w:val="nil"/>
              <w:bottom w:val="single" w:color="auto" w:sz="4" w:space="0"/>
              <w:right w:val="single" w:color="auto" w:sz="4" w:space="0"/>
            </w:tcBorders>
          </w:tcPr>
          <w:p w14:paraId="7326AD27">
            <w:pPr>
              <w:keepNext w:val="0"/>
              <w:keepLines w:val="0"/>
              <w:pageBreakBefore w:val="0"/>
              <w:widowControl/>
              <w:kinsoku w:val="0"/>
              <w:wordWrap/>
              <w:bidi w:val="0"/>
              <w:adjustRightInd w:val="0"/>
              <w:snapToGrid w:val="0"/>
              <w:spacing w:line="360" w:lineRule="auto"/>
              <w:ind w:left="0" w:leftChars="0" w:right="0" w:rightChars="0"/>
              <w:jc w:val="both"/>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采购人：灵宝市农业农村局</w:t>
            </w:r>
          </w:p>
          <w:p w14:paraId="794BAFE9">
            <w:pPr>
              <w:keepNext w:val="0"/>
              <w:keepLines w:val="0"/>
              <w:pageBreakBefore w:val="0"/>
              <w:widowControl/>
              <w:kinsoku w:val="0"/>
              <w:wordWrap/>
              <w:bidi w:val="0"/>
              <w:adjustRightInd w:val="0"/>
              <w:snapToGrid w:val="0"/>
              <w:spacing w:line="360" w:lineRule="auto"/>
              <w:ind w:left="0" w:leftChars="0" w:right="0" w:rightChars="0"/>
              <w:jc w:val="both"/>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联系人：</w:t>
            </w:r>
            <w:r>
              <w:rPr>
                <w:rFonts w:hint="eastAsia" w:ascii="宋体" w:hAnsi="宋体" w:eastAsia="宋体" w:cs="宋体"/>
                <w:color w:val="auto"/>
                <w:sz w:val="24"/>
                <w:szCs w:val="24"/>
                <w:highlight w:val="none"/>
                <w:shd w:val="clear" w:color="auto" w:fill="FFFFFF"/>
                <w:lang w:val="en-US" w:eastAsia="zh-CN"/>
              </w:rPr>
              <w:t>侯</w:t>
            </w:r>
            <w:r>
              <w:rPr>
                <w:rFonts w:hint="eastAsia" w:ascii="宋体" w:hAnsi="宋体" w:eastAsia="宋体" w:cs="宋体"/>
                <w:color w:val="auto"/>
                <w:sz w:val="24"/>
                <w:szCs w:val="24"/>
                <w:highlight w:val="none"/>
                <w:shd w:val="clear" w:color="auto" w:fill="FFFFFF"/>
                <w:lang w:eastAsia="zh-CN"/>
              </w:rPr>
              <w:t>女士</w:t>
            </w:r>
          </w:p>
          <w:p w14:paraId="7E8173A6">
            <w:pPr>
              <w:keepNext w:val="0"/>
              <w:keepLines w:val="0"/>
              <w:pageBreakBefore w:val="0"/>
              <w:widowControl/>
              <w:kinsoku w:val="0"/>
              <w:wordWrap/>
              <w:bidi w:val="0"/>
              <w:adjustRightInd w:val="0"/>
              <w:snapToGrid w:val="0"/>
              <w:spacing w:line="360" w:lineRule="auto"/>
              <w:ind w:left="0" w:leftChars="0" w:right="0" w:rightChars="0"/>
              <w:jc w:val="both"/>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地 址：</w:t>
            </w:r>
            <w:r>
              <w:rPr>
                <w:rFonts w:hint="eastAsia" w:ascii="宋体" w:hAnsi="宋体" w:eastAsia="宋体" w:cs="宋体"/>
                <w:color w:val="auto"/>
                <w:sz w:val="24"/>
                <w:szCs w:val="24"/>
                <w:highlight w:val="none"/>
                <w:shd w:val="clear" w:color="auto" w:fill="FFFFFF"/>
                <w:lang w:val="en-US" w:eastAsia="zh-CN"/>
              </w:rPr>
              <w:t>灵宝市文化广场科技馆内</w:t>
            </w:r>
          </w:p>
          <w:p w14:paraId="65B338CF">
            <w:pPr>
              <w:keepNext w:val="0"/>
              <w:keepLines w:val="0"/>
              <w:pageBreakBefore w:val="0"/>
              <w:widowControl/>
              <w:kinsoku w:val="0"/>
              <w:wordWrap/>
              <w:bidi w:val="0"/>
              <w:adjustRightInd w:val="0"/>
              <w:snapToGrid w:val="0"/>
              <w:spacing w:line="360" w:lineRule="auto"/>
              <w:ind w:left="0" w:leftChars="0" w:right="0" w:rightChars="0"/>
              <w:jc w:val="both"/>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联系方式：0398-8856615</w:t>
            </w:r>
          </w:p>
        </w:tc>
      </w:tr>
      <w:tr w14:paraId="37C2F226">
        <w:tblPrEx>
          <w:tblCellMar>
            <w:top w:w="0" w:type="dxa"/>
            <w:left w:w="108" w:type="dxa"/>
            <w:bottom w:w="0" w:type="dxa"/>
            <w:right w:w="108" w:type="dxa"/>
          </w:tblCellMar>
        </w:tblPrEx>
        <w:trPr>
          <w:trHeight w:val="2215" w:hRule="atLeast"/>
        </w:trPr>
        <w:tc>
          <w:tcPr>
            <w:tcW w:w="670" w:type="dxa"/>
            <w:tcBorders>
              <w:top w:val="single" w:color="auto" w:sz="4" w:space="0"/>
              <w:left w:val="single" w:color="auto" w:sz="4" w:space="0"/>
              <w:bottom w:val="single" w:color="auto" w:sz="4" w:space="0"/>
              <w:right w:val="single" w:color="auto" w:sz="4" w:space="0"/>
            </w:tcBorders>
            <w:vAlign w:val="center"/>
          </w:tcPr>
          <w:p w14:paraId="0BEC53F7">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993" w:type="dxa"/>
            <w:tcBorders>
              <w:top w:val="single" w:color="auto" w:sz="4" w:space="0"/>
              <w:left w:val="nil"/>
              <w:bottom w:val="single" w:color="auto" w:sz="4" w:space="0"/>
              <w:right w:val="single" w:color="auto" w:sz="4" w:space="0"/>
            </w:tcBorders>
            <w:vAlign w:val="center"/>
          </w:tcPr>
          <w:p w14:paraId="2E575292">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p>
        </w:tc>
        <w:tc>
          <w:tcPr>
            <w:tcW w:w="6395" w:type="dxa"/>
            <w:tcBorders>
              <w:top w:val="single" w:color="auto" w:sz="4" w:space="0"/>
              <w:left w:val="nil"/>
              <w:bottom w:val="single" w:color="auto" w:sz="4" w:space="0"/>
              <w:right w:val="single" w:color="auto" w:sz="4" w:space="0"/>
            </w:tcBorders>
          </w:tcPr>
          <w:p w14:paraId="61EB6559">
            <w:pPr>
              <w:keepNext w:val="0"/>
              <w:keepLines w:val="0"/>
              <w:pageBreakBefore w:val="0"/>
              <w:widowControl/>
              <w:kinsoku w:val="0"/>
              <w:wordWrap/>
              <w:bidi w:val="0"/>
              <w:adjustRightInd w:val="0"/>
              <w:snapToGrid w:val="0"/>
              <w:spacing w:line="360" w:lineRule="auto"/>
              <w:ind w:left="0" w:leftChars="0" w:right="0" w:rightChars="0"/>
              <w:jc w:val="both"/>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代理机构：傲唐集团有限公司</w:t>
            </w:r>
          </w:p>
          <w:p w14:paraId="353EED91">
            <w:pPr>
              <w:keepNext w:val="0"/>
              <w:keepLines w:val="0"/>
              <w:pageBreakBefore w:val="0"/>
              <w:widowControl/>
              <w:kinsoku w:val="0"/>
              <w:wordWrap/>
              <w:bidi w:val="0"/>
              <w:adjustRightInd w:val="0"/>
              <w:snapToGrid w:val="0"/>
              <w:spacing w:line="360" w:lineRule="auto"/>
              <w:ind w:left="0" w:leftChars="0" w:right="0" w:rightChars="0"/>
              <w:jc w:val="both"/>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联系人：孟女士</w:t>
            </w:r>
          </w:p>
          <w:p w14:paraId="663819BA">
            <w:pPr>
              <w:keepNext w:val="0"/>
              <w:keepLines w:val="0"/>
              <w:pageBreakBefore w:val="0"/>
              <w:widowControl/>
              <w:kinsoku w:val="0"/>
              <w:wordWrap/>
              <w:bidi w:val="0"/>
              <w:adjustRightInd w:val="0"/>
              <w:snapToGrid w:val="0"/>
              <w:spacing w:line="360" w:lineRule="auto"/>
              <w:ind w:left="0" w:leftChars="0" w:right="0" w:rightChars="0"/>
              <w:jc w:val="both"/>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联系方式：19526346816</w:t>
            </w:r>
          </w:p>
          <w:p w14:paraId="64BBB59A">
            <w:pPr>
              <w:keepNext w:val="0"/>
              <w:keepLines w:val="0"/>
              <w:pageBreakBefore w:val="0"/>
              <w:widowControl/>
              <w:kinsoku w:val="0"/>
              <w:wordWrap/>
              <w:bidi w:val="0"/>
              <w:adjustRightInd w:val="0"/>
              <w:snapToGrid w:val="0"/>
              <w:spacing w:line="360" w:lineRule="auto"/>
              <w:ind w:left="0" w:leftChars="0" w:right="0" w:rightChars="0"/>
              <w:jc w:val="both"/>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val="en-US" w:eastAsia="zh-CN"/>
              </w:rPr>
              <w:t>地址：河南省三门峡市湖滨区召公路明城佳苑五号楼1402室</w:t>
            </w:r>
          </w:p>
        </w:tc>
      </w:tr>
      <w:tr w14:paraId="10450A1F">
        <w:tblPrEx>
          <w:tblCellMar>
            <w:top w:w="0" w:type="dxa"/>
            <w:left w:w="108" w:type="dxa"/>
            <w:bottom w:w="0" w:type="dxa"/>
            <w:right w:w="108" w:type="dxa"/>
          </w:tblCellMar>
        </w:tblPrEx>
        <w:trPr>
          <w:trHeight w:val="982" w:hRule="atLeast"/>
        </w:trPr>
        <w:tc>
          <w:tcPr>
            <w:tcW w:w="670" w:type="dxa"/>
            <w:tcBorders>
              <w:top w:val="single" w:color="auto" w:sz="4" w:space="0"/>
              <w:left w:val="single" w:color="auto" w:sz="4" w:space="0"/>
              <w:bottom w:val="single" w:color="auto" w:sz="4" w:space="0"/>
              <w:right w:val="single" w:color="auto" w:sz="4" w:space="0"/>
            </w:tcBorders>
            <w:vAlign w:val="center"/>
          </w:tcPr>
          <w:p w14:paraId="66232C3C">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993" w:type="dxa"/>
            <w:tcBorders>
              <w:top w:val="single" w:color="auto" w:sz="4" w:space="0"/>
              <w:left w:val="nil"/>
              <w:bottom w:val="single" w:color="auto" w:sz="4" w:space="0"/>
              <w:right w:val="single" w:color="auto" w:sz="4" w:space="0"/>
            </w:tcBorders>
            <w:vAlign w:val="center"/>
          </w:tcPr>
          <w:p w14:paraId="21AC89C4">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395" w:type="dxa"/>
            <w:tcBorders>
              <w:top w:val="single" w:color="auto" w:sz="4" w:space="0"/>
              <w:left w:val="nil"/>
              <w:bottom w:val="single" w:color="auto" w:sz="4" w:space="0"/>
              <w:right w:val="single" w:color="auto" w:sz="4" w:space="0"/>
            </w:tcBorders>
          </w:tcPr>
          <w:p w14:paraId="2538F4CF">
            <w:pPr>
              <w:keepNext w:val="0"/>
              <w:keepLines w:val="0"/>
              <w:pageBreakBefore w:val="0"/>
              <w:widowControl/>
              <w:kinsoku w:val="0"/>
              <w:wordWrap/>
              <w:bidi w:val="0"/>
              <w:adjustRightInd w:val="0"/>
              <w:snapToGrid w:val="0"/>
              <w:spacing w:line="360" w:lineRule="auto"/>
              <w:ind w:left="0" w:leftChars="0" w:right="0" w:rightChars="0"/>
              <w:jc w:val="both"/>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灵宝市农业农村局灵宝市2025年农业防灾救灾补助资金药品采购项目</w:t>
            </w:r>
          </w:p>
        </w:tc>
      </w:tr>
      <w:tr w14:paraId="0DB026A1">
        <w:tblPrEx>
          <w:tblCellMar>
            <w:top w:w="0" w:type="dxa"/>
            <w:left w:w="108" w:type="dxa"/>
            <w:bottom w:w="0" w:type="dxa"/>
            <w:right w:w="108" w:type="dxa"/>
          </w:tblCellMar>
        </w:tblPrEx>
        <w:trPr>
          <w:trHeight w:val="500" w:hRule="atLeast"/>
        </w:trPr>
        <w:tc>
          <w:tcPr>
            <w:tcW w:w="670" w:type="dxa"/>
            <w:tcBorders>
              <w:top w:val="single" w:color="auto" w:sz="4" w:space="0"/>
              <w:left w:val="single" w:color="auto" w:sz="4" w:space="0"/>
              <w:bottom w:val="single" w:color="auto" w:sz="4" w:space="0"/>
              <w:right w:val="single" w:color="auto" w:sz="4" w:space="0"/>
            </w:tcBorders>
            <w:vAlign w:val="center"/>
          </w:tcPr>
          <w:p w14:paraId="4993331F">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993" w:type="dxa"/>
            <w:tcBorders>
              <w:top w:val="single" w:color="auto" w:sz="4" w:space="0"/>
              <w:left w:val="nil"/>
              <w:bottom w:val="single" w:color="auto" w:sz="4" w:space="0"/>
              <w:right w:val="single" w:color="auto" w:sz="4" w:space="0"/>
            </w:tcBorders>
            <w:vAlign w:val="center"/>
          </w:tcPr>
          <w:p w14:paraId="4236082B">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p>
        </w:tc>
        <w:tc>
          <w:tcPr>
            <w:tcW w:w="6395" w:type="dxa"/>
            <w:tcBorders>
              <w:top w:val="single" w:color="auto" w:sz="4" w:space="0"/>
              <w:left w:val="nil"/>
              <w:bottom w:val="single" w:color="auto" w:sz="4" w:space="0"/>
              <w:right w:val="single" w:color="auto" w:sz="4" w:space="0"/>
            </w:tcBorders>
          </w:tcPr>
          <w:p w14:paraId="568E976F">
            <w:pPr>
              <w:keepNext w:val="0"/>
              <w:keepLines w:val="0"/>
              <w:pageBreakBefore w:val="0"/>
              <w:widowControl/>
              <w:kinsoku w:val="0"/>
              <w:wordWrap/>
              <w:bidi w:val="0"/>
              <w:adjustRightInd w:val="0"/>
              <w:snapToGrid w:val="0"/>
              <w:spacing w:line="360" w:lineRule="auto"/>
              <w:ind w:left="0" w:leftChars="0" w:right="0" w:rightChars="0"/>
              <w:jc w:val="both"/>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76万元</w:t>
            </w:r>
          </w:p>
        </w:tc>
      </w:tr>
      <w:tr w14:paraId="08713E4C">
        <w:tblPrEx>
          <w:tblCellMar>
            <w:top w:w="0" w:type="dxa"/>
            <w:left w:w="108" w:type="dxa"/>
            <w:bottom w:w="0" w:type="dxa"/>
            <w:right w:w="108" w:type="dxa"/>
          </w:tblCellMar>
        </w:tblPrEx>
        <w:trPr>
          <w:trHeight w:val="500" w:hRule="atLeast"/>
        </w:trPr>
        <w:tc>
          <w:tcPr>
            <w:tcW w:w="670" w:type="dxa"/>
            <w:tcBorders>
              <w:top w:val="single" w:color="auto" w:sz="4" w:space="0"/>
              <w:left w:val="single" w:color="auto" w:sz="4" w:space="0"/>
              <w:bottom w:val="single" w:color="auto" w:sz="4" w:space="0"/>
              <w:right w:val="single" w:color="auto" w:sz="4" w:space="0"/>
            </w:tcBorders>
            <w:vAlign w:val="center"/>
          </w:tcPr>
          <w:p w14:paraId="409A351C">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993" w:type="dxa"/>
            <w:tcBorders>
              <w:top w:val="single" w:color="auto" w:sz="4" w:space="0"/>
              <w:left w:val="nil"/>
              <w:bottom w:val="single" w:color="auto" w:sz="4" w:space="0"/>
              <w:right w:val="single" w:color="auto" w:sz="4" w:space="0"/>
            </w:tcBorders>
            <w:vAlign w:val="center"/>
          </w:tcPr>
          <w:p w14:paraId="615DD54D">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6395" w:type="dxa"/>
            <w:tcBorders>
              <w:top w:val="single" w:color="auto" w:sz="4" w:space="0"/>
              <w:left w:val="nil"/>
              <w:bottom w:val="single" w:color="auto" w:sz="4" w:space="0"/>
              <w:right w:val="single" w:color="auto" w:sz="4" w:space="0"/>
            </w:tcBorders>
          </w:tcPr>
          <w:p w14:paraId="1A8E30C7">
            <w:pPr>
              <w:keepNext w:val="0"/>
              <w:keepLines w:val="0"/>
              <w:pageBreakBefore w:val="0"/>
              <w:widowControl/>
              <w:kinsoku w:val="0"/>
              <w:wordWrap/>
              <w:bidi w:val="0"/>
              <w:adjustRightInd w:val="0"/>
              <w:snapToGrid w:val="0"/>
              <w:spacing w:line="360" w:lineRule="auto"/>
              <w:ind w:left="0" w:leftChars="0" w:right="0" w:rightChars="0"/>
              <w:jc w:val="both"/>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财政资金，已落实</w:t>
            </w:r>
          </w:p>
        </w:tc>
      </w:tr>
      <w:tr w14:paraId="329A5A1C">
        <w:tblPrEx>
          <w:tblCellMar>
            <w:top w:w="0" w:type="dxa"/>
            <w:left w:w="108" w:type="dxa"/>
            <w:bottom w:w="0" w:type="dxa"/>
            <w:right w:w="108" w:type="dxa"/>
          </w:tblCellMar>
        </w:tblPrEx>
        <w:trPr>
          <w:trHeight w:val="3979" w:hRule="atLeast"/>
        </w:trPr>
        <w:tc>
          <w:tcPr>
            <w:tcW w:w="670" w:type="dxa"/>
            <w:tcBorders>
              <w:top w:val="single" w:color="auto" w:sz="4" w:space="0"/>
              <w:left w:val="single" w:color="auto" w:sz="4" w:space="0"/>
              <w:bottom w:val="single" w:color="auto" w:sz="4" w:space="0"/>
              <w:right w:val="single" w:color="auto" w:sz="4" w:space="0"/>
            </w:tcBorders>
            <w:vAlign w:val="center"/>
          </w:tcPr>
          <w:p w14:paraId="1D9D4F1B">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993" w:type="dxa"/>
            <w:tcBorders>
              <w:top w:val="single" w:color="auto" w:sz="4" w:space="0"/>
              <w:left w:val="nil"/>
              <w:bottom w:val="single" w:color="auto" w:sz="4" w:space="0"/>
              <w:right w:val="single" w:color="auto" w:sz="4" w:space="0"/>
            </w:tcBorders>
            <w:vAlign w:val="center"/>
          </w:tcPr>
          <w:p w14:paraId="61431C16">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范围</w:t>
            </w:r>
          </w:p>
        </w:tc>
        <w:tc>
          <w:tcPr>
            <w:tcW w:w="6395" w:type="dxa"/>
            <w:tcBorders>
              <w:top w:val="single" w:color="auto" w:sz="4" w:space="0"/>
              <w:left w:val="nil"/>
              <w:bottom w:val="single" w:color="auto" w:sz="4" w:space="0"/>
              <w:right w:val="single" w:color="auto" w:sz="4" w:space="0"/>
            </w:tcBorders>
            <w:vAlign w:val="center"/>
          </w:tcPr>
          <w:p w14:paraId="3DAC3C42">
            <w:pPr>
              <w:keepNext w:val="0"/>
              <w:keepLines w:val="0"/>
              <w:pageBreakBefore w:val="0"/>
              <w:widowControl/>
              <w:kinsoku w:val="0"/>
              <w:wordWrap/>
              <w:bidi w:val="0"/>
              <w:adjustRightInd w:val="0"/>
              <w:snapToGrid w:val="0"/>
              <w:spacing w:line="360" w:lineRule="auto"/>
              <w:ind w:left="0" w:leftChars="0" w:right="0" w:rightChars="0"/>
              <w:jc w:val="left"/>
              <w:textAlignment w:val="baseline"/>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一标段采购内容：40%唑醚·戊唑醇悬浮剂2100公斤；14%氯虫·高氯氟微囊悬浮</w:t>
            </w:r>
            <w:r>
              <w:rPr>
                <w:rFonts w:hint="eastAsia" w:ascii="宋体" w:hAnsi="宋体" w:eastAsia="宋体" w:cs="宋体"/>
                <w:color w:val="auto"/>
                <w:sz w:val="24"/>
                <w:szCs w:val="24"/>
                <w:highlight w:val="none"/>
                <w:shd w:val="clear" w:color="auto" w:fill="FFFFFF"/>
                <w:lang w:eastAsia="zh-CN"/>
              </w:rPr>
              <w:t>-悬浮</w:t>
            </w:r>
            <w:r>
              <w:rPr>
                <w:rFonts w:hint="eastAsia" w:ascii="宋体" w:hAnsi="宋体" w:eastAsia="宋体" w:cs="宋体"/>
                <w:color w:val="auto"/>
                <w:sz w:val="24"/>
                <w:szCs w:val="24"/>
                <w:highlight w:val="none"/>
                <w:shd w:val="clear" w:color="auto" w:fill="FFFFFF"/>
                <w:lang w:val="en-US" w:eastAsia="zh-CN"/>
              </w:rPr>
              <w:t>剂1575公斤；27%苯醚·咯·噻虫悬浮种衣剂108升；主要用于</w:t>
            </w:r>
            <w:r>
              <w:rPr>
                <w:rFonts w:hint="eastAsia" w:ascii="宋体" w:hAnsi="宋体" w:eastAsia="宋体" w:cs="宋体"/>
                <w:color w:val="auto"/>
                <w:sz w:val="24"/>
                <w:szCs w:val="24"/>
                <w:highlight w:val="none"/>
                <w:shd w:val="clear" w:color="auto" w:fill="FFFFFF"/>
                <w:lang w:eastAsia="zh-CN"/>
              </w:rPr>
              <w:t>玉米重大病虫害防控和小麦拌种。</w:t>
            </w:r>
          </w:p>
          <w:p w14:paraId="21B31BC7">
            <w:pPr>
              <w:keepNext w:val="0"/>
              <w:keepLines w:val="0"/>
              <w:pageBreakBefore w:val="0"/>
              <w:widowControl/>
              <w:kinsoku w:val="0"/>
              <w:wordWrap/>
              <w:bidi w:val="0"/>
              <w:adjustRightInd w:val="0"/>
              <w:snapToGrid w:val="0"/>
              <w:spacing w:line="360" w:lineRule="auto"/>
              <w:ind w:left="0" w:leftChars="0" w:right="0" w:rightChars="0"/>
              <w:jc w:val="left"/>
              <w:textAlignment w:val="baseline"/>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val="en-US" w:eastAsia="zh-CN"/>
              </w:rPr>
              <w:t>二标段采购内容：玉米</w:t>
            </w:r>
            <w:r>
              <w:rPr>
                <w:rFonts w:hint="eastAsia" w:ascii="宋体" w:hAnsi="宋体" w:eastAsia="宋体" w:cs="宋体"/>
                <w:color w:val="auto"/>
                <w:sz w:val="24"/>
                <w:szCs w:val="24"/>
                <w:highlight w:val="none"/>
                <w:shd w:val="clear" w:color="auto" w:fill="FFFFFF"/>
                <w:lang w:eastAsia="zh-CN"/>
              </w:rPr>
              <w:t>生物赤眼蜂</w:t>
            </w:r>
            <w:r>
              <w:rPr>
                <w:rFonts w:hint="eastAsia" w:ascii="宋体" w:hAnsi="宋体" w:eastAsia="宋体" w:cs="宋体"/>
                <w:color w:val="auto"/>
                <w:sz w:val="24"/>
                <w:szCs w:val="24"/>
                <w:highlight w:val="none"/>
                <w:shd w:val="clear" w:color="auto" w:fill="FFFFFF"/>
                <w:lang w:val="en-US" w:eastAsia="zh-CN"/>
              </w:rPr>
              <w:t>统防统治4000亩（每亩无人机投放4个点位，每个点位2500头）；农区蝗虫统防统治5000亩，（生物药剂及飞防服务）；省级农作物病虫疫情智能化监测点仪器设备的升级改造和维护所需的材料和服务。</w:t>
            </w:r>
          </w:p>
        </w:tc>
      </w:tr>
      <w:tr w14:paraId="4D9EFCC0">
        <w:tblPrEx>
          <w:tblCellMar>
            <w:top w:w="0" w:type="dxa"/>
            <w:left w:w="108" w:type="dxa"/>
            <w:bottom w:w="0" w:type="dxa"/>
            <w:right w:w="108" w:type="dxa"/>
          </w:tblCellMar>
        </w:tblPrEx>
        <w:trPr>
          <w:trHeight w:val="500" w:hRule="atLeast"/>
        </w:trPr>
        <w:tc>
          <w:tcPr>
            <w:tcW w:w="670" w:type="dxa"/>
            <w:tcBorders>
              <w:top w:val="single" w:color="auto" w:sz="4" w:space="0"/>
              <w:left w:val="single" w:color="auto" w:sz="4" w:space="0"/>
              <w:bottom w:val="single" w:color="auto" w:sz="4" w:space="0"/>
              <w:right w:val="single" w:color="auto" w:sz="4" w:space="0"/>
            </w:tcBorders>
            <w:vAlign w:val="center"/>
          </w:tcPr>
          <w:p w14:paraId="0E2E7939">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993" w:type="dxa"/>
            <w:tcBorders>
              <w:top w:val="single" w:color="auto" w:sz="4" w:space="0"/>
              <w:left w:val="nil"/>
              <w:bottom w:val="single" w:color="auto" w:sz="4" w:space="0"/>
              <w:right w:val="single" w:color="auto" w:sz="4" w:space="0"/>
            </w:tcBorders>
            <w:vAlign w:val="center"/>
          </w:tcPr>
          <w:p w14:paraId="3FE679DF">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供货服务期</w:t>
            </w:r>
          </w:p>
        </w:tc>
        <w:tc>
          <w:tcPr>
            <w:tcW w:w="6395" w:type="dxa"/>
            <w:tcBorders>
              <w:top w:val="single" w:color="auto" w:sz="4" w:space="0"/>
              <w:left w:val="nil"/>
              <w:bottom w:val="single" w:color="auto" w:sz="4" w:space="0"/>
              <w:right w:val="single" w:color="auto" w:sz="4" w:space="0"/>
            </w:tcBorders>
            <w:vAlign w:val="top"/>
          </w:tcPr>
          <w:p w14:paraId="4624BB6A">
            <w:pPr>
              <w:keepNext w:val="0"/>
              <w:keepLines w:val="0"/>
              <w:pageBreakBefore w:val="0"/>
              <w:widowControl/>
              <w:kinsoku w:val="0"/>
              <w:wordWrap/>
              <w:bidi w:val="0"/>
              <w:adjustRightInd w:val="0"/>
              <w:snapToGrid w:val="0"/>
              <w:spacing w:line="360" w:lineRule="auto"/>
              <w:ind w:left="0" w:leftChars="0" w:right="0" w:rightChars="0"/>
              <w:jc w:val="both"/>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签订合同后</w:t>
            </w:r>
            <w:r>
              <w:rPr>
                <w:rFonts w:hint="eastAsia" w:ascii="宋体" w:hAnsi="宋体" w:eastAsia="宋体" w:cs="宋体"/>
                <w:color w:val="auto"/>
                <w:sz w:val="24"/>
                <w:szCs w:val="24"/>
                <w:highlight w:val="none"/>
                <w:shd w:val="clear" w:color="auto" w:fill="FFFFFF"/>
                <w:lang w:val="en-US" w:eastAsia="zh-CN"/>
              </w:rPr>
              <w:t>5日历天</w:t>
            </w:r>
            <w:r>
              <w:rPr>
                <w:rFonts w:hint="eastAsia" w:ascii="宋体" w:hAnsi="宋体" w:eastAsia="宋体" w:cs="宋体"/>
                <w:color w:val="auto"/>
                <w:sz w:val="24"/>
                <w:szCs w:val="24"/>
                <w:highlight w:val="none"/>
                <w:shd w:val="clear" w:color="auto" w:fill="FFFFFF"/>
                <w:lang w:eastAsia="zh-CN"/>
              </w:rPr>
              <w:t>内供货完毕</w:t>
            </w:r>
          </w:p>
        </w:tc>
      </w:tr>
      <w:tr w14:paraId="75918905">
        <w:tblPrEx>
          <w:tblCellMar>
            <w:top w:w="0" w:type="dxa"/>
            <w:left w:w="108" w:type="dxa"/>
            <w:bottom w:w="0" w:type="dxa"/>
            <w:right w:w="108" w:type="dxa"/>
          </w:tblCellMar>
        </w:tblPrEx>
        <w:trPr>
          <w:trHeight w:val="500" w:hRule="atLeast"/>
        </w:trPr>
        <w:tc>
          <w:tcPr>
            <w:tcW w:w="670" w:type="dxa"/>
            <w:tcBorders>
              <w:top w:val="single" w:color="auto" w:sz="4" w:space="0"/>
              <w:left w:val="single" w:color="auto" w:sz="4" w:space="0"/>
              <w:bottom w:val="single" w:color="auto" w:sz="4" w:space="0"/>
              <w:right w:val="single" w:color="auto" w:sz="4" w:space="0"/>
            </w:tcBorders>
            <w:vAlign w:val="center"/>
          </w:tcPr>
          <w:p w14:paraId="61752F93">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993" w:type="dxa"/>
            <w:tcBorders>
              <w:top w:val="single" w:color="auto" w:sz="4" w:space="0"/>
              <w:left w:val="nil"/>
              <w:bottom w:val="single" w:color="auto" w:sz="4" w:space="0"/>
              <w:right w:val="single" w:color="auto" w:sz="4" w:space="0"/>
            </w:tcBorders>
            <w:vAlign w:val="center"/>
          </w:tcPr>
          <w:p w14:paraId="4B0B5E27">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资格要求</w:t>
            </w:r>
          </w:p>
        </w:tc>
        <w:tc>
          <w:tcPr>
            <w:tcW w:w="6395" w:type="dxa"/>
            <w:tcBorders>
              <w:top w:val="single" w:color="auto" w:sz="4" w:space="0"/>
              <w:left w:val="nil"/>
              <w:bottom w:val="single" w:color="auto" w:sz="4" w:space="0"/>
              <w:right w:val="single" w:color="auto" w:sz="4" w:space="0"/>
            </w:tcBorders>
            <w:vAlign w:val="top"/>
          </w:tcPr>
          <w:p w14:paraId="40942DE3">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同第一章 ：“二、供应商资格要求”</w:t>
            </w:r>
          </w:p>
        </w:tc>
      </w:tr>
      <w:tr w14:paraId="13967B6D">
        <w:tblPrEx>
          <w:tblCellMar>
            <w:top w:w="0" w:type="dxa"/>
            <w:left w:w="108" w:type="dxa"/>
            <w:bottom w:w="0" w:type="dxa"/>
            <w:right w:w="108" w:type="dxa"/>
          </w:tblCellMar>
        </w:tblPrEx>
        <w:trPr>
          <w:trHeight w:val="556" w:hRule="atLeast"/>
        </w:trPr>
        <w:tc>
          <w:tcPr>
            <w:tcW w:w="670" w:type="dxa"/>
            <w:tcBorders>
              <w:top w:val="single" w:color="auto" w:sz="4" w:space="0"/>
              <w:left w:val="single" w:color="auto" w:sz="4" w:space="0"/>
              <w:bottom w:val="single" w:color="auto" w:sz="4" w:space="0"/>
              <w:right w:val="single" w:color="auto" w:sz="4" w:space="0"/>
            </w:tcBorders>
            <w:vAlign w:val="center"/>
          </w:tcPr>
          <w:p w14:paraId="4DBED1EE">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993" w:type="dxa"/>
            <w:tcBorders>
              <w:top w:val="single" w:color="auto" w:sz="4" w:space="0"/>
              <w:left w:val="nil"/>
              <w:bottom w:val="single" w:color="auto" w:sz="4" w:space="0"/>
              <w:right w:val="single" w:color="auto" w:sz="4" w:space="0"/>
            </w:tcBorders>
            <w:vAlign w:val="center"/>
          </w:tcPr>
          <w:p w14:paraId="48DA0ABF">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6395" w:type="dxa"/>
            <w:tcBorders>
              <w:top w:val="single" w:color="auto" w:sz="4" w:space="0"/>
              <w:left w:val="nil"/>
              <w:bottom w:val="single" w:color="auto" w:sz="4" w:space="0"/>
              <w:right w:val="single" w:color="auto" w:sz="4" w:space="0"/>
            </w:tcBorders>
            <w:vAlign w:val="center"/>
          </w:tcPr>
          <w:p w14:paraId="031CD4D9">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■不组织</w:t>
            </w:r>
          </w:p>
        </w:tc>
      </w:tr>
      <w:tr w14:paraId="4DB85296">
        <w:tblPrEx>
          <w:tblCellMar>
            <w:top w:w="0" w:type="dxa"/>
            <w:left w:w="108" w:type="dxa"/>
            <w:bottom w:w="0" w:type="dxa"/>
            <w:right w:w="108" w:type="dxa"/>
          </w:tblCellMar>
        </w:tblPrEx>
        <w:trPr>
          <w:trHeight w:val="556" w:hRule="atLeast"/>
        </w:trPr>
        <w:tc>
          <w:tcPr>
            <w:tcW w:w="670" w:type="dxa"/>
            <w:tcBorders>
              <w:top w:val="single" w:color="auto" w:sz="4" w:space="0"/>
              <w:left w:val="single" w:color="auto" w:sz="4" w:space="0"/>
              <w:bottom w:val="single" w:color="auto" w:sz="4" w:space="0"/>
              <w:right w:val="single" w:color="auto" w:sz="4" w:space="0"/>
            </w:tcBorders>
            <w:vAlign w:val="center"/>
          </w:tcPr>
          <w:p w14:paraId="337DF6DF">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993" w:type="dxa"/>
            <w:tcBorders>
              <w:top w:val="single" w:color="auto" w:sz="4" w:space="0"/>
              <w:left w:val="nil"/>
              <w:bottom w:val="single" w:color="auto" w:sz="4" w:space="0"/>
              <w:right w:val="single" w:color="auto" w:sz="4" w:space="0"/>
            </w:tcBorders>
            <w:vAlign w:val="center"/>
          </w:tcPr>
          <w:p w14:paraId="21F4FE83">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投标预备会</w:t>
            </w:r>
          </w:p>
        </w:tc>
        <w:tc>
          <w:tcPr>
            <w:tcW w:w="6395" w:type="dxa"/>
            <w:tcBorders>
              <w:top w:val="single" w:color="auto" w:sz="4" w:space="0"/>
              <w:left w:val="nil"/>
              <w:bottom w:val="single" w:color="auto" w:sz="4" w:space="0"/>
              <w:right w:val="single" w:color="auto" w:sz="4" w:space="0"/>
            </w:tcBorders>
            <w:vAlign w:val="center"/>
          </w:tcPr>
          <w:p w14:paraId="24DDC6A0">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■不召开</w:t>
            </w:r>
          </w:p>
        </w:tc>
      </w:tr>
      <w:tr w14:paraId="1472EFA6">
        <w:tblPrEx>
          <w:tblCellMar>
            <w:top w:w="0" w:type="dxa"/>
            <w:left w:w="108" w:type="dxa"/>
            <w:bottom w:w="0" w:type="dxa"/>
            <w:right w:w="108" w:type="dxa"/>
          </w:tblCellMar>
        </w:tblPrEx>
        <w:trPr>
          <w:trHeight w:val="556" w:hRule="atLeast"/>
        </w:trPr>
        <w:tc>
          <w:tcPr>
            <w:tcW w:w="670" w:type="dxa"/>
            <w:tcBorders>
              <w:top w:val="single" w:color="auto" w:sz="4" w:space="0"/>
              <w:left w:val="single" w:color="auto" w:sz="4" w:space="0"/>
              <w:bottom w:val="single" w:color="auto" w:sz="4" w:space="0"/>
              <w:right w:val="single" w:color="auto" w:sz="4" w:space="0"/>
            </w:tcBorders>
            <w:vAlign w:val="center"/>
          </w:tcPr>
          <w:p w14:paraId="632D4538">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993" w:type="dxa"/>
            <w:tcBorders>
              <w:top w:val="single" w:color="auto" w:sz="4" w:space="0"/>
              <w:left w:val="nil"/>
              <w:bottom w:val="single" w:color="auto" w:sz="4" w:space="0"/>
              <w:right w:val="single" w:color="auto" w:sz="4" w:space="0"/>
            </w:tcBorders>
            <w:vAlign w:val="center"/>
          </w:tcPr>
          <w:p w14:paraId="59838654">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  包</w:t>
            </w:r>
          </w:p>
        </w:tc>
        <w:tc>
          <w:tcPr>
            <w:tcW w:w="6395" w:type="dxa"/>
            <w:tcBorders>
              <w:top w:val="single" w:color="auto" w:sz="4" w:space="0"/>
              <w:left w:val="nil"/>
              <w:bottom w:val="single" w:color="auto" w:sz="4" w:space="0"/>
              <w:right w:val="single" w:color="auto" w:sz="4" w:space="0"/>
            </w:tcBorders>
            <w:vAlign w:val="center"/>
          </w:tcPr>
          <w:p w14:paraId="53E40D38">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■不允许</w:t>
            </w:r>
          </w:p>
        </w:tc>
      </w:tr>
      <w:tr w14:paraId="0A992C4D">
        <w:tblPrEx>
          <w:tblCellMar>
            <w:top w:w="0" w:type="dxa"/>
            <w:left w:w="108" w:type="dxa"/>
            <w:bottom w:w="0" w:type="dxa"/>
            <w:right w:w="108" w:type="dxa"/>
          </w:tblCellMar>
        </w:tblPrEx>
        <w:trPr>
          <w:trHeight w:val="556" w:hRule="atLeast"/>
        </w:trPr>
        <w:tc>
          <w:tcPr>
            <w:tcW w:w="670" w:type="dxa"/>
            <w:tcBorders>
              <w:top w:val="single" w:color="auto" w:sz="4" w:space="0"/>
              <w:left w:val="single" w:color="auto" w:sz="4" w:space="0"/>
              <w:bottom w:val="single" w:color="auto" w:sz="4" w:space="0"/>
              <w:right w:val="single" w:color="auto" w:sz="4" w:space="0"/>
            </w:tcBorders>
            <w:vAlign w:val="center"/>
          </w:tcPr>
          <w:p w14:paraId="5D2FAA8B">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993" w:type="dxa"/>
            <w:tcBorders>
              <w:top w:val="single" w:color="auto" w:sz="4" w:space="0"/>
              <w:left w:val="nil"/>
              <w:bottom w:val="single" w:color="auto" w:sz="4" w:space="0"/>
              <w:right w:val="single" w:color="auto" w:sz="4" w:space="0"/>
            </w:tcBorders>
            <w:vAlign w:val="center"/>
          </w:tcPr>
          <w:p w14:paraId="13ED637E">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  离</w:t>
            </w:r>
          </w:p>
        </w:tc>
        <w:tc>
          <w:tcPr>
            <w:tcW w:w="6395" w:type="dxa"/>
            <w:tcBorders>
              <w:top w:val="single" w:color="auto" w:sz="4" w:space="0"/>
              <w:left w:val="nil"/>
              <w:bottom w:val="single" w:color="auto" w:sz="4" w:space="0"/>
              <w:right w:val="single" w:color="auto" w:sz="4" w:space="0"/>
            </w:tcBorders>
            <w:vAlign w:val="center"/>
          </w:tcPr>
          <w:p w14:paraId="74F179AD">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rPr>
              <w:t>允许</w:t>
            </w:r>
            <w:r>
              <w:rPr>
                <w:rFonts w:hint="eastAsia" w:ascii="宋体" w:hAnsi="宋体" w:eastAsia="宋体" w:cs="宋体"/>
                <w:color w:val="auto"/>
                <w:sz w:val="24"/>
                <w:szCs w:val="24"/>
                <w:highlight w:val="none"/>
                <w:lang w:val="en-US" w:eastAsia="zh-CN"/>
              </w:rPr>
              <w:t>正偏离</w:t>
            </w:r>
          </w:p>
        </w:tc>
      </w:tr>
      <w:tr w14:paraId="399BFE7D">
        <w:tblPrEx>
          <w:tblCellMar>
            <w:top w:w="0" w:type="dxa"/>
            <w:left w:w="108" w:type="dxa"/>
            <w:bottom w:w="0" w:type="dxa"/>
            <w:right w:w="108" w:type="dxa"/>
          </w:tblCellMar>
        </w:tblPrEx>
        <w:trPr>
          <w:trHeight w:val="892" w:hRule="atLeast"/>
        </w:trPr>
        <w:tc>
          <w:tcPr>
            <w:tcW w:w="670" w:type="dxa"/>
            <w:tcBorders>
              <w:top w:val="single" w:color="auto" w:sz="4" w:space="0"/>
              <w:left w:val="single" w:color="auto" w:sz="4" w:space="0"/>
              <w:bottom w:val="single" w:color="auto" w:sz="4" w:space="0"/>
              <w:right w:val="single" w:color="auto" w:sz="4" w:space="0"/>
            </w:tcBorders>
            <w:vAlign w:val="center"/>
          </w:tcPr>
          <w:p w14:paraId="357E2E4E">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993" w:type="dxa"/>
            <w:tcBorders>
              <w:top w:val="single" w:color="auto" w:sz="4" w:space="0"/>
              <w:left w:val="nil"/>
              <w:bottom w:val="single" w:color="auto" w:sz="4" w:space="0"/>
              <w:right w:val="single" w:color="auto" w:sz="4" w:space="0"/>
            </w:tcBorders>
            <w:vAlign w:val="center"/>
          </w:tcPr>
          <w:p w14:paraId="723283B5">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构成竞争性磋商文件的其他材料</w:t>
            </w:r>
          </w:p>
        </w:tc>
        <w:tc>
          <w:tcPr>
            <w:tcW w:w="6395" w:type="dxa"/>
            <w:tcBorders>
              <w:top w:val="single" w:color="auto" w:sz="4" w:space="0"/>
              <w:left w:val="nil"/>
              <w:bottom w:val="single" w:color="auto" w:sz="4" w:space="0"/>
              <w:right w:val="single" w:color="auto" w:sz="4" w:space="0"/>
            </w:tcBorders>
            <w:vAlign w:val="center"/>
          </w:tcPr>
          <w:p w14:paraId="07F8E291">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对竞争性磋商文件所作的澄清（含答疑）、修改，补充构成竞争性磋商文件的组成部分。</w:t>
            </w:r>
          </w:p>
        </w:tc>
      </w:tr>
      <w:tr w14:paraId="5D084BCA">
        <w:tblPrEx>
          <w:tblCellMar>
            <w:top w:w="0" w:type="dxa"/>
            <w:left w:w="108" w:type="dxa"/>
            <w:bottom w:w="0" w:type="dxa"/>
            <w:right w:w="108" w:type="dxa"/>
          </w:tblCellMar>
        </w:tblPrEx>
        <w:trPr>
          <w:trHeight w:val="1463" w:hRule="atLeast"/>
        </w:trPr>
        <w:tc>
          <w:tcPr>
            <w:tcW w:w="670" w:type="dxa"/>
            <w:tcBorders>
              <w:top w:val="single" w:color="auto" w:sz="4" w:space="0"/>
              <w:left w:val="single" w:color="auto" w:sz="4" w:space="0"/>
              <w:bottom w:val="single" w:color="auto" w:sz="4" w:space="0"/>
              <w:right w:val="single" w:color="auto" w:sz="4" w:space="0"/>
            </w:tcBorders>
            <w:vAlign w:val="center"/>
          </w:tcPr>
          <w:p w14:paraId="3A80D220">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993" w:type="dxa"/>
            <w:tcBorders>
              <w:top w:val="single" w:color="auto" w:sz="4" w:space="0"/>
              <w:left w:val="nil"/>
              <w:bottom w:val="single" w:color="auto" w:sz="4" w:space="0"/>
              <w:right w:val="single" w:color="auto" w:sz="4" w:space="0"/>
            </w:tcBorders>
            <w:vAlign w:val="center"/>
          </w:tcPr>
          <w:p w14:paraId="103E0342">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要求澄清竞争性磋商文件的截止时间</w:t>
            </w:r>
          </w:p>
        </w:tc>
        <w:tc>
          <w:tcPr>
            <w:tcW w:w="6395" w:type="dxa"/>
            <w:tcBorders>
              <w:top w:val="single" w:color="auto" w:sz="4" w:space="0"/>
              <w:left w:val="nil"/>
              <w:bottom w:val="single" w:color="auto" w:sz="4" w:space="0"/>
              <w:right w:val="single" w:color="auto" w:sz="4" w:space="0"/>
            </w:tcBorders>
            <w:vAlign w:val="center"/>
          </w:tcPr>
          <w:p w14:paraId="5143FE20">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要求为投标截止时间5日前</w:t>
            </w:r>
          </w:p>
        </w:tc>
      </w:tr>
      <w:tr w14:paraId="64C2AA11">
        <w:tblPrEx>
          <w:tblCellMar>
            <w:top w:w="0" w:type="dxa"/>
            <w:left w:w="108" w:type="dxa"/>
            <w:bottom w:w="0" w:type="dxa"/>
            <w:right w:w="108" w:type="dxa"/>
          </w:tblCellMar>
        </w:tblPrEx>
        <w:trPr>
          <w:trHeight w:val="982" w:hRule="atLeast"/>
        </w:trPr>
        <w:tc>
          <w:tcPr>
            <w:tcW w:w="670" w:type="dxa"/>
            <w:tcBorders>
              <w:top w:val="single" w:color="auto" w:sz="4" w:space="0"/>
              <w:left w:val="single" w:color="auto" w:sz="4" w:space="0"/>
              <w:bottom w:val="single" w:color="auto" w:sz="4" w:space="0"/>
              <w:right w:val="single" w:color="auto" w:sz="4" w:space="0"/>
            </w:tcBorders>
            <w:vAlign w:val="center"/>
          </w:tcPr>
          <w:p w14:paraId="1D033E68">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993" w:type="dxa"/>
            <w:tcBorders>
              <w:top w:val="single" w:color="auto" w:sz="4" w:space="0"/>
              <w:left w:val="nil"/>
              <w:bottom w:val="single" w:color="auto" w:sz="4" w:space="0"/>
              <w:right w:val="single" w:color="auto" w:sz="4" w:space="0"/>
            </w:tcBorders>
            <w:vAlign w:val="center"/>
          </w:tcPr>
          <w:p w14:paraId="0651DAA4">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递交截止时间</w:t>
            </w:r>
          </w:p>
        </w:tc>
        <w:tc>
          <w:tcPr>
            <w:tcW w:w="6395" w:type="dxa"/>
            <w:tcBorders>
              <w:top w:val="single" w:color="auto" w:sz="4" w:space="0"/>
              <w:left w:val="nil"/>
              <w:bottom w:val="single" w:color="auto" w:sz="4" w:space="0"/>
              <w:right w:val="single" w:color="auto" w:sz="4" w:space="0"/>
            </w:tcBorders>
            <w:vAlign w:val="center"/>
          </w:tcPr>
          <w:p w14:paraId="17B56C5B">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snapToGrid w:val="0"/>
                <w:sz w:val="24"/>
                <w:szCs w:val="24"/>
                <w:highlight w:val="none"/>
              </w:rPr>
              <w:t>详见磋商公告</w:t>
            </w:r>
          </w:p>
        </w:tc>
      </w:tr>
      <w:tr w14:paraId="1EFA54B1">
        <w:tblPrEx>
          <w:tblCellMar>
            <w:top w:w="0" w:type="dxa"/>
            <w:left w:w="108" w:type="dxa"/>
            <w:bottom w:w="0" w:type="dxa"/>
            <w:right w:w="108" w:type="dxa"/>
          </w:tblCellMar>
        </w:tblPrEx>
        <w:trPr>
          <w:trHeight w:val="982" w:hRule="atLeast"/>
        </w:trPr>
        <w:tc>
          <w:tcPr>
            <w:tcW w:w="670" w:type="dxa"/>
            <w:tcBorders>
              <w:top w:val="single" w:color="auto" w:sz="4" w:space="0"/>
              <w:left w:val="single" w:color="auto" w:sz="4" w:space="0"/>
              <w:bottom w:val="single" w:color="auto" w:sz="4" w:space="0"/>
              <w:right w:val="single" w:color="auto" w:sz="4" w:space="0"/>
            </w:tcBorders>
            <w:vAlign w:val="center"/>
          </w:tcPr>
          <w:p w14:paraId="75E5118D">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993" w:type="dxa"/>
            <w:tcBorders>
              <w:top w:val="single" w:color="auto" w:sz="4" w:space="0"/>
              <w:left w:val="nil"/>
              <w:bottom w:val="single" w:color="auto" w:sz="4" w:space="0"/>
              <w:right w:val="single" w:color="auto" w:sz="4" w:space="0"/>
            </w:tcBorders>
            <w:vAlign w:val="center"/>
          </w:tcPr>
          <w:p w14:paraId="6DF36D6D">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构成投标文件</w:t>
            </w:r>
          </w:p>
          <w:p w14:paraId="47B2E6BB">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的其他材料</w:t>
            </w:r>
          </w:p>
        </w:tc>
        <w:tc>
          <w:tcPr>
            <w:tcW w:w="6395" w:type="dxa"/>
            <w:tcBorders>
              <w:top w:val="single" w:color="auto" w:sz="4" w:space="0"/>
              <w:left w:val="nil"/>
              <w:bottom w:val="single" w:color="auto" w:sz="4" w:space="0"/>
              <w:right w:val="single" w:color="auto" w:sz="4" w:space="0"/>
            </w:tcBorders>
            <w:vAlign w:val="center"/>
          </w:tcPr>
          <w:p w14:paraId="01991B6F">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招标文件中要求提交和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认为有利于其投标的其他资料</w:t>
            </w:r>
          </w:p>
        </w:tc>
      </w:tr>
      <w:tr w14:paraId="3BCDBA7B">
        <w:tblPrEx>
          <w:tblCellMar>
            <w:top w:w="0" w:type="dxa"/>
            <w:left w:w="108" w:type="dxa"/>
            <w:bottom w:w="0" w:type="dxa"/>
            <w:right w:w="108" w:type="dxa"/>
          </w:tblCellMar>
        </w:tblPrEx>
        <w:trPr>
          <w:trHeight w:val="527" w:hRule="atLeast"/>
        </w:trPr>
        <w:tc>
          <w:tcPr>
            <w:tcW w:w="670" w:type="dxa"/>
            <w:tcBorders>
              <w:top w:val="single" w:color="auto" w:sz="4" w:space="0"/>
              <w:left w:val="single" w:color="auto" w:sz="4" w:space="0"/>
              <w:bottom w:val="single" w:color="auto" w:sz="4" w:space="0"/>
              <w:right w:val="single" w:color="auto" w:sz="4" w:space="0"/>
            </w:tcBorders>
            <w:vAlign w:val="center"/>
          </w:tcPr>
          <w:p w14:paraId="510A52AD">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1993" w:type="dxa"/>
            <w:tcBorders>
              <w:top w:val="single" w:color="auto" w:sz="4" w:space="0"/>
              <w:left w:val="nil"/>
              <w:bottom w:val="single" w:color="auto" w:sz="4" w:space="0"/>
              <w:right w:val="single" w:color="auto" w:sz="4" w:space="0"/>
            </w:tcBorders>
            <w:vAlign w:val="center"/>
          </w:tcPr>
          <w:p w14:paraId="2F0EF5EB">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395" w:type="dxa"/>
            <w:tcBorders>
              <w:top w:val="single" w:color="auto" w:sz="4" w:space="0"/>
              <w:left w:val="nil"/>
              <w:bottom w:val="single" w:color="auto" w:sz="4" w:space="0"/>
              <w:right w:val="single" w:color="auto" w:sz="4" w:space="0"/>
            </w:tcBorders>
            <w:vAlign w:val="center"/>
          </w:tcPr>
          <w:p w14:paraId="27F9A8B8">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自投标文件递交截止之日起60日历天</w:t>
            </w:r>
          </w:p>
        </w:tc>
      </w:tr>
      <w:tr w14:paraId="56CDC202">
        <w:tblPrEx>
          <w:tblCellMar>
            <w:top w:w="0" w:type="dxa"/>
            <w:left w:w="108" w:type="dxa"/>
            <w:bottom w:w="0" w:type="dxa"/>
            <w:right w:w="108" w:type="dxa"/>
          </w:tblCellMar>
        </w:tblPrEx>
        <w:trPr>
          <w:trHeight w:val="1463" w:hRule="atLeast"/>
        </w:trPr>
        <w:tc>
          <w:tcPr>
            <w:tcW w:w="670" w:type="dxa"/>
            <w:tcBorders>
              <w:top w:val="single" w:color="auto" w:sz="4" w:space="0"/>
              <w:left w:val="single" w:color="auto" w:sz="4" w:space="0"/>
              <w:bottom w:val="single" w:color="auto" w:sz="4" w:space="0"/>
              <w:right w:val="single" w:color="auto" w:sz="4" w:space="0"/>
            </w:tcBorders>
            <w:vAlign w:val="center"/>
          </w:tcPr>
          <w:p w14:paraId="522C5323">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1993" w:type="dxa"/>
            <w:tcBorders>
              <w:top w:val="single" w:color="auto" w:sz="4" w:space="0"/>
              <w:left w:val="nil"/>
              <w:bottom w:val="single" w:color="auto" w:sz="4" w:space="0"/>
              <w:right w:val="single" w:color="auto" w:sz="4" w:space="0"/>
            </w:tcBorders>
            <w:vAlign w:val="center"/>
          </w:tcPr>
          <w:p w14:paraId="00A26194">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w:t>
            </w:r>
          </w:p>
        </w:tc>
        <w:tc>
          <w:tcPr>
            <w:tcW w:w="6395" w:type="dxa"/>
            <w:tcBorders>
              <w:top w:val="single" w:color="auto" w:sz="4" w:space="0"/>
              <w:left w:val="nil"/>
              <w:bottom w:val="single" w:color="auto" w:sz="4" w:space="0"/>
              <w:right w:val="single" w:color="auto" w:sz="4" w:space="0"/>
            </w:tcBorders>
            <w:vAlign w:val="center"/>
          </w:tcPr>
          <w:p w14:paraId="38834D7E">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按照《河南省财政厅关于优化政府采购营商环境有关问题的通知》（豫财购[2019]4号文）的要求本项目不再收取磋商保证金。</w:t>
            </w:r>
          </w:p>
        </w:tc>
      </w:tr>
      <w:tr w14:paraId="05464D8D">
        <w:tblPrEx>
          <w:tblCellMar>
            <w:top w:w="0" w:type="dxa"/>
            <w:left w:w="108" w:type="dxa"/>
            <w:bottom w:w="0" w:type="dxa"/>
            <w:right w:w="108" w:type="dxa"/>
          </w:tblCellMar>
        </w:tblPrEx>
        <w:trPr>
          <w:trHeight w:val="982" w:hRule="atLeast"/>
        </w:trPr>
        <w:tc>
          <w:tcPr>
            <w:tcW w:w="670" w:type="dxa"/>
            <w:tcBorders>
              <w:top w:val="single" w:color="auto" w:sz="4" w:space="0"/>
              <w:left w:val="single" w:color="auto" w:sz="4" w:space="0"/>
              <w:bottom w:val="single" w:color="auto" w:sz="4" w:space="0"/>
              <w:right w:val="single" w:color="auto" w:sz="4" w:space="0"/>
            </w:tcBorders>
            <w:vAlign w:val="center"/>
          </w:tcPr>
          <w:p w14:paraId="316DDC5A">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1993" w:type="dxa"/>
            <w:tcBorders>
              <w:top w:val="single" w:color="auto" w:sz="4" w:space="0"/>
              <w:left w:val="nil"/>
              <w:bottom w:val="single" w:color="auto" w:sz="4" w:space="0"/>
              <w:right w:val="single" w:color="auto" w:sz="4" w:space="0"/>
            </w:tcBorders>
            <w:vAlign w:val="center"/>
          </w:tcPr>
          <w:p w14:paraId="2B7B4925">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近年完成的类似项目的年份要求</w:t>
            </w:r>
          </w:p>
        </w:tc>
        <w:tc>
          <w:tcPr>
            <w:tcW w:w="6395" w:type="dxa"/>
            <w:tcBorders>
              <w:top w:val="single" w:color="auto" w:sz="4" w:space="0"/>
              <w:left w:val="nil"/>
              <w:bottom w:val="single" w:color="auto" w:sz="4" w:space="0"/>
              <w:right w:val="single" w:color="auto" w:sz="4" w:space="0"/>
            </w:tcBorders>
            <w:vAlign w:val="center"/>
          </w:tcPr>
          <w:p w14:paraId="26A085DB">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u w:val="single"/>
              </w:rPr>
              <w:t>近</w:t>
            </w:r>
            <w:r>
              <w:rPr>
                <w:rFonts w:hint="eastAsia" w:ascii="宋体" w:hAnsi="宋体" w:eastAsia="宋体" w:cs="宋体"/>
                <w:color w:val="auto"/>
                <w:sz w:val="24"/>
                <w:szCs w:val="24"/>
                <w:highlight w:val="none"/>
              </w:rPr>
              <w:t>年，指</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u w:val="single"/>
                <w:lang w:val="en-US" w:eastAsia="zh-CN"/>
              </w:rPr>
              <w:t>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日以来</w:t>
            </w:r>
          </w:p>
        </w:tc>
      </w:tr>
      <w:tr w14:paraId="0B728E56">
        <w:tblPrEx>
          <w:tblCellMar>
            <w:top w:w="0" w:type="dxa"/>
            <w:left w:w="108" w:type="dxa"/>
            <w:bottom w:w="0" w:type="dxa"/>
            <w:right w:w="108" w:type="dxa"/>
          </w:tblCellMar>
        </w:tblPrEx>
        <w:trPr>
          <w:trHeight w:val="1463" w:hRule="atLeast"/>
        </w:trPr>
        <w:tc>
          <w:tcPr>
            <w:tcW w:w="670" w:type="dxa"/>
            <w:tcBorders>
              <w:top w:val="single" w:color="auto" w:sz="4" w:space="0"/>
              <w:left w:val="single" w:color="auto" w:sz="4" w:space="0"/>
              <w:bottom w:val="single" w:color="auto" w:sz="4" w:space="0"/>
              <w:right w:val="single" w:color="auto" w:sz="4" w:space="0"/>
            </w:tcBorders>
            <w:vAlign w:val="center"/>
          </w:tcPr>
          <w:p w14:paraId="5909A43D">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993" w:type="dxa"/>
            <w:tcBorders>
              <w:top w:val="single" w:color="auto" w:sz="4" w:space="0"/>
              <w:left w:val="nil"/>
              <w:bottom w:val="single" w:color="auto" w:sz="4" w:space="0"/>
              <w:right w:val="single" w:color="auto" w:sz="4" w:space="0"/>
            </w:tcBorders>
            <w:vAlign w:val="center"/>
          </w:tcPr>
          <w:p w14:paraId="1C7F15EC">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近年发生的诉讼及仲裁情况的年份要求</w:t>
            </w:r>
          </w:p>
        </w:tc>
        <w:tc>
          <w:tcPr>
            <w:tcW w:w="6395" w:type="dxa"/>
            <w:tcBorders>
              <w:top w:val="single" w:color="auto" w:sz="4" w:space="0"/>
              <w:left w:val="nil"/>
              <w:bottom w:val="single" w:color="auto" w:sz="4" w:space="0"/>
              <w:right w:val="single" w:color="auto" w:sz="4" w:space="0"/>
            </w:tcBorders>
            <w:vAlign w:val="center"/>
          </w:tcPr>
          <w:p w14:paraId="5C9D784C">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u w:val="single"/>
              </w:rPr>
              <w:t>近</w:t>
            </w:r>
            <w:r>
              <w:rPr>
                <w:rFonts w:hint="eastAsia" w:ascii="宋体" w:hAnsi="宋体" w:eastAsia="宋体" w:cs="宋体"/>
                <w:color w:val="auto"/>
                <w:sz w:val="24"/>
                <w:szCs w:val="24"/>
                <w:highlight w:val="none"/>
              </w:rPr>
              <w:t>年，指</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u w:val="single"/>
                <w:lang w:val="en-US" w:eastAsia="zh-CN"/>
              </w:rPr>
              <w:t>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日以来</w:t>
            </w:r>
          </w:p>
        </w:tc>
      </w:tr>
      <w:tr w14:paraId="0C4A8294">
        <w:tblPrEx>
          <w:tblCellMar>
            <w:top w:w="0" w:type="dxa"/>
            <w:left w:w="108" w:type="dxa"/>
            <w:bottom w:w="0" w:type="dxa"/>
            <w:right w:w="108" w:type="dxa"/>
          </w:tblCellMar>
        </w:tblPrEx>
        <w:trPr>
          <w:trHeight w:val="982" w:hRule="atLeast"/>
        </w:trPr>
        <w:tc>
          <w:tcPr>
            <w:tcW w:w="670" w:type="dxa"/>
            <w:tcBorders>
              <w:top w:val="single" w:color="auto" w:sz="4" w:space="0"/>
              <w:left w:val="single" w:color="auto" w:sz="4" w:space="0"/>
              <w:bottom w:val="single" w:color="auto" w:sz="4" w:space="0"/>
              <w:right w:val="single" w:color="auto" w:sz="4" w:space="0"/>
            </w:tcBorders>
            <w:vAlign w:val="center"/>
          </w:tcPr>
          <w:p w14:paraId="04CD4F32">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1993" w:type="dxa"/>
            <w:tcBorders>
              <w:top w:val="single" w:color="auto" w:sz="4" w:space="0"/>
              <w:left w:val="nil"/>
              <w:bottom w:val="single" w:color="auto" w:sz="4" w:space="0"/>
              <w:right w:val="single" w:color="auto" w:sz="4" w:space="0"/>
            </w:tcBorders>
            <w:vAlign w:val="center"/>
          </w:tcPr>
          <w:p w14:paraId="105DF2CF">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是否允许递交备选投标方案</w:t>
            </w:r>
          </w:p>
        </w:tc>
        <w:tc>
          <w:tcPr>
            <w:tcW w:w="6395" w:type="dxa"/>
            <w:tcBorders>
              <w:top w:val="single" w:color="auto" w:sz="4" w:space="0"/>
              <w:left w:val="nil"/>
              <w:bottom w:val="single" w:color="auto" w:sz="4" w:space="0"/>
              <w:right w:val="single" w:color="auto" w:sz="4" w:space="0"/>
            </w:tcBorders>
            <w:vAlign w:val="center"/>
          </w:tcPr>
          <w:p w14:paraId="3B224A7F">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■不允许</w:t>
            </w:r>
          </w:p>
        </w:tc>
      </w:tr>
      <w:tr w14:paraId="4B4D6271">
        <w:tblPrEx>
          <w:tblCellMar>
            <w:top w:w="0" w:type="dxa"/>
            <w:left w:w="108" w:type="dxa"/>
            <w:bottom w:w="0" w:type="dxa"/>
            <w:right w:w="108" w:type="dxa"/>
          </w:tblCellMar>
        </w:tblPrEx>
        <w:trPr>
          <w:trHeight w:val="2908" w:hRule="atLeast"/>
        </w:trPr>
        <w:tc>
          <w:tcPr>
            <w:tcW w:w="670" w:type="dxa"/>
            <w:tcBorders>
              <w:top w:val="single" w:color="auto" w:sz="4" w:space="0"/>
              <w:left w:val="single" w:color="auto" w:sz="4" w:space="0"/>
              <w:bottom w:val="single" w:color="auto" w:sz="4" w:space="0"/>
              <w:right w:val="single" w:color="auto" w:sz="4" w:space="0"/>
            </w:tcBorders>
            <w:vAlign w:val="center"/>
          </w:tcPr>
          <w:p w14:paraId="264AD362">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1993" w:type="dxa"/>
            <w:tcBorders>
              <w:top w:val="single" w:color="auto" w:sz="4" w:space="0"/>
              <w:left w:val="nil"/>
              <w:bottom w:val="single" w:color="auto" w:sz="4" w:space="0"/>
              <w:right w:val="single" w:color="auto" w:sz="4" w:space="0"/>
            </w:tcBorders>
            <w:vAlign w:val="center"/>
          </w:tcPr>
          <w:p w14:paraId="1686240E">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签字和（或）盖章要求</w:t>
            </w:r>
          </w:p>
        </w:tc>
        <w:tc>
          <w:tcPr>
            <w:tcW w:w="6395" w:type="dxa"/>
            <w:tcBorders>
              <w:top w:val="single" w:color="auto" w:sz="4" w:space="0"/>
              <w:left w:val="nil"/>
              <w:bottom w:val="single" w:color="auto" w:sz="4" w:space="0"/>
              <w:right w:val="single" w:color="auto" w:sz="4" w:space="0"/>
            </w:tcBorders>
            <w:vAlign w:val="center"/>
          </w:tcPr>
          <w:p w14:paraId="49AD4311">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电子化</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的签章：</w:t>
            </w:r>
          </w:p>
          <w:p w14:paraId="25CCE59C">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在生成电子化</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后，应对电子化</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进行签章，未对电子化文件进行签章的视为无效投标。</w:t>
            </w:r>
          </w:p>
          <w:p w14:paraId="15901DA6">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2、竞</w:t>
            </w:r>
            <w:r>
              <w:rPr>
                <w:rFonts w:hint="eastAsia" w:ascii="宋体" w:hAnsi="宋体" w:eastAsia="宋体" w:cs="宋体"/>
                <w:b w:val="0"/>
                <w:bCs w:val="0"/>
                <w:color w:val="auto"/>
                <w:sz w:val="24"/>
                <w:szCs w:val="24"/>
                <w:highlight w:val="none"/>
              </w:rPr>
              <w:t>争性磋商文件中要求法定代表人或授权委托人签字或盖章的，</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在进行电子化</w:t>
            </w:r>
            <w:r>
              <w:rPr>
                <w:rFonts w:hint="eastAsia" w:ascii="宋体" w:hAnsi="宋体" w:eastAsia="宋体" w:cs="宋体"/>
                <w:b w:val="0"/>
                <w:bCs w:val="0"/>
                <w:color w:val="auto"/>
                <w:sz w:val="24"/>
                <w:szCs w:val="24"/>
                <w:highlight w:val="none"/>
                <w:lang w:eastAsia="zh-CN"/>
              </w:rPr>
              <w:t>投标文件</w:t>
            </w:r>
            <w:r>
              <w:rPr>
                <w:rFonts w:hint="eastAsia" w:ascii="宋体" w:hAnsi="宋体" w:eastAsia="宋体" w:cs="宋体"/>
                <w:b w:val="0"/>
                <w:bCs w:val="0"/>
                <w:color w:val="auto"/>
                <w:sz w:val="24"/>
                <w:szCs w:val="24"/>
                <w:highlight w:val="none"/>
              </w:rPr>
              <w:t>签章时，以签盖法定代表人签章为准。</w:t>
            </w:r>
          </w:p>
        </w:tc>
      </w:tr>
      <w:tr w14:paraId="2985B79E">
        <w:tblPrEx>
          <w:tblCellMar>
            <w:top w:w="0" w:type="dxa"/>
            <w:left w:w="108" w:type="dxa"/>
            <w:bottom w:w="0" w:type="dxa"/>
            <w:right w:w="108" w:type="dxa"/>
          </w:tblCellMar>
        </w:tblPrEx>
        <w:trPr>
          <w:trHeight w:val="1333" w:hRule="atLeast"/>
        </w:trPr>
        <w:tc>
          <w:tcPr>
            <w:tcW w:w="670" w:type="dxa"/>
            <w:tcBorders>
              <w:top w:val="single" w:color="auto" w:sz="4" w:space="0"/>
              <w:left w:val="single" w:color="auto" w:sz="4" w:space="0"/>
              <w:bottom w:val="single" w:color="auto" w:sz="4" w:space="0"/>
              <w:right w:val="single" w:color="auto" w:sz="4" w:space="0"/>
            </w:tcBorders>
            <w:vAlign w:val="center"/>
          </w:tcPr>
          <w:p w14:paraId="4456D675">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1993" w:type="dxa"/>
            <w:tcBorders>
              <w:top w:val="single" w:color="auto" w:sz="4" w:space="0"/>
              <w:left w:val="nil"/>
              <w:bottom w:val="single" w:color="auto" w:sz="4" w:space="0"/>
              <w:right w:val="single" w:color="auto" w:sz="4" w:space="0"/>
            </w:tcBorders>
            <w:vAlign w:val="center"/>
          </w:tcPr>
          <w:p w14:paraId="44C02B9B">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递交投标文件地点</w:t>
            </w:r>
          </w:p>
        </w:tc>
        <w:tc>
          <w:tcPr>
            <w:tcW w:w="6395" w:type="dxa"/>
            <w:tcBorders>
              <w:top w:val="single" w:color="auto" w:sz="4" w:space="0"/>
              <w:left w:val="nil"/>
              <w:bottom w:val="single" w:color="auto" w:sz="4" w:space="0"/>
              <w:right w:val="single" w:color="auto" w:sz="4" w:space="0"/>
            </w:tcBorders>
            <w:vAlign w:val="center"/>
          </w:tcPr>
          <w:p w14:paraId="66816EEC">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加密的电子投标文件上传至三门峡市公共资源交易中心系统；</w:t>
            </w:r>
          </w:p>
          <w:p w14:paraId="5B8A3707">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rPr>
              <w:t>开标时不再递交纸质</w:t>
            </w:r>
            <w:r>
              <w:rPr>
                <w:rFonts w:hint="eastAsia" w:ascii="宋体" w:hAnsi="宋体" w:eastAsia="宋体" w:cs="宋体"/>
                <w:color w:val="auto"/>
                <w:sz w:val="24"/>
                <w:szCs w:val="24"/>
                <w:highlight w:val="none"/>
                <w:lang w:eastAsia="zh-CN"/>
              </w:rPr>
              <w:t>投标文件</w:t>
            </w:r>
          </w:p>
        </w:tc>
      </w:tr>
      <w:tr w14:paraId="70B26C8A">
        <w:tblPrEx>
          <w:tblCellMar>
            <w:top w:w="0" w:type="dxa"/>
            <w:left w:w="108" w:type="dxa"/>
            <w:bottom w:w="0" w:type="dxa"/>
            <w:right w:w="108" w:type="dxa"/>
          </w:tblCellMar>
        </w:tblPrEx>
        <w:trPr>
          <w:trHeight w:val="556" w:hRule="atLeast"/>
        </w:trPr>
        <w:tc>
          <w:tcPr>
            <w:tcW w:w="670" w:type="dxa"/>
            <w:tcBorders>
              <w:top w:val="single" w:color="auto" w:sz="4" w:space="0"/>
              <w:left w:val="single" w:color="auto" w:sz="4" w:space="0"/>
              <w:bottom w:val="single" w:color="auto" w:sz="4" w:space="0"/>
              <w:right w:val="single" w:color="auto" w:sz="4" w:space="0"/>
            </w:tcBorders>
            <w:vAlign w:val="center"/>
          </w:tcPr>
          <w:p w14:paraId="26F9C2DA">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1993" w:type="dxa"/>
            <w:tcBorders>
              <w:top w:val="single" w:color="auto" w:sz="4" w:space="0"/>
              <w:left w:val="nil"/>
              <w:bottom w:val="single" w:color="auto" w:sz="4" w:space="0"/>
              <w:right w:val="single" w:color="auto" w:sz="4" w:space="0"/>
            </w:tcBorders>
            <w:vAlign w:val="center"/>
          </w:tcPr>
          <w:p w14:paraId="14049EEF">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开标时间及地点</w:t>
            </w:r>
          </w:p>
        </w:tc>
        <w:tc>
          <w:tcPr>
            <w:tcW w:w="6395" w:type="dxa"/>
            <w:tcBorders>
              <w:top w:val="single" w:color="auto" w:sz="4" w:space="0"/>
              <w:left w:val="nil"/>
              <w:bottom w:val="single" w:color="auto" w:sz="4" w:space="0"/>
              <w:right w:val="single" w:color="auto" w:sz="4" w:space="0"/>
            </w:tcBorders>
            <w:vAlign w:val="center"/>
          </w:tcPr>
          <w:p w14:paraId="414F5E7E">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shd w:val="clear" w:color="auto" w:fill="FFFFFF"/>
              </w:rPr>
            </w:pPr>
            <w:r>
              <w:rPr>
                <w:rFonts w:hint="eastAsia" w:ascii="宋体" w:hAnsi="宋体" w:eastAsia="宋体" w:cs="宋体"/>
                <w:snapToGrid w:val="0"/>
                <w:sz w:val="24"/>
                <w:szCs w:val="24"/>
                <w:highlight w:val="none"/>
              </w:rPr>
              <w:t>详见磋商公告</w:t>
            </w:r>
          </w:p>
        </w:tc>
      </w:tr>
      <w:tr w14:paraId="6F3F75C4">
        <w:tblPrEx>
          <w:tblCellMar>
            <w:top w:w="0" w:type="dxa"/>
            <w:left w:w="108" w:type="dxa"/>
            <w:bottom w:w="0" w:type="dxa"/>
            <w:right w:w="108" w:type="dxa"/>
          </w:tblCellMar>
        </w:tblPrEx>
        <w:trPr>
          <w:trHeight w:val="892" w:hRule="atLeast"/>
        </w:trPr>
        <w:tc>
          <w:tcPr>
            <w:tcW w:w="670" w:type="dxa"/>
            <w:tcBorders>
              <w:top w:val="single" w:color="auto" w:sz="4" w:space="0"/>
              <w:left w:val="single" w:color="auto" w:sz="4" w:space="0"/>
              <w:bottom w:val="single" w:color="auto" w:sz="4" w:space="0"/>
              <w:right w:val="single" w:color="auto" w:sz="4" w:space="0"/>
            </w:tcBorders>
            <w:vAlign w:val="center"/>
          </w:tcPr>
          <w:p w14:paraId="3622E968">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1993" w:type="dxa"/>
            <w:tcBorders>
              <w:top w:val="single" w:color="auto" w:sz="4" w:space="0"/>
              <w:left w:val="nil"/>
              <w:bottom w:val="single" w:color="auto" w:sz="4" w:space="0"/>
              <w:right w:val="single" w:color="auto" w:sz="4" w:space="0"/>
            </w:tcBorders>
            <w:vAlign w:val="center"/>
          </w:tcPr>
          <w:p w14:paraId="19A7B0BD">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是否退还</w:t>
            </w:r>
            <w:r>
              <w:rPr>
                <w:rFonts w:hint="eastAsia" w:ascii="宋体" w:hAnsi="宋体" w:eastAsia="宋体" w:cs="宋体"/>
                <w:color w:val="auto"/>
                <w:sz w:val="24"/>
                <w:szCs w:val="24"/>
                <w:highlight w:val="none"/>
                <w:lang w:eastAsia="zh-CN"/>
              </w:rPr>
              <w:t>投标文件</w:t>
            </w:r>
          </w:p>
        </w:tc>
        <w:tc>
          <w:tcPr>
            <w:tcW w:w="6395" w:type="dxa"/>
            <w:tcBorders>
              <w:top w:val="single" w:color="auto" w:sz="4" w:space="0"/>
              <w:left w:val="nil"/>
              <w:bottom w:val="single" w:color="auto" w:sz="4" w:space="0"/>
              <w:right w:val="single" w:color="auto" w:sz="4" w:space="0"/>
            </w:tcBorders>
            <w:vAlign w:val="center"/>
          </w:tcPr>
          <w:p w14:paraId="425A71C0">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14:paraId="52DAC7B7">
        <w:tblPrEx>
          <w:tblCellMar>
            <w:top w:w="0" w:type="dxa"/>
            <w:left w:w="108" w:type="dxa"/>
            <w:bottom w:w="0" w:type="dxa"/>
            <w:right w:w="108" w:type="dxa"/>
          </w:tblCellMar>
        </w:tblPrEx>
        <w:trPr>
          <w:trHeight w:val="90" w:hRule="atLeast"/>
        </w:trPr>
        <w:tc>
          <w:tcPr>
            <w:tcW w:w="670" w:type="dxa"/>
            <w:tcBorders>
              <w:top w:val="single" w:color="auto" w:sz="4" w:space="0"/>
              <w:left w:val="single" w:color="auto" w:sz="4" w:space="0"/>
              <w:bottom w:val="single" w:color="auto" w:sz="4" w:space="0"/>
              <w:right w:val="single" w:color="auto" w:sz="4" w:space="0"/>
            </w:tcBorders>
            <w:vAlign w:val="center"/>
          </w:tcPr>
          <w:p w14:paraId="3935DFC1">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1993" w:type="dxa"/>
            <w:tcBorders>
              <w:top w:val="single" w:color="auto" w:sz="4" w:space="0"/>
              <w:left w:val="nil"/>
              <w:bottom w:val="single" w:color="auto" w:sz="4" w:space="0"/>
              <w:right w:val="single" w:color="auto" w:sz="4" w:space="0"/>
            </w:tcBorders>
            <w:vAlign w:val="center"/>
          </w:tcPr>
          <w:p w14:paraId="26802B5B">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开标程序</w:t>
            </w:r>
          </w:p>
        </w:tc>
        <w:tc>
          <w:tcPr>
            <w:tcW w:w="6395" w:type="dxa"/>
            <w:tcBorders>
              <w:top w:val="single" w:color="auto" w:sz="4" w:space="0"/>
              <w:left w:val="nil"/>
              <w:bottom w:val="single" w:color="auto" w:sz="4" w:space="0"/>
              <w:right w:val="single" w:color="auto" w:sz="4" w:space="0"/>
            </w:tcBorders>
            <w:vAlign w:val="center"/>
          </w:tcPr>
          <w:p w14:paraId="3132392F">
            <w:pPr>
              <w:keepNext w:val="0"/>
              <w:keepLines w:val="0"/>
              <w:pageBreakBefore w:val="0"/>
              <w:widowControl/>
              <w:kinsoku w:val="0"/>
              <w:wordWrap/>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1．本项目采用</w:t>
            </w:r>
            <w:r>
              <w:rPr>
                <w:rFonts w:hint="eastAsia" w:ascii="宋体" w:hAnsi="宋体" w:eastAsia="宋体" w:cs="宋体"/>
                <w:b/>
                <w:color w:val="auto"/>
                <w:kern w:val="0"/>
                <w:sz w:val="24"/>
                <w:szCs w:val="24"/>
                <w:highlight w:val="none"/>
              </w:rPr>
              <w:t>电子化、无纸化</w:t>
            </w:r>
            <w:r>
              <w:rPr>
                <w:rFonts w:hint="eastAsia" w:ascii="宋体" w:hAnsi="宋体" w:eastAsia="宋体" w:cs="宋体"/>
                <w:color w:val="auto"/>
                <w:kern w:val="0"/>
                <w:sz w:val="24"/>
                <w:szCs w:val="24"/>
                <w:highlight w:val="none"/>
              </w:rPr>
              <w:t>进行招标，开标当日，</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无需到开标现场参加开标会议，</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应当在投标截止时间前，登陆不见面开标大厅选择登陆三门峡市公共资源电子招投标系统进行登陆（网址为http://120.194.249.36:10094/BidOpening/bidopeninghallaction/hall/login）,在线准时参加开标活动并进行投标文件解密等</w:t>
            </w:r>
          </w:p>
          <w:p w14:paraId="3A22BD4A">
            <w:pPr>
              <w:keepNext w:val="0"/>
              <w:keepLines w:val="0"/>
              <w:pageBreakBefore w:val="0"/>
              <w:widowControl/>
              <w:kinsoku w:val="0"/>
              <w:wordWrap/>
              <w:topLinePunct/>
              <w:autoSpaceDE/>
              <w:autoSpaceDN/>
              <w:bidi w:val="0"/>
              <w:adjustRightInd w:val="0"/>
              <w:snapToGrid w:val="0"/>
              <w:spacing w:line="360" w:lineRule="auto"/>
              <w:ind w:left="0" w:leftChars="0" w:right="0" w:righ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2．电子化投标文件采用一次加密方式。开标时，由</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使用CA 证书，在规定时间内对其电子化投标文件进行解密。每位</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的解密时间为开标时间起30分钟，因</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原因未能解密、解密失败或解密超时的将不予接受。</w:t>
            </w:r>
          </w:p>
          <w:p w14:paraId="45BA0477">
            <w:pPr>
              <w:keepNext w:val="0"/>
              <w:keepLines w:val="0"/>
              <w:pageBreakBefore w:val="0"/>
              <w:widowControl/>
              <w:kinsoku w:val="0"/>
              <w:wordWrap/>
              <w:topLinePunct/>
              <w:autoSpaceDE/>
              <w:autoSpaceDN/>
              <w:bidi w:val="0"/>
              <w:adjustRightInd w:val="0"/>
              <w:snapToGrid w:val="0"/>
              <w:spacing w:line="360" w:lineRule="auto"/>
              <w:ind w:left="0" w:leftChars="0" w:right="0" w:rightChars="0"/>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3．电子化投标文件解密异常的处理</w:t>
            </w:r>
          </w:p>
          <w:p w14:paraId="586A6BC4">
            <w:pPr>
              <w:keepNext w:val="0"/>
              <w:keepLines w:val="0"/>
              <w:pageBreakBefore w:val="0"/>
              <w:widowControl/>
              <w:kinsoku w:val="0"/>
              <w:wordWrap/>
              <w:topLinePunct/>
              <w:autoSpaceDE/>
              <w:autoSpaceDN/>
              <w:bidi w:val="0"/>
              <w:adjustRightInd w:val="0"/>
              <w:snapToGrid w:val="0"/>
              <w:spacing w:line="360" w:lineRule="auto"/>
              <w:ind w:left="0" w:leftChars="0" w:right="0" w:righ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如出现</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的电子投标文件无法解密等异常情况，</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应及时致电招标代理机构说明。投标文件异常，按以下步骤进行处理：</w:t>
            </w:r>
          </w:p>
          <w:p w14:paraId="4EB136D4">
            <w:pPr>
              <w:keepNext w:val="0"/>
              <w:keepLines w:val="0"/>
              <w:pageBreakBefore w:val="0"/>
              <w:widowControl/>
              <w:kinsoku w:val="0"/>
              <w:wordWrap/>
              <w:topLinePunct/>
              <w:autoSpaceDE/>
              <w:autoSpaceDN/>
              <w:bidi w:val="0"/>
              <w:adjustRightInd w:val="0"/>
              <w:snapToGrid w:val="0"/>
              <w:spacing w:line="360" w:lineRule="auto"/>
              <w:ind w:left="0" w:leftChars="0" w:right="0" w:righ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（1）首先由技术人员进行问题排查。</w:t>
            </w:r>
          </w:p>
          <w:p w14:paraId="177DDE05">
            <w:pPr>
              <w:keepNext w:val="0"/>
              <w:keepLines w:val="0"/>
              <w:pageBreakBefore w:val="0"/>
              <w:widowControl/>
              <w:kinsoku w:val="0"/>
              <w:wordWrap/>
              <w:topLinePunct/>
              <w:autoSpaceDE/>
              <w:autoSpaceDN/>
              <w:bidi w:val="0"/>
              <w:adjustRightInd w:val="0"/>
              <w:snapToGrid w:val="0"/>
              <w:spacing w:line="360" w:lineRule="auto"/>
              <w:ind w:left="0" w:leftChars="0" w:right="0" w:righ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（2）经技术人员排查后，是</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文件自身问题导致投标文件无法解密的，该投标文件将不予接收、解密和唱标。开标会议继续进行。</w:t>
            </w:r>
          </w:p>
          <w:p w14:paraId="64C902EE">
            <w:pPr>
              <w:keepNext w:val="0"/>
              <w:keepLines w:val="0"/>
              <w:pageBreakBefore w:val="0"/>
              <w:widowControl/>
              <w:kinsoku w:val="0"/>
              <w:wordWrap/>
              <w:topLinePunct/>
              <w:autoSpaceDE/>
              <w:autoSpaceDN/>
              <w:bidi w:val="0"/>
              <w:adjustRightInd w:val="0"/>
              <w:snapToGrid w:val="0"/>
              <w:spacing w:line="360" w:lineRule="auto"/>
              <w:ind w:left="0" w:leftChars="0" w:right="0" w:righ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经技术人员排查后，如果是电子化交易系统问题造成投标文件无法解密的，将由技术人员对问题进行处理。如短时间内问题无法解决的，将由招标代理机构向监督部门申请，经监督部门同意后，暂停开标会议，待问题解决后继续开标。</w:t>
            </w:r>
          </w:p>
          <w:p w14:paraId="187FBB01">
            <w:pPr>
              <w:keepNext w:val="0"/>
              <w:keepLines w:val="0"/>
              <w:pageBreakBefore w:val="0"/>
              <w:widowControl/>
              <w:kinsoku w:val="0"/>
              <w:wordWrap/>
              <w:autoSpaceDE w:val="0"/>
              <w:autoSpaceDN w:val="0"/>
              <w:bidi w:val="0"/>
              <w:adjustRightInd w:val="0"/>
              <w:snapToGrid w:val="0"/>
              <w:spacing w:line="360" w:lineRule="auto"/>
              <w:ind w:left="0" w:leftChars="0" w:right="0" w:rightChars="0"/>
              <w:rPr>
                <w:rFonts w:hint="eastAsia" w:ascii="宋体" w:hAnsi="宋体" w:eastAsia="宋体" w:cs="宋体"/>
                <w:b w:val="0"/>
                <w:bCs w:val="0"/>
                <w:color w:val="auto"/>
                <w:kern w:val="0"/>
                <w:sz w:val="24"/>
                <w:szCs w:val="24"/>
                <w:highlight w:val="none"/>
              </w:rPr>
            </w:pPr>
            <w:r>
              <w:rPr>
                <w:rFonts w:hint="eastAsia" w:ascii="宋体" w:hAnsi="宋体" w:eastAsia="宋体" w:cs="宋体"/>
                <w:color w:val="auto"/>
                <w:kern w:val="0"/>
                <w:sz w:val="24"/>
                <w:szCs w:val="24"/>
                <w:highlight w:val="none"/>
              </w:rPr>
              <w:t>4．待所有</w:t>
            </w:r>
            <w:r>
              <w:rPr>
                <w:rFonts w:hint="eastAsia" w:ascii="宋体" w:hAnsi="宋体" w:eastAsia="宋体" w:cs="宋体"/>
                <w:color w:val="auto"/>
                <w:kern w:val="0"/>
                <w:sz w:val="24"/>
                <w:szCs w:val="24"/>
                <w:highlight w:val="none"/>
                <w:lang w:eastAsia="zh-CN"/>
              </w:rPr>
              <w:t>供应</w:t>
            </w:r>
            <w:r>
              <w:rPr>
                <w:rFonts w:hint="eastAsia" w:ascii="宋体" w:hAnsi="宋体" w:eastAsia="宋体" w:cs="宋体"/>
                <w:b w:val="0"/>
                <w:bCs w:val="0"/>
                <w:color w:val="auto"/>
                <w:kern w:val="0"/>
                <w:sz w:val="24"/>
                <w:szCs w:val="24"/>
                <w:highlight w:val="none"/>
                <w:lang w:eastAsia="zh-CN"/>
              </w:rPr>
              <w:t>商</w:t>
            </w:r>
            <w:r>
              <w:rPr>
                <w:rFonts w:hint="eastAsia" w:ascii="宋体" w:hAnsi="宋体" w:eastAsia="宋体" w:cs="宋体"/>
                <w:b w:val="0"/>
                <w:bCs w:val="0"/>
                <w:color w:val="auto"/>
                <w:kern w:val="0"/>
                <w:sz w:val="24"/>
                <w:szCs w:val="24"/>
                <w:highlight w:val="none"/>
              </w:rPr>
              <w:t>投标文件解密完成后，由招标代理机构操作，对所有已解密投标文件进行唱标。</w:t>
            </w:r>
          </w:p>
          <w:p w14:paraId="47173FE2">
            <w:pPr>
              <w:keepNext w:val="0"/>
              <w:keepLines w:val="0"/>
              <w:pageBreakBefore w:val="0"/>
              <w:widowControl/>
              <w:kinsoku w:val="0"/>
              <w:wordWrap/>
              <w:autoSpaceDE w:val="0"/>
              <w:autoSpaceDN w:val="0"/>
              <w:bidi w:val="0"/>
              <w:adjustRightInd w:val="0"/>
              <w:snapToGrid w:val="0"/>
              <w:spacing w:line="360" w:lineRule="auto"/>
              <w:ind w:left="0" w:leftChars="0" w:right="0" w:rightChars="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eastAsia="zh-CN"/>
              </w:rPr>
              <w:t>供应商</w:t>
            </w:r>
            <w:r>
              <w:rPr>
                <w:rFonts w:hint="eastAsia" w:ascii="宋体" w:hAnsi="宋体" w:eastAsia="宋体" w:cs="宋体"/>
                <w:b w:val="0"/>
                <w:bCs w:val="0"/>
                <w:color w:val="auto"/>
                <w:kern w:val="0"/>
                <w:sz w:val="24"/>
                <w:szCs w:val="24"/>
                <w:highlight w:val="none"/>
              </w:rPr>
              <w:t>应保证在开标期间电话、电脑、网络能够正常工作，</w:t>
            </w:r>
            <w:r>
              <w:rPr>
                <w:rFonts w:hint="eastAsia" w:ascii="宋体" w:hAnsi="宋体" w:eastAsia="宋体" w:cs="宋体"/>
                <w:b w:val="0"/>
                <w:bCs w:val="0"/>
                <w:color w:val="auto"/>
                <w:kern w:val="0"/>
                <w:sz w:val="24"/>
                <w:szCs w:val="24"/>
                <w:highlight w:val="none"/>
                <w:lang w:eastAsia="zh-CN"/>
              </w:rPr>
              <w:t>供应商</w:t>
            </w:r>
            <w:r>
              <w:rPr>
                <w:rFonts w:hint="eastAsia" w:ascii="宋体" w:hAnsi="宋体" w:eastAsia="宋体" w:cs="宋体"/>
                <w:b w:val="0"/>
                <w:bCs w:val="0"/>
                <w:color w:val="auto"/>
                <w:kern w:val="0"/>
                <w:sz w:val="24"/>
                <w:szCs w:val="24"/>
                <w:highlight w:val="none"/>
              </w:rPr>
              <w:t>因停电、电脑病毒、网络堵塞等原因，未在规定的解密时间内对投标文件进行解密的，其投标文件不予接收、唱标。</w:t>
            </w:r>
          </w:p>
          <w:p w14:paraId="2B157F74">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b w:val="0"/>
                <w:bCs w:val="0"/>
                <w:color w:val="auto"/>
                <w:kern w:val="0"/>
                <w:sz w:val="24"/>
                <w:szCs w:val="24"/>
                <w:highlight w:val="none"/>
              </w:rPr>
              <w:t>5．开标时</w:t>
            </w:r>
            <w:r>
              <w:rPr>
                <w:rFonts w:hint="eastAsia" w:ascii="宋体" w:hAnsi="宋体" w:eastAsia="宋体" w:cs="宋体"/>
                <w:b w:val="0"/>
                <w:bCs w:val="0"/>
                <w:color w:val="auto"/>
                <w:kern w:val="0"/>
                <w:sz w:val="24"/>
                <w:szCs w:val="24"/>
                <w:highlight w:val="none"/>
                <w:lang w:eastAsia="zh-CN"/>
              </w:rPr>
              <w:t>供应商</w:t>
            </w:r>
            <w:r>
              <w:rPr>
                <w:rFonts w:hint="eastAsia" w:ascii="宋体" w:hAnsi="宋体" w:eastAsia="宋体" w:cs="宋体"/>
                <w:b w:val="0"/>
                <w:bCs w:val="0"/>
                <w:color w:val="auto"/>
                <w:kern w:val="0"/>
                <w:sz w:val="24"/>
                <w:szCs w:val="24"/>
                <w:highlight w:val="none"/>
              </w:rPr>
              <w:t>可登录到交易系统中在开标</w:t>
            </w:r>
            <w:r>
              <w:rPr>
                <w:rFonts w:hint="eastAsia" w:ascii="宋体" w:hAnsi="宋体" w:eastAsia="宋体" w:cs="宋体"/>
                <w:color w:val="auto"/>
                <w:kern w:val="0"/>
                <w:sz w:val="24"/>
                <w:szCs w:val="24"/>
                <w:highlight w:val="none"/>
              </w:rPr>
              <w:t>解密栏中点击报价一览表查看自己的投标报价。如对自己的唱标内容有异议的，应在</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解密成功后10分钟内向</w:t>
            </w:r>
            <w:r>
              <w:rPr>
                <w:rFonts w:hint="eastAsia" w:ascii="宋体" w:hAnsi="宋体" w:eastAsia="宋体" w:cs="宋体"/>
                <w:color w:val="auto"/>
                <w:sz w:val="24"/>
                <w:szCs w:val="24"/>
                <w:highlight w:val="none"/>
              </w:rPr>
              <w:t>招标代理机构</w:t>
            </w:r>
            <w:r>
              <w:rPr>
                <w:rFonts w:hint="eastAsia" w:ascii="宋体" w:hAnsi="宋体" w:eastAsia="宋体" w:cs="宋体"/>
                <w:color w:val="auto"/>
                <w:kern w:val="0"/>
                <w:sz w:val="24"/>
                <w:szCs w:val="24"/>
                <w:highlight w:val="none"/>
              </w:rPr>
              <w:t>电话质疑。招标代理机构应在监督人员的监督下进行免提通话接受</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的质疑并做好书面记录。</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未在规定时间内提出质疑的，视为认可唱标内容。</w:t>
            </w:r>
          </w:p>
        </w:tc>
      </w:tr>
      <w:tr w14:paraId="165BA98E">
        <w:tblPrEx>
          <w:tblCellMar>
            <w:top w:w="0" w:type="dxa"/>
            <w:left w:w="108" w:type="dxa"/>
            <w:bottom w:w="0" w:type="dxa"/>
            <w:right w:w="108" w:type="dxa"/>
          </w:tblCellMar>
        </w:tblPrEx>
        <w:trPr>
          <w:trHeight w:val="1333" w:hRule="atLeast"/>
        </w:trPr>
        <w:tc>
          <w:tcPr>
            <w:tcW w:w="670" w:type="dxa"/>
            <w:tcBorders>
              <w:top w:val="single" w:color="auto" w:sz="4" w:space="0"/>
              <w:left w:val="single" w:color="auto" w:sz="4" w:space="0"/>
              <w:bottom w:val="single" w:color="auto" w:sz="4" w:space="0"/>
              <w:right w:val="single" w:color="auto" w:sz="4" w:space="0"/>
            </w:tcBorders>
            <w:vAlign w:val="center"/>
          </w:tcPr>
          <w:p w14:paraId="7C3D065D">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p>
        </w:tc>
        <w:tc>
          <w:tcPr>
            <w:tcW w:w="1993" w:type="dxa"/>
            <w:tcBorders>
              <w:top w:val="single" w:color="auto" w:sz="4" w:space="0"/>
              <w:left w:val="nil"/>
              <w:bottom w:val="single" w:color="auto" w:sz="4" w:space="0"/>
              <w:right w:val="single" w:color="auto" w:sz="4" w:space="0"/>
            </w:tcBorders>
            <w:vAlign w:val="center"/>
          </w:tcPr>
          <w:p w14:paraId="59B2543D">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磋商小组的组建</w:t>
            </w:r>
          </w:p>
        </w:tc>
        <w:tc>
          <w:tcPr>
            <w:tcW w:w="6395" w:type="dxa"/>
            <w:tcBorders>
              <w:top w:val="single" w:color="auto" w:sz="4" w:space="0"/>
              <w:left w:val="nil"/>
              <w:bottom w:val="single" w:color="auto" w:sz="4" w:space="0"/>
              <w:right w:val="single" w:color="auto" w:sz="4" w:space="0"/>
            </w:tcBorders>
            <w:vAlign w:val="center"/>
          </w:tcPr>
          <w:p w14:paraId="4EAE58D4">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磋商小组构成：3人，其中采购人代表1人，专家2人；</w:t>
            </w:r>
          </w:p>
          <w:p w14:paraId="5D20DDF7">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2名评标专家确定方式：评标专家从评标专家库中随机抽取。</w:t>
            </w:r>
          </w:p>
        </w:tc>
      </w:tr>
      <w:tr w14:paraId="48A06AEE">
        <w:tblPrEx>
          <w:tblCellMar>
            <w:top w:w="0" w:type="dxa"/>
            <w:left w:w="108" w:type="dxa"/>
            <w:bottom w:w="0" w:type="dxa"/>
            <w:right w:w="108" w:type="dxa"/>
          </w:tblCellMar>
        </w:tblPrEx>
        <w:trPr>
          <w:trHeight w:val="1945" w:hRule="atLeast"/>
        </w:trPr>
        <w:tc>
          <w:tcPr>
            <w:tcW w:w="670" w:type="dxa"/>
            <w:tcBorders>
              <w:top w:val="single" w:color="auto" w:sz="4" w:space="0"/>
              <w:left w:val="single" w:color="auto" w:sz="4" w:space="0"/>
              <w:bottom w:val="single" w:color="auto" w:sz="4" w:space="0"/>
              <w:right w:val="single" w:color="auto" w:sz="4" w:space="0"/>
            </w:tcBorders>
            <w:vAlign w:val="center"/>
          </w:tcPr>
          <w:p w14:paraId="375FC58D">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c>
          <w:tcPr>
            <w:tcW w:w="1993" w:type="dxa"/>
            <w:tcBorders>
              <w:top w:val="single" w:color="auto" w:sz="4" w:space="0"/>
              <w:left w:val="nil"/>
              <w:bottom w:val="single" w:color="auto" w:sz="4" w:space="0"/>
              <w:right w:val="single" w:color="auto" w:sz="4" w:space="0"/>
            </w:tcBorders>
            <w:vAlign w:val="center"/>
          </w:tcPr>
          <w:p w14:paraId="6346F17C">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是否授权磋商小组确定中标人</w:t>
            </w:r>
          </w:p>
        </w:tc>
        <w:tc>
          <w:tcPr>
            <w:tcW w:w="6395" w:type="dxa"/>
            <w:tcBorders>
              <w:top w:val="single" w:color="auto" w:sz="4" w:space="0"/>
              <w:left w:val="nil"/>
              <w:bottom w:val="single" w:color="auto" w:sz="4" w:space="0"/>
              <w:right w:val="single" w:color="auto" w:sz="4" w:space="0"/>
            </w:tcBorders>
            <w:vAlign w:val="center"/>
          </w:tcPr>
          <w:p w14:paraId="0E3DC2ED">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否，竞争性磋商小组从质量和服务均能满足磋商文件实质性响应要求的供应商中，按照评审得分由高到低的顺序推荐</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3名成交候选人，由采购人按照竞争性磋商小组推荐的成交候选人顺序确定成交人。</w:t>
            </w:r>
          </w:p>
        </w:tc>
      </w:tr>
      <w:tr w14:paraId="69197101">
        <w:tblPrEx>
          <w:tblCellMar>
            <w:top w:w="0" w:type="dxa"/>
            <w:left w:w="108" w:type="dxa"/>
            <w:bottom w:w="0" w:type="dxa"/>
            <w:right w:w="108" w:type="dxa"/>
          </w:tblCellMar>
        </w:tblPrEx>
        <w:trPr>
          <w:trHeight w:val="4833" w:hRule="atLeast"/>
        </w:trPr>
        <w:tc>
          <w:tcPr>
            <w:tcW w:w="670" w:type="dxa"/>
            <w:tcBorders>
              <w:top w:val="single" w:color="auto" w:sz="4" w:space="0"/>
              <w:left w:val="single" w:color="auto" w:sz="4" w:space="0"/>
              <w:bottom w:val="single" w:color="auto" w:sz="4" w:space="0"/>
              <w:right w:val="single" w:color="auto" w:sz="4" w:space="0"/>
            </w:tcBorders>
            <w:vAlign w:val="center"/>
          </w:tcPr>
          <w:p w14:paraId="36854F1C">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1993" w:type="dxa"/>
            <w:tcBorders>
              <w:top w:val="single" w:color="auto" w:sz="4" w:space="0"/>
              <w:left w:val="nil"/>
              <w:bottom w:val="single" w:color="auto" w:sz="4" w:space="0"/>
              <w:right w:val="single" w:color="auto" w:sz="4" w:space="0"/>
            </w:tcBorders>
            <w:vAlign w:val="center"/>
          </w:tcPr>
          <w:p w14:paraId="503F7E3E">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采购最高限价</w:t>
            </w:r>
          </w:p>
          <w:p w14:paraId="1B3D79AB">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报价及费用</w:t>
            </w:r>
            <w:r>
              <w:rPr>
                <w:rFonts w:hint="eastAsia" w:ascii="宋体" w:hAnsi="宋体" w:eastAsia="宋体" w:cs="宋体"/>
                <w:color w:val="auto"/>
                <w:sz w:val="24"/>
                <w:szCs w:val="24"/>
                <w:highlight w:val="none"/>
                <w:lang w:eastAsia="zh-CN"/>
              </w:rPr>
              <w:t>）</w:t>
            </w:r>
          </w:p>
        </w:tc>
        <w:tc>
          <w:tcPr>
            <w:tcW w:w="6395" w:type="dxa"/>
            <w:tcBorders>
              <w:top w:val="single" w:color="auto" w:sz="4" w:space="0"/>
              <w:left w:val="nil"/>
              <w:bottom w:val="single" w:color="auto" w:sz="4" w:space="0"/>
              <w:right w:val="single" w:color="auto" w:sz="4" w:space="0"/>
            </w:tcBorders>
            <w:vAlign w:val="center"/>
          </w:tcPr>
          <w:p w14:paraId="0453CB33">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b/>
                <w:bCs w:val="0"/>
                <w:color w:val="auto"/>
                <w:sz w:val="24"/>
                <w:szCs w:val="24"/>
                <w:highlight w:val="none"/>
              </w:rPr>
            </w:pPr>
            <w:r>
              <w:rPr>
                <w:rFonts w:hint="eastAsia" w:ascii="宋体" w:hAnsi="宋体" w:eastAsia="宋体" w:cs="宋体"/>
                <w:b/>
                <w:bCs/>
                <w:color w:val="auto"/>
                <w:sz w:val="24"/>
                <w:szCs w:val="24"/>
                <w:highlight w:val="none"/>
              </w:rPr>
              <w:t>采购最高限价：</w:t>
            </w:r>
            <w:r>
              <w:rPr>
                <w:rFonts w:hint="eastAsia" w:ascii="宋体" w:hAnsi="宋体" w:eastAsia="宋体" w:cs="宋体"/>
                <w:b/>
                <w:bCs/>
                <w:color w:val="auto"/>
                <w:sz w:val="24"/>
                <w:szCs w:val="24"/>
                <w:highlight w:val="none"/>
                <w:lang w:val="en-US" w:eastAsia="zh-CN"/>
              </w:rPr>
              <w:t>￥76万元，其中一标段53.9万；二标段22.1万。</w:t>
            </w:r>
            <w:r>
              <w:rPr>
                <w:rFonts w:hint="eastAsia" w:ascii="宋体" w:hAnsi="宋体" w:eastAsia="宋体" w:cs="宋体"/>
                <w:b/>
                <w:bCs/>
                <w:color w:val="000000"/>
                <w:sz w:val="24"/>
                <w:szCs w:val="24"/>
                <w:highlight w:val="none"/>
                <w:lang w:bidi="ar"/>
              </w:rPr>
              <w:t>若供应商的投标总报价超过采购预算金额（最高限价）即按废标处理。</w:t>
            </w:r>
          </w:p>
          <w:p w14:paraId="5603EFF5">
            <w:pPr>
              <w:keepNext w:val="0"/>
              <w:keepLines w:val="0"/>
              <w:pageBreakBefore w:val="0"/>
              <w:widowControl/>
              <w:suppressLineNumbers w:val="0"/>
              <w:kinsoku w:val="0"/>
              <w:wordWrap/>
              <w:bidi w:val="0"/>
              <w:adjustRightInd w:val="0"/>
              <w:snapToGrid w:val="0"/>
              <w:spacing w:line="360" w:lineRule="auto"/>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1．本项目应以人民币报价，供应商应就该项目完整投标（报价应包含服务费、税费、售后服务费等综合费用），采购人不另外支付其他任何费用。</w:t>
            </w:r>
          </w:p>
          <w:p w14:paraId="51C1A112">
            <w:pPr>
              <w:keepNext w:val="0"/>
              <w:keepLines w:val="0"/>
              <w:pageBreakBefore w:val="0"/>
              <w:widowControl/>
              <w:suppressLineNumbers w:val="0"/>
              <w:kinsoku w:val="0"/>
              <w:wordWrap/>
              <w:bidi w:val="0"/>
              <w:adjustRightInd w:val="0"/>
              <w:snapToGrid w:val="0"/>
              <w:spacing w:line="360" w:lineRule="auto"/>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2.代理报酬的计算方法按以下方式执行：参照豫招协[2023]002号河南省招标投标协会关于印发《河南省招标代理服务收费指导意见》规定的收费标准收取，由中标人缴纳中标服务费。</w:t>
            </w:r>
          </w:p>
        </w:tc>
      </w:tr>
      <w:tr w14:paraId="084656D4">
        <w:tblPrEx>
          <w:tblCellMar>
            <w:top w:w="0" w:type="dxa"/>
            <w:left w:w="108" w:type="dxa"/>
            <w:bottom w:w="0" w:type="dxa"/>
            <w:right w:w="108" w:type="dxa"/>
          </w:tblCellMar>
        </w:tblPrEx>
        <w:trPr>
          <w:trHeight w:val="556" w:hRule="atLeast"/>
        </w:trPr>
        <w:tc>
          <w:tcPr>
            <w:tcW w:w="670" w:type="dxa"/>
            <w:tcBorders>
              <w:top w:val="single" w:color="auto" w:sz="4" w:space="0"/>
              <w:left w:val="single" w:color="auto" w:sz="4" w:space="0"/>
              <w:bottom w:val="single" w:color="auto" w:sz="4" w:space="0"/>
              <w:right w:val="single" w:color="auto" w:sz="4" w:space="0"/>
            </w:tcBorders>
            <w:vAlign w:val="center"/>
          </w:tcPr>
          <w:p w14:paraId="2B774250">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1993" w:type="dxa"/>
            <w:tcBorders>
              <w:top w:val="single" w:color="auto" w:sz="4" w:space="0"/>
              <w:left w:val="nil"/>
              <w:bottom w:val="single" w:color="auto" w:sz="4" w:space="0"/>
              <w:right w:val="single" w:color="auto" w:sz="4" w:space="0"/>
            </w:tcBorders>
            <w:vAlign w:val="center"/>
          </w:tcPr>
          <w:p w14:paraId="493DCBE1">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付款办法</w:t>
            </w:r>
          </w:p>
        </w:tc>
        <w:tc>
          <w:tcPr>
            <w:tcW w:w="6395" w:type="dxa"/>
            <w:tcBorders>
              <w:top w:val="single" w:color="auto" w:sz="4" w:space="0"/>
              <w:left w:val="nil"/>
              <w:bottom w:val="single" w:color="auto" w:sz="4" w:space="0"/>
              <w:right w:val="single" w:color="auto" w:sz="4" w:space="0"/>
            </w:tcBorders>
            <w:vAlign w:val="center"/>
          </w:tcPr>
          <w:p w14:paraId="60834723">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按灵宝市财政项目资金拨付程序付款。</w:t>
            </w:r>
          </w:p>
        </w:tc>
      </w:tr>
      <w:tr w14:paraId="3EF8B495">
        <w:tblPrEx>
          <w:tblCellMar>
            <w:top w:w="0" w:type="dxa"/>
            <w:left w:w="108" w:type="dxa"/>
            <w:bottom w:w="0" w:type="dxa"/>
            <w:right w:w="108" w:type="dxa"/>
          </w:tblCellMar>
        </w:tblPrEx>
        <w:trPr>
          <w:trHeight w:val="556" w:hRule="atLeast"/>
        </w:trPr>
        <w:tc>
          <w:tcPr>
            <w:tcW w:w="670" w:type="dxa"/>
            <w:tcBorders>
              <w:top w:val="single" w:color="auto" w:sz="4" w:space="0"/>
              <w:left w:val="single" w:color="auto" w:sz="4" w:space="0"/>
              <w:bottom w:val="single" w:color="auto" w:sz="4" w:space="0"/>
              <w:right w:val="single" w:color="auto" w:sz="4" w:space="0"/>
            </w:tcBorders>
            <w:vAlign w:val="center"/>
          </w:tcPr>
          <w:p w14:paraId="1F7186C5">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31</w:t>
            </w:r>
          </w:p>
        </w:tc>
        <w:tc>
          <w:tcPr>
            <w:tcW w:w="1993" w:type="dxa"/>
            <w:tcBorders>
              <w:top w:val="single" w:color="auto" w:sz="4" w:space="0"/>
              <w:left w:val="nil"/>
              <w:bottom w:val="single" w:color="auto" w:sz="4" w:space="0"/>
              <w:right w:val="single" w:color="auto" w:sz="4" w:space="0"/>
            </w:tcBorders>
            <w:vAlign w:val="center"/>
          </w:tcPr>
          <w:p w14:paraId="0FD76194">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履约保证金</w:t>
            </w:r>
          </w:p>
        </w:tc>
        <w:tc>
          <w:tcPr>
            <w:tcW w:w="6395" w:type="dxa"/>
            <w:tcBorders>
              <w:top w:val="single" w:color="auto" w:sz="4" w:space="0"/>
              <w:left w:val="nil"/>
              <w:bottom w:val="single" w:color="auto" w:sz="4" w:space="0"/>
              <w:right w:val="single" w:color="auto" w:sz="4" w:space="0"/>
            </w:tcBorders>
            <w:vAlign w:val="center"/>
          </w:tcPr>
          <w:p w14:paraId="491DB14B">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无</w:t>
            </w:r>
          </w:p>
        </w:tc>
      </w:tr>
      <w:tr w14:paraId="5F441DA8">
        <w:tblPrEx>
          <w:tblCellMar>
            <w:top w:w="0" w:type="dxa"/>
            <w:left w:w="108" w:type="dxa"/>
            <w:bottom w:w="0" w:type="dxa"/>
            <w:right w:w="108" w:type="dxa"/>
          </w:tblCellMar>
        </w:tblPrEx>
        <w:trPr>
          <w:trHeight w:val="982" w:hRule="atLeast"/>
        </w:trPr>
        <w:tc>
          <w:tcPr>
            <w:tcW w:w="670" w:type="dxa"/>
            <w:tcBorders>
              <w:top w:val="single" w:color="auto" w:sz="4" w:space="0"/>
              <w:left w:val="single" w:color="auto" w:sz="4" w:space="0"/>
              <w:bottom w:val="single" w:color="auto" w:sz="4" w:space="0"/>
              <w:right w:val="single" w:color="auto" w:sz="4" w:space="0"/>
            </w:tcBorders>
            <w:vAlign w:val="center"/>
          </w:tcPr>
          <w:p w14:paraId="25852B2D">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32</w:t>
            </w:r>
          </w:p>
        </w:tc>
        <w:tc>
          <w:tcPr>
            <w:tcW w:w="1993" w:type="dxa"/>
            <w:tcBorders>
              <w:top w:val="single" w:color="auto" w:sz="4" w:space="0"/>
              <w:left w:val="nil"/>
              <w:bottom w:val="single" w:color="auto" w:sz="4" w:space="0"/>
              <w:right w:val="single" w:color="auto" w:sz="4" w:space="0"/>
            </w:tcBorders>
            <w:vAlign w:val="center"/>
          </w:tcPr>
          <w:p w14:paraId="3ADDA520">
            <w:pPr>
              <w:keepNext w:val="0"/>
              <w:keepLines w:val="0"/>
              <w:pageBreakBefore w:val="0"/>
              <w:widowControl/>
              <w:suppressLineNumbers w:val="0"/>
              <w:kinsoku w:val="0"/>
              <w:wordWrap/>
              <w:bidi w:val="0"/>
              <w:adjustRightInd w:val="0"/>
              <w:snapToGrid w:val="0"/>
              <w:spacing w:line="360" w:lineRule="auto"/>
              <w:ind w:left="0" w:leftChars="0" w:right="0" w:right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专门面向中小企业采购</w:t>
            </w:r>
          </w:p>
        </w:tc>
        <w:tc>
          <w:tcPr>
            <w:tcW w:w="6395" w:type="dxa"/>
            <w:tcBorders>
              <w:top w:val="single" w:color="auto" w:sz="4" w:space="0"/>
              <w:left w:val="nil"/>
              <w:bottom w:val="single" w:color="auto" w:sz="4" w:space="0"/>
              <w:right w:val="single" w:color="auto" w:sz="4" w:space="0"/>
            </w:tcBorders>
            <w:vAlign w:val="center"/>
          </w:tcPr>
          <w:p w14:paraId="78FDA75E">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本项目或相关采购包是否专门面向中小企业采购：否</w:t>
            </w:r>
          </w:p>
        </w:tc>
      </w:tr>
      <w:tr w14:paraId="4E4D8ED9">
        <w:tblPrEx>
          <w:tblCellMar>
            <w:top w:w="0" w:type="dxa"/>
            <w:left w:w="108" w:type="dxa"/>
            <w:bottom w:w="0" w:type="dxa"/>
            <w:right w:w="108" w:type="dxa"/>
          </w:tblCellMar>
        </w:tblPrEx>
        <w:trPr>
          <w:trHeight w:val="697" w:hRule="atLeast"/>
        </w:trPr>
        <w:tc>
          <w:tcPr>
            <w:tcW w:w="670" w:type="dxa"/>
            <w:tcBorders>
              <w:top w:val="single" w:color="auto" w:sz="4" w:space="0"/>
              <w:left w:val="single" w:color="auto" w:sz="4" w:space="0"/>
              <w:bottom w:val="single" w:color="auto" w:sz="4" w:space="0"/>
              <w:right w:val="single" w:color="auto" w:sz="4" w:space="0"/>
            </w:tcBorders>
            <w:vAlign w:val="center"/>
          </w:tcPr>
          <w:p w14:paraId="48E073A6">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33</w:t>
            </w:r>
          </w:p>
        </w:tc>
        <w:tc>
          <w:tcPr>
            <w:tcW w:w="1993" w:type="dxa"/>
            <w:tcBorders>
              <w:top w:val="single" w:color="auto" w:sz="4" w:space="0"/>
              <w:left w:val="nil"/>
              <w:bottom w:val="single" w:color="auto" w:sz="4" w:space="0"/>
              <w:right w:val="single" w:color="auto" w:sz="4" w:space="0"/>
            </w:tcBorders>
            <w:vAlign w:val="center"/>
          </w:tcPr>
          <w:p w14:paraId="416EBB2F">
            <w:pPr>
              <w:keepNext w:val="0"/>
              <w:keepLines w:val="0"/>
              <w:pageBreakBefore w:val="0"/>
              <w:widowControl/>
              <w:suppressLineNumbers w:val="0"/>
              <w:kinsoku w:val="0"/>
              <w:wordWrap/>
              <w:bidi w:val="0"/>
              <w:adjustRightInd w:val="0"/>
              <w:snapToGrid w:val="0"/>
              <w:spacing w:line="360" w:lineRule="auto"/>
              <w:ind w:left="0" w:leftChars="0" w:right="0" w:righ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
              </w:rPr>
              <w:t>中小微企业扶持政策</w:t>
            </w:r>
          </w:p>
        </w:tc>
        <w:tc>
          <w:tcPr>
            <w:tcW w:w="6395" w:type="dxa"/>
            <w:tcBorders>
              <w:top w:val="single" w:color="auto" w:sz="4" w:space="0"/>
              <w:left w:val="nil"/>
              <w:bottom w:val="single" w:color="auto" w:sz="4" w:space="0"/>
              <w:right w:val="single" w:color="auto" w:sz="4" w:space="0"/>
            </w:tcBorders>
            <w:vAlign w:val="center"/>
          </w:tcPr>
          <w:p w14:paraId="2A1BC111">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在政府采购活动中，供应商提供的货物、工程或者服务符合下列情形的，享受本办法规定的中小微企业扶持政策： </w:t>
            </w:r>
          </w:p>
          <w:p w14:paraId="133A9322">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（一）在货物采购项目中，货物由中小微企业制造，即货物由中小微企业生产且使用该中小微企业商号或者注册商标； </w:t>
            </w:r>
          </w:p>
          <w:p w14:paraId="0A0F0FC4">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（二）在工程采购项目中，工程由中小微企业承建，即工程施工单位为中小微企业； </w:t>
            </w:r>
          </w:p>
          <w:p w14:paraId="50A3C2E2">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（三）在服务采购项目中，服务由中小微企业承接，即提供服务的人员为中小微企业依照《中华人民共和国劳动合同法》订立劳动合同的从业人员。 </w:t>
            </w:r>
          </w:p>
          <w:p w14:paraId="4AA3CFC0">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在货物采购项目中，供应商提供的货物既有中小微企业制造货物，也有大型企业制造货物的，不享受本办法规定的中小微企业扶持政策。</w:t>
            </w:r>
          </w:p>
          <w:p w14:paraId="0DC0EE35">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以联合体形式参加政府采购活动，联合体各方均为中小微企业的，联合体视同中小微企业。其中，联合体各方均为小微企业的，联合体视同小微企业。</w:t>
            </w:r>
          </w:p>
        </w:tc>
      </w:tr>
      <w:tr w14:paraId="243BB9A4">
        <w:tblPrEx>
          <w:tblCellMar>
            <w:top w:w="0" w:type="dxa"/>
            <w:left w:w="108" w:type="dxa"/>
            <w:bottom w:w="0" w:type="dxa"/>
            <w:right w:w="108" w:type="dxa"/>
          </w:tblCellMar>
        </w:tblPrEx>
        <w:trPr>
          <w:trHeight w:val="2657" w:hRule="atLeast"/>
        </w:trPr>
        <w:tc>
          <w:tcPr>
            <w:tcW w:w="670" w:type="dxa"/>
            <w:tcBorders>
              <w:top w:val="single" w:color="auto" w:sz="4" w:space="0"/>
              <w:left w:val="single" w:color="auto" w:sz="4" w:space="0"/>
              <w:bottom w:val="single" w:color="auto" w:sz="4" w:space="0"/>
              <w:right w:val="single" w:color="auto" w:sz="4" w:space="0"/>
            </w:tcBorders>
            <w:vAlign w:val="center"/>
          </w:tcPr>
          <w:p w14:paraId="6A5A33F3">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w:t>
            </w:r>
          </w:p>
        </w:tc>
        <w:tc>
          <w:tcPr>
            <w:tcW w:w="1993" w:type="dxa"/>
            <w:tcBorders>
              <w:top w:val="single" w:color="auto" w:sz="4" w:space="0"/>
              <w:left w:val="nil"/>
              <w:bottom w:val="single" w:color="auto" w:sz="4" w:space="0"/>
              <w:right w:val="single" w:color="auto" w:sz="4" w:space="0"/>
            </w:tcBorders>
            <w:vAlign w:val="center"/>
          </w:tcPr>
          <w:p w14:paraId="353676D2">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所属行业</w:t>
            </w:r>
          </w:p>
        </w:tc>
        <w:tc>
          <w:tcPr>
            <w:tcW w:w="6395" w:type="dxa"/>
            <w:tcBorders>
              <w:top w:val="single" w:color="auto" w:sz="4" w:space="0"/>
              <w:left w:val="nil"/>
              <w:bottom w:val="single" w:color="auto" w:sz="4" w:space="0"/>
              <w:right w:val="single" w:color="auto" w:sz="4" w:space="0"/>
            </w:tcBorders>
            <w:vAlign w:val="center"/>
          </w:tcPr>
          <w:p w14:paraId="1EE2F470">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依据“关于印发中小微企业划型标准规定的通知 工信部联企业〔2011〕300 号”本项目属于农、林、牧、渔业：营业收入 20000 万元以下的为中小微型企业。其中，营业收入 500万元及以上的为中型企业；营业收入 50 万元及以上的为小型企业；营业收入 50 万元以下的为微型企业。</w:t>
            </w:r>
          </w:p>
        </w:tc>
      </w:tr>
      <w:tr w14:paraId="36EF3D1B">
        <w:tblPrEx>
          <w:tblCellMar>
            <w:top w:w="0" w:type="dxa"/>
            <w:left w:w="108" w:type="dxa"/>
            <w:bottom w:w="0" w:type="dxa"/>
            <w:right w:w="108" w:type="dxa"/>
          </w:tblCellMar>
        </w:tblPrEx>
        <w:trPr>
          <w:trHeight w:val="2215" w:hRule="atLeast"/>
        </w:trPr>
        <w:tc>
          <w:tcPr>
            <w:tcW w:w="670" w:type="dxa"/>
            <w:tcBorders>
              <w:top w:val="single" w:color="auto" w:sz="4" w:space="0"/>
              <w:left w:val="single" w:color="auto" w:sz="4" w:space="0"/>
              <w:bottom w:val="single" w:color="auto" w:sz="4" w:space="0"/>
              <w:right w:val="single" w:color="auto" w:sz="4" w:space="0"/>
            </w:tcBorders>
            <w:vAlign w:val="center"/>
          </w:tcPr>
          <w:p w14:paraId="41948EED">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w:t>
            </w:r>
          </w:p>
        </w:tc>
        <w:tc>
          <w:tcPr>
            <w:tcW w:w="1993" w:type="dxa"/>
            <w:tcBorders>
              <w:top w:val="single" w:color="auto" w:sz="4" w:space="0"/>
              <w:left w:val="nil"/>
              <w:bottom w:val="single" w:color="auto" w:sz="4" w:space="0"/>
              <w:right w:val="single" w:color="auto" w:sz="4" w:space="0"/>
            </w:tcBorders>
            <w:vAlign w:val="center"/>
          </w:tcPr>
          <w:p w14:paraId="40E09429">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是否实行计算机辅助评标</w:t>
            </w:r>
          </w:p>
        </w:tc>
        <w:tc>
          <w:tcPr>
            <w:tcW w:w="6395" w:type="dxa"/>
            <w:tcBorders>
              <w:top w:val="single" w:color="auto" w:sz="4" w:space="0"/>
              <w:left w:val="nil"/>
              <w:bottom w:val="single" w:color="auto" w:sz="4" w:space="0"/>
              <w:right w:val="single" w:color="auto" w:sz="4" w:space="0"/>
            </w:tcBorders>
            <w:vAlign w:val="center"/>
          </w:tcPr>
          <w:p w14:paraId="142BAC3F">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w:t>
            </w:r>
          </w:p>
          <w:p w14:paraId="141F0D25">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供应商须独立制作、修改和上传投标文件，若因“投标文件制作机器码”与其他供应商一致，机器码一致的所有投标文件按无效文件处理，所造成的不良后果由供应商自行承担。</w:t>
            </w:r>
          </w:p>
        </w:tc>
      </w:tr>
      <w:tr w14:paraId="5657D6D2">
        <w:tblPrEx>
          <w:tblCellMar>
            <w:top w:w="0" w:type="dxa"/>
            <w:left w:w="108" w:type="dxa"/>
            <w:bottom w:w="0" w:type="dxa"/>
            <w:right w:w="108" w:type="dxa"/>
          </w:tblCellMar>
        </w:tblPrEx>
        <w:trPr>
          <w:trHeight w:val="1463" w:hRule="atLeast"/>
        </w:trPr>
        <w:tc>
          <w:tcPr>
            <w:tcW w:w="670" w:type="dxa"/>
            <w:tcBorders>
              <w:top w:val="single" w:color="auto" w:sz="4" w:space="0"/>
              <w:left w:val="single" w:color="auto" w:sz="4" w:space="0"/>
              <w:bottom w:val="single" w:color="auto" w:sz="4" w:space="0"/>
              <w:right w:val="single" w:color="auto" w:sz="4" w:space="0"/>
            </w:tcBorders>
            <w:vAlign w:val="center"/>
          </w:tcPr>
          <w:p w14:paraId="71BE37A0">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w:t>
            </w:r>
          </w:p>
        </w:tc>
        <w:tc>
          <w:tcPr>
            <w:tcW w:w="1993" w:type="dxa"/>
            <w:tcBorders>
              <w:top w:val="single" w:color="auto" w:sz="4" w:space="0"/>
              <w:left w:val="nil"/>
              <w:bottom w:val="single" w:color="auto" w:sz="4" w:space="0"/>
              <w:right w:val="single" w:color="auto" w:sz="4" w:space="0"/>
            </w:tcBorders>
            <w:vAlign w:val="center"/>
          </w:tcPr>
          <w:p w14:paraId="007ABFDA">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代表出席开标会</w:t>
            </w:r>
          </w:p>
        </w:tc>
        <w:tc>
          <w:tcPr>
            <w:tcW w:w="6395" w:type="dxa"/>
            <w:tcBorders>
              <w:top w:val="single" w:color="auto" w:sz="4" w:space="0"/>
              <w:left w:val="nil"/>
              <w:bottom w:val="single" w:color="auto" w:sz="4" w:space="0"/>
              <w:right w:val="single" w:color="auto" w:sz="4" w:space="0"/>
            </w:tcBorders>
            <w:vAlign w:val="center"/>
          </w:tcPr>
          <w:p w14:paraId="624E9E84">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所有投标供应商的法定代表人或其委托代理人无需到现场参加开标会议，仔细阅读磋商文件和三门峡市公共资源交易中心官网业务办理指南</w:t>
            </w:r>
          </w:p>
        </w:tc>
      </w:tr>
      <w:tr w14:paraId="4CA89579">
        <w:tblPrEx>
          <w:tblCellMar>
            <w:top w:w="0" w:type="dxa"/>
            <w:left w:w="108" w:type="dxa"/>
            <w:bottom w:w="0" w:type="dxa"/>
            <w:right w:w="108" w:type="dxa"/>
          </w:tblCellMar>
        </w:tblPrEx>
        <w:trPr>
          <w:trHeight w:val="1463" w:hRule="atLeast"/>
        </w:trPr>
        <w:tc>
          <w:tcPr>
            <w:tcW w:w="670" w:type="dxa"/>
            <w:tcBorders>
              <w:top w:val="single" w:color="auto" w:sz="4" w:space="0"/>
              <w:left w:val="single" w:color="auto" w:sz="4" w:space="0"/>
              <w:bottom w:val="single" w:color="auto" w:sz="4" w:space="0"/>
              <w:right w:val="single" w:color="auto" w:sz="4" w:space="0"/>
            </w:tcBorders>
            <w:vAlign w:val="center"/>
          </w:tcPr>
          <w:p w14:paraId="1D5520A3">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w:t>
            </w:r>
          </w:p>
        </w:tc>
        <w:tc>
          <w:tcPr>
            <w:tcW w:w="1993" w:type="dxa"/>
            <w:tcBorders>
              <w:top w:val="single" w:color="auto" w:sz="4" w:space="0"/>
              <w:left w:val="nil"/>
              <w:bottom w:val="single" w:color="auto" w:sz="4" w:space="0"/>
              <w:right w:val="single" w:color="auto" w:sz="4" w:space="0"/>
            </w:tcBorders>
            <w:vAlign w:val="center"/>
          </w:tcPr>
          <w:p w14:paraId="33F52228">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结果公示</w:t>
            </w:r>
          </w:p>
        </w:tc>
        <w:tc>
          <w:tcPr>
            <w:tcW w:w="6395" w:type="dxa"/>
            <w:tcBorders>
              <w:top w:val="single" w:color="auto" w:sz="4" w:space="0"/>
              <w:left w:val="nil"/>
              <w:bottom w:val="single" w:color="auto" w:sz="4" w:space="0"/>
              <w:right w:val="single" w:color="auto" w:sz="4" w:space="0"/>
            </w:tcBorders>
            <w:vAlign w:val="center"/>
          </w:tcPr>
          <w:p w14:paraId="6C36EA3F">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在成交通知书发出前，采购人将成交候选人的情况在本招标项目招标公告发布的同一媒介、交易中心予以公示，接受社会监督</w:t>
            </w:r>
          </w:p>
        </w:tc>
      </w:tr>
      <w:tr w14:paraId="3C14AC30">
        <w:tblPrEx>
          <w:tblCellMar>
            <w:top w:w="0" w:type="dxa"/>
            <w:left w:w="108" w:type="dxa"/>
            <w:bottom w:w="0" w:type="dxa"/>
            <w:right w:w="108" w:type="dxa"/>
          </w:tblCellMar>
        </w:tblPrEx>
        <w:trPr>
          <w:trHeight w:val="2215" w:hRule="atLeast"/>
        </w:trPr>
        <w:tc>
          <w:tcPr>
            <w:tcW w:w="670" w:type="dxa"/>
            <w:tcBorders>
              <w:top w:val="single" w:color="auto" w:sz="4" w:space="0"/>
              <w:left w:val="single" w:color="auto" w:sz="4" w:space="0"/>
              <w:bottom w:val="single" w:color="auto" w:sz="4" w:space="0"/>
              <w:right w:val="single" w:color="auto" w:sz="4" w:space="0"/>
            </w:tcBorders>
            <w:vAlign w:val="center"/>
          </w:tcPr>
          <w:p w14:paraId="1FFFACC5">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w:t>
            </w:r>
          </w:p>
        </w:tc>
        <w:tc>
          <w:tcPr>
            <w:tcW w:w="1993" w:type="dxa"/>
            <w:tcBorders>
              <w:top w:val="single" w:color="auto" w:sz="4" w:space="0"/>
              <w:left w:val="nil"/>
              <w:bottom w:val="single" w:color="auto" w:sz="4" w:space="0"/>
              <w:right w:val="single" w:color="auto" w:sz="4" w:space="0"/>
            </w:tcBorders>
            <w:vAlign w:val="center"/>
          </w:tcPr>
          <w:p w14:paraId="497AC65E">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知识产权</w:t>
            </w:r>
          </w:p>
        </w:tc>
        <w:tc>
          <w:tcPr>
            <w:tcW w:w="6395" w:type="dxa"/>
            <w:tcBorders>
              <w:top w:val="single" w:color="auto" w:sz="4" w:space="0"/>
              <w:left w:val="nil"/>
              <w:bottom w:val="single" w:color="auto" w:sz="4" w:space="0"/>
              <w:right w:val="single" w:color="auto" w:sz="4" w:space="0"/>
            </w:tcBorders>
            <w:vAlign w:val="center"/>
          </w:tcPr>
          <w:p w14:paraId="03EAF722">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构成本竞争性磋商文件各个组成部分的文件，未经采购人书面同意，供应商不得擅自复印和用于非本招标项目所需的其他目的。采购人全部或者部分使用未成交人投标文件中的技术成果或技术方案时，需征得其书面同意，并不得擅自复印或提供给第三人</w:t>
            </w:r>
          </w:p>
        </w:tc>
      </w:tr>
      <w:tr w14:paraId="503CF4DC">
        <w:tblPrEx>
          <w:tblCellMar>
            <w:top w:w="0" w:type="dxa"/>
            <w:left w:w="108" w:type="dxa"/>
            <w:bottom w:w="0" w:type="dxa"/>
            <w:right w:w="108" w:type="dxa"/>
          </w:tblCellMar>
        </w:tblPrEx>
        <w:trPr>
          <w:trHeight w:val="1463" w:hRule="atLeast"/>
        </w:trPr>
        <w:tc>
          <w:tcPr>
            <w:tcW w:w="670" w:type="dxa"/>
            <w:tcBorders>
              <w:top w:val="single" w:color="auto" w:sz="4" w:space="0"/>
              <w:left w:val="single" w:color="auto" w:sz="4" w:space="0"/>
              <w:bottom w:val="single" w:color="auto" w:sz="4" w:space="0"/>
              <w:right w:val="single" w:color="auto" w:sz="4" w:space="0"/>
            </w:tcBorders>
            <w:vAlign w:val="center"/>
          </w:tcPr>
          <w:p w14:paraId="411187D6">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39</w:t>
            </w:r>
          </w:p>
        </w:tc>
        <w:tc>
          <w:tcPr>
            <w:tcW w:w="1993" w:type="dxa"/>
            <w:tcBorders>
              <w:top w:val="single" w:color="auto" w:sz="4" w:space="0"/>
              <w:left w:val="nil"/>
              <w:bottom w:val="single" w:color="auto" w:sz="4" w:space="0"/>
              <w:right w:val="single" w:color="auto" w:sz="4" w:space="0"/>
            </w:tcBorders>
            <w:vAlign w:val="center"/>
          </w:tcPr>
          <w:p w14:paraId="2682F442">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重新招标的其他情形</w:t>
            </w:r>
          </w:p>
        </w:tc>
        <w:tc>
          <w:tcPr>
            <w:tcW w:w="6395" w:type="dxa"/>
            <w:tcBorders>
              <w:top w:val="single" w:color="auto" w:sz="4" w:space="0"/>
              <w:left w:val="nil"/>
              <w:bottom w:val="single" w:color="auto" w:sz="4" w:space="0"/>
              <w:right w:val="single" w:color="auto" w:sz="4" w:space="0"/>
            </w:tcBorders>
            <w:vAlign w:val="center"/>
          </w:tcPr>
          <w:p w14:paraId="0DFABD3D">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除供应商须知正文第8条规定的情形外，经评标委员会评审，认为所有投标文件都不符合竞争性磋商文件要求的，可以否决所有投标文件，并在评标纪要上详细说明理由</w:t>
            </w:r>
          </w:p>
        </w:tc>
      </w:tr>
      <w:tr w14:paraId="5EC274E8">
        <w:tblPrEx>
          <w:tblCellMar>
            <w:top w:w="0" w:type="dxa"/>
            <w:left w:w="108" w:type="dxa"/>
            <w:bottom w:w="0" w:type="dxa"/>
            <w:right w:w="108" w:type="dxa"/>
          </w:tblCellMar>
        </w:tblPrEx>
        <w:trPr>
          <w:trHeight w:val="982" w:hRule="atLeast"/>
        </w:trPr>
        <w:tc>
          <w:tcPr>
            <w:tcW w:w="670" w:type="dxa"/>
            <w:tcBorders>
              <w:top w:val="single" w:color="auto" w:sz="4" w:space="0"/>
              <w:left w:val="single" w:color="auto" w:sz="4" w:space="0"/>
              <w:bottom w:val="single" w:color="auto" w:sz="4" w:space="0"/>
              <w:right w:val="single" w:color="auto" w:sz="4" w:space="0"/>
            </w:tcBorders>
            <w:vAlign w:val="center"/>
          </w:tcPr>
          <w:p w14:paraId="5CA750DC">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c>
          <w:tcPr>
            <w:tcW w:w="1993" w:type="dxa"/>
            <w:tcBorders>
              <w:top w:val="single" w:color="auto" w:sz="4" w:space="0"/>
              <w:left w:val="nil"/>
              <w:bottom w:val="single" w:color="auto" w:sz="4" w:space="0"/>
              <w:right w:val="single" w:color="auto" w:sz="4" w:space="0"/>
            </w:tcBorders>
            <w:vAlign w:val="center"/>
          </w:tcPr>
          <w:p w14:paraId="746081E0">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w:t>
            </w:r>
          </w:p>
        </w:tc>
        <w:tc>
          <w:tcPr>
            <w:tcW w:w="6395" w:type="dxa"/>
            <w:tcBorders>
              <w:top w:val="single" w:color="auto" w:sz="4" w:space="0"/>
              <w:left w:val="nil"/>
              <w:bottom w:val="single" w:color="auto" w:sz="4" w:space="0"/>
              <w:right w:val="single" w:color="auto" w:sz="4" w:space="0"/>
            </w:tcBorders>
            <w:vAlign w:val="center"/>
          </w:tcPr>
          <w:p w14:paraId="7232D552">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本项目的招标投标活动及其相关当事人应当接受有管辖权的建设工程招标投标行政监督部门依法实施的监督</w:t>
            </w:r>
          </w:p>
        </w:tc>
      </w:tr>
      <w:tr w14:paraId="7C896A2E">
        <w:tblPrEx>
          <w:tblCellMar>
            <w:top w:w="0" w:type="dxa"/>
            <w:left w:w="108" w:type="dxa"/>
            <w:bottom w:w="0" w:type="dxa"/>
            <w:right w:w="108" w:type="dxa"/>
          </w:tblCellMar>
        </w:tblPrEx>
        <w:trPr>
          <w:trHeight w:val="4421" w:hRule="atLeast"/>
        </w:trPr>
        <w:tc>
          <w:tcPr>
            <w:tcW w:w="670" w:type="dxa"/>
            <w:tcBorders>
              <w:top w:val="single" w:color="auto" w:sz="4" w:space="0"/>
              <w:left w:val="single" w:color="auto" w:sz="4" w:space="0"/>
              <w:bottom w:val="single" w:color="auto" w:sz="4" w:space="0"/>
              <w:right w:val="single" w:color="auto" w:sz="4" w:space="0"/>
            </w:tcBorders>
            <w:vAlign w:val="center"/>
          </w:tcPr>
          <w:p w14:paraId="76E84DDC">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w:t>
            </w:r>
          </w:p>
        </w:tc>
        <w:tc>
          <w:tcPr>
            <w:tcW w:w="1993" w:type="dxa"/>
            <w:tcBorders>
              <w:top w:val="single" w:color="auto" w:sz="4" w:space="0"/>
              <w:left w:val="nil"/>
              <w:bottom w:val="single" w:color="auto" w:sz="4" w:space="0"/>
              <w:right w:val="single" w:color="auto" w:sz="4" w:space="0"/>
            </w:tcBorders>
            <w:vAlign w:val="center"/>
          </w:tcPr>
          <w:p w14:paraId="06C5E80A">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解释权</w:t>
            </w:r>
          </w:p>
        </w:tc>
        <w:tc>
          <w:tcPr>
            <w:tcW w:w="6395" w:type="dxa"/>
            <w:tcBorders>
              <w:top w:val="single" w:color="auto" w:sz="4" w:space="0"/>
              <w:left w:val="nil"/>
              <w:bottom w:val="single" w:color="auto" w:sz="4" w:space="0"/>
              <w:right w:val="single" w:color="auto" w:sz="4" w:space="0"/>
            </w:tcBorders>
            <w:vAlign w:val="center"/>
          </w:tcPr>
          <w:p w14:paraId="1981371C">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构成本竞争性磋商文件的各个组成部分应互为解释，互为说明，如有不明确或不一致，构成合同文件组成内容，以合同文件约定内容为准，且以专用合同草案约定的合同文件优先顺序解释；除竞争性磋商文件中有特别规定外，仅适用于招标投标阶段的规定，按招标公告（投标邀请书）、评标办法、投标文件格式的先后顺序解释；同一组成文件中就同一事项的规定或约定不一致的，以编排顺序在后者为准；同一组成文件不同版本之间有不一致的，已形成时间在后者为准。按本款前述规定仍不能形成结论的，由采购人或委托代理机构负责解释。</w:t>
            </w:r>
          </w:p>
        </w:tc>
      </w:tr>
      <w:tr w14:paraId="1C739CDE">
        <w:tblPrEx>
          <w:tblCellMar>
            <w:top w:w="0" w:type="dxa"/>
            <w:left w:w="108" w:type="dxa"/>
            <w:bottom w:w="0" w:type="dxa"/>
            <w:right w:w="108" w:type="dxa"/>
          </w:tblCellMar>
        </w:tblPrEx>
        <w:trPr>
          <w:trHeight w:val="5359" w:hRule="atLeast"/>
        </w:trPr>
        <w:tc>
          <w:tcPr>
            <w:tcW w:w="670" w:type="dxa"/>
            <w:tcBorders>
              <w:top w:val="single" w:color="auto" w:sz="4" w:space="0"/>
              <w:left w:val="single" w:color="auto" w:sz="4" w:space="0"/>
              <w:bottom w:val="single" w:color="auto" w:sz="4" w:space="0"/>
              <w:right w:val="single" w:color="auto" w:sz="4" w:space="0"/>
            </w:tcBorders>
            <w:vAlign w:val="center"/>
          </w:tcPr>
          <w:p w14:paraId="6E13E5C4">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p>
        </w:tc>
        <w:tc>
          <w:tcPr>
            <w:tcW w:w="1993" w:type="dxa"/>
            <w:tcBorders>
              <w:top w:val="single" w:color="auto" w:sz="4" w:space="0"/>
              <w:left w:val="nil"/>
              <w:bottom w:val="single" w:color="auto" w:sz="4" w:space="0"/>
              <w:right w:val="single" w:color="auto" w:sz="4" w:space="0"/>
            </w:tcBorders>
            <w:vAlign w:val="center"/>
          </w:tcPr>
          <w:p w14:paraId="613B8E87">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质疑</w:t>
            </w:r>
          </w:p>
        </w:tc>
        <w:tc>
          <w:tcPr>
            <w:tcW w:w="6395" w:type="dxa"/>
            <w:tcBorders>
              <w:top w:val="single" w:color="auto" w:sz="4" w:space="0"/>
              <w:left w:val="nil"/>
              <w:bottom w:val="single" w:color="auto" w:sz="4" w:space="0"/>
              <w:right w:val="single" w:color="auto" w:sz="4" w:space="0"/>
            </w:tcBorders>
          </w:tcPr>
          <w:p w14:paraId="64DDF2F4">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b w:val="0"/>
                <w:bCs w:val="0"/>
                <w:color w:val="auto"/>
                <w:kern w:val="44"/>
                <w:sz w:val="24"/>
                <w:szCs w:val="24"/>
                <w:highlight w:val="none"/>
              </w:rPr>
            </w:pPr>
            <w:r>
              <w:rPr>
                <w:rFonts w:hint="eastAsia" w:ascii="宋体" w:hAnsi="宋体" w:eastAsia="宋体" w:cs="宋体"/>
                <w:b w:val="0"/>
                <w:bCs w:val="0"/>
                <w:color w:val="auto"/>
                <w:kern w:val="44"/>
                <w:sz w:val="24"/>
                <w:szCs w:val="24"/>
                <w:highlight w:val="none"/>
                <w:lang w:val="en-US" w:eastAsia="zh-CN"/>
              </w:rPr>
              <w:t>一、</w:t>
            </w:r>
            <w:r>
              <w:rPr>
                <w:rFonts w:hint="eastAsia" w:ascii="宋体" w:hAnsi="宋体" w:eastAsia="宋体" w:cs="宋体"/>
                <w:b w:val="0"/>
                <w:bCs w:val="0"/>
                <w:color w:val="auto"/>
                <w:kern w:val="44"/>
                <w:sz w:val="24"/>
                <w:szCs w:val="24"/>
                <w:highlight w:val="none"/>
              </w:rPr>
              <w:t>供应商认为自己的权益受到损害的，可以在知道或者应知其权益受到损害之日起七个工作日内，向采购代理机构提出质疑。</w:t>
            </w:r>
          </w:p>
          <w:p w14:paraId="1F7F929E">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b w:val="0"/>
                <w:bCs w:val="0"/>
                <w:color w:val="auto"/>
                <w:kern w:val="44"/>
                <w:sz w:val="24"/>
                <w:szCs w:val="24"/>
                <w:highlight w:val="none"/>
              </w:rPr>
            </w:pPr>
            <w:r>
              <w:rPr>
                <w:rFonts w:hint="eastAsia" w:ascii="宋体" w:hAnsi="宋体" w:eastAsia="宋体" w:cs="宋体"/>
                <w:b w:val="0"/>
                <w:bCs w:val="0"/>
                <w:color w:val="auto"/>
                <w:kern w:val="44"/>
                <w:sz w:val="24"/>
                <w:szCs w:val="24"/>
                <w:highlight w:val="none"/>
              </w:rPr>
              <w:t>质疑函的内容、格式：应符合《中华人民共和国财政部令第 94 号</w:t>
            </w:r>
            <w:r>
              <w:rPr>
                <w:rFonts w:hint="eastAsia" w:ascii="宋体" w:hAnsi="宋体" w:eastAsia="宋体" w:cs="宋体"/>
                <w:b w:val="0"/>
                <w:bCs w:val="0"/>
                <w:color w:val="auto"/>
                <w:kern w:val="44"/>
                <w:sz w:val="24"/>
                <w:szCs w:val="24"/>
                <w:highlight w:val="none"/>
                <w:lang w:eastAsia="zh-CN"/>
              </w:rPr>
              <w:t>—</w:t>
            </w:r>
            <w:r>
              <w:rPr>
                <w:rFonts w:hint="eastAsia" w:ascii="宋体" w:hAnsi="宋体" w:eastAsia="宋体" w:cs="宋体"/>
                <w:b w:val="0"/>
                <w:bCs w:val="0"/>
                <w:color w:val="auto"/>
                <w:kern w:val="44"/>
                <w:sz w:val="24"/>
                <w:szCs w:val="24"/>
                <w:highlight w:val="none"/>
              </w:rPr>
              <w:t>政府采购质疑和投诉办法》相关规定和财政部门制定的《政府采购质疑函范本》格式。</w:t>
            </w:r>
          </w:p>
          <w:p w14:paraId="43BA57A7">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二、</w:t>
            </w:r>
            <w:r>
              <w:rPr>
                <w:rFonts w:hint="eastAsia" w:ascii="宋体" w:hAnsi="宋体" w:eastAsia="宋体" w:cs="宋体"/>
                <w:b w:val="0"/>
                <w:bCs w:val="0"/>
                <w:color w:val="auto"/>
                <w:kern w:val="44"/>
                <w:sz w:val="24"/>
                <w:szCs w:val="24"/>
                <w:highlight w:val="none"/>
              </w:rPr>
              <w:t>供应商应在法定质疑期内一次性针对同一采购程序环节提出质疑，否则针对再次提出质疑将不予接收。（采购程序环节分为：采购公告、磋商文件、采购过程、成交结果）</w:t>
            </w:r>
          </w:p>
          <w:p w14:paraId="5936886F">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对招标文件的异议：供应商应仔细阅读招标文件所有内容，如有异议应当在招标文件规定的时间（即投标截止时间10日前）内在三门峡市公共资源交易中心平台一次性提出答疑问题并将异议相应的问题可编辑word版本和盖章后的扫描件发送至招标代理机构邮箱1687771614@qq.com（下同），采购人或招标代理机构将在收到异议之日起3日内作出答复。在规定时间内，若供应商未提出异议的，则视同供应商理解并认可招标文件，采购人或招标代理机构将不再接收涉及招标文件的异议。</w:t>
            </w:r>
          </w:p>
          <w:p w14:paraId="6326AC65">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中标公告的异议：供应商或其他利害关系人对本次招标项目的中标公告有异议的，应当在中标公告公示期间在三门峡市公共资源交易中心平台线上提出并按照要求发至招标代理机构邮箱，逾期提出的将不予受理。</w:t>
            </w:r>
          </w:p>
          <w:p w14:paraId="03EA075F">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w:t>
            </w:r>
          </w:p>
          <w:p w14:paraId="5051808B">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（1）供应商提出异议时，应提交异议函和必要的证明材料（质疑函应当包含供应商名称、地址、联系人及联系电话、邮箱；质疑项目的名称、编号；提出异议的日期）。</w:t>
            </w:r>
          </w:p>
          <w:p w14:paraId="041D850C">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异议供应商若委托代理人进行异议的，异议函应列明“授权代表”的有关内容，并在异议函中提交由质疑函供应商签署的授权委托书（法定代表人签字或盖章，并加盖单位公章）。授权委托书应载明委托代理人的姓名、代理事项、具体权限、期限和相关事项。</w:t>
            </w:r>
          </w:p>
          <w:p w14:paraId="35EC3236">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（3）异议函的异议事项应具体、明确，并有必要的事实依据和法律依据。</w:t>
            </w:r>
          </w:p>
          <w:p w14:paraId="2E545EB6">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异议供应商若存在捏造事实、伪造材料、以非法手段取得的证明材料（异议供应商无法证明其取得方式合法的，视为非法手段取得的证明材料）将被采购人列入不良行为记录名单，造成损失的应依法承担相应法律责任。</w:t>
            </w:r>
          </w:p>
        </w:tc>
      </w:tr>
      <w:tr w14:paraId="404CCDC8">
        <w:tblPrEx>
          <w:tblCellMar>
            <w:top w:w="0" w:type="dxa"/>
            <w:left w:w="108" w:type="dxa"/>
            <w:bottom w:w="0" w:type="dxa"/>
            <w:right w:w="108" w:type="dxa"/>
          </w:tblCellMar>
        </w:tblPrEx>
        <w:trPr>
          <w:trHeight w:val="2215" w:hRule="atLeast"/>
        </w:trPr>
        <w:tc>
          <w:tcPr>
            <w:tcW w:w="670" w:type="dxa"/>
            <w:tcBorders>
              <w:top w:val="single" w:color="auto" w:sz="4" w:space="0"/>
              <w:left w:val="single" w:color="auto" w:sz="4" w:space="0"/>
              <w:bottom w:val="single" w:color="auto" w:sz="4" w:space="0"/>
              <w:right w:val="single" w:color="auto" w:sz="4" w:space="0"/>
            </w:tcBorders>
            <w:vAlign w:val="center"/>
          </w:tcPr>
          <w:p w14:paraId="3F26478F">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w:t>
            </w:r>
          </w:p>
        </w:tc>
        <w:tc>
          <w:tcPr>
            <w:tcW w:w="1993" w:type="dxa"/>
            <w:tcBorders>
              <w:top w:val="single" w:color="auto" w:sz="4" w:space="0"/>
              <w:left w:val="nil"/>
              <w:bottom w:val="single" w:color="auto" w:sz="4" w:space="0"/>
              <w:right w:val="single" w:color="auto" w:sz="4" w:space="0"/>
            </w:tcBorders>
            <w:vAlign w:val="center"/>
          </w:tcPr>
          <w:p w14:paraId="7C264152">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电子招标响应性文件递交异常的处理方式</w:t>
            </w:r>
          </w:p>
        </w:tc>
        <w:tc>
          <w:tcPr>
            <w:tcW w:w="6395" w:type="dxa"/>
            <w:tcBorders>
              <w:top w:val="single" w:color="auto" w:sz="4" w:space="0"/>
              <w:left w:val="nil"/>
              <w:bottom w:val="single" w:color="auto" w:sz="4" w:space="0"/>
              <w:right w:val="single" w:color="auto" w:sz="4" w:space="0"/>
            </w:tcBorders>
          </w:tcPr>
          <w:p w14:paraId="62EF5F2C">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当电子投标（文件打包、上传、解密异常）操作出现异常时，应及时联系平台技术支持人员解决。</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招标人（采购人）有权对供应商提供的证明材料进行核实，如果发现供应商提供虚假信息，将追究提供虚假信息的责任。</w:t>
            </w:r>
          </w:p>
        </w:tc>
      </w:tr>
      <w:tr w14:paraId="11707F14">
        <w:tblPrEx>
          <w:tblCellMar>
            <w:top w:w="0" w:type="dxa"/>
            <w:left w:w="108" w:type="dxa"/>
            <w:bottom w:w="0" w:type="dxa"/>
            <w:right w:w="108" w:type="dxa"/>
          </w:tblCellMar>
        </w:tblPrEx>
        <w:trPr>
          <w:trHeight w:val="6226" w:hRule="atLeast"/>
        </w:trPr>
        <w:tc>
          <w:tcPr>
            <w:tcW w:w="670" w:type="dxa"/>
            <w:tcBorders>
              <w:top w:val="single" w:color="auto" w:sz="4" w:space="0"/>
              <w:left w:val="single" w:color="auto" w:sz="4" w:space="0"/>
              <w:bottom w:val="single" w:color="auto" w:sz="4" w:space="0"/>
              <w:right w:val="single" w:color="auto" w:sz="4" w:space="0"/>
            </w:tcBorders>
          </w:tcPr>
          <w:p w14:paraId="7C200100">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w:t>
            </w:r>
          </w:p>
        </w:tc>
        <w:tc>
          <w:tcPr>
            <w:tcW w:w="1993" w:type="dxa"/>
            <w:tcBorders>
              <w:top w:val="single" w:color="auto" w:sz="4" w:space="0"/>
              <w:left w:val="nil"/>
              <w:bottom w:val="single" w:color="auto" w:sz="4" w:space="0"/>
              <w:right w:val="single" w:color="auto" w:sz="4" w:space="0"/>
            </w:tcBorders>
          </w:tcPr>
          <w:p w14:paraId="13411686">
            <w:pPr>
              <w:keepNext w:val="0"/>
              <w:keepLines w:val="0"/>
              <w:pageBreakBefore w:val="0"/>
              <w:widowControl/>
              <w:tabs>
                <w:tab w:val="left" w:pos="6330"/>
              </w:tabs>
              <w:kinsoku w:val="0"/>
              <w:wordWrap/>
              <w:bidi w:val="0"/>
              <w:adjustRightInd w:val="0"/>
              <w:snapToGrid w:val="0"/>
              <w:spacing w:line="360" w:lineRule="auto"/>
              <w:ind w:left="0" w:leftChars="0" w:right="0" w:right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电子化投标注意事项</w:t>
            </w:r>
          </w:p>
        </w:tc>
        <w:tc>
          <w:tcPr>
            <w:tcW w:w="6395" w:type="dxa"/>
            <w:tcBorders>
              <w:top w:val="single" w:color="auto" w:sz="4" w:space="0"/>
              <w:left w:val="nil"/>
              <w:bottom w:val="single" w:color="auto" w:sz="4" w:space="0"/>
              <w:right w:val="single" w:color="auto" w:sz="4" w:space="0"/>
            </w:tcBorders>
          </w:tcPr>
          <w:p w14:paraId="28997595">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本项目为电子化交易项目，响应性文件是供应商、供应商（以下简称“供应商”）通过中心响应性文件制作系统制作，并经过电子签章和加密后生成的电子版响应性文件。供应商投标时，不须提交纸质文件资料。</w:t>
            </w:r>
          </w:p>
          <w:p w14:paraId="7A22D66C">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电子化响应性文件具体制作教材请供应商通过CA证书登录三门峡市公共资源电子化交易系统在 “交易智库”中下载操作流程</w:t>
            </w:r>
          </w:p>
          <w:p w14:paraId="3D789D5E">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温馨提示：本项目为电子化、无纸化交易项目，供应商时不接受任何纸质资料，为保证您能投标成功，请需仔细阅读以下条款。</w:t>
            </w:r>
          </w:p>
          <w:p w14:paraId="4FE862C3">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一、电子化投标</w:t>
            </w:r>
          </w:p>
          <w:p w14:paraId="7660CC3A">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（一）电子化响应性文件的签章</w:t>
            </w:r>
          </w:p>
          <w:p w14:paraId="66CDA45A">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1、供应商在生成电子化响应性文件后，应对电子化响应性文件进行签章，未进行签章的视为无效投标。</w:t>
            </w:r>
          </w:p>
          <w:p w14:paraId="56CF400A">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响应性文件中要求法定代表人或授权委托人签字或盖章的，供应商在进行电子化响应性文件签章时，以签盖法定代表人签章为准。电子化响应性文件具体制作教材请供应商通过CA证书登录三门峡市公共资源电子化交易系统在右上角“交易智库”中查看。电子化响应性文件工具请点击</w:t>
            </w:r>
            <w:r>
              <w:rPr>
                <w:rFonts w:hint="eastAsia" w:ascii="宋体" w:hAnsi="宋体" w:eastAsia="宋体" w:cs="宋体"/>
                <w:b w:val="0"/>
                <w:bCs w:val="0"/>
                <w:color w:val="auto"/>
                <w:sz w:val="24"/>
                <w:szCs w:val="24"/>
                <w:highlight w:val="none"/>
                <w:lang w:eastAsia="zh-CN"/>
              </w:rPr>
              <w:t>https://download.bqpoint.com/?SourceFrom=Ztb&amp;ZtbSoftXiaQuCode=1506&amp;ZtbSoftType=tballinclusive&amp;SoftGuid=32a56ff8-6d6c-41d4-8bbb-c9bcc14aa552&amp;RootGuid=a05291d9-1069-46fc-806b-01dc60317f84&amp;softtypecode=03</w:t>
            </w:r>
            <w:r>
              <w:rPr>
                <w:rFonts w:hint="eastAsia" w:ascii="宋体" w:hAnsi="宋体" w:eastAsia="宋体" w:cs="宋体"/>
                <w:b w:val="0"/>
                <w:bCs w:val="0"/>
                <w:color w:val="auto"/>
                <w:sz w:val="24"/>
                <w:szCs w:val="24"/>
                <w:highlight w:val="none"/>
              </w:rPr>
              <w:t>进行下载。</w:t>
            </w:r>
          </w:p>
          <w:p w14:paraId="4094B58A">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（二）电子化响应性文件的格式及上传投标</w:t>
            </w:r>
          </w:p>
          <w:p w14:paraId="15C78813">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1、供应商所上传的电子化响应性文件，应是通过中心响应性文件制作系统制作的（响应性文件制作工具下载地址：</w:t>
            </w:r>
            <w:r>
              <w:rPr>
                <w:rFonts w:hint="eastAsia" w:ascii="宋体" w:hAnsi="宋体" w:eastAsia="宋体" w:cs="宋体"/>
                <w:b w:val="0"/>
                <w:bCs w:val="0"/>
                <w:color w:val="auto"/>
                <w:sz w:val="24"/>
                <w:szCs w:val="24"/>
                <w:highlight w:val="none"/>
                <w:lang w:eastAsia="zh-CN"/>
              </w:rPr>
              <w:t>https://download.bqpoint.com/?SourceFrom=Ztb&amp;ZtbSoftXiaQuCode=1506&amp;ZtbSoftType=tballinclusive&amp;SoftGuid=32a56ff8-6d6c-41d4-8bbb-c9bcc14aa552&amp;RootGuid=a05291d9-1069-46fc-806b-01dc60317f84&amp;softtypecode=03</w:t>
            </w:r>
            <w:r>
              <w:rPr>
                <w:rFonts w:hint="eastAsia" w:ascii="宋体" w:hAnsi="宋体" w:eastAsia="宋体" w:cs="宋体"/>
                <w:b w:val="0"/>
                <w:bCs w:val="0"/>
                <w:color w:val="auto"/>
                <w:sz w:val="24"/>
                <w:szCs w:val="24"/>
                <w:highlight w:val="none"/>
              </w:rPr>
              <w:t>），经过签章和加密后生成的电子版响应性文件。其中包含用于响应性文件上传的主文件（后缀为.smxtf）和用于应急补救的响应性文件备份文件（后缀为.nsmxtf）。备份文件主要用于电子化开标出现技术问题后的补救，请供应商随身携带。</w:t>
            </w:r>
          </w:p>
          <w:p w14:paraId="4A33DE90">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注：供应商投报多个标段的，需要每个标段单独制作电子响应性文件。</w:t>
            </w:r>
          </w:p>
          <w:p w14:paraId="2B43B4E3">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2、电子化响应性文件应在投标截止时间前成功上传至三门峡市公共资源电子化交易系统。至投标截止时间止，仍未上传成功的电子化响应性文件将不予接收。</w:t>
            </w:r>
          </w:p>
          <w:p w14:paraId="26ADEE93">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如按照电子化投标操作教材制作完成的电子化响应性文件无法上传的，供应商应在投标截止时间前尽早的联系中心技术人员，以便有充分的时间进行处理。供应商应充分考虑到处理技术问题和上传数据等工作所需的时间问题，响应性文件未在投标截止时间前成功上传的，其响应性文件不予接收。</w:t>
            </w:r>
          </w:p>
          <w:p w14:paraId="14933D4D">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技术联系电话：</w:t>
            </w:r>
            <w:r>
              <w:rPr>
                <w:rFonts w:hint="eastAsia" w:ascii="宋体" w:hAnsi="宋体" w:eastAsia="宋体" w:cs="宋体"/>
                <w:b w:val="0"/>
                <w:bCs w:val="0"/>
                <w:color w:val="auto"/>
                <w:sz w:val="24"/>
                <w:szCs w:val="24"/>
                <w:highlight w:val="none"/>
                <w:lang w:val="en-US" w:eastAsia="zh-CN"/>
              </w:rPr>
              <w:t>0398-3117871</w:t>
            </w:r>
          </w:p>
          <w:p w14:paraId="6C655B10">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主体库咨询电话:0398-3117815</w:t>
            </w:r>
          </w:p>
          <w:p w14:paraId="2D16A656">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CA证书制发:0398-2181635</w:t>
            </w:r>
          </w:p>
          <w:p w14:paraId="2AC695D5">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科技信息科:0398-3117095</w:t>
            </w:r>
          </w:p>
          <w:p w14:paraId="356A2333">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（三）电子化项目开标、解密、唱标、评标</w:t>
            </w:r>
          </w:p>
          <w:p w14:paraId="38ED47EA">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本项目采用电子化、无纸化进行招标，开标当日，供应商无需到开标现场参加开标会议，供应商应当在投标截止时间前，登陆不见面开标大厅选择登陆三门峡市公共资源电子招投标系统进行登陆,在线准时参加开标活动并进行响应性文件解密等。</w:t>
            </w:r>
          </w:p>
          <w:p w14:paraId="2C88A833">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2、电子化响应性文件采用一次加密方式。开标时，由供应商使用CA 证书，在规定时间内对其电子化响应性文件进行解密。每位供应商的解密时间为开标时间起30 分钟内，如在规定时间内未完成解密的，其响应性文件不予开标、唱标。</w:t>
            </w:r>
          </w:p>
          <w:p w14:paraId="69FF5633">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3、电子化响应性文件解密异常的处理</w:t>
            </w:r>
          </w:p>
          <w:p w14:paraId="1627A200">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如出现供应商的电子响应性文件无法解密等异常情况，供应商应及时致电中介服务机构说明。响应性文件异常，按以下步骤进行处理：</w:t>
            </w:r>
          </w:p>
          <w:p w14:paraId="2BBC48A6">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（1）首先由技术人员进行问题排查。</w:t>
            </w:r>
          </w:p>
          <w:p w14:paraId="6BD8E6C0">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（2）经技术人员排查后，是供应商文件自身问题导致响应性文件无法解密的，该响应性文件将不予接收、解密和唱标。开标会议继续进行。</w:t>
            </w:r>
          </w:p>
          <w:p w14:paraId="6FFDE341">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经技术人员排查后，如果是电子化交易系统问题造成响应性文件无法解密的，将由技术人员对问题进行处理。如短时间内问题无法解决的，将由中介服务机构向监督部门申请，经监督部门同意后，暂停开标会议，待问题解决后继续开标。</w:t>
            </w:r>
          </w:p>
          <w:p w14:paraId="37DF4D8F">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4、待所有供应商响应性文件解密完成后，由中介服务机构操作，对所有已解密响应性文件进行唱标。</w:t>
            </w:r>
          </w:p>
          <w:p w14:paraId="3C7D4B2F">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供应商应保证在开标期间电话、电脑、网络能够正常工作，供应商因停电、电脑病毒、网络堵塞等原因，未在规定的解密时间内对响应性文件进行解密的，其响应性文件不予接收、唱标。</w:t>
            </w:r>
          </w:p>
          <w:p w14:paraId="0B5D7A33">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开标时供应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14:paraId="211AB7D5">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评标时，评标委员会对电子化响应性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评标委员会。</w:t>
            </w:r>
          </w:p>
          <w:p w14:paraId="51C332C8">
            <w:pPr>
              <w:keepNext w:val="0"/>
              <w:keepLines w:val="0"/>
              <w:pageBreakBefore w:val="0"/>
              <w:widowControl/>
              <w:kinsoku w:val="0"/>
              <w:wordWrap/>
              <w:bidi w:val="0"/>
              <w:adjustRightInd w:val="0"/>
              <w:snapToGrid w:val="0"/>
              <w:spacing w:line="360" w:lineRule="auto"/>
              <w:ind w:left="0" w:leftChars="0" w:right="0" w:rightChars="0" w:firstLine="57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7、如评标委员会对需要回复的供应商连续三次致电未接通的，视为供应商放弃回复，评标委员会将自行对需要回复的内容进行认定。</w:t>
            </w:r>
          </w:p>
          <w:p w14:paraId="105A4F7D">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240" w:firstLineChars="1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提示：本项目为电子化、无纸化交易项目，供应商时不再接受任何纸质资料，为保证您能投标成功，请需仔细阅读以上条款。</w:t>
            </w:r>
          </w:p>
        </w:tc>
      </w:tr>
    </w:tbl>
    <w:p w14:paraId="2406316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bCs/>
          <w:color w:val="000000" w:themeColor="text1"/>
          <w:kern w:val="10"/>
          <w:sz w:val="24"/>
          <w:szCs w:val="24"/>
          <w:highlight w:val="none"/>
        </w:rPr>
      </w:pPr>
      <w:r>
        <w:rPr>
          <w:rFonts w:hint="eastAsia" w:ascii="宋体" w:hAnsi="宋体" w:eastAsia="宋体" w:cs="宋体"/>
          <w:b w:val="0"/>
          <w:bCs w:val="0"/>
          <w:color w:val="auto"/>
          <w:sz w:val="24"/>
          <w:szCs w:val="24"/>
          <w:highlight w:val="none"/>
        </w:rPr>
        <w:br w:type="page"/>
      </w:r>
      <w:bookmarkStart w:id="11" w:name="_Toc517178993"/>
      <w:bookmarkEnd w:id="11"/>
      <w:bookmarkStart w:id="12" w:name="_Toc513029203"/>
      <w:bookmarkEnd w:id="12"/>
      <w:bookmarkStart w:id="13" w:name="_Toc120614214"/>
      <w:bookmarkEnd w:id="13"/>
      <w:bookmarkStart w:id="14" w:name="_Toc20823275"/>
      <w:bookmarkEnd w:id="14"/>
      <w:bookmarkStart w:id="15" w:name="_Toc16938519"/>
      <w:bookmarkEnd w:id="15"/>
      <w:bookmarkStart w:id="16" w:name="_Toc479757211"/>
      <w:bookmarkStart w:id="17" w:name="_Toc16938558"/>
      <w:r>
        <w:rPr>
          <w:rFonts w:hint="eastAsia" w:ascii="宋体" w:hAnsi="宋体" w:eastAsia="宋体" w:cs="宋体"/>
          <w:b/>
          <w:bCs/>
          <w:color w:val="000000" w:themeColor="text1"/>
          <w:kern w:val="10"/>
          <w:sz w:val="24"/>
          <w:szCs w:val="24"/>
          <w:highlight w:val="none"/>
        </w:rPr>
        <w:t>1、总则</w:t>
      </w:r>
    </w:p>
    <w:p w14:paraId="383FBA0A">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bookmarkStart w:id="18" w:name="_Toc152045531"/>
      <w:bookmarkStart w:id="19" w:name="_Toc152042307"/>
      <w:bookmarkStart w:id="20" w:name="_Toc179632548"/>
      <w:bookmarkStart w:id="21" w:name="_Toc144974499"/>
      <w:r>
        <w:rPr>
          <w:rFonts w:hint="eastAsia" w:ascii="宋体" w:hAnsi="宋体" w:eastAsia="宋体" w:cs="宋体"/>
          <w:color w:val="000000" w:themeColor="text1"/>
          <w:sz w:val="24"/>
          <w:szCs w:val="24"/>
          <w:highlight w:val="none"/>
        </w:rPr>
        <w:t>1.1项目概况</w:t>
      </w:r>
    </w:p>
    <w:p w14:paraId="7721B355">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1.1.1根据根据《中华人民共和国政府采购法》、《政府采购非招标采购方式管理办法》等有关法律、法规和规章的规定，本招标项目已具备磋商条件，现对本项目进行竞争性磋商。</w:t>
      </w:r>
    </w:p>
    <w:p w14:paraId="30D6D32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1.1.2本项目采购人：见供应商须知前附表。</w:t>
      </w:r>
    </w:p>
    <w:p w14:paraId="39ADA5D1">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1.1.3本项目采购代理机构：见供应商须知前附表。</w:t>
      </w:r>
    </w:p>
    <w:p w14:paraId="3193C845">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1.1.4本项目名称：见供应商须知前附表。</w:t>
      </w:r>
    </w:p>
    <w:bookmarkEnd w:id="18"/>
    <w:bookmarkEnd w:id="19"/>
    <w:bookmarkEnd w:id="20"/>
    <w:bookmarkEnd w:id="21"/>
    <w:p w14:paraId="3CDE75DD">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1.2资金来源和落实情况</w:t>
      </w:r>
    </w:p>
    <w:p w14:paraId="5A75B9BF">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1.2.1本项目的资金来源：见供应商须知前附表。</w:t>
      </w:r>
    </w:p>
    <w:p w14:paraId="0711952D">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1.2.2本项目的出资比例：见供应商须知前附表。</w:t>
      </w:r>
    </w:p>
    <w:p w14:paraId="6D24474B">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1.2.3本项目的资金落实情况：见供应商须知前附表。</w:t>
      </w:r>
    </w:p>
    <w:p w14:paraId="74BE7DA5">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bookmarkStart w:id="22" w:name="_Toc152045532"/>
      <w:bookmarkStart w:id="23" w:name="_Toc179632549"/>
      <w:bookmarkStart w:id="24" w:name="_Toc152042308"/>
      <w:bookmarkStart w:id="25" w:name="_Toc144974500"/>
      <w:r>
        <w:rPr>
          <w:rFonts w:hint="eastAsia" w:ascii="宋体" w:hAnsi="宋体" w:eastAsia="宋体" w:cs="宋体"/>
          <w:color w:val="000000" w:themeColor="text1"/>
          <w:sz w:val="24"/>
          <w:szCs w:val="24"/>
          <w:highlight w:val="none"/>
        </w:rPr>
        <w:t>1.3采购内容、采购要求、实施期限、服务地点和质量标准</w:t>
      </w:r>
    </w:p>
    <w:p w14:paraId="03577924">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1.3.1本项目采购内容：见供应商须知前附表。</w:t>
      </w:r>
    </w:p>
    <w:p w14:paraId="4F23FA4C">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1.3.2本项目的质量标准：见供应商须知前附表</w:t>
      </w:r>
    </w:p>
    <w:p w14:paraId="2749FEFD">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1.3.3本项目的实施期限：见供应商须知前附表。</w:t>
      </w:r>
    </w:p>
    <w:p w14:paraId="007C5443">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1.3.4本项目服务地点：见供应商须知前附表。</w:t>
      </w:r>
    </w:p>
    <w:bookmarkEnd w:id="22"/>
    <w:bookmarkEnd w:id="23"/>
    <w:bookmarkEnd w:id="24"/>
    <w:bookmarkEnd w:id="25"/>
    <w:p w14:paraId="000CE0A9">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bookmarkStart w:id="26" w:name="_Toc144974501"/>
      <w:bookmarkStart w:id="27" w:name="_Toc152045533"/>
      <w:bookmarkStart w:id="28" w:name="_Toc179632550"/>
      <w:bookmarkStart w:id="29" w:name="_Toc152042309"/>
      <w:r>
        <w:rPr>
          <w:rFonts w:hint="eastAsia" w:ascii="宋体" w:hAnsi="宋体" w:eastAsia="宋体" w:cs="宋体"/>
          <w:color w:val="000000" w:themeColor="text1"/>
          <w:sz w:val="24"/>
          <w:szCs w:val="24"/>
          <w:highlight w:val="none"/>
        </w:rPr>
        <w:t>1.4供应商资格要求</w:t>
      </w:r>
      <w:bookmarkEnd w:id="26"/>
      <w:bookmarkEnd w:id="27"/>
      <w:bookmarkEnd w:id="28"/>
      <w:bookmarkEnd w:id="29"/>
      <w:r>
        <w:rPr>
          <w:rFonts w:hint="eastAsia" w:ascii="宋体" w:hAnsi="宋体" w:eastAsia="宋体" w:cs="宋体"/>
          <w:color w:val="000000" w:themeColor="text1"/>
          <w:sz w:val="24"/>
          <w:szCs w:val="24"/>
          <w:highlight w:val="none"/>
        </w:rPr>
        <w:t>：见供应商须知前附表。</w:t>
      </w:r>
    </w:p>
    <w:p w14:paraId="6C01AB71">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bookmarkStart w:id="30" w:name="_Toc144974503"/>
      <w:bookmarkStart w:id="31" w:name="_Toc179632552"/>
      <w:bookmarkStart w:id="32" w:name="_Toc152042311"/>
      <w:bookmarkStart w:id="33" w:name="_Toc152045535"/>
      <w:r>
        <w:rPr>
          <w:rFonts w:hint="eastAsia" w:ascii="宋体" w:hAnsi="宋体" w:eastAsia="宋体" w:cs="宋体"/>
          <w:color w:val="000000" w:themeColor="text1"/>
          <w:sz w:val="24"/>
          <w:szCs w:val="24"/>
          <w:highlight w:val="none"/>
        </w:rPr>
        <w:t>1.5费用承担</w:t>
      </w:r>
      <w:bookmarkEnd w:id="30"/>
      <w:bookmarkEnd w:id="31"/>
      <w:bookmarkEnd w:id="32"/>
      <w:bookmarkEnd w:id="33"/>
    </w:p>
    <w:p w14:paraId="42262BF7">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供应商准备和参加投标活动发生的费用自理。</w:t>
      </w:r>
    </w:p>
    <w:p w14:paraId="47A83D4D">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1.6保密</w:t>
      </w:r>
    </w:p>
    <w:p w14:paraId="257EB0DB">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参与招标投标活动的各方应对竞争性磋商文件和</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中的商业和技术等秘密保密，违者应对由此造成的后果承担法律责任。</w:t>
      </w:r>
    </w:p>
    <w:p w14:paraId="7F810EF3">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1.7语言文字</w:t>
      </w:r>
    </w:p>
    <w:p w14:paraId="33EB748F">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除专用术语外，与招标投标有关的语言均使用中文。专用术语应附有中文注释。</w:t>
      </w:r>
    </w:p>
    <w:p w14:paraId="1E116961">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1.8计量单位</w:t>
      </w:r>
    </w:p>
    <w:p w14:paraId="6C73F444">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所有计量均采用中华人民共和国法定计量单位。</w:t>
      </w:r>
    </w:p>
    <w:p w14:paraId="43D1A33A">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1.9踏勘现场</w:t>
      </w:r>
    </w:p>
    <w:p w14:paraId="2F3FBC71">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见供应商须知前附表。</w:t>
      </w:r>
    </w:p>
    <w:p w14:paraId="3901A79E">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1.10投标预备会</w:t>
      </w:r>
    </w:p>
    <w:p w14:paraId="1D25CB9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见供应商须知前附表。</w:t>
      </w:r>
    </w:p>
    <w:p w14:paraId="0DDD08E8">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1.11分包</w:t>
      </w:r>
    </w:p>
    <w:p w14:paraId="6AA9716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见供应商须知前附表。</w:t>
      </w:r>
    </w:p>
    <w:p w14:paraId="489B4D73">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1.12偏离</w:t>
      </w:r>
    </w:p>
    <w:p w14:paraId="07263B6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见供应商须知前附表。</w:t>
      </w:r>
    </w:p>
    <w:p w14:paraId="16208360">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kern w:val="10"/>
          <w:sz w:val="24"/>
          <w:szCs w:val="24"/>
          <w:highlight w:val="none"/>
        </w:rPr>
      </w:pPr>
      <w:bookmarkStart w:id="34" w:name="_Toc516499647"/>
      <w:r>
        <w:rPr>
          <w:rFonts w:hint="eastAsia" w:ascii="宋体" w:hAnsi="宋体" w:eastAsia="宋体" w:cs="宋体"/>
          <w:b/>
          <w:bCs/>
          <w:color w:val="000000" w:themeColor="text1"/>
          <w:kern w:val="10"/>
          <w:sz w:val="24"/>
          <w:szCs w:val="24"/>
          <w:highlight w:val="none"/>
        </w:rPr>
        <w:t>2、竞争性磋商文件</w:t>
      </w:r>
      <w:bookmarkEnd w:id="34"/>
    </w:p>
    <w:p w14:paraId="5E28CFA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2.1竞争性磋商文件的组成</w:t>
      </w:r>
    </w:p>
    <w:p w14:paraId="1D461769">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本竞争性磋商文件包括：</w:t>
      </w:r>
    </w:p>
    <w:p w14:paraId="4EB6A2D6">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(1）竞争性磋商公告；</w:t>
      </w:r>
    </w:p>
    <w:p w14:paraId="56A78414">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(2）供应商须知；</w:t>
      </w:r>
    </w:p>
    <w:p w14:paraId="0F48BBB4">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(3）评标办法；</w:t>
      </w:r>
    </w:p>
    <w:p w14:paraId="33E7EC7C">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(4）合同条款及格式；</w:t>
      </w:r>
    </w:p>
    <w:p w14:paraId="6FD95E31">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(5）采购</w:t>
      </w:r>
      <w:r>
        <w:rPr>
          <w:rFonts w:hint="eastAsia" w:ascii="宋体" w:hAnsi="宋体" w:eastAsia="宋体" w:cs="宋体"/>
          <w:color w:val="000000" w:themeColor="text1"/>
          <w:sz w:val="24"/>
          <w:szCs w:val="24"/>
          <w:highlight w:val="none"/>
          <w:lang w:val="en-US" w:eastAsia="zh-CN"/>
        </w:rPr>
        <w:t>内容及技术要求</w:t>
      </w:r>
      <w:r>
        <w:rPr>
          <w:rFonts w:hint="eastAsia" w:ascii="宋体" w:hAnsi="宋体" w:eastAsia="宋体" w:cs="宋体"/>
          <w:color w:val="000000" w:themeColor="text1"/>
          <w:sz w:val="24"/>
          <w:szCs w:val="24"/>
          <w:highlight w:val="none"/>
        </w:rPr>
        <w:t>；</w:t>
      </w:r>
    </w:p>
    <w:p w14:paraId="6E46E0DD">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(6）</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格式；</w:t>
      </w:r>
    </w:p>
    <w:p w14:paraId="128B5ED8">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根据本章第2.2</w:t>
      </w:r>
      <w:r>
        <w:rPr>
          <w:rFonts w:hint="eastAsia" w:ascii="宋体" w:hAnsi="宋体" w:eastAsia="宋体" w:cs="宋体"/>
          <w:color w:val="000000" w:themeColor="text1"/>
          <w:sz w:val="24"/>
          <w:szCs w:val="24"/>
          <w:highlight w:val="none"/>
          <w:lang w:val="en-US" w:eastAsia="zh-CN"/>
        </w:rPr>
        <w:t>款</w:t>
      </w:r>
      <w:r>
        <w:rPr>
          <w:rFonts w:hint="eastAsia" w:ascii="宋体" w:hAnsi="宋体" w:eastAsia="宋体" w:cs="宋体"/>
          <w:color w:val="000000" w:themeColor="text1"/>
          <w:sz w:val="24"/>
          <w:szCs w:val="24"/>
          <w:highlight w:val="none"/>
        </w:rPr>
        <w:t>对竞争性磋商文件所作的澄清、修改，构成竞争性磋商文件的组成部分。</w:t>
      </w:r>
    </w:p>
    <w:p w14:paraId="70F866F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2.2竞争性磋商文件澄清与修改</w:t>
      </w:r>
    </w:p>
    <w:p w14:paraId="71953812">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2.2.1供应商应仔细阅读和检查采购文件的全部内容。如发现缺页或附件不全，应及时向采购人（或采购代理机构）提出，以便补齐。如有疑问，应在供应商须知前附表规定的时间在</w:t>
      </w:r>
      <w:r>
        <w:rPr>
          <w:rFonts w:hint="eastAsia" w:ascii="宋体" w:hAnsi="宋体" w:eastAsia="宋体" w:cs="宋体"/>
          <w:color w:val="000000" w:themeColor="text1"/>
          <w:sz w:val="24"/>
          <w:szCs w:val="24"/>
          <w:highlight w:val="none"/>
          <w:lang w:val="en-US" w:eastAsia="zh-CN"/>
        </w:rPr>
        <w:t>电子化交易系统</w:t>
      </w:r>
      <w:r>
        <w:rPr>
          <w:rFonts w:hint="eastAsia" w:ascii="宋体" w:hAnsi="宋体" w:eastAsia="宋体" w:cs="宋体"/>
          <w:color w:val="000000" w:themeColor="text1"/>
          <w:sz w:val="24"/>
          <w:szCs w:val="24"/>
          <w:highlight w:val="none"/>
        </w:rPr>
        <w:t>平台上进行提问，要求采购人对采购文件予以澄清。</w:t>
      </w:r>
    </w:p>
    <w:p w14:paraId="0850FD4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2.2.2采购人或采购代理机构可主动地或在解答供应商提出的澄清问题时对采购文件进行澄清或修改。采购代理机构将以发布澄清（更正）公告的方式，澄清或修改采购文件，澄清或修改的内容作为采购文件的组成部分。澄清或者修改的内容可能影响</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编制的，应当在递交首次</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截止时间至少</w:t>
      </w:r>
      <w:r>
        <w:rPr>
          <w:rFonts w:hint="eastAsia" w:ascii="宋体" w:hAnsi="宋体" w:eastAsia="宋体" w:cs="宋体"/>
          <w:color w:val="000000" w:themeColor="text1"/>
          <w:sz w:val="24"/>
          <w:szCs w:val="24"/>
          <w:highlight w:val="none"/>
          <w:lang w:val="en-US" w:eastAsia="zh-CN"/>
        </w:rPr>
        <w:t>5日历天</w:t>
      </w:r>
      <w:r>
        <w:rPr>
          <w:rFonts w:hint="eastAsia" w:ascii="宋体" w:hAnsi="宋体" w:eastAsia="宋体" w:cs="宋体"/>
          <w:color w:val="000000" w:themeColor="text1"/>
          <w:sz w:val="24"/>
          <w:szCs w:val="24"/>
          <w:highlight w:val="none"/>
        </w:rPr>
        <w:t>前，在原公告发布媒体上发布变更公告（或澄清公告），不足</w:t>
      </w:r>
      <w:r>
        <w:rPr>
          <w:rFonts w:hint="eastAsia" w:ascii="宋体" w:hAnsi="宋体" w:eastAsia="宋体" w:cs="宋体"/>
          <w:color w:val="000000" w:themeColor="text1"/>
          <w:sz w:val="24"/>
          <w:szCs w:val="24"/>
          <w:highlight w:val="none"/>
          <w:lang w:val="en-US" w:eastAsia="zh-CN"/>
        </w:rPr>
        <w:t>5日历天</w:t>
      </w:r>
      <w:r>
        <w:rPr>
          <w:rFonts w:hint="eastAsia" w:ascii="宋体" w:hAnsi="宋体" w:eastAsia="宋体" w:cs="宋体"/>
          <w:color w:val="000000" w:themeColor="text1"/>
          <w:sz w:val="24"/>
          <w:szCs w:val="24"/>
          <w:highlight w:val="none"/>
        </w:rPr>
        <w:t>的，应当顺延首次递交</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截止时间。</w:t>
      </w:r>
    </w:p>
    <w:p w14:paraId="7E236648">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2.2.3采购文件的澄清将在供应商须知前附表规定的时间在</w:t>
      </w:r>
      <w:r>
        <w:rPr>
          <w:rFonts w:hint="eastAsia" w:ascii="宋体" w:hAnsi="宋体" w:eastAsia="宋体" w:cs="宋体"/>
          <w:color w:val="000000" w:themeColor="text1"/>
          <w:sz w:val="24"/>
          <w:szCs w:val="24"/>
          <w:highlight w:val="none"/>
          <w:lang w:val="en-US" w:eastAsia="zh-CN"/>
        </w:rPr>
        <w:t>三门峡市</w:t>
      </w:r>
      <w:r>
        <w:rPr>
          <w:rFonts w:hint="eastAsia" w:ascii="宋体" w:hAnsi="宋体" w:eastAsia="宋体" w:cs="宋体"/>
          <w:color w:val="000000" w:themeColor="text1"/>
          <w:sz w:val="24"/>
          <w:szCs w:val="24"/>
          <w:highlight w:val="none"/>
        </w:rPr>
        <w:t>公共资源交易平台上公布给供应商，但不指明澄清问题的来源。</w:t>
      </w:r>
    </w:p>
    <w:p w14:paraId="4379D55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2.2.4采购人、采购代理机构对已发出的采购文件进行的澄清、更正或修改，澄清、更正或修改的内容将作为采购文件的组成部分。采购代理机构将通过</w:t>
      </w:r>
      <w:r>
        <w:rPr>
          <w:rFonts w:hint="eastAsia" w:ascii="宋体" w:hAnsi="宋体" w:eastAsia="宋体" w:cs="宋体"/>
          <w:color w:val="000000" w:themeColor="text1"/>
          <w:sz w:val="24"/>
          <w:szCs w:val="24"/>
          <w:highlight w:val="none"/>
          <w:lang w:val="en-US" w:eastAsia="zh-CN"/>
        </w:rPr>
        <w:t>三门峡市</w:t>
      </w:r>
      <w:r>
        <w:rPr>
          <w:rFonts w:hint="eastAsia" w:ascii="宋体" w:hAnsi="宋体" w:eastAsia="宋体" w:cs="宋体"/>
          <w:color w:val="000000" w:themeColor="text1"/>
          <w:sz w:val="24"/>
          <w:szCs w:val="24"/>
          <w:highlight w:val="none"/>
        </w:rPr>
        <w:t>公共资源交易中心交易平台“变更（澄清或更正）公告”和系统内部“答疑文件”告知供应商，各供应商须重新下载最新的答疑、变更（澄清或更正）文件，以此编制</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w:t>
      </w:r>
    </w:p>
    <w:p w14:paraId="2691AFD7">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rPr>
        <w:t>2.2.5</w:t>
      </w:r>
      <w:r>
        <w:rPr>
          <w:rFonts w:hint="eastAsia" w:ascii="宋体" w:hAnsi="宋体" w:eastAsia="宋体" w:cs="宋体"/>
          <w:color w:val="000000" w:themeColor="text1"/>
          <w:sz w:val="24"/>
          <w:szCs w:val="24"/>
          <w:highlight w:val="none"/>
          <w:lang w:val="en-US" w:eastAsia="zh-CN"/>
        </w:rPr>
        <w:t>三门峡市</w:t>
      </w:r>
      <w:r>
        <w:rPr>
          <w:rFonts w:hint="eastAsia" w:ascii="宋体" w:hAnsi="宋体" w:eastAsia="宋体" w:cs="宋体"/>
          <w:color w:val="000000" w:themeColor="text1"/>
          <w:sz w:val="24"/>
          <w:szCs w:val="24"/>
          <w:highlight w:val="none"/>
        </w:rPr>
        <w:t>公共资源交易中心平台供应商信息在磋商开始前具有保密性，供应商在</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提交截止时间前应当自行查看项目进展、答疑、变更（澄清或更正）通知、澄清及回复，因供应商未及时查看而造成的后果自负</w:t>
      </w:r>
      <w:r>
        <w:rPr>
          <w:rFonts w:hint="eastAsia" w:ascii="宋体" w:hAnsi="宋体" w:eastAsia="宋体" w:cs="宋体"/>
          <w:color w:val="000000" w:themeColor="text1"/>
          <w:sz w:val="24"/>
          <w:szCs w:val="24"/>
          <w:highlight w:val="none"/>
          <w:lang w:val="en-US" w:eastAsia="zh-CN"/>
        </w:rPr>
        <w:t>.</w:t>
      </w:r>
    </w:p>
    <w:p w14:paraId="746868DD">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kern w:val="10"/>
          <w:sz w:val="24"/>
          <w:szCs w:val="24"/>
          <w:highlight w:val="none"/>
          <w:lang w:eastAsia="zh-CN"/>
        </w:rPr>
      </w:pPr>
      <w:r>
        <w:rPr>
          <w:rFonts w:hint="eastAsia" w:ascii="宋体" w:hAnsi="宋体" w:eastAsia="宋体" w:cs="宋体"/>
          <w:b/>
          <w:bCs/>
          <w:color w:val="000000" w:themeColor="text1"/>
          <w:kern w:val="10"/>
          <w:sz w:val="24"/>
          <w:szCs w:val="24"/>
          <w:highlight w:val="none"/>
        </w:rPr>
        <w:t>3、</w:t>
      </w:r>
      <w:r>
        <w:rPr>
          <w:rFonts w:hint="eastAsia" w:ascii="宋体" w:hAnsi="宋体" w:eastAsia="宋体" w:cs="宋体"/>
          <w:b/>
          <w:bCs/>
          <w:color w:val="000000" w:themeColor="text1"/>
          <w:kern w:val="10"/>
          <w:sz w:val="24"/>
          <w:szCs w:val="24"/>
          <w:highlight w:val="none"/>
          <w:lang w:eastAsia="zh-CN"/>
        </w:rPr>
        <w:t>投标文件</w:t>
      </w:r>
    </w:p>
    <w:p w14:paraId="2390EE01">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3.1</w:t>
      </w:r>
      <w:r>
        <w:rPr>
          <w:rFonts w:hint="eastAsia" w:ascii="宋体" w:hAnsi="宋体" w:eastAsia="宋体" w:cs="宋体"/>
          <w:b/>
          <w:bCs/>
          <w:color w:val="000000" w:themeColor="text1"/>
          <w:sz w:val="24"/>
          <w:szCs w:val="24"/>
          <w:highlight w:val="none"/>
          <w:lang w:eastAsia="zh-CN"/>
        </w:rPr>
        <w:t>投标文件</w:t>
      </w:r>
      <w:r>
        <w:rPr>
          <w:rFonts w:hint="eastAsia" w:ascii="宋体" w:hAnsi="宋体" w:eastAsia="宋体" w:cs="宋体"/>
          <w:b/>
          <w:bCs/>
          <w:color w:val="000000" w:themeColor="text1"/>
          <w:sz w:val="24"/>
          <w:szCs w:val="24"/>
          <w:highlight w:val="none"/>
        </w:rPr>
        <w:t>的组成</w:t>
      </w:r>
    </w:p>
    <w:p w14:paraId="5B0F1D6B">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3.1.1</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应包括下列内容：见</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格式</w:t>
      </w:r>
    </w:p>
    <w:p w14:paraId="2ABE767C">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kern w:val="10"/>
          <w:sz w:val="24"/>
          <w:szCs w:val="24"/>
          <w:highlight w:val="none"/>
          <w:lang w:val="zh-CN"/>
        </w:rPr>
      </w:pPr>
      <w:r>
        <w:rPr>
          <w:rFonts w:hint="eastAsia" w:ascii="宋体" w:hAnsi="宋体" w:eastAsia="宋体" w:cs="宋体"/>
          <w:b/>
          <w:bCs/>
          <w:color w:val="000000" w:themeColor="text1"/>
          <w:kern w:val="10"/>
          <w:sz w:val="24"/>
          <w:szCs w:val="24"/>
          <w:highlight w:val="none"/>
          <w:lang w:val="en-US" w:eastAsia="zh-CN"/>
        </w:rPr>
        <w:t>3.2</w:t>
      </w:r>
      <w:r>
        <w:rPr>
          <w:rFonts w:hint="eastAsia" w:ascii="宋体" w:hAnsi="宋体" w:eastAsia="宋体" w:cs="宋体"/>
          <w:b/>
          <w:bCs/>
          <w:color w:val="000000" w:themeColor="text1"/>
          <w:kern w:val="10"/>
          <w:sz w:val="24"/>
          <w:szCs w:val="24"/>
          <w:highlight w:val="none"/>
          <w:lang w:val="zh-CN"/>
        </w:rPr>
        <w:t>投标文件的格式</w:t>
      </w:r>
    </w:p>
    <w:p w14:paraId="4C18B1E9">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en-US" w:eastAsia="zh-CN"/>
        </w:rPr>
        <w:t>3.2</w:t>
      </w:r>
      <w:r>
        <w:rPr>
          <w:rFonts w:hint="eastAsia" w:ascii="宋体" w:hAnsi="宋体" w:eastAsia="宋体" w:cs="宋体"/>
          <w:color w:val="000000" w:themeColor="text1"/>
          <w:sz w:val="24"/>
          <w:szCs w:val="24"/>
          <w:highlight w:val="none"/>
          <w:lang w:val="zh-CN"/>
        </w:rPr>
        <w:t>.1 供应商所上传的电子化投标文件，应是通过中心投标文件制作系统制作的（投标文件制作工具下载地址：http://t.cn/A6ZvtVob），经过签章和加密后生成的电子版投标文件。其中包含用于投标文件上传的主文件（后缀为.smxtf）和用于应急补救的投标文件备份文件（后缀为.nsmxtf）。备份文件主要用于电子化开标出现技术问题后的补救，请供应商随身携带。</w:t>
      </w:r>
    </w:p>
    <w:p w14:paraId="414ED05F">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注：供应商投报多个标段的，需要每个标段单独制作电子投标文件。</w:t>
      </w:r>
    </w:p>
    <w:p w14:paraId="4FB3C345">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kern w:val="10"/>
          <w:sz w:val="24"/>
          <w:szCs w:val="24"/>
          <w:highlight w:val="none"/>
          <w:lang w:val="zh-CN" w:eastAsia="zh-CN"/>
        </w:rPr>
      </w:pPr>
      <w:bookmarkStart w:id="35" w:name="_Toc3669_WPSOffice_Level3"/>
      <w:r>
        <w:rPr>
          <w:rFonts w:hint="eastAsia" w:ascii="宋体" w:hAnsi="宋体" w:eastAsia="宋体" w:cs="宋体"/>
          <w:b/>
          <w:bCs/>
          <w:color w:val="000000" w:themeColor="text1"/>
          <w:kern w:val="10"/>
          <w:sz w:val="24"/>
          <w:szCs w:val="24"/>
          <w:highlight w:val="none"/>
          <w:lang w:val="en-US" w:eastAsia="zh-CN"/>
        </w:rPr>
        <w:t>3.3</w:t>
      </w:r>
      <w:r>
        <w:rPr>
          <w:rFonts w:hint="eastAsia" w:ascii="宋体" w:hAnsi="宋体" w:eastAsia="宋体" w:cs="宋体"/>
          <w:b/>
          <w:bCs/>
          <w:color w:val="000000" w:themeColor="text1"/>
          <w:kern w:val="10"/>
          <w:sz w:val="24"/>
          <w:szCs w:val="24"/>
          <w:highlight w:val="none"/>
          <w:lang w:val="zh-CN" w:eastAsia="zh-CN"/>
        </w:rPr>
        <w:t>、电子化磋商投标文件的签署</w:t>
      </w:r>
      <w:bookmarkEnd w:id="35"/>
    </w:p>
    <w:p w14:paraId="5DE8FF7A">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en-US" w:eastAsia="zh-CN"/>
        </w:rPr>
        <w:t>3.3</w:t>
      </w:r>
      <w:r>
        <w:rPr>
          <w:rFonts w:hint="eastAsia" w:ascii="宋体" w:hAnsi="宋体" w:eastAsia="宋体" w:cs="宋体"/>
          <w:color w:val="000000" w:themeColor="text1"/>
          <w:sz w:val="24"/>
          <w:szCs w:val="24"/>
          <w:highlight w:val="none"/>
          <w:lang w:val="zh-CN"/>
        </w:rPr>
        <w:t>.1 供应商在进行电子化磋商投标文件签章时，竞争性磋商文件中要求供应商盖章的，以签盖单位章为准；要求法定代表人签章的，以签盖法定代表人签章为准。电子化磋商投标文件具体制作教材请供应商通过 CA 证书登录三门峡市公共资源电子化交易系统在右上角“组件下载”中查看。</w:t>
      </w:r>
    </w:p>
    <w:p w14:paraId="4FF85BF4">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kern w:val="10"/>
          <w:sz w:val="24"/>
          <w:szCs w:val="24"/>
          <w:highlight w:val="none"/>
          <w:lang w:val="zh-CN" w:eastAsia="zh-CN"/>
        </w:rPr>
      </w:pPr>
      <w:bookmarkStart w:id="36" w:name="_Toc1982_WPSOffice_Level3"/>
      <w:r>
        <w:rPr>
          <w:rFonts w:hint="eastAsia" w:ascii="宋体" w:hAnsi="宋体" w:eastAsia="宋体" w:cs="宋体"/>
          <w:b/>
          <w:bCs/>
          <w:color w:val="000000" w:themeColor="text1"/>
          <w:kern w:val="10"/>
          <w:sz w:val="24"/>
          <w:szCs w:val="24"/>
          <w:highlight w:val="none"/>
          <w:lang w:val="en-US" w:eastAsia="zh-CN"/>
        </w:rPr>
        <w:t>3.4</w:t>
      </w:r>
      <w:r>
        <w:rPr>
          <w:rFonts w:hint="eastAsia" w:ascii="宋体" w:hAnsi="宋体" w:eastAsia="宋体" w:cs="宋体"/>
          <w:b/>
          <w:bCs/>
          <w:color w:val="000000" w:themeColor="text1"/>
          <w:kern w:val="10"/>
          <w:sz w:val="24"/>
          <w:szCs w:val="24"/>
          <w:highlight w:val="none"/>
          <w:lang w:val="zh-CN" w:eastAsia="zh-CN"/>
        </w:rPr>
        <w:t>电子化磋商投标文件的上传</w:t>
      </w:r>
      <w:bookmarkEnd w:id="36"/>
    </w:p>
    <w:p w14:paraId="49A5C82E">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en-US" w:eastAsia="zh-CN"/>
        </w:rPr>
        <w:t>3.4</w:t>
      </w:r>
      <w:r>
        <w:rPr>
          <w:rFonts w:hint="eastAsia" w:ascii="宋体" w:hAnsi="宋体" w:eastAsia="宋体" w:cs="宋体"/>
          <w:color w:val="000000" w:themeColor="text1"/>
          <w:sz w:val="24"/>
          <w:szCs w:val="24"/>
          <w:highlight w:val="none"/>
          <w:lang w:val="zh-CN"/>
        </w:rPr>
        <w:t>.1 电子化磋商投标文件应在磋商截止时间前成功上传至三门峡市公共资源电子化交易系统。至磋商截止时间止，仍未上传成功的电子化磋商投标文件将不予接收。</w:t>
      </w:r>
    </w:p>
    <w:p w14:paraId="3367946E">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注：如按照电子化投标操作教材制作完成的电子化磋商投标文件无法上传的，供应商应在磋商截止时间前尽早的联系中心技术人员，以便有充分的时间进行处理。供应商应充分考虑到处理技术问题和上传数据等工作的时间问题，磋商投标文件未在磋商截止时间前成功上传的，其磋商投标文件不予接收。</w:t>
      </w:r>
    </w:p>
    <w:p w14:paraId="27E558D0">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kern w:val="10"/>
          <w:sz w:val="24"/>
          <w:szCs w:val="24"/>
          <w:highlight w:val="none"/>
          <w:lang w:val="en-US" w:eastAsia="zh-CN"/>
        </w:rPr>
      </w:pPr>
      <w:r>
        <w:rPr>
          <w:rFonts w:hint="eastAsia" w:ascii="宋体" w:hAnsi="宋体" w:eastAsia="宋体" w:cs="宋体"/>
          <w:b/>
          <w:bCs/>
          <w:color w:val="000000" w:themeColor="text1"/>
          <w:kern w:val="10"/>
          <w:sz w:val="24"/>
          <w:szCs w:val="24"/>
          <w:highlight w:val="none"/>
          <w:lang w:val="en-US" w:eastAsia="zh-CN"/>
        </w:rPr>
        <w:t>3.5投标报价</w:t>
      </w:r>
    </w:p>
    <w:p w14:paraId="2DAFDFBC">
      <w:pPr>
        <w:keepNext w:val="0"/>
        <w:keepLines w:val="0"/>
        <w:pageBreakBefore w:val="0"/>
        <w:widowControl/>
        <w:kinsoku w:val="0"/>
        <w:wordWrap/>
        <w:bidi w:val="0"/>
        <w:adjustRightInd w:val="0"/>
        <w:snapToGrid w:val="0"/>
        <w:spacing w:line="360" w:lineRule="auto"/>
        <w:ind w:left="0" w:leftChars="0" w:right="0" w:rightChars="0" w:firstLine="482" w:firstLineChars="200"/>
        <w:jc w:val="left"/>
        <w:rPr>
          <w:rFonts w:hint="eastAsia" w:ascii="宋体" w:hAnsi="宋体" w:eastAsia="宋体" w:cs="宋体"/>
          <w:color w:val="000000" w:themeColor="text1"/>
          <w:sz w:val="24"/>
          <w:szCs w:val="24"/>
          <w:highlight w:val="none"/>
        </w:rPr>
      </w:pPr>
      <w:r>
        <w:rPr>
          <w:rFonts w:hint="eastAsia" w:ascii="宋体" w:hAnsi="宋体" w:eastAsia="宋体" w:cs="宋体"/>
          <w:b/>
          <w:bCs/>
          <w:color w:val="000000" w:themeColor="text1"/>
          <w:kern w:val="10"/>
          <w:sz w:val="24"/>
          <w:szCs w:val="24"/>
          <w:highlight w:val="none"/>
          <w:lang w:val="en-US" w:eastAsia="zh-CN"/>
        </w:rPr>
        <w:t>3.5</w:t>
      </w:r>
      <w:r>
        <w:rPr>
          <w:rFonts w:hint="eastAsia" w:ascii="宋体" w:hAnsi="宋体" w:eastAsia="宋体" w:cs="宋体"/>
          <w:b/>
          <w:bCs/>
          <w:color w:val="000000" w:themeColor="text1"/>
          <w:sz w:val="24"/>
          <w:szCs w:val="24"/>
          <w:highlight w:val="none"/>
        </w:rPr>
        <w:t>.1</w:t>
      </w:r>
      <w:r>
        <w:rPr>
          <w:rFonts w:hint="eastAsia" w:ascii="宋体" w:hAnsi="宋体" w:eastAsia="宋体" w:cs="宋体"/>
          <w:color w:val="000000" w:themeColor="text1"/>
          <w:sz w:val="24"/>
          <w:szCs w:val="24"/>
          <w:highlight w:val="none"/>
        </w:rPr>
        <w:t>本项目的磋商报价采用本须知前附表所规定的方式进行报价。供应商的响应报价（及最后报价）应当包括满足所应提供的货物及服务等全部内容（除非在供应商须知前附表中另有规定）。所有报价及合同所有款项均应以人民币报价。供应商的报价应遵守《中华人民共和国价格法》。</w:t>
      </w:r>
    </w:p>
    <w:p w14:paraId="12937A1F">
      <w:pPr>
        <w:keepNext w:val="0"/>
        <w:keepLines w:val="0"/>
        <w:pageBreakBefore w:val="0"/>
        <w:widowControl/>
        <w:kinsoku w:val="0"/>
        <w:wordWrap/>
        <w:bidi w:val="0"/>
        <w:adjustRightInd w:val="0"/>
        <w:snapToGrid w:val="0"/>
        <w:spacing w:line="360" w:lineRule="auto"/>
        <w:ind w:left="0" w:leftChars="0" w:right="0" w:rightChars="0" w:firstLine="482" w:firstLineChars="200"/>
        <w:jc w:val="left"/>
        <w:rPr>
          <w:rFonts w:hint="eastAsia" w:ascii="宋体" w:hAnsi="宋体" w:eastAsia="宋体" w:cs="宋体"/>
          <w:color w:val="000000" w:themeColor="text1"/>
          <w:sz w:val="24"/>
          <w:szCs w:val="24"/>
          <w:highlight w:val="none"/>
        </w:rPr>
      </w:pPr>
      <w:r>
        <w:rPr>
          <w:rFonts w:hint="eastAsia" w:ascii="宋体" w:hAnsi="宋体" w:eastAsia="宋体" w:cs="宋体"/>
          <w:b/>
          <w:bCs/>
          <w:color w:val="000000" w:themeColor="text1"/>
          <w:kern w:val="10"/>
          <w:sz w:val="24"/>
          <w:szCs w:val="24"/>
          <w:highlight w:val="none"/>
          <w:lang w:val="en-US" w:eastAsia="zh-CN"/>
        </w:rPr>
        <w:t>3.5</w:t>
      </w:r>
      <w:r>
        <w:rPr>
          <w:rFonts w:hint="eastAsia" w:ascii="宋体" w:hAnsi="宋体" w:eastAsia="宋体" w:cs="宋体"/>
          <w:b/>
          <w:bCs/>
          <w:color w:val="000000" w:themeColor="text1"/>
          <w:sz w:val="24"/>
          <w:szCs w:val="24"/>
          <w:highlight w:val="none"/>
        </w:rPr>
        <w:t>.2</w:t>
      </w:r>
      <w:r>
        <w:rPr>
          <w:rFonts w:hint="eastAsia" w:ascii="宋体" w:hAnsi="宋体" w:eastAsia="宋体" w:cs="宋体"/>
          <w:color w:val="000000" w:themeColor="text1"/>
          <w:sz w:val="24"/>
          <w:szCs w:val="24"/>
          <w:highlight w:val="none"/>
        </w:rPr>
        <w:t>参考相关收费标准结合供应商自身情况自主报价，但不得</w:t>
      </w:r>
      <w:r>
        <w:rPr>
          <w:rFonts w:hint="eastAsia" w:ascii="宋体" w:hAnsi="宋体" w:eastAsia="宋体" w:cs="宋体"/>
          <w:color w:val="000000" w:themeColor="text1"/>
          <w:sz w:val="24"/>
          <w:szCs w:val="24"/>
          <w:highlight w:val="none"/>
          <w:lang w:val="en-US" w:eastAsia="zh-CN"/>
        </w:rPr>
        <w:t>以可能影响合同履行的异常低价竞标</w:t>
      </w:r>
      <w:r>
        <w:rPr>
          <w:rFonts w:hint="eastAsia" w:ascii="宋体" w:hAnsi="宋体" w:eastAsia="宋体" w:cs="宋体"/>
          <w:color w:val="000000" w:themeColor="text1"/>
          <w:sz w:val="24"/>
          <w:szCs w:val="24"/>
          <w:highlight w:val="none"/>
        </w:rPr>
        <w:t>。</w:t>
      </w:r>
    </w:p>
    <w:p w14:paraId="0A664E58">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color w:val="000000" w:themeColor="text1"/>
          <w:sz w:val="24"/>
          <w:szCs w:val="24"/>
          <w:highlight w:val="none"/>
          <w:lang w:eastAsia="zh-CN"/>
        </w:rPr>
      </w:pPr>
      <w:r>
        <w:rPr>
          <w:rFonts w:hint="eastAsia" w:ascii="宋体" w:hAnsi="宋体" w:eastAsia="宋体" w:cs="宋体"/>
          <w:b/>
          <w:bCs/>
          <w:color w:val="000000" w:themeColor="text1"/>
          <w:kern w:val="10"/>
          <w:sz w:val="24"/>
          <w:szCs w:val="24"/>
          <w:highlight w:val="none"/>
          <w:lang w:val="en-US" w:eastAsia="zh-CN"/>
        </w:rPr>
        <w:t>3.5</w:t>
      </w:r>
      <w:r>
        <w:rPr>
          <w:rFonts w:hint="eastAsia" w:ascii="宋体" w:hAnsi="宋体" w:eastAsia="宋体" w:cs="宋体"/>
          <w:b/>
          <w:bCs/>
          <w:color w:val="000000" w:themeColor="text1"/>
          <w:sz w:val="24"/>
          <w:szCs w:val="24"/>
          <w:highlight w:val="none"/>
        </w:rPr>
        <w:t>.3</w:t>
      </w:r>
      <w:r>
        <w:rPr>
          <w:rFonts w:hint="eastAsia" w:ascii="宋体" w:hAnsi="宋体" w:eastAsia="宋体" w:cs="宋体"/>
          <w:color w:val="000000" w:themeColor="text1"/>
          <w:sz w:val="24"/>
          <w:szCs w:val="24"/>
          <w:highlight w:val="none"/>
        </w:rPr>
        <w:t>供应商应参考采购人所提供的采购范围及工作内容、质量标准、采购预算等全部内容，结合本项目实际情况和供应商自身成本、市场行情等因素，自主报价。不得高于采购人给定的预算价或最高限价，否则</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将被认定为无效</w:t>
      </w:r>
      <w:r>
        <w:rPr>
          <w:rFonts w:hint="eastAsia" w:ascii="宋体" w:hAnsi="宋体" w:eastAsia="宋体" w:cs="宋体"/>
          <w:color w:val="000000" w:themeColor="text1"/>
          <w:sz w:val="24"/>
          <w:szCs w:val="24"/>
          <w:highlight w:val="none"/>
          <w:lang w:eastAsia="zh-CN"/>
        </w:rPr>
        <w:t>投标文件。 供应商所报的投标报价均应包括供应商履行本项目所必须的所有成本费用和供应商应承担的一切税费，包括但不限于办公、交通、人员、业务、差旅、调研、资料收集、报告编制、印刷、管理、税费、测试工具费用及其他管理费用等。</w:t>
      </w:r>
    </w:p>
    <w:p w14:paraId="55596454">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val="0"/>
          <w:bCs w:val="0"/>
          <w:color w:val="000000" w:themeColor="text1"/>
          <w:sz w:val="24"/>
          <w:szCs w:val="24"/>
          <w:highlight w:val="none"/>
        </w:rPr>
      </w:pPr>
      <w:r>
        <w:rPr>
          <w:rFonts w:hint="eastAsia" w:ascii="宋体" w:hAnsi="宋体" w:eastAsia="宋体" w:cs="宋体"/>
          <w:b/>
          <w:bCs/>
          <w:color w:val="000000" w:themeColor="text1"/>
          <w:kern w:val="10"/>
          <w:sz w:val="24"/>
          <w:szCs w:val="24"/>
          <w:highlight w:val="none"/>
          <w:lang w:val="en-US" w:eastAsia="zh-CN"/>
        </w:rPr>
        <w:t>3.5</w:t>
      </w:r>
      <w:r>
        <w:rPr>
          <w:rFonts w:hint="eastAsia" w:ascii="宋体" w:hAnsi="宋体" w:eastAsia="宋体" w:cs="宋体"/>
          <w:b/>
          <w:bCs/>
          <w:color w:val="000000" w:themeColor="text1"/>
          <w:sz w:val="24"/>
          <w:szCs w:val="24"/>
          <w:highlight w:val="none"/>
        </w:rPr>
        <w:t>.4</w:t>
      </w:r>
      <w:r>
        <w:rPr>
          <w:rFonts w:hint="eastAsia" w:ascii="宋体" w:hAnsi="宋体" w:eastAsia="宋体" w:cs="宋体"/>
          <w:color w:val="000000" w:themeColor="text1"/>
          <w:sz w:val="24"/>
          <w:szCs w:val="24"/>
          <w:highlight w:val="none"/>
        </w:rPr>
        <w:t>供应商应当按照采购文件提供的报价表格式如实填写各项货物的单价、分项总价和总报价。供应商</w:t>
      </w:r>
      <w:r>
        <w:rPr>
          <w:rFonts w:hint="eastAsia" w:ascii="宋体" w:hAnsi="宋体" w:eastAsia="宋体" w:cs="宋体"/>
          <w:b w:val="0"/>
          <w:bCs w:val="0"/>
          <w:color w:val="000000" w:themeColor="text1"/>
          <w:sz w:val="24"/>
          <w:szCs w:val="24"/>
          <w:highlight w:val="none"/>
        </w:rPr>
        <w:t>应认真填报所有项目的单价和合价，</w:t>
      </w:r>
      <w:r>
        <w:rPr>
          <w:rFonts w:hint="eastAsia" w:ascii="宋体" w:hAnsi="宋体" w:eastAsia="宋体" w:cs="宋体"/>
          <w:b w:val="0"/>
          <w:bCs w:val="0"/>
          <w:color w:val="000000" w:themeColor="text1"/>
          <w:sz w:val="24"/>
          <w:szCs w:val="24"/>
          <w:highlight w:val="none"/>
          <w:lang w:eastAsia="zh-CN"/>
        </w:rPr>
        <w:t>投标文件</w:t>
      </w:r>
      <w:r>
        <w:rPr>
          <w:rFonts w:hint="eastAsia" w:ascii="宋体" w:hAnsi="宋体" w:eastAsia="宋体" w:cs="宋体"/>
          <w:b w:val="0"/>
          <w:bCs w:val="0"/>
          <w:color w:val="000000" w:themeColor="text1"/>
          <w:sz w:val="24"/>
          <w:szCs w:val="24"/>
          <w:highlight w:val="none"/>
        </w:rPr>
        <w:t>中若有漏项、漏报，采购人视为供应商的报价在总报价中已经包括；供应商提交最后报价后，如果被确定为成交人，该供应商所报价格，在合同履行过程中是固定不变的，除因采购人原因引起的变更外，不予调整。供应商报价有算术错误的，其风险由供应商承担。</w:t>
      </w:r>
    </w:p>
    <w:p w14:paraId="7AED924F">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rPr>
      </w:pPr>
      <w:r>
        <w:rPr>
          <w:rFonts w:hint="eastAsia" w:ascii="宋体" w:hAnsi="宋体" w:eastAsia="宋体" w:cs="宋体"/>
          <w:b w:val="0"/>
          <w:bCs w:val="0"/>
          <w:color w:val="000000" w:themeColor="text1"/>
          <w:kern w:val="10"/>
          <w:sz w:val="24"/>
          <w:szCs w:val="24"/>
          <w:highlight w:val="none"/>
          <w:lang w:val="en-US" w:eastAsia="zh-CN"/>
        </w:rPr>
        <w:t>3.5</w:t>
      </w:r>
      <w:r>
        <w:rPr>
          <w:rFonts w:hint="eastAsia" w:ascii="宋体" w:hAnsi="宋体" w:eastAsia="宋体" w:cs="宋体"/>
          <w:b w:val="0"/>
          <w:bCs w:val="0"/>
          <w:color w:val="000000" w:themeColor="text1"/>
          <w:sz w:val="24"/>
          <w:szCs w:val="24"/>
          <w:highlight w:val="none"/>
        </w:rPr>
        <w:t>.5投标的报价及合同所有款项的支付均以人民币计算。应当由供应商完成的而供应商在报价组成中没有详细列出的工作内容，其报价均视为包含在报价组成已列出的项目之中，采购人不另行支付。</w:t>
      </w:r>
    </w:p>
    <w:p w14:paraId="70DF23ED">
      <w:pPr>
        <w:keepNext w:val="0"/>
        <w:keepLines w:val="0"/>
        <w:pageBreakBefore w:val="0"/>
        <w:widowControl/>
        <w:kinsoku w:val="0"/>
        <w:wordWrap/>
        <w:bidi w:val="0"/>
        <w:adjustRightInd w:val="0"/>
        <w:snapToGrid w:val="0"/>
        <w:spacing w:line="360" w:lineRule="auto"/>
        <w:ind w:left="0" w:leftChars="0" w:right="0" w:rightChars="0" w:firstLine="480" w:firstLineChars="200"/>
        <w:jc w:val="left"/>
        <w:rPr>
          <w:rFonts w:hint="eastAsia" w:ascii="宋体" w:hAnsi="宋体" w:eastAsia="宋体" w:cs="宋体"/>
          <w:b w:val="0"/>
          <w:bCs w:val="0"/>
          <w:color w:val="000000" w:themeColor="text1"/>
          <w:sz w:val="24"/>
          <w:szCs w:val="24"/>
          <w:highlight w:val="none"/>
        </w:rPr>
      </w:pPr>
      <w:r>
        <w:rPr>
          <w:rFonts w:hint="eastAsia" w:ascii="宋体" w:hAnsi="宋体" w:eastAsia="宋体" w:cs="宋体"/>
          <w:b w:val="0"/>
          <w:bCs w:val="0"/>
          <w:color w:val="000000" w:themeColor="text1"/>
          <w:kern w:val="10"/>
          <w:sz w:val="24"/>
          <w:szCs w:val="24"/>
          <w:highlight w:val="none"/>
          <w:lang w:val="en-US" w:eastAsia="zh-CN"/>
        </w:rPr>
        <w:t>3.5</w:t>
      </w:r>
      <w:r>
        <w:rPr>
          <w:rFonts w:hint="eastAsia" w:ascii="宋体" w:hAnsi="宋体" w:eastAsia="宋体" w:cs="宋体"/>
          <w:b w:val="0"/>
          <w:bCs w:val="0"/>
          <w:color w:val="000000" w:themeColor="text1"/>
          <w:sz w:val="24"/>
          <w:szCs w:val="24"/>
          <w:highlight w:val="none"/>
        </w:rPr>
        <w:t>.6</w:t>
      </w:r>
      <w:r>
        <w:rPr>
          <w:rFonts w:hint="eastAsia" w:ascii="宋体" w:hAnsi="宋体" w:eastAsia="宋体" w:cs="宋体"/>
          <w:b w:val="0"/>
          <w:bCs w:val="0"/>
          <w:color w:val="000000" w:themeColor="text1"/>
          <w:sz w:val="24"/>
          <w:szCs w:val="24"/>
          <w:highlight w:val="none"/>
          <w:lang w:val="en-US" w:eastAsia="zh-CN"/>
        </w:rPr>
        <w:t xml:space="preserve"> </w:t>
      </w:r>
      <w:r>
        <w:rPr>
          <w:rFonts w:hint="eastAsia" w:ascii="宋体" w:hAnsi="宋体" w:eastAsia="宋体" w:cs="宋体"/>
          <w:b w:val="0"/>
          <w:bCs w:val="0"/>
          <w:color w:val="000000" w:themeColor="text1"/>
          <w:sz w:val="24"/>
          <w:szCs w:val="24"/>
          <w:highlight w:val="none"/>
        </w:rPr>
        <w:t>本次磋商允许供应商有二次报价，供应商</w:t>
      </w:r>
      <w:r>
        <w:rPr>
          <w:rFonts w:hint="eastAsia" w:ascii="宋体" w:hAnsi="宋体" w:eastAsia="宋体" w:cs="宋体"/>
          <w:b w:val="0"/>
          <w:bCs w:val="0"/>
          <w:color w:val="000000" w:themeColor="text1"/>
          <w:sz w:val="24"/>
          <w:szCs w:val="24"/>
          <w:highlight w:val="none"/>
          <w:lang w:eastAsia="zh-CN"/>
        </w:rPr>
        <w:t>投标文件</w:t>
      </w:r>
      <w:r>
        <w:rPr>
          <w:rFonts w:hint="eastAsia" w:ascii="宋体" w:hAnsi="宋体" w:eastAsia="宋体" w:cs="宋体"/>
          <w:b w:val="0"/>
          <w:bCs w:val="0"/>
          <w:color w:val="000000" w:themeColor="text1"/>
          <w:sz w:val="24"/>
          <w:szCs w:val="24"/>
          <w:highlight w:val="none"/>
        </w:rPr>
        <w:t>中的报价作为第一次报价，不得高于项目预算金额且不公开；第二轮报价不得高于第一轮报价,最后一次报价为最终报价，成交价以最终报价为准。最终报价是供应商</w:t>
      </w:r>
      <w:r>
        <w:rPr>
          <w:rFonts w:hint="eastAsia" w:ascii="宋体" w:hAnsi="宋体" w:eastAsia="宋体" w:cs="宋体"/>
          <w:b w:val="0"/>
          <w:bCs w:val="0"/>
          <w:color w:val="000000" w:themeColor="text1"/>
          <w:sz w:val="24"/>
          <w:szCs w:val="24"/>
          <w:highlight w:val="none"/>
          <w:lang w:eastAsia="zh-CN"/>
        </w:rPr>
        <w:t>投标文件</w:t>
      </w:r>
      <w:r>
        <w:rPr>
          <w:rFonts w:hint="eastAsia" w:ascii="宋体" w:hAnsi="宋体" w:eastAsia="宋体" w:cs="宋体"/>
          <w:b w:val="0"/>
          <w:bCs w:val="0"/>
          <w:color w:val="000000" w:themeColor="text1"/>
          <w:sz w:val="24"/>
          <w:szCs w:val="24"/>
          <w:highlight w:val="none"/>
        </w:rPr>
        <w:t>的有效组成部分。</w:t>
      </w:r>
    </w:p>
    <w:p w14:paraId="33817F4D">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lang w:eastAsia="zh-CN"/>
        </w:rPr>
      </w:pPr>
      <w:r>
        <w:rPr>
          <w:rFonts w:hint="eastAsia" w:ascii="宋体" w:hAnsi="宋体" w:eastAsia="宋体" w:cs="宋体"/>
          <w:b w:val="0"/>
          <w:bCs w:val="0"/>
          <w:color w:val="000000" w:themeColor="text1"/>
          <w:kern w:val="10"/>
          <w:sz w:val="24"/>
          <w:szCs w:val="24"/>
          <w:highlight w:val="none"/>
          <w:lang w:val="en-US" w:eastAsia="zh-CN"/>
        </w:rPr>
        <w:t>3.5</w:t>
      </w:r>
      <w:r>
        <w:rPr>
          <w:rFonts w:hint="eastAsia" w:ascii="宋体" w:hAnsi="宋体" w:eastAsia="宋体" w:cs="宋体"/>
          <w:b w:val="0"/>
          <w:bCs w:val="0"/>
          <w:color w:val="000000" w:themeColor="text1"/>
          <w:sz w:val="24"/>
          <w:szCs w:val="24"/>
          <w:highlight w:val="none"/>
        </w:rPr>
        <w:t>.7供应商的磋商报价不得高于磋商控制价，否则为废标</w:t>
      </w:r>
      <w:r>
        <w:rPr>
          <w:rFonts w:hint="eastAsia" w:ascii="宋体" w:hAnsi="宋体" w:eastAsia="宋体" w:cs="宋体"/>
          <w:b w:val="0"/>
          <w:bCs w:val="0"/>
          <w:color w:val="000000" w:themeColor="text1"/>
          <w:sz w:val="24"/>
          <w:szCs w:val="24"/>
          <w:highlight w:val="none"/>
          <w:lang w:eastAsia="zh-CN"/>
        </w:rPr>
        <w:t>。</w:t>
      </w:r>
    </w:p>
    <w:p w14:paraId="49BDCEF4">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3.</w:t>
      </w:r>
      <w:r>
        <w:rPr>
          <w:rFonts w:hint="eastAsia" w:ascii="宋体" w:hAnsi="宋体" w:eastAsia="宋体" w:cs="宋体"/>
          <w:b/>
          <w:bCs/>
          <w:color w:val="000000" w:themeColor="text1"/>
          <w:sz w:val="24"/>
          <w:szCs w:val="24"/>
          <w:highlight w:val="none"/>
          <w:lang w:val="en-US" w:eastAsia="zh-CN"/>
        </w:rPr>
        <w:t>6</w:t>
      </w:r>
      <w:r>
        <w:rPr>
          <w:rFonts w:hint="eastAsia" w:ascii="宋体" w:hAnsi="宋体" w:eastAsia="宋体" w:cs="宋体"/>
          <w:b/>
          <w:bCs/>
          <w:color w:val="000000" w:themeColor="text1"/>
          <w:sz w:val="24"/>
          <w:szCs w:val="24"/>
          <w:highlight w:val="none"/>
          <w:lang w:eastAsia="zh-CN"/>
        </w:rPr>
        <w:t>投标文件</w:t>
      </w:r>
      <w:r>
        <w:rPr>
          <w:rFonts w:hint="eastAsia" w:ascii="宋体" w:hAnsi="宋体" w:eastAsia="宋体" w:cs="宋体"/>
          <w:b/>
          <w:bCs/>
          <w:color w:val="000000" w:themeColor="text1"/>
          <w:sz w:val="24"/>
          <w:szCs w:val="24"/>
          <w:highlight w:val="none"/>
        </w:rPr>
        <w:t>的编制</w:t>
      </w:r>
    </w:p>
    <w:p w14:paraId="6814F91B">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w:t>
      </w:r>
      <w:r>
        <w:rPr>
          <w:rFonts w:hint="eastAsia" w:ascii="宋体" w:hAnsi="宋体" w:eastAsia="宋体" w:cs="宋体"/>
          <w:color w:val="000000" w:themeColor="text1"/>
          <w:sz w:val="24"/>
          <w:szCs w:val="24"/>
          <w:highlight w:val="none"/>
          <w:lang w:val="en-US" w:eastAsia="zh-CN"/>
        </w:rPr>
        <w:t>6</w:t>
      </w:r>
      <w:r>
        <w:rPr>
          <w:rFonts w:hint="eastAsia" w:ascii="宋体" w:hAnsi="宋体" w:eastAsia="宋体" w:cs="宋体"/>
          <w:color w:val="000000" w:themeColor="text1"/>
          <w:sz w:val="24"/>
          <w:szCs w:val="24"/>
          <w:highlight w:val="none"/>
        </w:rPr>
        <w:t>.1</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应按第六章“</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格式”进行编写，如有必要，可以增加附页，作为</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的组成部分。</w:t>
      </w:r>
    </w:p>
    <w:p w14:paraId="56C5E3E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w:t>
      </w:r>
      <w:r>
        <w:rPr>
          <w:rFonts w:hint="eastAsia" w:ascii="宋体" w:hAnsi="宋体" w:eastAsia="宋体" w:cs="宋体"/>
          <w:color w:val="000000" w:themeColor="text1"/>
          <w:sz w:val="24"/>
          <w:szCs w:val="24"/>
          <w:highlight w:val="none"/>
          <w:lang w:val="en-US" w:eastAsia="zh-CN"/>
        </w:rPr>
        <w:t>6</w:t>
      </w:r>
      <w:r>
        <w:rPr>
          <w:rFonts w:hint="eastAsia" w:ascii="宋体" w:hAnsi="宋体" w:eastAsia="宋体" w:cs="宋体"/>
          <w:color w:val="000000" w:themeColor="text1"/>
          <w:sz w:val="24"/>
          <w:szCs w:val="24"/>
          <w:highlight w:val="none"/>
        </w:rPr>
        <w:t>.2</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应当对竞争性磋商文件有关</w:t>
      </w:r>
      <w:r>
        <w:rPr>
          <w:rFonts w:hint="eastAsia" w:ascii="宋体" w:hAnsi="宋体" w:eastAsia="宋体" w:cs="宋体"/>
          <w:color w:val="000000" w:themeColor="text1"/>
          <w:sz w:val="24"/>
          <w:szCs w:val="24"/>
          <w:highlight w:val="none"/>
          <w:lang w:val="en-US" w:eastAsia="zh-CN"/>
        </w:rPr>
        <w:t>供货期（服务周期）</w:t>
      </w:r>
      <w:r>
        <w:rPr>
          <w:rFonts w:hint="eastAsia" w:ascii="宋体" w:hAnsi="宋体" w:eastAsia="宋体" w:cs="宋体"/>
          <w:color w:val="000000" w:themeColor="text1"/>
          <w:sz w:val="24"/>
          <w:szCs w:val="24"/>
          <w:highlight w:val="none"/>
        </w:rPr>
        <w:t>、磋商有效期、质量标准、招标范围、</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的编制等实质性内容作出响应。</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不响应本竞争性磋商文件的实质性要求和条件的，其投标将被拒绝。</w:t>
      </w:r>
    </w:p>
    <w:p w14:paraId="054BE67B">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3.7.3竞争性磋商文件中要求供应商盖章的，以签盖单位章为准；要求法定代表人或授权委托人签字或盖章的，以签盖法定代表人电子签章为准。</w:t>
      </w:r>
    </w:p>
    <w:p w14:paraId="6474B566">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3.</w:t>
      </w:r>
      <w:r>
        <w:rPr>
          <w:rFonts w:hint="eastAsia" w:ascii="宋体" w:hAnsi="宋体" w:eastAsia="宋体" w:cs="宋体"/>
          <w:b/>
          <w:bCs/>
          <w:color w:val="000000" w:themeColor="text1"/>
          <w:sz w:val="24"/>
          <w:szCs w:val="24"/>
          <w:highlight w:val="none"/>
          <w:lang w:val="en-US" w:eastAsia="zh-CN"/>
        </w:rPr>
        <w:t>8</w:t>
      </w:r>
      <w:r>
        <w:rPr>
          <w:rFonts w:hint="eastAsia" w:ascii="宋体" w:hAnsi="宋体" w:eastAsia="宋体" w:cs="宋体"/>
          <w:b/>
          <w:bCs/>
          <w:color w:val="000000" w:themeColor="text1"/>
          <w:sz w:val="24"/>
          <w:szCs w:val="24"/>
          <w:highlight w:val="none"/>
        </w:rPr>
        <w:t>磋商有效期</w:t>
      </w:r>
    </w:p>
    <w:p w14:paraId="7945F2D5">
      <w:pPr>
        <w:keepNext w:val="0"/>
        <w:keepLines w:val="0"/>
        <w:pageBreakBefore w:val="0"/>
        <w:widowControl/>
        <w:tabs>
          <w:tab w:val="left" w:pos="1002"/>
        </w:tabs>
        <w:kinsoku w:val="0"/>
        <w:wordWrap/>
        <w:overflowPunct w:val="0"/>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w:t>
      </w:r>
      <w:r>
        <w:rPr>
          <w:rFonts w:hint="eastAsia" w:ascii="宋体" w:hAnsi="宋体" w:eastAsia="宋体" w:cs="宋体"/>
          <w:color w:val="000000" w:themeColor="text1"/>
          <w:sz w:val="24"/>
          <w:szCs w:val="24"/>
          <w:highlight w:val="none"/>
          <w:lang w:val="en-US" w:eastAsia="zh-CN"/>
        </w:rPr>
        <w:t>8</w:t>
      </w:r>
      <w:r>
        <w:rPr>
          <w:rFonts w:hint="eastAsia" w:ascii="宋体" w:hAnsi="宋体" w:eastAsia="宋体" w:cs="宋体"/>
          <w:color w:val="000000" w:themeColor="text1"/>
          <w:sz w:val="24"/>
          <w:szCs w:val="24"/>
          <w:highlight w:val="none"/>
        </w:rPr>
        <w:t>.1自磋商截止时间起60日历天。在磋商有效期内，供应商不得要求撤销或修改其</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w:t>
      </w:r>
    </w:p>
    <w:p w14:paraId="0070968C">
      <w:pPr>
        <w:keepNext w:val="0"/>
        <w:keepLines w:val="0"/>
        <w:pageBreakBefore w:val="0"/>
        <w:widowControl/>
        <w:tabs>
          <w:tab w:val="left" w:pos="782"/>
        </w:tabs>
        <w:kinsoku w:val="0"/>
        <w:wordWrap/>
        <w:overflowPunct w:val="0"/>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w:t>
      </w:r>
      <w:r>
        <w:rPr>
          <w:rFonts w:hint="eastAsia" w:ascii="宋体" w:hAnsi="宋体" w:eastAsia="宋体" w:cs="宋体"/>
          <w:color w:val="000000" w:themeColor="text1"/>
          <w:sz w:val="24"/>
          <w:szCs w:val="24"/>
          <w:highlight w:val="none"/>
          <w:lang w:val="en-US" w:eastAsia="zh-CN"/>
        </w:rPr>
        <w:t>8</w:t>
      </w:r>
      <w:r>
        <w:rPr>
          <w:rFonts w:hint="eastAsia" w:ascii="宋体" w:hAnsi="宋体" w:eastAsia="宋体" w:cs="宋体"/>
          <w:color w:val="000000" w:themeColor="text1"/>
          <w:sz w:val="24"/>
          <w:szCs w:val="24"/>
          <w:highlight w:val="none"/>
        </w:rPr>
        <w:t>.2出现特殊情况需要延长磋商有效期的，采购人以书面形式通知所有供应商延长磋商有效期。供应商同意延长的，应相应延长其磋商保证金的有效期，但不得要求或被允许修改或撤销其</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；供应商拒绝延长的，其投标失效。</w:t>
      </w:r>
    </w:p>
    <w:p w14:paraId="59335536">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3.</w:t>
      </w:r>
      <w:r>
        <w:rPr>
          <w:rFonts w:hint="eastAsia" w:ascii="宋体" w:hAnsi="宋体" w:eastAsia="宋体" w:cs="宋体"/>
          <w:b/>
          <w:bCs/>
          <w:color w:val="000000" w:themeColor="text1"/>
          <w:sz w:val="24"/>
          <w:szCs w:val="24"/>
          <w:highlight w:val="none"/>
          <w:lang w:val="en-US" w:eastAsia="zh-CN"/>
        </w:rPr>
        <w:t>9</w:t>
      </w:r>
      <w:r>
        <w:rPr>
          <w:rFonts w:hint="eastAsia" w:ascii="宋体" w:hAnsi="宋体" w:eastAsia="宋体" w:cs="宋体"/>
          <w:b/>
          <w:bCs/>
          <w:color w:val="000000" w:themeColor="text1"/>
          <w:sz w:val="24"/>
          <w:szCs w:val="24"/>
          <w:highlight w:val="none"/>
        </w:rPr>
        <w:t>磋商保证金</w:t>
      </w:r>
    </w:p>
    <w:p w14:paraId="3098EF07">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按照《河南省财政厅关于优化政府采购营商环境有关问题的通知》（豫财购[2019]4号文）的要求本项目不再收取磋商保证金。</w:t>
      </w:r>
    </w:p>
    <w:p w14:paraId="6361D7C5">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3.</w:t>
      </w:r>
      <w:r>
        <w:rPr>
          <w:rFonts w:hint="eastAsia" w:ascii="宋体" w:hAnsi="宋体" w:eastAsia="宋体" w:cs="宋体"/>
          <w:b/>
          <w:bCs/>
          <w:color w:val="000000" w:themeColor="text1"/>
          <w:sz w:val="24"/>
          <w:szCs w:val="24"/>
          <w:highlight w:val="none"/>
          <w:lang w:val="en-US" w:eastAsia="zh-CN"/>
        </w:rPr>
        <w:t>10</w:t>
      </w:r>
      <w:r>
        <w:rPr>
          <w:rFonts w:hint="eastAsia" w:ascii="宋体" w:hAnsi="宋体" w:eastAsia="宋体" w:cs="宋体"/>
          <w:b/>
          <w:bCs/>
          <w:color w:val="000000" w:themeColor="text1"/>
          <w:sz w:val="24"/>
          <w:szCs w:val="24"/>
          <w:highlight w:val="none"/>
        </w:rPr>
        <w:t>资格审查资料</w:t>
      </w:r>
    </w:p>
    <w:p w14:paraId="1A04F946">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见供应商须知前附表供应商资格要求</w:t>
      </w:r>
    </w:p>
    <w:p w14:paraId="06F801F1">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lang w:val="en-US" w:eastAsia="zh-CN"/>
        </w:rPr>
        <w:t>4.</w:t>
      </w:r>
      <w:r>
        <w:rPr>
          <w:rFonts w:hint="eastAsia" w:ascii="宋体" w:hAnsi="宋体" w:eastAsia="宋体" w:cs="宋体"/>
          <w:b/>
          <w:bCs/>
          <w:color w:val="000000" w:themeColor="text1"/>
          <w:sz w:val="24"/>
          <w:szCs w:val="24"/>
          <w:highlight w:val="none"/>
        </w:rPr>
        <w:t>备选投标方案</w:t>
      </w:r>
    </w:p>
    <w:p w14:paraId="43EC865A">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除供应商须知前附表另有规定外，供应商不得递交备选投标方案。允许供应商递交备选投标方案的，只有成交人所递交的备选投标方案方可予以考虑。磋商小组认为成交人的备选投标方案优于其按照竞争性磋商文件要求编制的投标方案的，采购人可以接受该备选投标方案。</w:t>
      </w:r>
    </w:p>
    <w:p w14:paraId="4956D6C0">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kern w:val="10"/>
          <w:sz w:val="24"/>
          <w:szCs w:val="24"/>
          <w:highlight w:val="none"/>
        </w:rPr>
      </w:pPr>
      <w:r>
        <w:rPr>
          <w:rFonts w:hint="eastAsia" w:ascii="宋体" w:hAnsi="宋体" w:eastAsia="宋体" w:cs="宋体"/>
          <w:b/>
          <w:bCs/>
          <w:color w:val="000000" w:themeColor="text1"/>
          <w:kern w:val="10"/>
          <w:sz w:val="24"/>
          <w:szCs w:val="24"/>
          <w:highlight w:val="none"/>
        </w:rPr>
        <w:t>5．磋商</w:t>
      </w:r>
    </w:p>
    <w:p w14:paraId="31113C75">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rPr>
        <w:t>5.1</w:t>
      </w:r>
      <w:r>
        <w:rPr>
          <w:rFonts w:hint="eastAsia" w:ascii="宋体" w:hAnsi="宋体" w:eastAsia="宋体" w:cs="宋体"/>
          <w:color w:val="000000" w:themeColor="text1"/>
          <w:sz w:val="24"/>
          <w:szCs w:val="24"/>
          <w:highlight w:val="none"/>
          <w:lang w:val="en-US" w:eastAsia="zh-CN"/>
        </w:rPr>
        <w:t>磋商会议</w:t>
      </w:r>
    </w:p>
    <w:p w14:paraId="117FDD51">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5.1.1采购人和采购代理机构将在“供应商须知前附表”中规定的时间和地点组织磋商会议。供应商无需到现场参加磋商会议，磋商会议采用“远程不见面”方式，供应商须在采购文件规定的</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提交截止时间前，登录远程开标大厅，在线准时参加磋商会议活动，并在规定的时间内对</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进行解密、答疑澄清（如需要）、最后报价等。</w:t>
      </w:r>
    </w:p>
    <w:p w14:paraId="5F124D91">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5.1.2供应商须在供应商须知前附表规定的时间内完成</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的解密。由于供应商的自</w:t>
      </w:r>
    </w:p>
    <w:p w14:paraId="4BE44F75">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身原因，在规定时间内解密不成功的，其</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将被拒绝。</w:t>
      </w:r>
    </w:p>
    <w:p w14:paraId="3513E717">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5.1.3供应商在“</w:t>
      </w:r>
      <w:r>
        <w:rPr>
          <w:rFonts w:hint="eastAsia" w:ascii="宋体" w:hAnsi="宋体" w:eastAsia="宋体" w:cs="宋体"/>
          <w:color w:val="000000" w:themeColor="text1"/>
          <w:sz w:val="24"/>
          <w:szCs w:val="24"/>
          <w:highlight w:val="none"/>
          <w:lang w:val="en-US" w:eastAsia="zh-CN"/>
        </w:rPr>
        <w:t>三门峡市</w:t>
      </w:r>
      <w:r>
        <w:rPr>
          <w:rFonts w:hint="eastAsia" w:ascii="宋体" w:hAnsi="宋体" w:eastAsia="宋体" w:cs="宋体"/>
          <w:color w:val="000000" w:themeColor="text1"/>
          <w:sz w:val="24"/>
          <w:szCs w:val="24"/>
          <w:highlight w:val="none"/>
        </w:rPr>
        <w:t>公共资源交易中心”网站下载采购文件成功后，如未在采购文件</w:t>
      </w:r>
    </w:p>
    <w:p w14:paraId="14E8EC53">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规定的“</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提交截止时间”前成功上传或误传加密的</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，而导致的解密失败，</w:t>
      </w:r>
    </w:p>
    <w:p w14:paraId="2CA38AF5">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其</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将被拒绝。</w:t>
      </w:r>
    </w:p>
    <w:p w14:paraId="73CD4DAA">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5.1.4供应商代表对磋商会议过程有疑义的，应当在磋商开始前通过交易系统提出询问。</w:t>
      </w:r>
    </w:p>
    <w:p w14:paraId="149CC027">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5.1.5在供应商须知前附表规定的时间内完成</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解密的供应商不足3家的，将不再进行磋商（特殊情况除外）。</w:t>
      </w:r>
    </w:p>
    <w:p w14:paraId="159AC74C">
      <w:pPr>
        <w:pStyle w:val="6"/>
        <w:keepNext w:val="0"/>
        <w:keepLines w:val="0"/>
        <w:pageBreakBefore w:val="0"/>
        <w:widowControl/>
        <w:kinsoku w:val="0"/>
        <w:wordWrap/>
        <w:bidi w:val="0"/>
        <w:adjustRightInd w:val="0"/>
        <w:snapToGrid w:val="0"/>
        <w:spacing w:before="0" w:after="0" w:line="360" w:lineRule="auto"/>
        <w:ind w:left="0" w:leftChars="0" w:right="0" w:rightChars="0" w:firstLine="480" w:firstLineChars="200"/>
        <w:jc w:val="both"/>
        <w:rPr>
          <w:rFonts w:hint="eastAsia" w:ascii="宋体" w:hAnsi="宋体" w:eastAsia="宋体" w:cs="宋体"/>
          <w:b w:val="0"/>
          <w:sz w:val="24"/>
          <w:szCs w:val="24"/>
          <w:highlight w:val="none"/>
          <w:lang w:bidi="ar"/>
        </w:rPr>
      </w:pPr>
      <w:r>
        <w:rPr>
          <w:rFonts w:hint="eastAsia" w:ascii="宋体" w:hAnsi="宋体" w:eastAsia="宋体" w:cs="宋体"/>
          <w:b w:val="0"/>
          <w:sz w:val="24"/>
          <w:szCs w:val="24"/>
          <w:highlight w:val="none"/>
          <w:lang w:bidi="ar"/>
        </w:rPr>
        <w:t>电子化项目开标操作流程</w:t>
      </w:r>
    </w:p>
    <w:p w14:paraId="67ACCAFD">
      <w:pPr>
        <w:pStyle w:val="6"/>
        <w:keepNext w:val="0"/>
        <w:keepLines w:val="0"/>
        <w:pageBreakBefore w:val="0"/>
        <w:widowControl/>
        <w:kinsoku w:val="0"/>
        <w:wordWrap/>
        <w:bidi w:val="0"/>
        <w:adjustRightInd w:val="0"/>
        <w:snapToGrid w:val="0"/>
        <w:spacing w:before="0" w:after="0" w:line="360" w:lineRule="auto"/>
        <w:ind w:left="0" w:leftChars="0" w:right="0" w:rightChars="0" w:firstLine="480" w:firstLineChars="200"/>
        <w:jc w:val="both"/>
        <w:rPr>
          <w:rFonts w:hint="eastAsia" w:ascii="宋体" w:hAnsi="宋体" w:eastAsia="宋体" w:cs="宋体"/>
          <w:b w:val="0"/>
          <w:sz w:val="24"/>
          <w:szCs w:val="24"/>
          <w:highlight w:val="none"/>
          <w:lang w:bidi="ar"/>
        </w:rPr>
      </w:pPr>
      <w:r>
        <w:rPr>
          <w:rFonts w:hint="eastAsia" w:ascii="宋体" w:hAnsi="宋体" w:eastAsia="宋体" w:cs="宋体"/>
          <w:b w:val="0"/>
          <w:sz w:val="24"/>
          <w:szCs w:val="24"/>
          <w:highlight w:val="none"/>
          <w:lang w:bidi="ar"/>
        </w:rPr>
        <w:t>（1）项目采用电子化、无纸化进行招标，开标当日，供应商无需到开标现场参加开标会议，供应商应当在投标截止时间前，登陆不见面开标大厅选择登陆三门峡市公共资源电子招投标系统进行登陆（网址为</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"http://120.194.249.36:10094/BidOpening/bidopeninghallaction/hall/login" </w:instrText>
      </w:r>
      <w:r>
        <w:rPr>
          <w:rFonts w:hint="eastAsia" w:ascii="宋体" w:hAnsi="宋体" w:eastAsia="宋体" w:cs="宋体"/>
          <w:sz w:val="24"/>
          <w:szCs w:val="24"/>
          <w:highlight w:val="none"/>
        </w:rPr>
        <w:fldChar w:fldCharType="separate"/>
      </w:r>
      <w:r>
        <w:rPr>
          <w:rFonts w:hint="eastAsia" w:ascii="宋体" w:hAnsi="宋体" w:eastAsia="宋体" w:cs="宋体"/>
          <w:b w:val="0"/>
          <w:sz w:val="24"/>
          <w:szCs w:val="24"/>
          <w:highlight w:val="none"/>
          <w:lang w:bidi="ar"/>
        </w:rPr>
        <w:t>http://120.194.249.36:10094/BidOpening/bidopeninghallaction/hall/login</w:t>
      </w:r>
      <w:r>
        <w:rPr>
          <w:rFonts w:hint="eastAsia" w:ascii="宋体" w:hAnsi="宋体" w:eastAsia="宋体" w:cs="宋体"/>
          <w:b w:val="0"/>
          <w:sz w:val="24"/>
          <w:szCs w:val="24"/>
          <w:highlight w:val="none"/>
          <w:lang w:bidi="ar"/>
        </w:rPr>
        <w:fldChar w:fldCharType="end"/>
      </w:r>
      <w:r>
        <w:rPr>
          <w:rFonts w:hint="eastAsia" w:ascii="宋体" w:hAnsi="宋体" w:eastAsia="宋体" w:cs="宋体"/>
          <w:b w:val="0"/>
          <w:sz w:val="24"/>
          <w:szCs w:val="24"/>
          <w:highlight w:val="none"/>
          <w:lang w:bidi="ar"/>
        </w:rPr>
        <w:t>）在线准时参加开标活动并进行响应性文件解密等。</w:t>
      </w:r>
    </w:p>
    <w:p w14:paraId="2512603A">
      <w:pPr>
        <w:pStyle w:val="6"/>
        <w:keepNext w:val="0"/>
        <w:keepLines w:val="0"/>
        <w:pageBreakBefore w:val="0"/>
        <w:widowControl/>
        <w:kinsoku w:val="0"/>
        <w:wordWrap/>
        <w:bidi w:val="0"/>
        <w:adjustRightInd w:val="0"/>
        <w:snapToGrid w:val="0"/>
        <w:spacing w:before="0" w:after="0" w:line="360" w:lineRule="auto"/>
        <w:ind w:left="0" w:leftChars="0" w:right="0" w:rightChars="0" w:firstLine="480" w:firstLineChars="200"/>
        <w:jc w:val="both"/>
        <w:rPr>
          <w:rFonts w:hint="eastAsia" w:ascii="宋体" w:hAnsi="宋体" w:eastAsia="宋体" w:cs="宋体"/>
          <w:b w:val="0"/>
          <w:sz w:val="24"/>
          <w:szCs w:val="24"/>
          <w:highlight w:val="none"/>
          <w:lang w:bidi="ar"/>
        </w:rPr>
      </w:pPr>
      <w:r>
        <w:rPr>
          <w:rFonts w:hint="eastAsia" w:ascii="宋体" w:hAnsi="宋体" w:eastAsia="宋体" w:cs="宋体"/>
          <w:b w:val="0"/>
          <w:sz w:val="24"/>
          <w:szCs w:val="24"/>
          <w:highlight w:val="none"/>
          <w:lang w:bidi="ar"/>
        </w:rPr>
        <w:t>（2）电子化响应性文件采用一次加密方式。开标时，由供应商使用CA 证书，在规定时间内对其电子化响应性文件进行解密。每位供应商的解密时间为开标时间起30分钟内，如在规定时间内未完成解密的，其响应性文件不予开标、唱标。</w:t>
      </w:r>
    </w:p>
    <w:p w14:paraId="6BE80779">
      <w:pPr>
        <w:pStyle w:val="6"/>
        <w:keepNext w:val="0"/>
        <w:keepLines w:val="0"/>
        <w:pageBreakBefore w:val="0"/>
        <w:widowControl/>
        <w:kinsoku w:val="0"/>
        <w:wordWrap/>
        <w:bidi w:val="0"/>
        <w:adjustRightInd w:val="0"/>
        <w:snapToGrid w:val="0"/>
        <w:spacing w:before="0" w:after="0" w:line="360" w:lineRule="auto"/>
        <w:ind w:left="0" w:leftChars="0" w:right="0" w:rightChars="0" w:firstLine="480" w:firstLineChars="200"/>
        <w:jc w:val="both"/>
        <w:rPr>
          <w:rFonts w:hint="eastAsia" w:ascii="宋体" w:hAnsi="宋体" w:eastAsia="宋体" w:cs="宋体"/>
          <w:b w:val="0"/>
          <w:sz w:val="24"/>
          <w:szCs w:val="24"/>
          <w:highlight w:val="none"/>
          <w:lang w:bidi="ar"/>
        </w:rPr>
      </w:pPr>
      <w:r>
        <w:rPr>
          <w:rFonts w:hint="eastAsia" w:ascii="宋体" w:hAnsi="宋体" w:eastAsia="宋体" w:cs="宋体"/>
          <w:b w:val="0"/>
          <w:sz w:val="24"/>
          <w:szCs w:val="24"/>
          <w:highlight w:val="none"/>
          <w:lang w:bidi="ar"/>
        </w:rPr>
        <w:t>（3）电子化响应性文件解密异常的处理如出现供应商的电子响应性文件无法解密等异常情况，供应商应及时致电中介服务机构说明。响应性文件异常，按以下步骤进行处理：</w:t>
      </w:r>
    </w:p>
    <w:p w14:paraId="4A194484">
      <w:pPr>
        <w:pStyle w:val="6"/>
        <w:keepNext w:val="0"/>
        <w:keepLines w:val="0"/>
        <w:pageBreakBefore w:val="0"/>
        <w:widowControl/>
        <w:kinsoku w:val="0"/>
        <w:wordWrap/>
        <w:bidi w:val="0"/>
        <w:adjustRightInd w:val="0"/>
        <w:snapToGrid w:val="0"/>
        <w:spacing w:before="0" w:after="0" w:line="360" w:lineRule="auto"/>
        <w:ind w:left="0" w:leftChars="0" w:right="0" w:rightChars="0" w:firstLine="480" w:firstLineChars="200"/>
        <w:jc w:val="both"/>
        <w:rPr>
          <w:rFonts w:hint="eastAsia" w:ascii="宋体" w:hAnsi="宋体" w:eastAsia="宋体" w:cs="宋体"/>
          <w:b w:val="0"/>
          <w:sz w:val="24"/>
          <w:szCs w:val="24"/>
          <w:highlight w:val="none"/>
          <w:lang w:bidi="ar"/>
        </w:rPr>
      </w:pPr>
      <w:r>
        <w:rPr>
          <w:rFonts w:hint="eastAsia" w:ascii="宋体" w:hAnsi="宋体" w:eastAsia="宋体" w:cs="宋体"/>
          <w:b w:val="0"/>
          <w:sz w:val="24"/>
          <w:szCs w:val="24"/>
          <w:highlight w:val="none"/>
          <w:lang w:bidi="ar"/>
        </w:rPr>
        <w:t>1.首先由技术人员进行问题排查。</w:t>
      </w:r>
    </w:p>
    <w:p w14:paraId="3C03CCF3">
      <w:pPr>
        <w:pStyle w:val="6"/>
        <w:keepNext w:val="0"/>
        <w:keepLines w:val="0"/>
        <w:pageBreakBefore w:val="0"/>
        <w:widowControl/>
        <w:kinsoku w:val="0"/>
        <w:wordWrap/>
        <w:bidi w:val="0"/>
        <w:adjustRightInd w:val="0"/>
        <w:snapToGrid w:val="0"/>
        <w:spacing w:before="0" w:after="0" w:line="360" w:lineRule="auto"/>
        <w:ind w:left="0" w:leftChars="0" w:right="0" w:rightChars="0" w:firstLine="480" w:firstLineChars="200"/>
        <w:jc w:val="both"/>
        <w:rPr>
          <w:rFonts w:hint="eastAsia" w:ascii="宋体" w:hAnsi="宋体" w:eastAsia="宋体" w:cs="宋体"/>
          <w:b w:val="0"/>
          <w:sz w:val="24"/>
          <w:szCs w:val="24"/>
          <w:highlight w:val="none"/>
          <w:lang w:bidi="ar"/>
        </w:rPr>
      </w:pPr>
      <w:r>
        <w:rPr>
          <w:rFonts w:hint="eastAsia" w:ascii="宋体" w:hAnsi="宋体" w:eastAsia="宋体" w:cs="宋体"/>
          <w:b w:val="0"/>
          <w:sz w:val="24"/>
          <w:szCs w:val="24"/>
          <w:highlight w:val="none"/>
          <w:lang w:bidi="ar"/>
        </w:rPr>
        <w:t>2.经技术人员排查后，是供应商文件自身问题导致响应性文件无法解密的，该响应性文件将不予接收、解密和唱标。开标会议继续进行。</w:t>
      </w:r>
    </w:p>
    <w:p w14:paraId="5F2F77E0">
      <w:pPr>
        <w:pStyle w:val="6"/>
        <w:keepNext w:val="0"/>
        <w:keepLines w:val="0"/>
        <w:pageBreakBefore w:val="0"/>
        <w:widowControl/>
        <w:kinsoku w:val="0"/>
        <w:wordWrap/>
        <w:bidi w:val="0"/>
        <w:adjustRightInd w:val="0"/>
        <w:snapToGrid w:val="0"/>
        <w:spacing w:before="0" w:after="0" w:line="360" w:lineRule="auto"/>
        <w:ind w:left="0" w:leftChars="0" w:right="0" w:rightChars="0" w:firstLine="480" w:firstLineChars="200"/>
        <w:jc w:val="both"/>
        <w:rPr>
          <w:rFonts w:hint="eastAsia" w:ascii="宋体" w:hAnsi="宋体" w:eastAsia="宋体" w:cs="宋体"/>
          <w:b w:val="0"/>
          <w:sz w:val="24"/>
          <w:szCs w:val="24"/>
          <w:highlight w:val="none"/>
          <w:lang w:bidi="ar"/>
        </w:rPr>
      </w:pPr>
      <w:r>
        <w:rPr>
          <w:rFonts w:hint="eastAsia" w:ascii="宋体" w:hAnsi="宋体" w:eastAsia="宋体" w:cs="宋体"/>
          <w:b w:val="0"/>
          <w:sz w:val="24"/>
          <w:szCs w:val="24"/>
          <w:highlight w:val="none"/>
          <w:lang w:bidi="ar"/>
        </w:rPr>
        <w:t>3.经技术人员排查后，如果是电子化交易系统问题造成响应性文件无法解密的，将由技术人员对问题进行处理。如短时间内问题无法解决的，将由中介服务机构向监督部门申请，经监督部门同意后，暂停开标会议，待问题解决后继续开标。</w:t>
      </w:r>
    </w:p>
    <w:p w14:paraId="799FE459">
      <w:pPr>
        <w:pStyle w:val="6"/>
        <w:keepNext w:val="0"/>
        <w:keepLines w:val="0"/>
        <w:pageBreakBefore w:val="0"/>
        <w:widowControl/>
        <w:kinsoku w:val="0"/>
        <w:wordWrap/>
        <w:bidi w:val="0"/>
        <w:adjustRightInd w:val="0"/>
        <w:snapToGrid w:val="0"/>
        <w:spacing w:before="0" w:after="0" w:line="360" w:lineRule="auto"/>
        <w:ind w:left="0" w:leftChars="0" w:right="0" w:rightChars="0" w:firstLine="480" w:firstLineChars="200"/>
        <w:jc w:val="both"/>
        <w:rPr>
          <w:rFonts w:hint="eastAsia" w:ascii="宋体" w:hAnsi="宋体" w:eastAsia="宋体" w:cs="宋体"/>
          <w:b w:val="0"/>
          <w:sz w:val="24"/>
          <w:szCs w:val="24"/>
          <w:highlight w:val="none"/>
          <w:lang w:bidi="ar"/>
        </w:rPr>
      </w:pPr>
      <w:r>
        <w:rPr>
          <w:rFonts w:hint="eastAsia" w:ascii="宋体" w:hAnsi="宋体" w:eastAsia="宋体" w:cs="宋体"/>
          <w:b w:val="0"/>
          <w:sz w:val="24"/>
          <w:szCs w:val="24"/>
          <w:highlight w:val="none"/>
          <w:lang w:bidi="ar"/>
        </w:rPr>
        <w:t>（4）待所有供应商响应性文件解密完成后，由中介服务机构操作，对所有已解密响应性文件进行唱标。供应商应保证在开标期间电话、电脑、网络能够正常工作，供应商因停电、电脑病毒、网络堵塞等原因，未在规定的解密时间内对响应性文件进行解密的，其响应性文件不予接收、唱标。</w:t>
      </w:r>
    </w:p>
    <w:p w14:paraId="11B9FCEC">
      <w:pPr>
        <w:pStyle w:val="6"/>
        <w:keepNext w:val="0"/>
        <w:keepLines w:val="0"/>
        <w:pageBreakBefore w:val="0"/>
        <w:widowControl/>
        <w:kinsoku w:val="0"/>
        <w:wordWrap/>
        <w:bidi w:val="0"/>
        <w:adjustRightInd w:val="0"/>
        <w:snapToGrid w:val="0"/>
        <w:spacing w:before="0" w:after="0" w:line="360" w:lineRule="auto"/>
        <w:ind w:left="0" w:leftChars="0" w:right="0" w:rightChars="0" w:firstLine="480" w:firstLineChars="200"/>
        <w:jc w:val="both"/>
        <w:rPr>
          <w:rFonts w:hint="eastAsia" w:ascii="宋体" w:hAnsi="宋体" w:eastAsia="宋体" w:cs="宋体"/>
          <w:b w:val="0"/>
          <w:sz w:val="24"/>
          <w:szCs w:val="24"/>
          <w:highlight w:val="none"/>
          <w:lang w:bidi="ar"/>
        </w:rPr>
      </w:pPr>
      <w:r>
        <w:rPr>
          <w:rFonts w:hint="eastAsia" w:ascii="宋体" w:hAnsi="宋体" w:eastAsia="宋体" w:cs="宋体"/>
          <w:b w:val="0"/>
          <w:sz w:val="24"/>
          <w:szCs w:val="24"/>
          <w:highlight w:val="none"/>
          <w:lang w:bidi="ar"/>
        </w:rPr>
        <w:t>（5）开标时供应商可登录到交易系统中在开标解密栏中点击报价一览表查看自己的投标报价。如对自己的唱标内容有异议的，应在供应商解密成功后10 分钟内向中介服务机构电话质疑。中介服务机构应在监督人员的监督下进行免提通话接受供应商的质疑并做好书面记录。供应商未在规定时间内提出质疑的，视为认可唱标内容。</w:t>
      </w:r>
    </w:p>
    <w:p w14:paraId="4D0E65F6">
      <w:pPr>
        <w:pStyle w:val="6"/>
        <w:keepNext w:val="0"/>
        <w:keepLines w:val="0"/>
        <w:pageBreakBefore w:val="0"/>
        <w:widowControl/>
        <w:kinsoku w:val="0"/>
        <w:wordWrap/>
        <w:bidi w:val="0"/>
        <w:adjustRightInd w:val="0"/>
        <w:snapToGrid w:val="0"/>
        <w:spacing w:before="0" w:after="0" w:line="360" w:lineRule="auto"/>
        <w:ind w:left="0" w:leftChars="0" w:right="0" w:rightChars="0" w:firstLine="480" w:firstLineChars="200"/>
        <w:jc w:val="both"/>
        <w:rPr>
          <w:rFonts w:hint="eastAsia" w:ascii="宋体" w:hAnsi="宋体" w:eastAsia="宋体" w:cs="宋体"/>
          <w:b w:val="0"/>
          <w:sz w:val="24"/>
          <w:szCs w:val="24"/>
          <w:highlight w:val="none"/>
          <w:lang w:bidi="ar"/>
        </w:rPr>
      </w:pPr>
      <w:r>
        <w:rPr>
          <w:rFonts w:hint="eastAsia" w:ascii="宋体" w:hAnsi="宋体" w:eastAsia="宋体" w:cs="宋体"/>
          <w:b w:val="0"/>
          <w:sz w:val="24"/>
          <w:szCs w:val="24"/>
          <w:highlight w:val="none"/>
          <w:lang w:bidi="ar"/>
        </w:rPr>
        <w:t>（6）评标时，磋商小组对电子化响应性文件有质疑的，将通过电子化交易系统对供应商发起质疑，并在监督人员的监督下，用免提模式致电需要答复的供应商对质疑进行回复。供应商的回复文件必须以经过供应商和其法定代表人签章的PDF 格式文件为准，并通过电子化交易系统提交至磋商小组。</w:t>
      </w:r>
    </w:p>
    <w:p w14:paraId="17605FFB">
      <w:pPr>
        <w:pStyle w:val="6"/>
        <w:keepNext w:val="0"/>
        <w:keepLines w:val="0"/>
        <w:pageBreakBefore w:val="0"/>
        <w:widowControl/>
        <w:kinsoku w:val="0"/>
        <w:wordWrap/>
        <w:bidi w:val="0"/>
        <w:adjustRightInd w:val="0"/>
        <w:snapToGrid w:val="0"/>
        <w:spacing w:before="0" w:after="0" w:line="360" w:lineRule="auto"/>
        <w:ind w:left="0" w:leftChars="0" w:right="0" w:rightChars="0" w:firstLine="480" w:firstLineChars="200"/>
        <w:jc w:val="left"/>
        <w:rPr>
          <w:rFonts w:hint="eastAsia" w:ascii="宋体" w:hAnsi="宋体" w:eastAsia="宋体" w:cs="宋体"/>
          <w:color w:val="000000" w:themeColor="text1"/>
          <w:sz w:val="24"/>
          <w:szCs w:val="24"/>
          <w:highlight w:val="none"/>
        </w:rPr>
      </w:pPr>
      <w:r>
        <w:rPr>
          <w:rFonts w:hint="eastAsia" w:ascii="宋体" w:hAnsi="宋体" w:eastAsia="宋体" w:cs="宋体"/>
          <w:b w:val="0"/>
          <w:sz w:val="24"/>
          <w:szCs w:val="24"/>
          <w:highlight w:val="none"/>
          <w:lang w:bidi="ar"/>
        </w:rPr>
        <w:t>（7）如磋商小组对需要回复的供应商连续三次致电未接通的，视为供应商放弃回复，磋商小组将自行对需要回复的内容进行认定。</w:t>
      </w:r>
    </w:p>
    <w:p w14:paraId="335F5562">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lang w:val="en-US" w:eastAsia="zh-CN"/>
        </w:rPr>
        <w:t>5.2</w:t>
      </w:r>
      <w:r>
        <w:rPr>
          <w:rFonts w:hint="eastAsia" w:ascii="宋体" w:hAnsi="宋体" w:eastAsia="宋体" w:cs="宋体"/>
          <w:b/>
          <w:bCs/>
          <w:color w:val="000000" w:themeColor="text1"/>
          <w:sz w:val="24"/>
          <w:szCs w:val="24"/>
          <w:highlight w:val="none"/>
        </w:rPr>
        <w:t>.磋商细则</w:t>
      </w:r>
    </w:p>
    <w:p w14:paraId="140C6AB7">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5.2</w:t>
      </w:r>
      <w:r>
        <w:rPr>
          <w:rFonts w:hint="eastAsia" w:ascii="宋体" w:hAnsi="宋体" w:eastAsia="宋体" w:cs="宋体"/>
          <w:color w:val="000000" w:themeColor="text1"/>
          <w:sz w:val="24"/>
          <w:szCs w:val="24"/>
          <w:highlight w:val="none"/>
        </w:rPr>
        <w:t>.1采购人按照上传</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时间的顺序，决定磋商顺序；</w:t>
      </w:r>
    </w:p>
    <w:p w14:paraId="70575E03">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5.2</w:t>
      </w:r>
      <w:r>
        <w:rPr>
          <w:rFonts w:hint="eastAsia" w:ascii="宋体" w:hAnsi="宋体" w:eastAsia="宋体" w:cs="宋体"/>
          <w:color w:val="000000" w:themeColor="text1"/>
          <w:sz w:val="24"/>
          <w:szCs w:val="24"/>
          <w:highlight w:val="none"/>
        </w:rPr>
        <w:t>.2磋商小组所有成员应当集中与单一供应商分别进行磋商。磋商小组将根据采购文件规定的程序、评定成交的标准等事项与实质性响应采购文件要求的供应商分别进行磋商。在磋商中，磋商的任何一方不得透露与磋商有关的其他供应商的技术资料、价格和其他信息。</w:t>
      </w:r>
    </w:p>
    <w:p w14:paraId="01C82A0E">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5.2</w:t>
      </w:r>
      <w:r>
        <w:rPr>
          <w:rFonts w:hint="eastAsia" w:ascii="宋体" w:hAnsi="宋体" w:eastAsia="宋体" w:cs="宋体"/>
          <w:color w:val="000000" w:themeColor="text1"/>
          <w:sz w:val="24"/>
          <w:szCs w:val="24"/>
          <w:highlight w:val="none"/>
        </w:rPr>
        <w:t>.3本次磋商中，</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中的报价为第一次报价。</w:t>
      </w:r>
    </w:p>
    <w:p w14:paraId="7379BD93">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5.2</w:t>
      </w:r>
      <w:r>
        <w:rPr>
          <w:rFonts w:hint="eastAsia" w:ascii="宋体" w:hAnsi="宋体" w:eastAsia="宋体" w:cs="宋体"/>
          <w:color w:val="000000" w:themeColor="text1"/>
          <w:sz w:val="24"/>
          <w:szCs w:val="24"/>
          <w:highlight w:val="none"/>
        </w:rPr>
        <w:t>.4供应商可以在磋商小组规定的时间内进行第二次报价，通过交易中心系统以电子形式递交，第二轮报价不得高于第一轮报价，成交价以最终报价为准。磋商过程中，磋商小组可以根据磋商情况调整磋商轮次。</w:t>
      </w:r>
    </w:p>
    <w:p w14:paraId="1ED1ABB4">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5.2</w:t>
      </w:r>
      <w:r>
        <w:rPr>
          <w:rFonts w:hint="eastAsia" w:ascii="宋体" w:hAnsi="宋体" w:eastAsia="宋体" w:cs="宋体"/>
          <w:color w:val="000000" w:themeColor="text1"/>
          <w:sz w:val="24"/>
          <w:szCs w:val="24"/>
          <w:highlight w:val="none"/>
        </w:rPr>
        <w:t>.5本项目采用综合评分法，磋商小组成员综合评审各供应商提交的</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，按总得分由高到低的顺序推荐3名成交候选人，并编写评审报告。</w:t>
      </w:r>
    </w:p>
    <w:p w14:paraId="6095994A">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sz w:val="24"/>
          <w:szCs w:val="24"/>
          <w:highlight w:val="none"/>
          <w:lang w:val="en-US" w:eastAsia="zh-CN"/>
        </w:rPr>
      </w:pPr>
      <w:r>
        <w:rPr>
          <w:rFonts w:hint="eastAsia" w:ascii="宋体" w:hAnsi="宋体" w:eastAsia="宋体" w:cs="宋体"/>
          <w:b/>
          <w:bCs/>
          <w:color w:val="000000" w:themeColor="text1"/>
          <w:sz w:val="24"/>
          <w:szCs w:val="24"/>
          <w:highlight w:val="none"/>
          <w:lang w:val="en-US" w:eastAsia="zh-CN"/>
        </w:rPr>
        <w:t>5.3</w:t>
      </w:r>
      <w:r>
        <w:rPr>
          <w:rFonts w:hint="eastAsia" w:ascii="宋体" w:hAnsi="宋体" w:eastAsia="宋体" w:cs="宋体"/>
          <w:b/>
          <w:bCs/>
          <w:color w:val="000000" w:themeColor="text1"/>
          <w:sz w:val="24"/>
          <w:szCs w:val="24"/>
          <w:highlight w:val="none"/>
        </w:rPr>
        <w:t>、磋商</w:t>
      </w:r>
      <w:r>
        <w:rPr>
          <w:rFonts w:hint="eastAsia" w:ascii="宋体" w:hAnsi="宋体" w:eastAsia="宋体" w:cs="宋体"/>
          <w:b/>
          <w:bCs/>
          <w:color w:val="000000" w:themeColor="text1"/>
          <w:sz w:val="24"/>
          <w:szCs w:val="24"/>
          <w:highlight w:val="none"/>
          <w:lang w:val="en-US" w:eastAsia="zh-CN"/>
        </w:rPr>
        <w:t>小组</w:t>
      </w:r>
    </w:p>
    <w:p w14:paraId="1306515C">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b w:val="0"/>
          <w:bCs w:val="0"/>
          <w:color w:val="000000" w:themeColor="text1"/>
          <w:sz w:val="24"/>
          <w:szCs w:val="24"/>
          <w:highlight w:val="none"/>
          <w:lang w:val="en-US" w:eastAsia="zh-CN"/>
        </w:rPr>
        <w:t>5.3</w:t>
      </w:r>
      <w:r>
        <w:rPr>
          <w:rFonts w:hint="eastAsia" w:ascii="宋体" w:hAnsi="宋体" w:eastAsia="宋体" w:cs="宋体"/>
          <w:color w:val="000000" w:themeColor="text1"/>
          <w:sz w:val="24"/>
          <w:szCs w:val="24"/>
          <w:highlight w:val="none"/>
        </w:rPr>
        <w:t>.1磋商小组由采购人依法组建，负责磋商。根据《政府采购竞争性磋商采购方式管理办法》的规定，磋商小组应当履行以下义务：</w:t>
      </w:r>
    </w:p>
    <w:p w14:paraId="5721FD3A">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（一）遵纪守法，客观、公正、廉洁地履行职责；</w:t>
      </w:r>
    </w:p>
    <w:p w14:paraId="69066984">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根据竞争性磋商文件的规定独立进行评审，对个人的评审意见承担法律责任；磋商小组将综合分析、评审供应商的各项指标，而不以单项指标的优劣评定出成交候选人或成交人。</w:t>
      </w:r>
    </w:p>
    <w:p w14:paraId="3A7809A9">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参与磋商报告的起草；</w:t>
      </w:r>
    </w:p>
    <w:p w14:paraId="39EDB9C1">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配合采购人、代理机构答复供应商提出的质疑；</w:t>
      </w:r>
    </w:p>
    <w:p w14:paraId="19AC137A">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配合财政部门的投诉处理和监督检查工作。</w:t>
      </w:r>
    </w:p>
    <w:p w14:paraId="40A28A62">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5.3</w:t>
      </w:r>
      <w:r>
        <w:rPr>
          <w:rFonts w:hint="eastAsia" w:ascii="宋体" w:hAnsi="宋体" w:eastAsia="宋体" w:cs="宋体"/>
          <w:color w:val="000000" w:themeColor="text1"/>
          <w:sz w:val="24"/>
          <w:szCs w:val="24"/>
          <w:highlight w:val="none"/>
        </w:rPr>
        <w:t>.2磋商小组由有关技术、经济方面的专家组成。磋商小组人数及技术、经济专家的确定方式见供应商须知前附表。</w:t>
      </w:r>
    </w:p>
    <w:p w14:paraId="1991E153">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5.3</w:t>
      </w:r>
      <w:r>
        <w:rPr>
          <w:rFonts w:hint="eastAsia" w:ascii="宋体" w:hAnsi="宋体" w:eastAsia="宋体" w:cs="宋体"/>
          <w:color w:val="000000" w:themeColor="text1"/>
          <w:sz w:val="24"/>
          <w:szCs w:val="24"/>
          <w:highlight w:val="none"/>
        </w:rPr>
        <w:t>.3磋商原则</w:t>
      </w:r>
    </w:p>
    <w:p w14:paraId="03DCCE0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5.3</w:t>
      </w:r>
      <w:r>
        <w:rPr>
          <w:rFonts w:hint="eastAsia" w:ascii="宋体" w:hAnsi="宋体" w:eastAsia="宋体" w:cs="宋体"/>
          <w:color w:val="000000" w:themeColor="text1"/>
          <w:sz w:val="24"/>
          <w:szCs w:val="24"/>
          <w:highlight w:val="none"/>
        </w:rPr>
        <w:t>.</w:t>
      </w:r>
      <w:r>
        <w:rPr>
          <w:rFonts w:hint="eastAsia" w:ascii="宋体" w:hAnsi="宋体" w:eastAsia="宋体" w:cs="宋体"/>
          <w:color w:val="000000" w:themeColor="text1"/>
          <w:sz w:val="24"/>
          <w:szCs w:val="24"/>
          <w:highlight w:val="none"/>
          <w:lang w:val="en-US" w:eastAsia="zh-CN"/>
        </w:rPr>
        <w:t>3.1</w:t>
      </w:r>
      <w:r>
        <w:rPr>
          <w:rFonts w:hint="eastAsia" w:ascii="宋体" w:hAnsi="宋体" w:eastAsia="宋体" w:cs="宋体"/>
          <w:color w:val="000000" w:themeColor="text1"/>
          <w:sz w:val="24"/>
          <w:szCs w:val="24"/>
          <w:highlight w:val="none"/>
        </w:rPr>
        <w:t>严格按照竞争性磋商文件中的所有相关规定；按照“客观、公正、审慎”的原则进行磋商。</w:t>
      </w:r>
    </w:p>
    <w:p w14:paraId="60E4E07D">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5.3</w:t>
      </w:r>
      <w:r>
        <w:rPr>
          <w:rFonts w:hint="eastAsia" w:ascii="宋体" w:hAnsi="宋体" w:eastAsia="宋体" w:cs="宋体"/>
          <w:color w:val="000000" w:themeColor="text1"/>
          <w:sz w:val="24"/>
          <w:szCs w:val="24"/>
          <w:highlight w:val="none"/>
        </w:rPr>
        <w:t>.</w:t>
      </w:r>
      <w:r>
        <w:rPr>
          <w:rFonts w:hint="eastAsia" w:ascii="宋体" w:hAnsi="宋体" w:eastAsia="宋体" w:cs="宋体"/>
          <w:color w:val="000000" w:themeColor="text1"/>
          <w:sz w:val="24"/>
          <w:szCs w:val="24"/>
          <w:highlight w:val="none"/>
          <w:lang w:val="en-US" w:eastAsia="zh-CN"/>
        </w:rPr>
        <w:t>3</w:t>
      </w:r>
      <w:r>
        <w:rPr>
          <w:rFonts w:hint="eastAsia" w:ascii="宋体" w:hAnsi="宋体" w:eastAsia="宋体" w:cs="宋体"/>
          <w:color w:val="000000" w:themeColor="text1"/>
          <w:sz w:val="24"/>
          <w:szCs w:val="24"/>
          <w:highlight w:val="none"/>
        </w:rPr>
        <w:t>.2反对不正当竞争。</w:t>
      </w:r>
    </w:p>
    <w:p w14:paraId="33B865D8">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lang w:val="en-US" w:eastAsia="zh-CN"/>
        </w:rPr>
        <w:t>5.4</w:t>
      </w:r>
      <w:r>
        <w:rPr>
          <w:rFonts w:hint="eastAsia" w:ascii="宋体" w:hAnsi="宋体" w:eastAsia="宋体" w:cs="宋体"/>
          <w:b/>
          <w:bCs/>
          <w:color w:val="000000" w:themeColor="text1"/>
          <w:sz w:val="24"/>
          <w:szCs w:val="24"/>
          <w:highlight w:val="none"/>
        </w:rPr>
        <w:t>、磋商过程的保密</w:t>
      </w:r>
    </w:p>
    <w:p w14:paraId="2FFFB9C5">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rPr>
      </w:pPr>
      <w:r>
        <w:rPr>
          <w:rFonts w:hint="eastAsia" w:ascii="宋体" w:hAnsi="宋体" w:eastAsia="宋体" w:cs="宋体"/>
          <w:b w:val="0"/>
          <w:bCs w:val="0"/>
          <w:color w:val="000000" w:themeColor="text1"/>
          <w:sz w:val="24"/>
          <w:szCs w:val="24"/>
          <w:highlight w:val="none"/>
          <w:lang w:val="en-US" w:eastAsia="zh-CN"/>
        </w:rPr>
        <w:t>5.4</w:t>
      </w:r>
      <w:r>
        <w:rPr>
          <w:rFonts w:hint="eastAsia" w:ascii="宋体" w:hAnsi="宋体" w:eastAsia="宋体" w:cs="宋体"/>
          <w:b w:val="0"/>
          <w:bCs w:val="0"/>
          <w:color w:val="000000" w:themeColor="text1"/>
          <w:sz w:val="24"/>
          <w:szCs w:val="24"/>
          <w:highlight w:val="none"/>
        </w:rPr>
        <w:t>.1</w:t>
      </w:r>
      <w:r>
        <w:rPr>
          <w:rFonts w:hint="eastAsia" w:ascii="宋体" w:hAnsi="宋体" w:eastAsia="宋体" w:cs="宋体"/>
          <w:b w:val="0"/>
          <w:bCs w:val="0"/>
          <w:color w:val="000000" w:themeColor="text1"/>
          <w:sz w:val="24"/>
          <w:szCs w:val="24"/>
          <w:highlight w:val="none"/>
          <w:lang w:eastAsia="zh-CN"/>
        </w:rPr>
        <w:t>投标文件</w:t>
      </w:r>
      <w:r>
        <w:rPr>
          <w:rFonts w:hint="eastAsia" w:ascii="宋体" w:hAnsi="宋体" w:eastAsia="宋体" w:cs="宋体"/>
          <w:b w:val="0"/>
          <w:bCs w:val="0"/>
          <w:color w:val="000000" w:themeColor="text1"/>
          <w:sz w:val="24"/>
          <w:szCs w:val="24"/>
          <w:highlight w:val="none"/>
        </w:rPr>
        <w:t>的审查、澄清、评价和比较的有关资料以及成交候选人的推荐情况，与评标有关的其他任何情况均应严格保密。</w:t>
      </w:r>
    </w:p>
    <w:p w14:paraId="66C210B8">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rPr>
      </w:pPr>
      <w:r>
        <w:rPr>
          <w:rFonts w:hint="eastAsia" w:ascii="宋体" w:hAnsi="宋体" w:eastAsia="宋体" w:cs="宋体"/>
          <w:b w:val="0"/>
          <w:bCs w:val="0"/>
          <w:color w:val="000000" w:themeColor="text1"/>
          <w:sz w:val="24"/>
          <w:szCs w:val="24"/>
          <w:highlight w:val="none"/>
          <w:lang w:val="en-US" w:eastAsia="zh-CN"/>
        </w:rPr>
        <w:t>5.4</w:t>
      </w:r>
      <w:r>
        <w:rPr>
          <w:rFonts w:hint="eastAsia" w:ascii="宋体" w:hAnsi="宋体" w:eastAsia="宋体" w:cs="宋体"/>
          <w:b w:val="0"/>
          <w:bCs w:val="0"/>
          <w:color w:val="000000" w:themeColor="text1"/>
          <w:sz w:val="24"/>
          <w:szCs w:val="24"/>
          <w:highlight w:val="none"/>
        </w:rPr>
        <w:t>.2在</w:t>
      </w:r>
      <w:r>
        <w:rPr>
          <w:rFonts w:hint="eastAsia" w:ascii="宋体" w:hAnsi="宋体" w:eastAsia="宋体" w:cs="宋体"/>
          <w:b w:val="0"/>
          <w:bCs w:val="0"/>
          <w:color w:val="000000" w:themeColor="text1"/>
          <w:sz w:val="24"/>
          <w:szCs w:val="24"/>
          <w:highlight w:val="none"/>
          <w:lang w:eastAsia="zh-CN"/>
        </w:rPr>
        <w:t>投标文件</w:t>
      </w:r>
      <w:r>
        <w:rPr>
          <w:rFonts w:hint="eastAsia" w:ascii="宋体" w:hAnsi="宋体" w:eastAsia="宋体" w:cs="宋体"/>
          <w:b w:val="0"/>
          <w:bCs w:val="0"/>
          <w:color w:val="000000" w:themeColor="text1"/>
          <w:sz w:val="24"/>
          <w:szCs w:val="24"/>
          <w:highlight w:val="none"/>
        </w:rPr>
        <w:t>的评审和比较、成交候选人推荐以及授予合同的过程中，供应商向采购人和磋商小组施加影响的任何行为，都将会导致其投标被拒绝。</w:t>
      </w:r>
    </w:p>
    <w:p w14:paraId="031A22EB">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rPr>
      </w:pPr>
      <w:r>
        <w:rPr>
          <w:rFonts w:hint="eastAsia" w:ascii="宋体" w:hAnsi="宋体" w:eastAsia="宋体" w:cs="宋体"/>
          <w:b w:val="0"/>
          <w:bCs w:val="0"/>
          <w:color w:val="000000" w:themeColor="text1"/>
          <w:sz w:val="24"/>
          <w:szCs w:val="24"/>
          <w:highlight w:val="none"/>
          <w:lang w:val="en-US" w:eastAsia="zh-CN"/>
        </w:rPr>
        <w:t>5.4</w:t>
      </w:r>
      <w:r>
        <w:rPr>
          <w:rFonts w:hint="eastAsia" w:ascii="宋体" w:hAnsi="宋体" w:eastAsia="宋体" w:cs="宋体"/>
          <w:b w:val="0"/>
          <w:bCs w:val="0"/>
          <w:color w:val="000000" w:themeColor="text1"/>
          <w:sz w:val="24"/>
          <w:szCs w:val="24"/>
          <w:highlight w:val="none"/>
        </w:rPr>
        <w:t>.3采购人不对未成交人就评标过程以及未能成交原因作出任何解释。未成交人不得向磋商小组成员和其他有关人员索问评标过程的情况和资料。</w:t>
      </w:r>
    </w:p>
    <w:p w14:paraId="5034B0F9">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lang w:val="en-US" w:eastAsia="zh-CN"/>
        </w:rPr>
        <w:t>5.5</w:t>
      </w:r>
      <w:r>
        <w:rPr>
          <w:rFonts w:hint="eastAsia" w:ascii="宋体" w:hAnsi="宋体" w:eastAsia="宋体" w:cs="宋体"/>
          <w:b/>
          <w:bCs/>
          <w:color w:val="000000" w:themeColor="text1"/>
          <w:sz w:val="24"/>
          <w:szCs w:val="24"/>
          <w:highlight w:val="none"/>
        </w:rPr>
        <w:t>、</w:t>
      </w:r>
      <w:r>
        <w:rPr>
          <w:rFonts w:hint="eastAsia" w:ascii="宋体" w:hAnsi="宋体" w:eastAsia="宋体" w:cs="宋体"/>
          <w:b/>
          <w:bCs/>
          <w:color w:val="000000" w:themeColor="text1"/>
          <w:sz w:val="24"/>
          <w:szCs w:val="24"/>
          <w:highlight w:val="none"/>
          <w:lang w:eastAsia="zh-CN"/>
        </w:rPr>
        <w:t>投标文件</w:t>
      </w:r>
      <w:r>
        <w:rPr>
          <w:rFonts w:hint="eastAsia" w:ascii="宋体" w:hAnsi="宋体" w:eastAsia="宋体" w:cs="宋体"/>
          <w:b/>
          <w:bCs/>
          <w:color w:val="000000" w:themeColor="text1"/>
          <w:sz w:val="24"/>
          <w:szCs w:val="24"/>
          <w:highlight w:val="none"/>
        </w:rPr>
        <w:t>的澄清</w:t>
      </w:r>
    </w:p>
    <w:p w14:paraId="16CACFBF">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b w:val="0"/>
          <w:bCs w:val="0"/>
          <w:color w:val="000000" w:themeColor="text1"/>
          <w:sz w:val="24"/>
          <w:szCs w:val="24"/>
          <w:highlight w:val="none"/>
          <w:lang w:val="en-US" w:eastAsia="zh-CN"/>
        </w:rPr>
        <w:t>5.5</w:t>
      </w:r>
      <w:r>
        <w:rPr>
          <w:rFonts w:hint="eastAsia" w:ascii="宋体" w:hAnsi="宋体" w:eastAsia="宋体" w:cs="宋体"/>
          <w:b w:val="0"/>
          <w:bCs w:val="0"/>
          <w:color w:val="000000" w:themeColor="text1"/>
          <w:sz w:val="24"/>
          <w:szCs w:val="24"/>
          <w:highlight w:val="none"/>
        </w:rPr>
        <w:t>.1</w:t>
      </w:r>
      <w:r>
        <w:rPr>
          <w:rFonts w:hint="eastAsia" w:ascii="宋体" w:hAnsi="宋体" w:eastAsia="宋体" w:cs="宋体"/>
          <w:color w:val="000000" w:themeColor="text1"/>
          <w:sz w:val="24"/>
          <w:szCs w:val="24"/>
          <w:highlight w:val="none"/>
        </w:rPr>
        <w:t>在磋商期间，磋商小组可以要求供应商对其</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中含义不明确、同类问题表述不一致或者有明显文字和计算错误的内容等作必要的澄清、说明或更正。供应商的澄清、说明或更正应在磋商小组规定的时间内以书面方式进行，并不得超出</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范围或者改变</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的实质性内容。供应商拒不进行澄清、说明、更正的，或者不能在规定时间内作出书面澄清、说明、更正的，其</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将被作为无效</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处理。</w:t>
      </w:r>
    </w:p>
    <w:p w14:paraId="174B58AB">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磋商小组要求供应商澄清、说明或者更正</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将在</w:t>
      </w:r>
      <w:r>
        <w:rPr>
          <w:rFonts w:hint="eastAsia" w:ascii="宋体" w:hAnsi="宋体" w:eastAsia="宋体" w:cs="宋体"/>
          <w:color w:val="000000" w:themeColor="text1"/>
          <w:sz w:val="24"/>
          <w:szCs w:val="24"/>
          <w:highlight w:val="none"/>
          <w:lang w:val="en-US" w:eastAsia="zh-CN"/>
        </w:rPr>
        <w:t>三门峡市</w:t>
      </w:r>
      <w:r>
        <w:rPr>
          <w:rFonts w:hint="eastAsia" w:ascii="宋体" w:hAnsi="宋体" w:eastAsia="宋体" w:cs="宋体"/>
          <w:color w:val="000000" w:themeColor="text1"/>
          <w:sz w:val="24"/>
          <w:szCs w:val="24"/>
          <w:highlight w:val="none"/>
        </w:rPr>
        <w:t>资源交易系统中向供应商发出，供应商在收到该要求后，应在磋商小组规定时间内在交易系统中做出相应的回复，如果磋商小组在规定时间内没有收到供应商的回复则视为该供应商没有回复</w:t>
      </w:r>
      <w:r>
        <w:rPr>
          <w:rFonts w:hint="eastAsia" w:ascii="宋体" w:hAnsi="宋体" w:eastAsia="宋体" w:cs="宋体"/>
          <w:color w:val="000000" w:themeColor="text1"/>
          <w:sz w:val="24"/>
          <w:szCs w:val="24"/>
          <w:highlight w:val="none"/>
          <w:lang w:eastAsia="zh-CN"/>
        </w:rPr>
        <w:t>，</w:t>
      </w:r>
      <w:r>
        <w:rPr>
          <w:rFonts w:hint="eastAsia" w:ascii="宋体" w:hAnsi="宋体" w:eastAsia="宋体" w:cs="宋体"/>
          <w:color w:val="000000" w:themeColor="text1"/>
          <w:sz w:val="24"/>
          <w:szCs w:val="24"/>
          <w:highlight w:val="none"/>
          <w:lang w:val="en-US" w:eastAsia="zh-CN"/>
        </w:rPr>
        <w:t>由此造成后果由供应商自行承担</w:t>
      </w:r>
      <w:r>
        <w:rPr>
          <w:rFonts w:hint="eastAsia" w:ascii="宋体" w:hAnsi="宋体" w:eastAsia="宋体" w:cs="宋体"/>
          <w:color w:val="000000" w:themeColor="text1"/>
          <w:sz w:val="24"/>
          <w:szCs w:val="24"/>
          <w:highlight w:val="none"/>
        </w:rPr>
        <w:t>。</w:t>
      </w:r>
    </w:p>
    <w:p w14:paraId="60FE39F2">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rPr>
      </w:pPr>
      <w:r>
        <w:rPr>
          <w:rFonts w:hint="eastAsia" w:ascii="宋体" w:hAnsi="宋体" w:eastAsia="宋体" w:cs="宋体"/>
          <w:b w:val="0"/>
          <w:bCs w:val="0"/>
          <w:color w:val="000000" w:themeColor="text1"/>
          <w:sz w:val="24"/>
          <w:szCs w:val="24"/>
          <w:highlight w:val="none"/>
          <w:lang w:val="en-US" w:eastAsia="zh-CN"/>
        </w:rPr>
        <w:t>5.5</w:t>
      </w:r>
      <w:r>
        <w:rPr>
          <w:rFonts w:hint="eastAsia" w:ascii="宋体" w:hAnsi="宋体" w:eastAsia="宋体" w:cs="宋体"/>
          <w:b w:val="0"/>
          <w:bCs w:val="0"/>
          <w:color w:val="000000" w:themeColor="text1"/>
          <w:sz w:val="24"/>
          <w:szCs w:val="24"/>
          <w:highlight w:val="none"/>
        </w:rPr>
        <w:t>.2供应商应当在采购文件中确定的</w:t>
      </w:r>
      <w:r>
        <w:rPr>
          <w:rFonts w:hint="eastAsia" w:ascii="宋体" w:hAnsi="宋体" w:eastAsia="宋体" w:cs="宋体"/>
          <w:b w:val="0"/>
          <w:bCs w:val="0"/>
          <w:color w:val="000000" w:themeColor="text1"/>
          <w:sz w:val="24"/>
          <w:szCs w:val="24"/>
          <w:highlight w:val="none"/>
          <w:lang w:eastAsia="zh-CN"/>
        </w:rPr>
        <w:t>投标文件</w:t>
      </w:r>
      <w:r>
        <w:rPr>
          <w:rFonts w:hint="eastAsia" w:ascii="宋体" w:hAnsi="宋体" w:eastAsia="宋体" w:cs="宋体"/>
          <w:b w:val="0"/>
          <w:bCs w:val="0"/>
          <w:color w:val="000000" w:themeColor="text1"/>
          <w:sz w:val="24"/>
          <w:szCs w:val="24"/>
          <w:highlight w:val="none"/>
        </w:rPr>
        <w:t>递交截止时间前，登录远程开标大厅，在线准时参加磋商活动并根据需要进行文件答疑澄清等。</w:t>
      </w:r>
    </w:p>
    <w:p w14:paraId="20BBC3C8">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rPr>
      </w:pPr>
      <w:r>
        <w:rPr>
          <w:rFonts w:hint="eastAsia" w:ascii="宋体" w:hAnsi="宋体" w:eastAsia="宋体" w:cs="宋体"/>
          <w:b w:val="0"/>
          <w:bCs w:val="0"/>
          <w:color w:val="000000" w:themeColor="text1"/>
          <w:sz w:val="24"/>
          <w:szCs w:val="24"/>
          <w:highlight w:val="none"/>
          <w:lang w:val="en-US" w:eastAsia="zh-CN"/>
        </w:rPr>
        <w:t>5.5</w:t>
      </w:r>
      <w:r>
        <w:rPr>
          <w:rFonts w:hint="eastAsia" w:ascii="宋体" w:hAnsi="宋体" w:eastAsia="宋体" w:cs="宋体"/>
          <w:b w:val="0"/>
          <w:bCs w:val="0"/>
          <w:color w:val="000000" w:themeColor="text1"/>
          <w:sz w:val="24"/>
          <w:szCs w:val="24"/>
          <w:highlight w:val="none"/>
        </w:rPr>
        <w:t>.3供应商的澄清、说明或者更正应当加盖单位的电子签章及法定代表人（或单位负责人）的电子签章（若平台不能提交法定代表人签章或者供应商电子章的除外）。</w:t>
      </w:r>
    </w:p>
    <w:p w14:paraId="18B00D5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rPr>
      </w:pPr>
      <w:r>
        <w:rPr>
          <w:rFonts w:hint="eastAsia" w:ascii="宋体" w:hAnsi="宋体" w:eastAsia="宋体" w:cs="宋体"/>
          <w:b w:val="0"/>
          <w:bCs w:val="0"/>
          <w:color w:val="000000" w:themeColor="text1"/>
          <w:sz w:val="24"/>
          <w:szCs w:val="24"/>
          <w:highlight w:val="none"/>
          <w:lang w:val="en-US" w:eastAsia="zh-CN"/>
        </w:rPr>
        <w:t>5.5</w:t>
      </w:r>
      <w:r>
        <w:rPr>
          <w:rFonts w:hint="eastAsia" w:ascii="宋体" w:hAnsi="宋体" w:eastAsia="宋体" w:cs="宋体"/>
          <w:b w:val="0"/>
          <w:bCs w:val="0"/>
          <w:color w:val="000000" w:themeColor="text1"/>
          <w:sz w:val="24"/>
          <w:szCs w:val="24"/>
          <w:highlight w:val="none"/>
        </w:rPr>
        <w:t>.4</w:t>
      </w:r>
      <w:r>
        <w:rPr>
          <w:rFonts w:hint="eastAsia" w:ascii="宋体" w:hAnsi="宋体" w:eastAsia="宋体" w:cs="宋体"/>
          <w:b w:val="0"/>
          <w:bCs w:val="0"/>
          <w:color w:val="000000" w:themeColor="text1"/>
          <w:sz w:val="24"/>
          <w:szCs w:val="24"/>
          <w:highlight w:val="none"/>
          <w:lang w:eastAsia="zh-CN"/>
        </w:rPr>
        <w:t>投标文件</w:t>
      </w:r>
      <w:r>
        <w:rPr>
          <w:rFonts w:hint="eastAsia" w:ascii="宋体" w:hAnsi="宋体" w:eastAsia="宋体" w:cs="宋体"/>
          <w:b w:val="0"/>
          <w:bCs w:val="0"/>
          <w:color w:val="000000" w:themeColor="text1"/>
          <w:sz w:val="24"/>
          <w:szCs w:val="24"/>
          <w:highlight w:val="none"/>
        </w:rPr>
        <w:t>的澄清、说明或者更正不得对</w:t>
      </w:r>
      <w:r>
        <w:rPr>
          <w:rFonts w:hint="eastAsia" w:ascii="宋体" w:hAnsi="宋体" w:eastAsia="宋体" w:cs="宋体"/>
          <w:b w:val="0"/>
          <w:bCs w:val="0"/>
          <w:color w:val="000000" w:themeColor="text1"/>
          <w:sz w:val="24"/>
          <w:szCs w:val="24"/>
          <w:highlight w:val="none"/>
          <w:lang w:eastAsia="zh-CN"/>
        </w:rPr>
        <w:t>投标文件</w:t>
      </w:r>
      <w:r>
        <w:rPr>
          <w:rFonts w:hint="eastAsia" w:ascii="宋体" w:hAnsi="宋体" w:eastAsia="宋体" w:cs="宋体"/>
          <w:b w:val="0"/>
          <w:bCs w:val="0"/>
          <w:color w:val="000000" w:themeColor="text1"/>
          <w:sz w:val="24"/>
          <w:szCs w:val="24"/>
          <w:highlight w:val="none"/>
        </w:rPr>
        <w:t>的内容进行实质性修改。</w:t>
      </w:r>
    </w:p>
    <w:p w14:paraId="2ECEE487">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b w:val="0"/>
          <w:bCs w:val="0"/>
          <w:color w:val="000000" w:themeColor="text1"/>
          <w:sz w:val="24"/>
          <w:szCs w:val="24"/>
          <w:highlight w:val="none"/>
          <w:lang w:val="en-US" w:eastAsia="zh-CN"/>
        </w:rPr>
        <w:t>5.5</w:t>
      </w:r>
      <w:r>
        <w:rPr>
          <w:rFonts w:hint="eastAsia" w:ascii="宋体" w:hAnsi="宋体" w:eastAsia="宋体" w:cs="宋体"/>
          <w:b w:val="0"/>
          <w:bCs w:val="0"/>
          <w:color w:val="000000" w:themeColor="text1"/>
          <w:sz w:val="24"/>
          <w:szCs w:val="24"/>
          <w:highlight w:val="none"/>
        </w:rPr>
        <w:t>.5供应商的澄清、说明或更正将作为</w:t>
      </w:r>
      <w:r>
        <w:rPr>
          <w:rFonts w:hint="eastAsia" w:ascii="宋体" w:hAnsi="宋体" w:eastAsia="宋体" w:cs="宋体"/>
          <w:b w:val="0"/>
          <w:bCs w:val="0"/>
          <w:color w:val="000000" w:themeColor="text1"/>
          <w:sz w:val="24"/>
          <w:szCs w:val="24"/>
          <w:highlight w:val="none"/>
          <w:lang w:eastAsia="zh-CN"/>
        </w:rPr>
        <w:t>投标文件</w:t>
      </w:r>
      <w:r>
        <w:rPr>
          <w:rFonts w:hint="eastAsia" w:ascii="宋体" w:hAnsi="宋体" w:eastAsia="宋体" w:cs="宋体"/>
          <w:b w:val="0"/>
          <w:bCs w:val="0"/>
          <w:color w:val="000000" w:themeColor="text1"/>
          <w:sz w:val="24"/>
          <w:szCs w:val="24"/>
          <w:highlight w:val="none"/>
        </w:rPr>
        <w:t>的一部分并</w:t>
      </w:r>
      <w:r>
        <w:rPr>
          <w:rFonts w:hint="eastAsia" w:ascii="宋体" w:hAnsi="宋体" w:eastAsia="宋体" w:cs="宋体"/>
          <w:color w:val="000000" w:themeColor="text1"/>
          <w:sz w:val="24"/>
          <w:szCs w:val="24"/>
          <w:highlight w:val="none"/>
        </w:rPr>
        <w:t>取代</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中被澄清的部分</w:t>
      </w:r>
    </w:p>
    <w:p w14:paraId="06EDB36C">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sz w:val="24"/>
          <w:szCs w:val="24"/>
          <w:highlight w:val="none"/>
          <w:lang w:val="en-US" w:eastAsia="zh-CN"/>
        </w:rPr>
      </w:pPr>
      <w:r>
        <w:rPr>
          <w:rFonts w:hint="eastAsia" w:ascii="宋体" w:hAnsi="宋体" w:eastAsia="宋体" w:cs="宋体"/>
          <w:b/>
          <w:bCs/>
          <w:color w:val="000000" w:themeColor="text1"/>
          <w:sz w:val="24"/>
          <w:szCs w:val="24"/>
          <w:highlight w:val="none"/>
          <w:lang w:val="en-US" w:eastAsia="zh-CN"/>
        </w:rPr>
        <w:t>5.6、投标文件的初步评审</w:t>
      </w:r>
    </w:p>
    <w:p w14:paraId="79AEE739">
      <w:pPr>
        <w:keepNext w:val="0"/>
        <w:keepLines w:val="0"/>
        <w:pageBreakBefore w:val="0"/>
        <w:widowControl/>
        <w:numPr>
          <w:ilvl w:val="0"/>
          <w:numId w:val="0"/>
        </w:numPr>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lang w:val="en-US" w:eastAsia="zh-CN"/>
        </w:rPr>
        <w:t>5.6</w:t>
      </w:r>
      <w:r>
        <w:rPr>
          <w:rFonts w:hint="eastAsia" w:ascii="宋体" w:hAnsi="宋体" w:eastAsia="宋体" w:cs="宋体"/>
          <w:b/>
          <w:bCs/>
          <w:color w:val="000000" w:themeColor="text1"/>
          <w:sz w:val="24"/>
          <w:szCs w:val="24"/>
          <w:highlight w:val="none"/>
        </w:rPr>
        <w:t>.1</w:t>
      </w:r>
      <w:r>
        <w:rPr>
          <w:rFonts w:hint="eastAsia" w:ascii="宋体" w:hAnsi="宋体" w:eastAsia="宋体" w:cs="宋体"/>
          <w:b/>
          <w:bCs/>
          <w:color w:val="000000" w:themeColor="text1"/>
          <w:sz w:val="24"/>
          <w:szCs w:val="24"/>
          <w:highlight w:val="none"/>
          <w:lang w:val="en-US" w:eastAsia="zh-CN"/>
        </w:rPr>
        <w:t xml:space="preserve"> </w:t>
      </w:r>
      <w:r>
        <w:rPr>
          <w:rFonts w:hint="eastAsia" w:ascii="宋体" w:hAnsi="宋体" w:eastAsia="宋体" w:cs="宋体"/>
          <w:b/>
          <w:bCs/>
          <w:color w:val="000000" w:themeColor="text1"/>
          <w:sz w:val="24"/>
          <w:szCs w:val="24"/>
          <w:highlight w:val="none"/>
        </w:rPr>
        <w:t>资格审查</w:t>
      </w:r>
    </w:p>
    <w:p w14:paraId="2C9638A2">
      <w:pPr>
        <w:keepNext w:val="0"/>
        <w:keepLines w:val="0"/>
        <w:pageBreakBefore w:val="0"/>
        <w:widowControl/>
        <w:numPr>
          <w:ilvl w:val="0"/>
          <w:numId w:val="0"/>
        </w:numPr>
        <w:kinsoku w:val="0"/>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val="0"/>
          <w:color w:val="000000" w:themeColor="text1"/>
          <w:sz w:val="24"/>
          <w:szCs w:val="24"/>
          <w:highlight w:val="none"/>
          <w:lang w:eastAsia="zh-CN"/>
        </w:rPr>
      </w:pPr>
      <w:r>
        <w:rPr>
          <w:rFonts w:hint="eastAsia" w:ascii="宋体" w:hAnsi="宋体" w:eastAsia="宋体" w:cs="宋体"/>
          <w:b w:val="0"/>
          <w:bCs w:val="0"/>
          <w:color w:val="000000" w:themeColor="text1"/>
          <w:sz w:val="24"/>
          <w:szCs w:val="24"/>
          <w:highlight w:val="none"/>
        </w:rPr>
        <w:t>磋商小组依据法律法规和采购文件中规定的内容，对供应商的资格（提交的资格证明材料见供应商须知前附表）进行审查。未通过资格审查的供应商不能进入下一阶段评审</w:t>
      </w:r>
      <w:r>
        <w:rPr>
          <w:rFonts w:hint="eastAsia" w:ascii="宋体" w:hAnsi="宋体" w:eastAsia="宋体" w:cs="宋体"/>
          <w:b w:val="0"/>
          <w:bCs w:val="0"/>
          <w:color w:val="000000" w:themeColor="text1"/>
          <w:sz w:val="24"/>
          <w:szCs w:val="24"/>
          <w:highlight w:val="none"/>
          <w:lang w:eastAsia="zh-CN"/>
        </w:rPr>
        <w:t>。磋商截止时间结束后参加供应商不足3家的，项目予以废标。在评审期间根据财库〔2015〕124号文件，采用竞争性磋商采购方式采购的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799BE8C">
      <w:pPr>
        <w:keepNext w:val="0"/>
        <w:keepLines w:val="0"/>
        <w:pageBreakBefore w:val="0"/>
        <w:widowControl/>
        <w:numPr>
          <w:ilvl w:val="0"/>
          <w:numId w:val="0"/>
        </w:numPr>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sz w:val="24"/>
          <w:szCs w:val="24"/>
          <w:highlight w:val="none"/>
          <w:lang w:eastAsia="zh-CN"/>
        </w:rPr>
      </w:pPr>
      <w:r>
        <w:rPr>
          <w:rFonts w:hint="eastAsia" w:ascii="宋体" w:hAnsi="宋体" w:eastAsia="宋体" w:cs="宋体"/>
          <w:b/>
          <w:bCs/>
          <w:color w:val="000000" w:themeColor="text1"/>
          <w:sz w:val="24"/>
          <w:szCs w:val="24"/>
          <w:highlight w:val="none"/>
          <w:lang w:val="en-US" w:eastAsia="zh-CN"/>
        </w:rPr>
        <w:t>5.6.2</w:t>
      </w:r>
      <w:r>
        <w:rPr>
          <w:rFonts w:hint="eastAsia" w:ascii="宋体" w:hAnsi="宋体" w:eastAsia="宋体" w:cs="宋体"/>
          <w:b/>
          <w:bCs/>
          <w:color w:val="000000" w:themeColor="text1"/>
          <w:sz w:val="24"/>
          <w:szCs w:val="24"/>
          <w:highlight w:val="none"/>
          <w:lang w:eastAsia="zh-CN"/>
        </w:rPr>
        <w:t>投标文件符合性审查</w:t>
      </w:r>
    </w:p>
    <w:p w14:paraId="79403C6A">
      <w:pPr>
        <w:keepNext w:val="0"/>
        <w:keepLines w:val="0"/>
        <w:pageBreakBefore w:val="0"/>
        <w:widowControl/>
        <w:numPr>
          <w:ilvl w:val="0"/>
          <w:numId w:val="0"/>
        </w:numPr>
        <w:kinsoku w:val="0"/>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val="0"/>
          <w:color w:val="000000" w:themeColor="text1"/>
          <w:sz w:val="24"/>
          <w:szCs w:val="24"/>
          <w:highlight w:val="none"/>
          <w:lang w:eastAsia="zh-CN"/>
        </w:rPr>
      </w:pPr>
      <w:r>
        <w:rPr>
          <w:rFonts w:hint="eastAsia" w:ascii="宋体" w:hAnsi="宋体" w:eastAsia="宋体" w:cs="宋体"/>
          <w:b w:val="0"/>
          <w:bCs w:val="0"/>
          <w:color w:val="000000" w:themeColor="text1"/>
          <w:sz w:val="24"/>
          <w:szCs w:val="24"/>
          <w:highlight w:val="none"/>
          <w:lang w:eastAsia="zh-CN"/>
        </w:rPr>
        <w:t>符合性审查是指依据采购文件的规定，从商务和技术角度对投标文件的有效性、完整性和响应程度进行审查，以确定是否对采购文件的实质性要求做出响应。供应商应当按照采购文件中的相关要求，提交符合性证明材料。未通过符合性审查的供应商不能进入下一阶段评审，其投标文件将被认定为无效投标文件。</w:t>
      </w:r>
    </w:p>
    <w:p w14:paraId="2A75BE49">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lang w:val="en-US" w:eastAsia="zh-CN"/>
        </w:rPr>
        <w:t>5.7</w:t>
      </w:r>
      <w:r>
        <w:rPr>
          <w:rFonts w:hint="eastAsia" w:ascii="宋体" w:hAnsi="宋体" w:eastAsia="宋体" w:cs="宋体"/>
          <w:b/>
          <w:bCs/>
          <w:color w:val="000000" w:themeColor="text1"/>
          <w:sz w:val="24"/>
          <w:szCs w:val="24"/>
          <w:highlight w:val="none"/>
        </w:rPr>
        <w:t>.</w:t>
      </w:r>
      <w:r>
        <w:rPr>
          <w:rFonts w:hint="eastAsia" w:ascii="宋体" w:hAnsi="宋体" w:eastAsia="宋体" w:cs="宋体"/>
          <w:b/>
          <w:bCs/>
          <w:color w:val="000000" w:themeColor="text1"/>
          <w:sz w:val="24"/>
          <w:szCs w:val="24"/>
          <w:highlight w:val="none"/>
          <w:lang w:eastAsia="zh-CN"/>
        </w:rPr>
        <w:t>投标文件</w:t>
      </w:r>
      <w:r>
        <w:rPr>
          <w:rFonts w:hint="eastAsia" w:ascii="宋体" w:hAnsi="宋体" w:eastAsia="宋体" w:cs="宋体"/>
          <w:b/>
          <w:bCs/>
          <w:color w:val="000000" w:themeColor="text1"/>
          <w:sz w:val="24"/>
          <w:szCs w:val="24"/>
          <w:highlight w:val="none"/>
        </w:rPr>
        <w:t>计算错误的修正</w:t>
      </w:r>
    </w:p>
    <w:p w14:paraId="0919E6C8">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rPr>
      </w:pPr>
      <w:r>
        <w:rPr>
          <w:rFonts w:hint="eastAsia" w:ascii="宋体" w:hAnsi="宋体" w:eastAsia="宋体" w:cs="宋体"/>
          <w:b w:val="0"/>
          <w:bCs w:val="0"/>
          <w:color w:val="000000" w:themeColor="text1"/>
          <w:sz w:val="24"/>
          <w:szCs w:val="24"/>
          <w:highlight w:val="none"/>
          <w:lang w:val="en-US" w:eastAsia="zh-CN"/>
        </w:rPr>
        <w:t>5.7</w:t>
      </w:r>
      <w:r>
        <w:rPr>
          <w:rFonts w:hint="eastAsia" w:ascii="宋体" w:hAnsi="宋体" w:eastAsia="宋体" w:cs="宋体"/>
          <w:b w:val="0"/>
          <w:bCs w:val="0"/>
          <w:color w:val="000000" w:themeColor="text1"/>
          <w:sz w:val="24"/>
          <w:szCs w:val="24"/>
          <w:highlight w:val="none"/>
        </w:rPr>
        <w:t>.1磋商小组将对确定为实质上响应竞争性磋商文件要求的</w:t>
      </w:r>
      <w:r>
        <w:rPr>
          <w:rFonts w:hint="eastAsia" w:ascii="宋体" w:hAnsi="宋体" w:eastAsia="宋体" w:cs="宋体"/>
          <w:b w:val="0"/>
          <w:bCs w:val="0"/>
          <w:color w:val="000000" w:themeColor="text1"/>
          <w:sz w:val="24"/>
          <w:szCs w:val="24"/>
          <w:highlight w:val="none"/>
          <w:lang w:eastAsia="zh-CN"/>
        </w:rPr>
        <w:t>投标文件</w:t>
      </w:r>
      <w:r>
        <w:rPr>
          <w:rFonts w:hint="eastAsia" w:ascii="宋体" w:hAnsi="宋体" w:eastAsia="宋体" w:cs="宋体"/>
          <w:b w:val="0"/>
          <w:bCs w:val="0"/>
          <w:color w:val="000000" w:themeColor="text1"/>
          <w:sz w:val="24"/>
          <w:szCs w:val="24"/>
          <w:highlight w:val="none"/>
        </w:rPr>
        <w:t>进行校核，看其是否有计算或表达上的错误，修正错误的原则如下：</w:t>
      </w:r>
    </w:p>
    <w:p w14:paraId="48B94AB7">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rPr>
      </w:pPr>
      <w:r>
        <w:rPr>
          <w:rFonts w:hint="eastAsia" w:ascii="宋体" w:hAnsi="宋体" w:eastAsia="宋体" w:cs="宋体"/>
          <w:b w:val="0"/>
          <w:bCs w:val="0"/>
          <w:color w:val="000000" w:themeColor="text1"/>
          <w:sz w:val="24"/>
          <w:szCs w:val="24"/>
          <w:highlight w:val="none"/>
          <w:lang w:val="en-US" w:eastAsia="zh-CN"/>
        </w:rPr>
        <w:t>5.7</w:t>
      </w:r>
      <w:r>
        <w:rPr>
          <w:rFonts w:hint="eastAsia" w:ascii="宋体" w:hAnsi="宋体" w:eastAsia="宋体" w:cs="宋体"/>
          <w:b w:val="0"/>
          <w:bCs w:val="0"/>
          <w:color w:val="000000" w:themeColor="text1"/>
          <w:sz w:val="24"/>
          <w:szCs w:val="24"/>
          <w:highlight w:val="none"/>
        </w:rPr>
        <w:t>.1如果数字表示的金额和用文字表示的金额不一致时，应以文字表示的金额为准；</w:t>
      </w:r>
    </w:p>
    <w:p w14:paraId="1CCEE6D3">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rPr>
      </w:pPr>
      <w:r>
        <w:rPr>
          <w:rFonts w:hint="eastAsia" w:ascii="宋体" w:hAnsi="宋体" w:eastAsia="宋体" w:cs="宋体"/>
          <w:b w:val="0"/>
          <w:bCs w:val="0"/>
          <w:color w:val="000000" w:themeColor="text1"/>
          <w:sz w:val="24"/>
          <w:szCs w:val="24"/>
          <w:highlight w:val="none"/>
          <w:lang w:val="en-US" w:eastAsia="zh-CN"/>
        </w:rPr>
        <w:t>5.7</w:t>
      </w:r>
      <w:r>
        <w:rPr>
          <w:rFonts w:hint="eastAsia" w:ascii="宋体" w:hAnsi="宋体" w:eastAsia="宋体" w:cs="宋体"/>
          <w:b w:val="0"/>
          <w:bCs w:val="0"/>
          <w:color w:val="000000" w:themeColor="text1"/>
          <w:sz w:val="24"/>
          <w:szCs w:val="24"/>
          <w:highlight w:val="none"/>
        </w:rPr>
        <w:t>.2当单价与数量的乘积与合价不一致时，以单价为准，除非磋商小组认为单价有明显的小数点错误，此时应以标出的合价为准，并修改单价。</w:t>
      </w:r>
    </w:p>
    <w:p w14:paraId="6602D23A">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b w:val="0"/>
          <w:bCs w:val="0"/>
          <w:color w:val="000000" w:themeColor="text1"/>
          <w:sz w:val="24"/>
          <w:szCs w:val="24"/>
          <w:highlight w:val="none"/>
          <w:lang w:val="en-US" w:eastAsia="zh-CN"/>
        </w:rPr>
        <w:t>5.7.3</w:t>
      </w:r>
      <w:r>
        <w:rPr>
          <w:rFonts w:hint="eastAsia" w:ascii="宋体" w:hAnsi="宋体" w:eastAsia="宋体" w:cs="宋体"/>
          <w:b w:val="0"/>
          <w:bCs w:val="0"/>
          <w:color w:val="000000" w:themeColor="text1"/>
          <w:sz w:val="24"/>
          <w:szCs w:val="24"/>
          <w:highlight w:val="none"/>
        </w:rPr>
        <w:t>按上述修正错误的原则</w:t>
      </w:r>
      <w:r>
        <w:rPr>
          <w:rFonts w:hint="eastAsia" w:ascii="宋体" w:hAnsi="宋体" w:eastAsia="宋体" w:cs="宋体"/>
          <w:color w:val="000000" w:themeColor="text1"/>
          <w:sz w:val="24"/>
          <w:szCs w:val="24"/>
          <w:highlight w:val="none"/>
        </w:rPr>
        <w:t>及方法调整或修正</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的投标报价，供应商同意后，调整后的投标报价对供应商起约束作用。如果供应商不接受修正后的报价，则磋商小组对其不再进行评审。</w:t>
      </w:r>
    </w:p>
    <w:p w14:paraId="369E1465">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lang w:val="en-US" w:eastAsia="zh-CN"/>
        </w:rPr>
        <w:t>5.8</w:t>
      </w:r>
      <w:r>
        <w:rPr>
          <w:rFonts w:hint="eastAsia" w:ascii="宋体" w:hAnsi="宋体" w:eastAsia="宋体" w:cs="宋体"/>
          <w:b/>
          <w:bCs/>
          <w:color w:val="000000" w:themeColor="text1"/>
          <w:sz w:val="24"/>
          <w:szCs w:val="24"/>
          <w:highlight w:val="none"/>
        </w:rPr>
        <w:t>.</w:t>
      </w:r>
      <w:r>
        <w:rPr>
          <w:rFonts w:hint="eastAsia" w:ascii="宋体" w:hAnsi="宋体" w:eastAsia="宋体" w:cs="宋体"/>
          <w:b/>
          <w:bCs/>
          <w:color w:val="000000" w:themeColor="text1"/>
          <w:sz w:val="24"/>
          <w:szCs w:val="24"/>
          <w:highlight w:val="none"/>
          <w:lang w:eastAsia="zh-CN"/>
        </w:rPr>
        <w:t>投标文件</w:t>
      </w:r>
      <w:r>
        <w:rPr>
          <w:rFonts w:hint="eastAsia" w:ascii="宋体" w:hAnsi="宋体" w:eastAsia="宋体" w:cs="宋体"/>
          <w:b/>
          <w:bCs/>
          <w:color w:val="000000" w:themeColor="text1"/>
          <w:sz w:val="24"/>
          <w:szCs w:val="24"/>
          <w:highlight w:val="none"/>
        </w:rPr>
        <w:t>的评审、比较和否决</w:t>
      </w:r>
    </w:p>
    <w:p w14:paraId="484844CF">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rPr>
      </w:pPr>
      <w:r>
        <w:rPr>
          <w:rFonts w:hint="eastAsia" w:ascii="宋体" w:hAnsi="宋体" w:eastAsia="宋体" w:cs="宋体"/>
          <w:b w:val="0"/>
          <w:bCs w:val="0"/>
          <w:color w:val="000000" w:themeColor="text1"/>
          <w:sz w:val="24"/>
          <w:szCs w:val="24"/>
          <w:highlight w:val="none"/>
          <w:lang w:val="en-US" w:eastAsia="zh-CN"/>
        </w:rPr>
        <w:t>5.8</w:t>
      </w:r>
      <w:r>
        <w:rPr>
          <w:rFonts w:hint="eastAsia" w:ascii="宋体" w:hAnsi="宋体" w:eastAsia="宋体" w:cs="宋体"/>
          <w:color w:val="000000" w:themeColor="text1"/>
          <w:sz w:val="24"/>
          <w:szCs w:val="24"/>
          <w:highlight w:val="none"/>
        </w:rPr>
        <w:t>.</w:t>
      </w:r>
      <w:r>
        <w:rPr>
          <w:rFonts w:hint="eastAsia" w:ascii="宋体" w:hAnsi="宋体" w:eastAsia="宋体" w:cs="宋体"/>
          <w:b w:val="0"/>
          <w:bCs w:val="0"/>
          <w:color w:val="000000" w:themeColor="text1"/>
          <w:sz w:val="24"/>
          <w:szCs w:val="24"/>
          <w:highlight w:val="none"/>
        </w:rPr>
        <w:t>1磋商小组仅对在实质上响应竞争性磋商文件要求的</w:t>
      </w:r>
      <w:r>
        <w:rPr>
          <w:rFonts w:hint="eastAsia" w:ascii="宋体" w:hAnsi="宋体" w:eastAsia="宋体" w:cs="宋体"/>
          <w:b w:val="0"/>
          <w:bCs w:val="0"/>
          <w:color w:val="000000" w:themeColor="text1"/>
          <w:sz w:val="24"/>
          <w:szCs w:val="24"/>
          <w:highlight w:val="none"/>
          <w:lang w:eastAsia="zh-CN"/>
        </w:rPr>
        <w:t>投标文件</w:t>
      </w:r>
      <w:r>
        <w:rPr>
          <w:rFonts w:hint="eastAsia" w:ascii="宋体" w:hAnsi="宋体" w:eastAsia="宋体" w:cs="宋体"/>
          <w:b w:val="0"/>
          <w:bCs w:val="0"/>
          <w:color w:val="000000" w:themeColor="text1"/>
          <w:sz w:val="24"/>
          <w:szCs w:val="24"/>
          <w:highlight w:val="none"/>
        </w:rPr>
        <w:t>进行评估和比较。</w:t>
      </w:r>
    </w:p>
    <w:p w14:paraId="49105EBB">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lang w:val="en-US" w:eastAsia="zh-CN"/>
        </w:rPr>
      </w:pPr>
      <w:r>
        <w:rPr>
          <w:rFonts w:hint="eastAsia" w:ascii="宋体" w:hAnsi="宋体" w:eastAsia="宋体" w:cs="宋体"/>
          <w:b w:val="0"/>
          <w:bCs w:val="0"/>
          <w:color w:val="000000" w:themeColor="text1"/>
          <w:sz w:val="24"/>
          <w:szCs w:val="24"/>
          <w:highlight w:val="none"/>
          <w:lang w:val="en-US" w:eastAsia="zh-CN"/>
        </w:rPr>
        <w:t>5.8</w:t>
      </w:r>
      <w:r>
        <w:rPr>
          <w:rFonts w:hint="eastAsia" w:ascii="宋体" w:hAnsi="宋体" w:eastAsia="宋体" w:cs="宋体"/>
          <w:b w:val="0"/>
          <w:bCs w:val="0"/>
          <w:color w:val="000000" w:themeColor="text1"/>
          <w:sz w:val="24"/>
          <w:szCs w:val="24"/>
          <w:highlight w:val="none"/>
        </w:rPr>
        <w:t>.2</w:t>
      </w:r>
      <w:r>
        <w:rPr>
          <w:rFonts w:hint="eastAsia" w:ascii="宋体" w:hAnsi="宋体" w:eastAsia="宋体" w:cs="宋体"/>
          <w:b w:val="0"/>
          <w:bCs w:val="0"/>
          <w:color w:val="000000" w:themeColor="text1"/>
          <w:sz w:val="24"/>
          <w:szCs w:val="24"/>
          <w:highlight w:val="none"/>
          <w:lang w:val="en-US" w:eastAsia="zh-CN"/>
        </w:rPr>
        <w:t>磋商小组认为某供应商的报价明显低于其他通过符合性审查供应商的报价，有可能影响产品质量或者不能诚信履约的，磋商小组将通过交易系统向该供应商发出通知，要求该供应商通过交易系统（接到通知后30分钟内）提供书面说明，并提交相关证明材料， 供应商不能证明其报价合理性的，磋商小组将其投标文件作为无效投标文件处理。</w:t>
      </w:r>
    </w:p>
    <w:p w14:paraId="3F53715D">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snapToGrid w:val="0"/>
          <w:color w:val="000000" w:themeColor="text1"/>
          <w:kern w:val="0"/>
          <w:sz w:val="24"/>
          <w:szCs w:val="24"/>
          <w:highlight w:val="none"/>
          <w:shd w:val="clear" w:color="auto" w:fill="FFFFFF"/>
        </w:rPr>
      </w:pPr>
      <w:r>
        <w:rPr>
          <w:rFonts w:hint="eastAsia" w:ascii="宋体" w:hAnsi="宋体" w:eastAsia="宋体" w:cs="宋体"/>
          <w:b w:val="0"/>
          <w:bCs w:val="0"/>
          <w:color w:val="000000" w:themeColor="text1"/>
          <w:sz w:val="24"/>
          <w:szCs w:val="24"/>
          <w:highlight w:val="none"/>
          <w:lang w:val="en-US" w:eastAsia="zh-CN"/>
        </w:rPr>
        <w:t>5.8.3</w:t>
      </w:r>
      <w:r>
        <w:rPr>
          <w:rFonts w:hint="eastAsia" w:ascii="宋体" w:hAnsi="宋体" w:eastAsia="宋体" w:cs="宋体"/>
          <w:b w:val="0"/>
          <w:bCs w:val="0"/>
          <w:snapToGrid w:val="0"/>
          <w:color w:val="000000" w:themeColor="text1"/>
          <w:kern w:val="0"/>
          <w:sz w:val="24"/>
          <w:szCs w:val="24"/>
          <w:highlight w:val="none"/>
          <w:shd w:val="clear" w:color="auto" w:fill="FFFFFF"/>
        </w:rPr>
        <w:t>磋商小组应当要求所有实质性响应的供应商在规定时间内提交最后报价。</w:t>
      </w:r>
    </w:p>
    <w:p w14:paraId="2D6600AC">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rPr>
      </w:pPr>
      <w:r>
        <w:rPr>
          <w:rFonts w:hint="eastAsia" w:ascii="宋体" w:hAnsi="宋体" w:eastAsia="宋体" w:cs="宋体"/>
          <w:b w:val="0"/>
          <w:bCs w:val="0"/>
          <w:color w:val="000000" w:themeColor="text1"/>
          <w:sz w:val="24"/>
          <w:szCs w:val="24"/>
          <w:highlight w:val="none"/>
          <w:lang w:val="en-US" w:eastAsia="zh-CN"/>
        </w:rPr>
        <w:t>5.8.4</w:t>
      </w:r>
      <w:r>
        <w:rPr>
          <w:rFonts w:hint="eastAsia" w:ascii="宋体" w:hAnsi="宋体" w:eastAsia="宋体" w:cs="宋体"/>
          <w:b w:val="0"/>
          <w:bCs w:val="0"/>
          <w:color w:val="000000" w:themeColor="text1"/>
          <w:sz w:val="24"/>
          <w:szCs w:val="24"/>
          <w:highlight w:val="none"/>
        </w:rPr>
        <w:t>出现下列情形之一的，采购人或者招标代理机构应当终止竞争性磋商活动，发布项目终止公告并说明原因，重新开展招标活动：</w:t>
      </w:r>
    </w:p>
    <w:p w14:paraId="4B1EF944">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rPr>
      </w:pPr>
      <w:r>
        <w:rPr>
          <w:rFonts w:hint="eastAsia" w:ascii="宋体" w:hAnsi="宋体" w:eastAsia="宋体" w:cs="宋体"/>
          <w:b w:val="0"/>
          <w:bCs w:val="0"/>
          <w:color w:val="000000" w:themeColor="text1"/>
          <w:sz w:val="24"/>
          <w:szCs w:val="24"/>
          <w:highlight w:val="none"/>
        </w:rPr>
        <w:t>（一）因情况变化，不再符合规定的竞争性磋商采购方式适用情形的；</w:t>
      </w:r>
    </w:p>
    <w:p w14:paraId="67CA65E8">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rPr>
      </w:pPr>
      <w:r>
        <w:rPr>
          <w:rFonts w:hint="eastAsia" w:ascii="宋体" w:hAnsi="宋体" w:eastAsia="宋体" w:cs="宋体"/>
          <w:b w:val="0"/>
          <w:bCs w:val="0"/>
          <w:color w:val="000000" w:themeColor="text1"/>
          <w:sz w:val="24"/>
          <w:szCs w:val="24"/>
          <w:highlight w:val="none"/>
        </w:rPr>
        <w:t>（二）出现影响采购公正的违法、违规行为的；</w:t>
      </w:r>
    </w:p>
    <w:p w14:paraId="36432014">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（三）</w:t>
      </w:r>
      <w:r>
        <w:rPr>
          <w:rFonts w:hint="eastAsia" w:ascii="宋体" w:hAnsi="宋体" w:eastAsia="宋体" w:cs="宋体"/>
          <w:color w:val="000000" w:themeColor="text1"/>
          <w:sz w:val="24"/>
          <w:szCs w:val="24"/>
          <w:highlight w:val="none"/>
          <w:lang w:val="en-US" w:eastAsia="zh-CN"/>
        </w:rPr>
        <w:t>递交投标文件的</w:t>
      </w:r>
      <w:r>
        <w:rPr>
          <w:rFonts w:hint="eastAsia" w:ascii="宋体" w:hAnsi="宋体" w:eastAsia="宋体" w:cs="宋体"/>
          <w:color w:val="000000" w:themeColor="text1"/>
          <w:sz w:val="24"/>
          <w:szCs w:val="24"/>
          <w:highlight w:val="none"/>
        </w:rPr>
        <w:t>供应商不足3家的。</w:t>
      </w:r>
    </w:p>
    <w:p w14:paraId="196F9F3C">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val="0"/>
          <w:color w:val="000000" w:themeColor="text1"/>
          <w:sz w:val="24"/>
          <w:szCs w:val="24"/>
          <w:highlight w:val="none"/>
        </w:rPr>
      </w:pPr>
      <w:r>
        <w:rPr>
          <w:rFonts w:hint="eastAsia" w:ascii="宋体" w:hAnsi="宋体" w:eastAsia="宋体" w:cs="宋体"/>
          <w:b/>
          <w:bCs w:val="0"/>
          <w:color w:val="000000" w:themeColor="text1"/>
          <w:sz w:val="24"/>
          <w:szCs w:val="24"/>
          <w:highlight w:val="none"/>
          <w:lang w:val="en-US" w:eastAsia="zh-CN"/>
        </w:rPr>
        <w:t>5.9</w:t>
      </w:r>
      <w:r>
        <w:rPr>
          <w:rFonts w:hint="eastAsia" w:ascii="宋体" w:hAnsi="宋体" w:eastAsia="宋体" w:cs="宋体"/>
          <w:b/>
          <w:bCs w:val="0"/>
          <w:color w:val="000000" w:themeColor="text1"/>
          <w:sz w:val="24"/>
          <w:szCs w:val="24"/>
          <w:highlight w:val="none"/>
        </w:rPr>
        <w:t>、成交原则</w:t>
      </w:r>
    </w:p>
    <w:p w14:paraId="4D20E51D">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磋商小组根据综合评分情况，按照评审得分由高到低顺序推荐3名</w:t>
      </w:r>
      <w:r>
        <w:rPr>
          <w:rFonts w:hint="eastAsia" w:ascii="宋体" w:hAnsi="宋体" w:eastAsia="宋体" w:cs="宋体"/>
          <w:bCs/>
          <w:color w:val="000000" w:themeColor="text1"/>
          <w:sz w:val="24"/>
          <w:szCs w:val="24"/>
          <w:highlight w:val="none"/>
          <w:lang w:val="en-US" w:eastAsia="zh-CN"/>
        </w:rPr>
        <w:t>成交</w:t>
      </w:r>
      <w:r>
        <w:rPr>
          <w:rFonts w:hint="eastAsia" w:ascii="宋体" w:hAnsi="宋体" w:eastAsia="宋体" w:cs="宋体"/>
          <w:bCs/>
          <w:color w:val="000000" w:themeColor="text1"/>
          <w:sz w:val="24"/>
          <w:szCs w:val="24"/>
          <w:highlight w:val="none"/>
        </w:rPr>
        <w:t>供应商，并编写评审报告并在报告上签字。评审得分相同的，按照最后报价由低到高的顺序推荐。评审得分且最后报价相同的，按照技术指标优劣顺序推荐。</w:t>
      </w:r>
    </w:p>
    <w:p w14:paraId="13CF90D2">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val="0"/>
          <w:color w:val="000000" w:themeColor="text1"/>
          <w:sz w:val="24"/>
          <w:szCs w:val="24"/>
          <w:highlight w:val="none"/>
        </w:rPr>
      </w:pPr>
      <w:r>
        <w:rPr>
          <w:rFonts w:hint="eastAsia" w:ascii="宋体" w:hAnsi="宋体" w:eastAsia="宋体" w:cs="宋体"/>
          <w:b/>
          <w:bCs w:val="0"/>
          <w:color w:val="000000" w:themeColor="text1"/>
          <w:sz w:val="24"/>
          <w:szCs w:val="24"/>
          <w:highlight w:val="none"/>
          <w:lang w:val="en-US" w:eastAsia="zh-CN"/>
        </w:rPr>
        <w:t>5.10</w:t>
      </w:r>
      <w:r>
        <w:rPr>
          <w:rFonts w:hint="eastAsia" w:ascii="宋体" w:hAnsi="宋体" w:eastAsia="宋体" w:cs="宋体"/>
          <w:b/>
          <w:bCs w:val="0"/>
          <w:color w:val="000000" w:themeColor="text1"/>
          <w:sz w:val="24"/>
          <w:szCs w:val="24"/>
          <w:highlight w:val="none"/>
        </w:rPr>
        <w:t>、评审报告</w:t>
      </w:r>
    </w:p>
    <w:p w14:paraId="4E2267F7">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磋商小组组应当根据评审记录和评审结果编写评审报告，其主要内容包括：</w:t>
      </w:r>
    </w:p>
    <w:p w14:paraId="5BA2EC75">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Cs/>
          <w:color w:val="000000" w:themeColor="text1"/>
          <w:sz w:val="24"/>
          <w:szCs w:val="24"/>
          <w:highlight w:val="none"/>
        </w:rPr>
      </w:pPr>
      <w:r>
        <w:rPr>
          <w:rFonts w:hint="eastAsia" w:ascii="宋体" w:hAnsi="宋体" w:eastAsia="宋体" w:cs="宋体"/>
          <w:b w:val="0"/>
          <w:bCs/>
          <w:color w:val="000000" w:themeColor="text1"/>
          <w:sz w:val="24"/>
          <w:szCs w:val="24"/>
          <w:highlight w:val="none"/>
          <w:lang w:val="en-US" w:eastAsia="zh-CN"/>
        </w:rPr>
        <w:t>5.10</w:t>
      </w:r>
      <w:r>
        <w:rPr>
          <w:rFonts w:hint="eastAsia" w:ascii="宋体" w:hAnsi="宋体" w:eastAsia="宋体" w:cs="宋体"/>
          <w:b w:val="0"/>
          <w:bCs/>
          <w:color w:val="000000" w:themeColor="text1"/>
          <w:sz w:val="24"/>
          <w:szCs w:val="24"/>
          <w:highlight w:val="none"/>
        </w:rPr>
        <w:t>.1招标活</w:t>
      </w:r>
      <w:r>
        <w:rPr>
          <w:rFonts w:hint="eastAsia" w:ascii="宋体" w:hAnsi="宋体" w:eastAsia="宋体" w:cs="宋体"/>
          <w:bCs/>
          <w:color w:val="000000" w:themeColor="text1"/>
          <w:sz w:val="24"/>
          <w:szCs w:val="24"/>
          <w:highlight w:val="none"/>
        </w:rPr>
        <w:t>动的具体方式和相关情况，以及参加招标活动的供应商名单；</w:t>
      </w:r>
    </w:p>
    <w:p w14:paraId="54F3D244">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Cs/>
          <w:color w:val="000000" w:themeColor="text1"/>
          <w:sz w:val="24"/>
          <w:szCs w:val="24"/>
          <w:highlight w:val="none"/>
        </w:rPr>
      </w:pPr>
      <w:r>
        <w:rPr>
          <w:rFonts w:hint="eastAsia" w:ascii="宋体" w:hAnsi="宋体" w:eastAsia="宋体" w:cs="宋体"/>
          <w:b w:val="0"/>
          <w:bCs/>
          <w:color w:val="000000" w:themeColor="text1"/>
          <w:sz w:val="24"/>
          <w:szCs w:val="24"/>
          <w:highlight w:val="none"/>
          <w:lang w:val="en-US" w:eastAsia="zh-CN"/>
        </w:rPr>
        <w:t>5.10</w:t>
      </w:r>
      <w:r>
        <w:rPr>
          <w:rFonts w:hint="eastAsia" w:ascii="宋体" w:hAnsi="宋体" w:eastAsia="宋体" w:cs="宋体"/>
          <w:b w:val="0"/>
          <w:bCs/>
          <w:color w:val="000000" w:themeColor="text1"/>
          <w:sz w:val="24"/>
          <w:szCs w:val="24"/>
          <w:highlight w:val="none"/>
        </w:rPr>
        <w:t>.2评审</w:t>
      </w:r>
      <w:r>
        <w:rPr>
          <w:rFonts w:hint="eastAsia" w:ascii="宋体" w:hAnsi="宋体" w:eastAsia="宋体" w:cs="宋体"/>
          <w:bCs/>
          <w:color w:val="000000" w:themeColor="text1"/>
          <w:sz w:val="24"/>
          <w:szCs w:val="24"/>
          <w:highlight w:val="none"/>
        </w:rPr>
        <w:t>日期和地点，磋商小组成员名单；</w:t>
      </w:r>
    </w:p>
    <w:p w14:paraId="603EB231">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Cs/>
          <w:color w:val="000000" w:themeColor="text1"/>
          <w:sz w:val="24"/>
          <w:szCs w:val="24"/>
          <w:highlight w:val="none"/>
        </w:rPr>
      </w:pPr>
      <w:r>
        <w:rPr>
          <w:rFonts w:hint="eastAsia" w:ascii="宋体" w:hAnsi="宋体" w:eastAsia="宋体" w:cs="宋体"/>
          <w:b w:val="0"/>
          <w:bCs/>
          <w:color w:val="000000" w:themeColor="text1"/>
          <w:sz w:val="24"/>
          <w:szCs w:val="24"/>
          <w:highlight w:val="none"/>
          <w:lang w:val="en-US" w:eastAsia="zh-CN"/>
        </w:rPr>
        <w:t>5.10</w:t>
      </w:r>
      <w:r>
        <w:rPr>
          <w:rFonts w:hint="eastAsia" w:ascii="宋体" w:hAnsi="宋体" w:eastAsia="宋体" w:cs="宋体"/>
          <w:bCs/>
          <w:color w:val="000000" w:themeColor="text1"/>
          <w:sz w:val="24"/>
          <w:szCs w:val="24"/>
          <w:highlight w:val="none"/>
        </w:rPr>
        <w:t>.3评审情况记录和说明，包括对供应商的资格审查情况、</w:t>
      </w:r>
      <w:r>
        <w:rPr>
          <w:rFonts w:hint="eastAsia" w:ascii="宋体" w:hAnsi="宋体" w:eastAsia="宋体" w:cs="宋体"/>
          <w:bCs/>
          <w:color w:val="000000" w:themeColor="text1"/>
          <w:sz w:val="24"/>
          <w:szCs w:val="24"/>
          <w:highlight w:val="none"/>
          <w:lang w:eastAsia="zh-CN"/>
        </w:rPr>
        <w:t>投标文件</w:t>
      </w:r>
      <w:r>
        <w:rPr>
          <w:rFonts w:hint="eastAsia" w:ascii="宋体" w:hAnsi="宋体" w:eastAsia="宋体" w:cs="宋体"/>
          <w:bCs/>
          <w:color w:val="000000" w:themeColor="text1"/>
          <w:sz w:val="24"/>
          <w:szCs w:val="24"/>
          <w:highlight w:val="none"/>
        </w:rPr>
        <w:t>评审情况、磋商情况、报价情况等；</w:t>
      </w:r>
    </w:p>
    <w:p w14:paraId="1E566168">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Cs/>
          <w:color w:val="000000" w:themeColor="text1"/>
          <w:sz w:val="24"/>
          <w:szCs w:val="24"/>
          <w:highlight w:val="none"/>
        </w:rPr>
      </w:pPr>
      <w:r>
        <w:rPr>
          <w:rFonts w:hint="eastAsia" w:ascii="宋体" w:hAnsi="宋体" w:eastAsia="宋体" w:cs="宋体"/>
          <w:b w:val="0"/>
          <w:bCs/>
          <w:color w:val="000000" w:themeColor="text1"/>
          <w:sz w:val="24"/>
          <w:szCs w:val="24"/>
          <w:highlight w:val="none"/>
          <w:lang w:val="en-US" w:eastAsia="zh-CN"/>
        </w:rPr>
        <w:t>5.10</w:t>
      </w:r>
      <w:r>
        <w:rPr>
          <w:rFonts w:hint="eastAsia" w:ascii="宋体" w:hAnsi="宋体" w:eastAsia="宋体" w:cs="宋体"/>
          <w:bCs/>
          <w:color w:val="000000" w:themeColor="text1"/>
          <w:sz w:val="24"/>
          <w:szCs w:val="24"/>
          <w:highlight w:val="none"/>
        </w:rPr>
        <w:t>.4提出的成交候选人的名单及理由。</w:t>
      </w:r>
    </w:p>
    <w:p w14:paraId="541F3A1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bCs/>
          <w:color w:val="000000" w:themeColor="text1"/>
          <w:sz w:val="24"/>
          <w:szCs w:val="24"/>
          <w:highlight w:val="none"/>
        </w:rPr>
        <w:t>评审报告应当由磋商小组全体人员签字认可。磋商小组成员对评审报告有异议的，磋商小组按照少数服从多数的原则推荐成交候选人，招标程序继续进行。对评审报告有异议的磋商小组成员，应当在报告上签署不同意见并说明理由，由磋商小组书面记录相关情况。磋商小组成员拒绝在报告上签字又不书面说明其不同意见和理由的，视为同意评审报告</w:t>
      </w:r>
      <w:r>
        <w:rPr>
          <w:rFonts w:hint="eastAsia" w:ascii="宋体" w:hAnsi="宋体" w:eastAsia="宋体" w:cs="宋体"/>
          <w:color w:val="000000" w:themeColor="text1"/>
          <w:sz w:val="24"/>
          <w:szCs w:val="24"/>
          <w:highlight w:val="none"/>
        </w:rPr>
        <w:t>。</w:t>
      </w:r>
    </w:p>
    <w:p w14:paraId="2DA927E4">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val="0"/>
          <w:color w:val="000000" w:themeColor="text1"/>
          <w:sz w:val="24"/>
          <w:szCs w:val="24"/>
          <w:highlight w:val="none"/>
          <w:lang w:val="zh-CN" w:eastAsia="zh-CN"/>
        </w:rPr>
      </w:pPr>
      <w:r>
        <w:rPr>
          <w:rFonts w:hint="eastAsia" w:ascii="宋体" w:hAnsi="宋体" w:eastAsia="宋体" w:cs="宋体"/>
          <w:b/>
          <w:bCs w:val="0"/>
          <w:color w:val="000000" w:themeColor="text1"/>
          <w:sz w:val="24"/>
          <w:szCs w:val="24"/>
          <w:highlight w:val="none"/>
          <w:lang w:val="en-US" w:eastAsia="zh-CN"/>
        </w:rPr>
        <w:t>6、</w:t>
      </w:r>
      <w:r>
        <w:rPr>
          <w:rFonts w:hint="eastAsia" w:ascii="宋体" w:hAnsi="宋体" w:eastAsia="宋体" w:cs="宋体"/>
          <w:b/>
          <w:bCs w:val="0"/>
          <w:color w:val="000000" w:themeColor="text1"/>
          <w:sz w:val="24"/>
          <w:szCs w:val="24"/>
          <w:highlight w:val="none"/>
          <w:lang w:val="zh-CN" w:eastAsia="zh-CN"/>
        </w:rPr>
        <w:t>确定成交供应商</w:t>
      </w:r>
    </w:p>
    <w:p w14:paraId="40E0BC7C">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en-US" w:eastAsia="zh-CN"/>
        </w:rPr>
        <w:t>6</w:t>
      </w:r>
      <w:r>
        <w:rPr>
          <w:rFonts w:hint="eastAsia" w:ascii="宋体" w:hAnsi="宋体" w:eastAsia="宋体" w:cs="宋体"/>
          <w:color w:val="000000" w:themeColor="text1"/>
          <w:sz w:val="24"/>
          <w:szCs w:val="24"/>
          <w:highlight w:val="none"/>
          <w:lang w:val="zh-CN"/>
        </w:rPr>
        <w:t>.1 磋商小组应当根据综合评分情况，按照评审</w:t>
      </w:r>
      <w:r>
        <w:rPr>
          <w:rFonts w:hint="eastAsia" w:ascii="宋体" w:hAnsi="宋体" w:eastAsia="宋体" w:cs="宋体"/>
          <w:color w:val="000000" w:themeColor="text1"/>
          <w:sz w:val="24"/>
          <w:szCs w:val="24"/>
          <w:highlight w:val="none"/>
        </w:rPr>
        <w:t>由</w:t>
      </w:r>
      <w:r>
        <w:rPr>
          <w:rFonts w:hint="eastAsia" w:ascii="宋体" w:hAnsi="宋体" w:eastAsia="宋体" w:cs="宋体"/>
          <w:color w:val="000000" w:themeColor="text1"/>
          <w:sz w:val="24"/>
          <w:szCs w:val="24"/>
          <w:highlight w:val="none"/>
          <w:lang w:val="zh-CN"/>
        </w:rPr>
        <w:t>高到低的顺序推荐</w:t>
      </w:r>
      <w:r>
        <w:rPr>
          <w:rFonts w:hint="eastAsia" w:ascii="宋体" w:hAnsi="宋体" w:eastAsia="宋体" w:cs="宋体"/>
          <w:color w:val="000000" w:themeColor="text1"/>
          <w:sz w:val="24"/>
          <w:szCs w:val="24"/>
          <w:highlight w:val="none"/>
        </w:rPr>
        <w:t>3名</w:t>
      </w:r>
      <w:r>
        <w:rPr>
          <w:rFonts w:hint="eastAsia" w:ascii="宋体" w:hAnsi="宋体" w:eastAsia="宋体" w:cs="宋体"/>
          <w:color w:val="000000" w:themeColor="text1"/>
          <w:sz w:val="24"/>
          <w:szCs w:val="24"/>
          <w:highlight w:val="none"/>
          <w:lang w:val="zh-CN"/>
        </w:rPr>
        <w:t>成交候选人，并向采购人提供书面评审报告，</w:t>
      </w:r>
      <w:r>
        <w:rPr>
          <w:rFonts w:hint="eastAsia" w:ascii="宋体" w:hAnsi="宋体" w:eastAsia="宋体" w:cs="宋体"/>
          <w:color w:val="000000" w:themeColor="text1"/>
          <w:sz w:val="24"/>
          <w:szCs w:val="24"/>
          <w:highlight w:val="none"/>
        </w:rPr>
        <w:t>由采购人确定排名第一的为成交供应商</w:t>
      </w:r>
      <w:r>
        <w:rPr>
          <w:rFonts w:hint="eastAsia" w:ascii="宋体" w:hAnsi="宋体" w:eastAsia="宋体" w:cs="宋体"/>
          <w:color w:val="000000" w:themeColor="text1"/>
          <w:sz w:val="24"/>
          <w:szCs w:val="24"/>
          <w:highlight w:val="none"/>
          <w:lang w:val="zh-CN"/>
        </w:rPr>
        <w:t>，采购人及采购代理机构在政府采购项目评审结束之日当天完成评标报告的报送、中标（成交）供应商的确定、中标（成交）公告发布及中标（成交）通知书的发出等。</w:t>
      </w:r>
    </w:p>
    <w:p w14:paraId="4C4D7BBA">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lang w:val="en-US" w:eastAsia="zh-CN"/>
        </w:rPr>
        <w:t>7</w:t>
      </w:r>
      <w:r>
        <w:rPr>
          <w:rFonts w:hint="eastAsia" w:ascii="宋体" w:hAnsi="宋体" w:eastAsia="宋体" w:cs="宋体"/>
          <w:b/>
          <w:bCs/>
          <w:color w:val="000000" w:themeColor="text1"/>
          <w:sz w:val="24"/>
          <w:szCs w:val="24"/>
          <w:highlight w:val="none"/>
        </w:rPr>
        <w:t>、成交通知</w:t>
      </w:r>
    </w:p>
    <w:p w14:paraId="09822EC8">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rPr>
      </w:pPr>
      <w:r>
        <w:rPr>
          <w:rFonts w:hint="eastAsia" w:ascii="宋体" w:hAnsi="宋体" w:eastAsia="宋体" w:cs="宋体"/>
          <w:b w:val="0"/>
          <w:bCs w:val="0"/>
          <w:color w:val="000000" w:themeColor="text1"/>
          <w:sz w:val="24"/>
          <w:szCs w:val="24"/>
          <w:highlight w:val="none"/>
          <w:lang w:val="en-US" w:eastAsia="zh-CN"/>
        </w:rPr>
        <w:t>7</w:t>
      </w:r>
      <w:r>
        <w:rPr>
          <w:rFonts w:hint="eastAsia" w:ascii="宋体" w:hAnsi="宋体" w:eastAsia="宋体" w:cs="宋体"/>
          <w:b w:val="0"/>
          <w:bCs w:val="0"/>
          <w:color w:val="000000" w:themeColor="text1"/>
          <w:sz w:val="24"/>
          <w:szCs w:val="24"/>
          <w:highlight w:val="none"/>
        </w:rPr>
        <w:t>.1成交供应商确定后，采购人向成交供应商签发《成交通知书》，并将成交结果通知所有未成交的供应商。</w:t>
      </w:r>
    </w:p>
    <w:p w14:paraId="3CDE9936">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rPr>
      </w:pPr>
      <w:r>
        <w:rPr>
          <w:rFonts w:hint="eastAsia" w:ascii="宋体" w:hAnsi="宋体" w:eastAsia="宋体" w:cs="宋体"/>
          <w:b w:val="0"/>
          <w:bCs w:val="0"/>
          <w:color w:val="000000" w:themeColor="text1"/>
          <w:sz w:val="24"/>
          <w:szCs w:val="24"/>
          <w:highlight w:val="none"/>
          <w:lang w:val="en-US" w:eastAsia="zh-CN"/>
        </w:rPr>
        <w:t>7</w:t>
      </w:r>
      <w:r>
        <w:rPr>
          <w:rFonts w:hint="eastAsia" w:ascii="宋体" w:hAnsi="宋体" w:eastAsia="宋体" w:cs="宋体"/>
          <w:b w:val="0"/>
          <w:bCs w:val="0"/>
          <w:color w:val="000000" w:themeColor="text1"/>
          <w:sz w:val="24"/>
          <w:szCs w:val="24"/>
          <w:highlight w:val="none"/>
        </w:rPr>
        <w:t>.2《成交通知书》作为签订合同的依据，对采购人和成交供应商均具有法律效力，成交通知书发出后，采购人改变成交结果或者成交供应商放弃项目，应依法承担法律责任。</w:t>
      </w:r>
    </w:p>
    <w:p w14:paraId="3915E507">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lang w:val="en-US" w:eastAsia="zh-CN"/>
        </w:rPr>
        <w:t>8</w:t>
      </w:r>
      <w:r>
        <w:rPr>
          <w:rFonts w:hint="eastAsia" w:ascii="宋体" w:hAnsi="宋体" w:eastAsia="宋体" w:cs="宋体"/>
          <w:b/>
          <w:bCs/>
          <w:color w:val="000000" w:themeColor="text1"/>
          <w:sz w:val="24"/>
          <w:szCs w:val="24"/>
          <w:highlight w:val="none"/>
        </w:rPr>
        <w:t>、合同授予</w:t>
      </w:r>
    </w:p>
    <w:p w14:paraId="5A3FBDE4">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lang w:val="zh-CN" w:eastAsia="zh-CN"/>
        </w:rPr>
      </w:pPr>
      <w:r>
        <w:rPr>
          <w:rFonts w:hint="eastAsia" w:ascii="宋体" w:hAnsi="宋体" w:eastAsia="宋体" w:cs="宋体"/>
          <w:b w:val="0"/>
          <w:bCs w:val="0"/>
          <w:color w:val="000000" w:themeColor="text1"/>
          <w:sz w:val="24"/>
          <w:szCs w:val="24"/>
          <w:highlight w:val="none"/>
          <w:lang w:val="en-US" w:eastAsia="zh-CN"/>
        </w:rPr>
        <w:t>8</w:t>
      </w:r>
      <w:r>
        <w:rPr>
          <w:rFonts w:hint="eastAsia" w:ascii="宋体" w:hAnsi="宋体" w:eastAsia="宋体" w:cs="宋体"/>
          <w:b w:val="0"/>
          <w:bCs w:val="0"/>
          <w:color w:val="000000" w:themeColor="text1"/>
          <w:sz w:val="24"/>
          <w:szCs w:val="24"/>
          <w:highlight w:val="none"/>
          <w:lang w:val="zh-CN" w:eastAsia="zh-CN"/>
        </w:rPr>
        <w:t>.1成交供应商接到《成交通知书》后</w:t>
      </w:r>
      <w:r>
        <w:rPr>
          <w:rFonts w:hint="eastAsia" w:ascii="宋体" w:hAnsi="宋体" w:eastAsia="宋体" w:cs="宋体"/>
          <w:b w:val="0"/>
          <w:bCs w:val="0"/>
          <w:color w:val="000000" w:themeColor="text1"/>
          <w:sz w:val="24"/>
          <w:szCs w:val="24"/>
          <w:highlight w:val="none"/>
          <w:lang w:val="en-US" w:eastAsia="zh-CN"/>
        </w:rPr>
        <w:t>1个工作</w:t>
      </w:r>
      <w:r>
        <w:rPr>
          <w:rFonts w:hint="eastAsia" w:ascii="宋体" w:hAnsi="宋体" w:eastAsia="宋体" w:cs="宋体"/>
          <w:b w:val="0"/>
          <w:bCs w:val="0"/>
          <w:color w:val="000000" w:themeColor="text1"/>
          <w:sz w:val="24"/>
          <w:szCs w:val="24"/>
          <w:highlight w:val="none"/>
          <w:lang w:val="zh-CN" w:eastAsia="zh-CN"/>
        </w:rPr>
        <w:t>日内按指定地点与采购人签订采购合同；采购人应当在合同签订后</w:t>
      </w:r>
      <w:r>
        <w:rPr>
          <w:rFonts w:hint="eastAsia" w:ascii="宋体" w:hAnsi="宋体" w:eastAsia="宋体" w:cs="宋体"/>
          <w:b w:val="0"/>
          <w:bCs w:val="0"/>
          <w:color w:val="000000" w:themeColor="text1"/>
          <w:sz w:val="24"/>
          <w:szCs w:val="24"/>
          <w:highlight w:val="none"/>
          <w:lang w:val="en-US" w:eastAsia="zh-CN"/>
        </w:rPr>
        <w:t>2</w:t>
      </w:r>
      <w:r>
        <w:rPr>
          <w:rFonts w:hint="eastAsia" w:ascii="宋体" w:hAnsi="宋体" w:eastAsia="宋体" w:cs="宋体"/>
          <w:b w:val="0"/>
          <w:bCs w:val="0"/>
          <w:color w:val="000000" w:themeColor="text1"/>
          <w:sz w:val="24"/>
          <w:szCs w:val="24"/>
          <w:highlight w:val="none"/>
          <w:lang w:val="zh-CN" w:eastAsia="zh-CN"/>
        </w:rPr>
        <w:t>个工作日内在河南政府采购网公示采购合同，并完成合同备案。</w:t>
      </w:r>
    </w:p>
    <w:p w14:paraId="5BCEC39A">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lang w:val="zh-CN" w:eastAsia="zh-CN"/>
        </w:rPr>
      </w:pPr>
      <w:r>
        <w:rPr>
          <w:rFonts w:hint="eastAsia" w:ascii="宋体" w:hAnsi="宋体" w:eastAsia="宋体" w:cs="宋体"/>
          <w:b w:val="0"/>
          <w:bCs w:val="0"/>
          <w:color w:val="000000" w:themeColor="text1"/>
          <w:sz w:val="24"/>
          <w:szCs w:val="24"/>
          <w:highlight w:val="none"/>
          <w:lang w:val="en-US" w:eastAsia="zh-CN"/>
        </w:rPr>
        <w:t>8</w:t>
      </w:r>
      <w:r>
        <w:rPr>
          <w:rFonts w:hint="eastAsia" w:ascii="宋体" w:hAnsi="宋体" w:eastAsia="宋体" w:cs="宋体"/>
          <w:b w:val="0"/>
          <w:bCs w:val="0"/>
          <w:color w:val="000000" w:themeColor="text1"/>
          <w:sz w:val="24"/>
          <w:szCs w:val="24"/>
          <w:highlight w:val="none"/>
          <w:lang w:val="zh-CN" w:eastAsia="zh-CN"/>
        </w:rPr>
        <w:t>.2采购人签发的成交通知书、竞争性磋商文件、成交供应商的磋商投标文件及其澄清文件等，均为签订合同的依据。</w:t>
      </w:r>
    </w:p>
    <w:p w14:paraId="2DBC0543">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lang w:val="zh-CN" w:eastAsia="zh-CN"/>
        </w:rPr>
      </w:pPr>
      <w:r>
        <w:rPr>
          <w:rFonts w:hint="eastAsia" w:ascii="宋体" w:hAnsi="宋体" w:eastAsia="宋体" w:cs="宋体"/>
          <w:b w:val="0"/>
          <w:bCs w:val="0"/>
          <w:color w:val="000000" w:themeColor="text1"/>
          <w:sz w:val="24"/>
          <w:szCs w:val="24"/>
          <w:highlight w:val="none"/>
          <w:lang w:val="en-US" w:eastAsia="zh-CN"/>
        </w:rPr>
        <w:t>8</w:t>
      </w:r>
      <w:r>
        <w:rPr>
          <w:rFonts w:hint="eastAsia" w:ascii="宋体" w:hAnsi="宋体" w:eastAsia="宋体" w:cs="宋体"/>
          <w:b w:val="0"/>
          <w:bCs w:val="0"/>
          <w:color w:val="000000" w:themeColor="text1"/>
          <w:sz w:val="24"/>
          <w:szCs w:val="24"/>
          <w:highlight w:val="none"/>
          <w:lang w:val="zh-CN" w:eastAsia="zh-CN"/>
        </w:rPr>
        <w:t>.3成交供应商如不按本供应商须知的规定与采购人订立合同，则采购人将废除授标，并做出相应的处罚，同时依法承担相应法律责任。</w:t>
      </w:r>
    </w:p>
    <w:p w14:paraId="4CCFF9F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lang w:val="zh-CN" w:eastAsia="zh-CN"/>
        </w:rPr>
      </w:pPr>
      <w:r>
        <w:rPr>
          <w:rFonts w:hint="eastAsia" w:ascii="宋体" w:hAnsi="宋体" w:eastAsia="宋体" w:cs="宋体"/>
          <w:b w:val="0"/>
          <w:bCs w:val="0"/>
          <w:color w:val="000000" w:themeColor="text1"/>
          <w:sz w:val="24"/>
          <w:szCs w:val="24"/>
          <w:highlight w:val="none"/>
          <w:lang w:val="en-US" w:eastAsia="zh-CN"/>
        </w:rPr>
        <w:t>8</w:t>
      </w:r>
      <w:r>
        <w:rPr>
          <w:rFonts w:hint="eastAsia" w:ascii="宋体" w:hAnsi="宋体" w:eastAsia="宋体" w:cs="宋体"/>
          <w:b w:val="0"/>
          <w:bCs w:val="0"/>
          <w:color w:val="000000" w:themeColor="text1"/>
          <w:sz w:val="24"/>
          <w:szCs w:val="24"/>
          <w:highlight w:val="none"/>
          <w:lang w:val="zh-CN" w:eastAsia="zh-CN"/>
        </w:rPr>
        <w:t>.4成交供应商需向采购代理机构支付代理服务费。</w:t>
      </w:r>
    </w:p>
    <w:p w14:paraId="2A2279E5">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2" w:firstLineChars="200"/>
        <w:jc w:val="left"/>
        <w:outlineLvl w:val="3"/>
        <w:rPr>
          <w:rFonts w:hint="eastAsia" w:ascii="宋体" w:hAnsi="宋体" w:eastAsia="宋体" w:cs="宋体"/>
          <w:b/>
          <w:bCs/>
          <w:color w:val="000000" w:themeColor="text1"/>
          <w:sz w:val="24"/>
          <w:szCs w:val="24"/>
          <w:highlight w:val="none"/>
          <w:lang w:val="zh-CN"/>
        </w:rPr>
      </w:pPr>
      <w:r>
        <w:rPr>
          <w:rFonts w:hint="eastAsia" w:ascii="宋体" w:hAnsi="宋体" w:eastAsia="宋体" w:cs="宋体"/>
          <w:b/>
          <w:bCs/>
          <w:color w:val="000000" w:themeColor="text1"/>
          <w:sz w:val="24"/>
          <w:szCs w:val="24"/>
          <w:highlight w:val="none"/>
          <w:lang w:val="en-US" w:eastAsia="zh-CN"/>
        </w:rPr>
        <w:t>9</w:t>
      </w:r>
      <w:r>
        <w:rPr>
          <w:rFonts w:hint="eastAsia" w:ascii="宋体" w:hAnsi="宋体" w:eastAsia="宋体" w:cs="宋体"/>
          <w:b/>
          <w:bCs/>
          <w:color w:val="000000" w:themeColor="text1"/>
          <w:sz w:val="24"/>
          <w:szCs w:val="24"/>
          <w:highlight w:val="none"/>
        </w:rPr>
        <w:t>、</w:t>
      </w:r>
      <w:bookmarkStart w:id="37" w:name="_Toc7342_WPSOffice_Level3"/>
      <w:r>
        <w:rPr>
          <w:rFonts w:hint="eastAsia" w:ascii="宋体" w:hAnsi="宋体" w:eastAsia="宋体" w:cs="宋体"/>
          <w:b/>
          <w:bCs/>
          <w:color w:val="000000" w:themeColor="text1"/>
          <w:sz w:val="24"/>
          <w:szCs w:val="24"/>
          <w:highlight w:val="none"/>
          <w:lang w:val="zh-CN"/>
        </w:rPr>
        <w:t>特别注意事项</w:t>
      </w:r>
      <w:bookmarkEnd w:id="37"/>
    </w:p>
    <w:p w14:paraId="6BB472F5">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jc w:val="left"/>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en-US" w:eastAsia="zh-CN"/>
        </w:rPr>
        <w:t>9</w:t>
      </w:r>
      <w:r>
        <w:rPr>
          <w:rFonts w:hint="eastAsia" w:ascii="宋体" w:hAnsi="宋体" w:eastAsia="宋体" w:cs="宋体"/>
          <w:color w:val="000000" w:themeColor="text1"/>
          <w:sz w:val="24"/>
          <w:szCs w:val="24"/>
          <w:highlight w:val="none"/>
          <w:lang w:val="zh-CN"/>
        </w:rPr>
        <w:t>.1现下列情形之一的，磋商小组可取消其磋商资格：</w:t>
      </w:r>
    </w:p>
    <w:p w14:paraId="42B388F4">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jc w:val="left"/>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（1）未按磋商文件要求和规定提交实质性响应材料的；</w:t>
      </w:r>
    </w:p>
    <w:p w14:paraId="05CC40EB">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jc w:val="left"/>
        <w:rPr>
          <w:rFonts w:hint="eastAsia" w:ascii="宋体" w:hAnsi="宋体" w:eastAsia="宋体" w:cs="宋体"/>
          <w:color w:val="000000" w:themeColor="text1"/>
          <w:sz w:val="24"/>
          <w:szCs w:val="24"/>
          <w:highlight w:val="none"/>
          <w:lang w:val="zh-CN" w:eastAsia="zh-CN"/>
        </w:rPr>
      </w:pPr>
      <w:r>
        <w:rPr>
          <w:rFonts w:hint="eastAsia" w:ascii="宋体" w:hAnsi="宋体" w:eastAsia="宋体" w:cs="宋体"/>
          <w:color w:val="000000" w:themeColor="text1"/>
          <w:sz w:val="24"/>
          <w:szCs w:val="24"/>
          <w:highlight w:val="none"/>
          <w:lang w:val="zh-CN" w:eastAsia="zh-CN"/>
        </w:rPr>
        <w:t>（2）相互串通磋商的（有下列情形之一的，视为供应商相互串通磋商）；</w:t>
      </w:r>
    </w:p>
    <w:p w14:paraId="74D42B5D">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jc w:val="left"/>
        <w:rPr>
          <w:rFonts w:hint="eastAsia" w:ascii="宋体" w:hAnsi="宋体" w:eastAsia="宋体" w:cs="宋体"/>
          <w:color w:val="000000" w:themeColor="text1"/>
          <w:sz w:val="24"/>
          <w:szCs w:val="24"/>
          <w:highlight w:val="none"/>
          <w:lang w:val="zh-CN" w:eastAsia="zh-CN"/>
        </w:rPr>
      </w:pPr>
      <w:r>
        <w:rPr>
          <w:rFonts w:hint="eastAsia" w:ascii="宋体" w:hAnsi="宋体" w:eastAsia="宋体" w:cs="宋体"/>
          <w:color w:val="000000" w:themeColor="text1"/>
          <w:sz w:val="24"/>
          <w:szCs w:val="24"/>
          <w:highlight w:val="none"/>
          <w:lang w:val="zh-CN" w:eastAsia="zh-CN"/>
        </w:rPr>
        <w:t>A、不同供应商的投标文件由同一单位或者个人编制</w:t>
      </w:r>
    </w:p>
    <w:p w14:paraId="4C73FD7C">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jc w:val="left"/>
        <w:rPr>
          <w:rFonts w:hint="eastAsia" w:ascii="宋体" w:hAnsi="宋体" w:eastAsia="宋体" w:cs="宋体"/>
          <w:color w:val="000000" w:themeColor="text1"/>
          <w:sz w:val="24"/>
          <w:szCs w:val="24"/>
          <w:highlight w:val="none"/>
          <w:lang w:val="zh-CN" w:eastAsia="zh-CN"/>
        </w:rPr>
      </w:pPr>
      <w:r>
        <w:rPr>
          <w:rFonts w:hint="eastAsia" w:ascii="宋体" w:hAnsi="宋体" w:eastAsia="宋体" w:cs="宋体"/>
          <w:color w:val="000000" w:themeColor="text1"/>
          <w:sz w:val="24"/>
          <w:szCs w:val="24"/>
          <w:highlight w:val="none"/>
          <w:lang w:val="zh-CN" w:eastAsia="zh-CN"/>
        </w:rPr>
        <w:t>B、不同供应商委托同一单位或者个人办理磋商事宜</w:t>
      </w:r>
    </w:p>
    <w:p w14:paraId="3DB6488D">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jc w:val="left"/>
        <w:rPr>
          <w:rFonts w:hint="eastAsia" w:ascii="宋体" w:hAnsi="宋体" w:eastAsia="宋体" w:cs="宋体"/>
          <w:color w:val="000000" w:themeColor="text1"/>
          <w:sz w:val="24"/>
          <w:szCs w:val="24"/>
          <w:highlight w:val="none"/>
          <w:lang w:val="zh-CN" w:eastAsia="zh-CN"/>
        </w:rPr>
      </w:pPr>
      <w:r>
        <w:rPr>
          <w:rFonts w:hint="eastAsia" w:ascii="宋体" w:hAnsi="宋体" w:eastAsia="宋体" w:cs="宋体"/>
          <w:color w:val="000000" w:themeColor="text1"/>
          <w:sz w:val="24"/>
          <w:szCs w:val="24"/>
          <w:highlight w:val="none"/>
          <w:lang w:val="zh-CN" w:eastAsia="zh-CN"/>
        </w:rPr>
        <w:t>C、不同供应商的投标文件载明的项目管理成员为同一人</w:t>
      </w:r>
    </w:p>
    <w:p w14:paraId="54BE5219">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jc w:val="left"/>
        <w:rPr>
          <w:rFonts w:hint="eastAsia" w:ascii="宋体" w:hAnsi="宋体" w:eastAsia="宋体" w:cs="宋体"/>
          <w:color w:val="000000" w:themeColor="text1"/>
          <w:sz w:val="24"/>
          <w:szCs w:val="24"/>
          <w:highlight w:val="none"/>
          <w:lang w:val="zh-CN" w:eastAsia="zh-CN"/>
        </w:rPr>
      </w:pPr>
      <w:r>
        <w:rPr>
          <w:rFonts w:hint="eastAsia" w:ascii="宋体" w:hAnsi="宋体" w:eastAsia="宋体" w:cs="宋体"/>
          <w:color w:val="000000" w:themeColor="text1"/>
          <w:sz w:val="24"/>
          <w:szCs w:val="24"/>
          <w:highlight w:val="none"/>
          <w:lang w:val="zh-CN" w:eastAsia="zh-CN"/>
        </w:rPr>
        <w:t>D、不同供应商的投标文件异常一致或者磋商报价呈规律性差异</w:t>
      </w:r>
    </w:p>
    <w:p w14:paraId="206265FE">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jc w:val="left"/>
        <w:rPr>
          <w:rFonts w:hint="eastAsia" w:ascii="宋体" w:hAnsi="宋体" w:eastAsia="宋体" w:cs="宋体"/>
          <w:color w:val="000000" w:themeColor="text1"/>
          <w:sz w:val="24"/>
          <w:szCs w:val="24"/>
          <w:highlight w:val="none"/>
          <w:lang w:val="zh-CN" w:eastAsia="zh-CN"/>
        </w:rPr>
      </w:pPr>
      <w:r>
        <w:rPr>
          <w:rFonts w:hint="eastAsia" w:ascii="宋体" w:hAnsi="宋体" w:eastAsia="宋体" w:cs="宋体"/>
          <w:color w:val="000000" w:themeColor="text1"/>
          <w:sz w:val="24"/>
          <w:szCs w:val="24"/>
          <w:highlight w:val="none"/>
          <w:lang w:val="zh-CN" w:eastAsia="zh-CN"/>
        </w:rPr>
        <w:t>E、不同供应商的磋商保证金从同一单位的账户转出</w:t>
      </w:r>
    </w:p>
    <w:p w14:paraId="5EF29083">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jc w:val="left"/>
        <w:rPr>
          <w:rFonts w:hint="eastAsia" w:ascii="宋体" w:hAnsi="宋体" w:eastAsia="宋体" w:cs="宋体"/>
          <w:color w:val="000000" w:themeColor="text1"/>
          <w:sz w:val="24"/>
          <w:szCs w:val="24"/>
          <w:highlight w:val="none"/>
          <w:lang w:val="zh-CN" w:eastAsia="zh-CN"/>
        </w:rPr>
      </w:pPr>
      <w:r>
        <w:rPr>
          <w:rFonts w:hint="eastAsia" w:ascii="宋体" w:hAnsi="宋体" w:eastAsia="宋体" w:cs="宋体"/>
          <w:color w:val="000000" w:themeColor="text1"/>
          <w:sz w:val="24"/>
          <w:szCs w:val="24"/>
          <w:highlight w:val="none"/>
          <w:lang w:val="en-US" w:eastAsia="zh-CN"/>
        </w:rPr>
        <w:t>9</w:t>
      </w:r>
      <w:r>
        <w:rPr>
          <w:rFonts w:hint="eastAsia" w:ascii="宋体" w:hAnsi="宋体" w:eastAsia="宋体" w:cs="宋体"/>
          <w:color w:val="000000" w:themeColor="text1"/>
          <w:sz w:val="24"/>
          <w:szCs w:val="24"/>
          <w:highlight w:val="none"/>
          <w:lang w:val="zh-CN" w:eastAsia="zh-CN"/>
        </w:rPr>
        <w:t>.2供应商出现下列情形之一的，将被视为非实质性响应磋商文件要求：</w:t>
      </w:r>
    </w:p>
    <w:p w14:paraId="0A97980E">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jc w:val="left"/>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（1）供货期限不确切或不符合磋商文件要求的；</w:t>
      </w:r>
    </w:p>
    <w:p w14:paraId="3A40B47F">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jc w:val="left"/>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（2）最后报价有选择性的；</w:t>
      </w:r>
    </w:p>
    <w:p w14:paraId="28EA74DB">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jc w:val="left"/>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（3）最后报价超过采购预算金额的；</w:t>
      </w:r>
    </w:p>
    <w:p w14:paraId="70414768">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jc w:val="left"/>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（4）被磋商小组认定存在重大负偏离的；</w:t>
      </w:r>
    </w:p>
    <w:p w14:paraId="15C00891">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jc w:val="left"/>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注：所谓重大负偏离是指供应商对磋商文件的响应在范围、质量、数量和供货期限要求等方面明显不能满足采购需求的。重大负偏离的认定须经磋商小组三分之二以上同意。</w:t>
      </w:r>
    </w:p>
    <w:p w14:paraId="10262C5C">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lang w:val="en-US" w:eastAsia="zh-CN"/>
        </w:rPr>
        <w:t>10</w:t>
      </w:r>
      <w:r>
        <w:rPr>
          <w:rFonts w:hint="eastAsia" w:ascii="宋体" w:hAnsi="宋体" w:eastAsia="宋体" w:cs="宋体"/>
          <w:b/>
          <w:bCs/>
          <w:color w:val="000000" w:themeColor="text1"/>
          <w:sz w:val="24"/>
          <w:szCs w:val="24"/>
          <w:highlight w:val="none"/>
        </w:rPr>
        <w:t>、纪律和监督</w:t>
      </w:r>
    </w:p>
    <w:p w14:paraId="20D694F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10</w:t>
      </w:r>
      <w:r>
        <w:rPr>
          <w:rFonts w:hint="eastAsia" w:ascii="宋体" w:hAnsi="宋体" w:eastAsia="宋体" w:cs="宋体"/>
          <w:color w:val="000000" w:themeColor="text1"/>
          <w:sz w:val="24"/>
          <w:szCs w:val="24"/>
          <w:highlight w:val="none"/>
        </w:rPr>
        <w:t>.1对采购人的纪律要求</w:t>
      </w:r>
    </w:p>
    <w:p w14:paraId="793CAB4C">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采购人不得泄漏竞争性磋商中应当保密的情况和资料，不得与供应商串通损害国家利益、社会公共利益或者他人合法权益。</w:t>
      </w:r>
    </w:p>
    <w:p w14:paraId="228C0C11">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10</w:t>
      </w:r>
      <w:r>
        <w:rPr>
          <w:rFonts w:hint="eastAsia" w:ascii="宋体" w:hAnsi="宋体" w:eastAsia="宋体" w:cs="宋体"/>
          <w:color w:val="000000" w:themeColor="text1"/>
          <w:sz w:val="24"/>
          <w:szCs w:val="24"/>
          <w:highlight w:val="none"/>
        </w:rPr>
        <w:t>.2对供应商的纪律要求</w:t>
      </w:r>
    </w:p>
    <w:p w14:paraId="1003AF2E">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供应商不得相互串通或者与采购人串通，不得向采购人或者磋商小组成员行贿谋取成交，不得以他人名义磋商或者以其他方式弄虚作假骗取成交；供应商不得以任何方式干扰、影响磋商工作。</w:t>
      </w:r>
    </w:p>
    <w:p w14:paraId="1399F51B">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10</w:t>
      </w:r>
      <w:r>
        <w:rPr>
          <w:rFonts w:hint="eastAsia" w:ascii="宋体" w:hAnsi="宋体" w:eastAsia="宋体" w:cs="宋体"/>
          <w:color w:val="000000" w:themeColor="text1"/>
          <w:sz w:val="24"/>
          <w:szCs w:val="24"/>
          <w:highlight w:val="none"/>
        </w:rPr>
        <w:t>.3对磋商小组成员的纪律要求</w:t>
      </w:r>
    </w:p>
    <w:p w14:paraId="5173F8F6">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磋商小组成员不得收受他人的财物或者其他好处，不得向他人透漏对</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的评审和比较、成交候选人的推荐情况以及与磋商有关的其他情况。在磋商活动中，磋商小组成员不得擅离职守，影响磋商程序正常进行。</w:t>
      </w:r>
    </w:p>
    <w:p w14:paraId="4A4E878E">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10</w:t>
      </w:r>
      <w:r>
        <w:rPr>
          <w:rFonts w:hint="eastAsia" w:ascii="宋体" w:hAnsi="宋体" w:eastAsia="宋体" w:cs="宋体"/>
          <w:color w:val="000000" w:themeColor="text1"/>
          <w:sz w:val="24"/>
          <w:szCs w:val="24"/>
          <w:highlight w:val="none"/>
        </w:rPr>
        <w:t>.4对与磋商活动有关的工作人员的纪律要求</w:t>
      </w:r>
    </w:p>
    <w:p w14:paraId="19CCB7F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与磋商活动有关的工作人员不得收受他人的财物或者其他好处，不得向他人透漏对</w:t>
      </w:r>
      <w:r>
        <w:rPr>
          <w:rFonts w:hint="eastAsia" w:ascii="宋体" w:hAnsi="宋体" w:eastAsia="宋体" w:cs="宋体"/>
          <w:color w:val="000000" w:themeColor="text1"/>
          <w:sz w:val="24"/>
          <w:szCs w:val="24"/>
          <w:highlight w:val="none"/>
          <w:lang w:eastAsia="zh-CN"/>
        </w:rPr>
        <w:t>投标文件</w:t>
      </w:r>
      <w:r>
        <w:rPr>
          <w:rFonts w:hint="eastAsia" w:ascii="宋体" w:hAnsi="宋体" w:eastAsia="宋体" w:cs="宋体"/>
          <w:color w:val="000000" w:themeColor="text1"/>
          <w:sz w:val="24"/>
          <w:szCs w:val="24"/>
          <w:highlight w:val="none"/>
        </w:rPr>
        <w:t>的评审和比较、成交候选人的推荐情况以及与磋商有关的其他情况。在磋商活动中，与磋商活动有关的工作人员不得擅离职守，影响磋商程序正常进行。</w:t>
      </w:r>
    </w:p>
    <w:p w14:paraId="29C978C1">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10</w:t>
      </w:r>
      <w:r>
        <w:rPr>
          <w:rFonts w:hint="eastAsia" w:ascii="宋体" w:hAnsi="宋体" w:eastAsia="宋体" w:cs="宋体"/>
          <w:color w:val="000000" w:themeColor="text1"/>
          <w:sz w:val="24"/>
          <w:szCs w:val="24"/>
          <w:highlight w:val="none"/>
        </w:rPr>
        <w:t>.5投诉</w:t>
      </w:r>
    </w:p>
    <w:p w14:paraId="116A5F87">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供应商和其他利害关系人认为本次竞争性磋商违反法律、法规和规章规定的，有权向有关行政监督部门投诉。</w:t>
      </w:r>
    </w:p>
    <w:p w14:paraId="5A8F3E3B">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lang w:val="en-US" w:eastAsia="zh-CN"/>
        </w:rPr>
        <w:t>11</w:t>
      </w:r>
      <w:r>
        <w:rPr>
          <w:rFonts w:hint="eastAsia" w:ascii="宋体" w:hAnsi="宋体" w:eastAsia="宋体" w:cs="宋体"/>
          <w:b/>
          <w:bCs/>
          <w:color w:val="000000" w:themeColor="text1"/>
          <w:sz w:val="24"/>
          <w:szCs w:val="24"/>
          <w:highlight w:val="none"/>
        </w:rPr>
        <w:t>、质疑程序及处理</w:t>
      </w:r>
    </w:p>
    <w:p w14:paraId="47BF6F0E">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11</w:t>
      </w:r>
      <w:r>
        <w:rPr>
          <w:rFonts w:hint="eastAsia" w:ascii="宋体" w:hAnsi="宋体" w:eastAsia="宋体" w:cs="宋体"/>
          <w:color w:val="000000" w:themeColor="text1"/>
          <w:sz w:val="24"/>
          <w:szCs w:val="24"/>
          <w:highlight w:val="none"/>
        </w:rPr>
        <w:t>.1若供应商认为其磋商未获公平评审或磋商文件、采购过程和成交结果使自己的合法权益受到损害，可以在知道或者应知其权益受到损害之日起7个工作日内，将质疑书原件送达采购人或采购代理机构。提出质疑期限的计算，依照下列规定办理：</w:t>
      </w:r>
    </w:p>
    <w:p w14:paraId="1BE52EA1">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（一）对可以质疑的磋商文件提出质疑的，为收到磋商文件之日或者磋商文件公告期限届满之日；</w:t>
      </w:r>
    </w:p>
    <w:p w14:paraId="059DF02E">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（二）对采购过程提出质疑的，为各采购程序环节结束之日；</w:t>
      </w:r>
    </w:p>
    <w:p w14:paraId="5645AE0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（三）对成交结果提出质疑的，为成交结果公告期限届满之日。</w:t>
      </w:r>
    </w:p>
    <w:p w14:paraId="712C9714">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11</w:t>
      </w:r>
      <w:r>
        <w:rPr>
          <w:rFonts w:hint="eastAsia" w:ascii="宋体" w:hAnsi="宋体" w:eastAsia="宋体" w:cs="宋体"/>
          <w:color w:val="000000" w:themeColor="text1"/>
          <w:sz w:val="24"/>
          <w:szCs w:val="24"/>
          <w:highlight w:val="none"/>
        </w:rPr>
        <w:t>.2质疑书应当包括下列主要内容，并按照“谁主张、谁举证”的原则，附上相关证明材料。否则，采购人不予受理：</w:t>
      </w:r>
    </w:p>
    <w:p w14:paraId="66DEA8FE">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（一）质疑供应商全称、地址、法定代表人、联系人及联系电话、邮政编码等；</w:t>
      </w:r>
    </w:p>
    <w:p w14:paraId="1D6C5DD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（二）被质疑采购项目的名称、编号；</w:t>
      </w:r>
    </w:p>
    <w:p w14:paraId="6570D01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（三）质疑的具体事项、明确的请求和主张；</w:t>
      </w:r>
    </w:p>
    <w:p w14:paraId="5C45417F">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（四）质疑所依据的法律依据（具体条款）、具体事实和具体理由。质疑书依据理由部分只有主观陈述、推理、猜测等，而没有提供客观事实依据、法律依据的；</w:t>
      </w:r>
    </w:p>
    <w:p w14:paraId="5326C794">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14:paraId="4AA8A6E7">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（六）充足有效的相关证明材料；如果涉及到产品功能或技术指标的，应出具相关制造商的证明文件；</w:t>
      </w:r>
    </w:p>
    <w:p w14:paraId="6443D5AD">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（七）质疑材料中有外文资料的，应一并附上中文译本，并以中文译本为准。</w:t>
      </w:r>
    </w:p>
    <w:p w14:paraId="5285410C">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（八）提起质疑的日期</w:t>
      </w:r>
    </w:p>
    <w:p w14:paraId="1282C51A">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11</w:t>
      </w:r>
      <w:r>
        <w:rPr>
          <w:rFonts w:hint="eastAsia" w:ascii="宋体" w:hAnsi="宋体" w:eastAsia="宋体" w:cs="宋体"/>
          <w:color w:val="000000" w:themeColor="text1"/>
          <w:sz w:val="24"/>
          <w:szCs w:val="24"/>
          <w:highlight w:val="none"/>
        </w:rPr>
        <w:t>.3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商其他工作人员或代理人员在质疑书上的署名不具有法律效力。</w:t>
      </w:r>
    </w:p>
    <w:p w14:paraId="63EAB0D8">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11</w:t>
      </w:r>
      <w:r>
        <w:rPr>
          <w:rFonts w:hint="eastAsia" w:ascii="宋体" w:hAnsi="宋体" w:eastAsia="宋体" w:cs="宋体"/>
          <w:color w:val="000000" w:themeColor="text1"/>
          <w:sz w:val="24"/>
          <w:szCs w:val="24"/>
          <w:highlight w:val="none"/>
        </w:rPr>
        <w:t>.4供应商委托代理人办理质疑事宜，应当提交授权委托书，并载明委托代理的具体权限和事项。授权委托书应当由委托人签字并加盖单位公章。</w:t>
      </w:r>
    </w:p>
    <w:p w14:paraId="09139B26">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11</w:t>
      </w:r>
      <w:r>
        <w:rPr>
          <w:rFonts w:hint="eastAsia" w:ascii="宋体" w:hAnsi="宋体" w:eastAsia="宋体" w:cs="宋体"/>
          <w:color w:val="000000" w:themeColor="text1"/>
          <w:sz w:val="24"/>
          <w:szCs w:val="24"/>
          <w:highlight w:val="none"/>
        </w:rPr>
        <w:t>.5提交质疑书时，供应商应同时提交本人身份证，委托他人代理质疑事宜的，还应提交被委托人的身份证。供应商是法人的，应一并提交法人营业执照和法定代表人身份证；供应商是其他组织的，应一并提交其他组织经营许可证和主要负责人身份证。供应商应当提供上述证明材料的原件及复印件，原件经采购人核对无误后返还。</w:t>
      </w:r>
    </w:p>
    <w:p w14:paraId="06A0DEB8">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11</w:t>
      </w:r>
      <w:r>
        <w:rPr>
          <w:rFonts w:hint="eastAsia" w:ascii="宋体" w:hAnsi="宋体" w:eastAsia="宋体" w:cs="宋体"/>
          <w:color w:val="000000" w:themeColor="text1"/>
          <w:sz w:val="24"/>
          <w:szCs w:val="24"/>
          <w:highlight w:val="none"/>
        </w:rPr>
        <w:t>.6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采购机构可以拒收。</w:t>
      </w:r>
    </w:p>
    <w:p w14:paraId="7C954C4D">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11</w:t>
      </w:r>
      <w:r>
        <w:rPr>
          <w:rFonts w:hint="eastAsia" w:ascii="宋体" w:hAnsi="宋体" w:eastAsia="宋体" w:cs="宋体"/>
          <w:color w:val="000000" w:themeColor="text1"/>
          <w:sz w:val="24"/>
          <w:szCs w:val="24"/>
          <w:highlight w:val="none"/>
        </w:rPr>
        <w:t>.7供应商不得虚假质疑和恶意质疑，并对质疑内容的真实性承担责任。供应商或者其他利害关系人通过捏造事实、伪造证明材料等方式提出异议或投诉，阻碍磋商活动正常进行的，属于严重不良行为，采购人将提请财政部门将其列入不良行为记录名单，并依法予以处罚。</w:t>
      </w:r>
    </w:p>
    <w:p w14:paraId="30476A3B">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11</w:t>
      </w:r>
      <w:r>
        <w:rPr>
          <w:rFonts w:hint="eastAsia" w:ascii="宋体" w:hAnsi="宋体" w:eastAsia="宋体" w:cs="宋体"/>
          <w:color w:val="000000" w:themeColor="text1"/>
          <w:sz w:val="24"/>
          <w:szCs w:val="24"/>
          <w:highlight w:val="none"/>
        </w:rPr>
        <w:t>.8采购人将在收到符合上述条件的书面质疑后7个工作日内审查质疑事项，作出答复或相关处理决定，并以书面形式通知质疑供应商和其他有关供应商，但答复的内容不涉及商业秘密。若质疑涉及磋商制度或程序，将被转交政府采购的管理部门审查。采购人遵循“谁过错谁负担”的原则，有过错的一方承担调查论证费用。</w:t>
      </w:r>
    </w:p>
    <w:p w14:paraId="643B74C7">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11</w:t>
      </w:r>
      <w:r>
        <w:rPr>
          <w:rFonts w:hint="eastAsia" w:ascii="宋体" w:hAnsi="宋体" w:eastAsia="宋体" w:cs="宋体"/>
          <w:color w:val="000000" w:themeColor="text1"/>
          <w:sz w:val="24"/>
          <w:szCs w:val="24"/>
          <w:highlight w:val="none"/>
        </w:rPr>
        <w:t>.9质疑供应商对采购人的答复不满意以及采购人未在规定的时间内做出答复的，可以在答复期满后15个工作日内向财政部门投诉。</w:t>
      </w:r>
    </w:p>
    <w:p w14:paraId="7BBA3F0A">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2" w:firstLineChars="200"/>
        <w:jc w:val="left"/>
        <w:outlineLvl w:val="3"/>
        <w:rPr>
          <w:rFonts w:hint="eastAsia" w:ascii="宋体" w:hAnsi="宋体" w:eastAsia="宋体" w:cs="宋体"/>
          <w:b/>
          <w:bCs/>
          <w:color w:val="000000" w:themeColor="text1"/>
          <w:sz w:val="24"/>
          <w:szCs w:val="24"/>
          <w:highlight w:val="none"/>
          <w:lang w:val="zh-CN" w:eastAsia="zh-CN"/>
        </w:rPr>
      </w:pPr>
      <w:bookmarkStart w:id="38" w:name="_Toc4433565"/>
      <w:bookmarkStart w:id="39" w:name="_Toc3220174"/>
      <w:r>
        <w:rPr>
          <w:rFonts w:hint="eastAsia" w:ascii="宋体" w:hAnsi="宋体" w:eastAsia="宋体" w:cs="宋体"/>
          <w:b/>
          <w:bCs/>
          <w:color w:val="000000" w:themeColor="text1"/>
          <w:sz w:val="24"/>
          <w:szCs w:val="24"/>
          <w:highlight w:val="none"/>
          <w:lang w:val="en-US" w:eastAsia="zh-CN"/>
        </w:rPr>
        <w:t>12、</w:t>
      </w:r>
      <w:r>
        <w:rPr>
          <w:rFonts w:hint="eastAsia" w:ascii="宋体" w:hAnsi="宋体" w:eastAsia="宋体" w:cs="宋体"/>
          <w:b/>
          <w:bCs/>
          <w:color w:val="000000" w:themeColor="text1"/>
          <w:sz w:val="24"/>
          <w:szCs w:val="24"/>
          <w:highlight w:val="none"/>
          <w:lang w:val="zh-CN" w:eastAsia="zh-CN"/>
        </w:rPr>
        <w:t>重新开展采购活动</w:t>
      </w:r>
      <w:bookmarkEnd w:id="38"/>
      <w:bookmarkEnd w:id="39"/>
    </w:p>
    <w:p w14:paraId="7043951F">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lang w:val="en-US" w:eastAsia="zh-CN"/>
        </w:rPr>
      </w:pPr>
      <w:r>
        <w:rPr>
          <w:rFonts w:hint="eastAsia" w:ascii="宋体" w:hAnsi="宋体" w:eastAsia="宋体" w:cs="宋体"/>
          <w:b w:val="0"/>
          <w:bCs w:val="0"/>
          <w:color w:val="000000" w:themeColor="text1"/>
          <w:sz w:val="24"/>
          <w:szCs w:val="24"/>
          <w:highlight w:val="none"/>
          <w:lang w:val="en-US" w:eastAsia="zh-CN"/>
        </w:rPr>
        <w:t>出现下列情形之一的，将终止竞争性磋商采购活动，发布项目终止公告并说明原因，重新开展采购活动：</w:t>
      </w:r>
    </w:p>
    <w:p w14:paraId="7DB69747">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lang w:val="en-US" w:eastAsia="zh-CN"/>
        </w:rPr>
      </w:pPr>
      <w:r>
        <w:rPr>
          <w:rFonts w:hint="eastAsia" w:ascii="宋体" w:hAnsi="宋体" w:eastAsia="宋体" w:cs="宋体"/>
          <w:b w:val="0"/>
          <w:bCs w:val="0"/>
          <w:color w:val="000000" w:themeColor="text1"/>
          <w:sz w:val="24"/>
          <w:szCs w:val="24"/>
          <w:highlight w:val="none"/>
          <w:lang w:val="en-US" w:eastAsia="zh-CN"/>
        </w:rPr>
        <w:t>12.1、不符合法律、法规和竞争性磋商文件中规定的其他实质性要求的；</w:t>
      </w:r>
    </w:p>
    <w:p w14:paraId="65EB8856">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lang w:val="en-US" w:eastAsia="zh-CN"/>
        </w:rPr>
      </w:pPr>
      <w:r>
        <w:rPr>
          <w:rFonts w:hint="eastAsia" w:ascii="宋体" w:hAnsi="宋体" w:eastAsia="宋体" w:cs="宋体"/>
          <w:b w:val="0"/>
          <w:bCs w:val="0"/>
          <w:color w:val="000000" w:themeColor="text1"/>
          <w:sz w:val="24"/>
          <w:szCs w:val="24"/>
          <w:highlight w:val="none"/>
          <w:lang w:val="en-US" w:eastAsia="zh-CN"/>
        </w:rPr>
        <w:t>12.2、其他法律、法规及本竞争性磋商文件规定的属响应无效的情形。终止竞争性磋商采购活动的条款；</w:t>
      </w:r>
    </w:p>
    <w:p w14:paraId="5E5D57EA">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lang w:val="en-US" w:eastAsia="zh-CN"/>
        </w:rPr>
      </w:pPr>
      <w:r>
        <w:rPr>
          <w:rFonts w:hint="eastAsia" w:ascii="宋体" w:hAnsi="宋体" w:eastAsia="宋体" w:cs="宋体"/>
          <w:b w:val="0"/>
          <w:bCs w:val="0"/>
          <w:color w:val="000000" w:themeColor="text1"/>
          <w:sz w:val="24"/>
          <w:szCs w:val="24"/>
          <w:highlight w:val="none"/>
          <w:lang w:val="en-US" w:eastAsia="zh-CN"/>
        </w:rPr>
        <w:t>12.3、因情况变化，不再符合规定的竞争性磋商采购方式适用情形的；出现影响采购公正的违法、违规行为的；</w:t>
      </w:r>
    </w:p>
    <w:p w14:paraId="2807E52F">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b w:val="0"/>
          <w:bCs w:val="0"/>
          <w:color w:val="000000" w:themeColor="text1"/>
          <w:sz w:val="24"/>
          <w:szCs w:val="24"/>
          <w:highlight w:val="none"/>
          <w:lang w:val="en-US" w:eastAsia="zh-CN"/>
        </w:rPr>
      </w:pPr>
      <w:r>
        <w:rPr>
          <w:rFonts w:hint="eastAsia" w:ascii="宋体" w:hAnsi="宋体" w:eastAsia="宋体" w:cs="宋体"/>
          <w:b w:val="0"/>
          <w:bCs w:val="0"/>
          <w:color w:val="000000" w:themeColor="text1"/>
          <w:sz w:val="24"/>
          <w:szCs w:val="24"/>
          <w:highlight w:val="none"/>
          <w:lang w:val="en-US" w:eastAsia="zh-CN"/>
        </w:rPr>
        <w:t>12.4、磋商截止时间结束后参加供应商不足3家的，应重新组织采购。</w:t>
      </w:r>
    </w:p>
    <w:p w14:paraId="5CBE946B">
      <w:pPr>
        <w:keepNext w:val="0"/>
        <w:keepLines w:val="0"/>
        <w:pageBreakBefore w:val="0"/>
        <w:widowControl/>
        <w:tabs>
          <w:tab w:val="left" w:pos="1341"/>
        </w:tabs>
        <w:kinsoku w:val="0"/>
        <w:wordWrap/>
        <w:autoSpaceDE w:val="0"/>
        <w:autoSpaceDN w:val="0"/>
        <w:bidi w:val="0"/>
        <w:adjustRightInd w:val="0"/>
        <w:snapToGrid w:val="0"/>
        <w:spacing w:line="360" w:lineRule="auto"/>
        <w:ind w:left="0" w:leftChars="0" w:right="0" w:rightChars="0" w:firstLine="478" w:firstLineChars="200"/>
        <w:rPr>
          <w:rFonts w:hint="eastAsia" w:ascii="宋体" w:hAnsi="宋体" w:eastAsia="宋体" w:cs="宋体"/>
          <w:b/>
          <w:bCs/>
          <w:color w:val="000000" w:themeColor="text1"/>
          <w:spacing w:val="-1"/>
          <w:sz w:val="24"/>
          <w:szCs w:val="24"/>
          <w:highlight w:val="none"/>
          <w:lang w:bidi="zh-CN"/>
        </w:rPr>
      </w:pPr>
      <w:r>
        <w:rPr>
          <w:rFonts w:hint="eastAsia" w:ascii="宋体" w:hAnsi="宋体" w:eastAsia="宋体" w:cs="宋体"/>
          <w:b/>
          <w:bCs/>
          <w:color w:val="000000" w:themeColor="text1"/>
          <w:spacing w:val="-1"/>
          <w:sz w:val="24"/>
          <w:szCs w:val="24"/>
          <w:highlight w:val="none"/>
          <w:lang w:val="en-US" w:eastAsia="zh-CN" w:bidi="zh-CN"/>
        </w:rPr>
        <w:t>13、</w:t>
      </w:r>
      <w:r>
        <w:rPr>
          <w:rFonts w:hint="eastAsia" w:ascii="宋体" w:hAnsi="宋体" w:eastAsia="宋体" w:cs="宋体"/>
          <w:b/>
          <w:bCs/>
          <w:color w:val="000000" w:themeColor="text1"/>
          <w:spacing w:val="-1"/>
          <w:sz w:val="24"/>
          <w:szCs w:val="24"/>
          <w:highlight w:val="none"/>
          <w:lang w:bidi="zh-CN"/>
        </w:rPr>
        <w:t>招标代理服务收费参照豫招协[2023]002号河南省招标投标协会关于印发《河南省招标代理服务收费指导意见》规定的收费标准收取中标服务费。</w:t>
      </w:r>
    </w:p>
    <w:p w14:paraId="31D37727">
      <w:pPr>
        <w:keepNext w:val="0"/>
        <w:keepLines w:val="0"/>
        <w:pageBreakBefore w:val="0"/>
        <w:widowControl/>
        <w:tabs>
          <w:tab w:val="left" w:pos="1341"/>
        </w:tabs>
        <w:kinsoku w:val="0"/>
        <w:wordWrap/>
        <w:autoSpaceDE w:val="0"/>
        <w:autoSpaceDN w:val="0"/>
        <w:bidi w:val="0"/>
        <w:adjustRightInd w:val="0"/>
        <w:snapToGrid w:val="0"/>
        <w:spacing w:line="360" w:lineRule="auto"/>
        <w:ind w:left="0" w:leftChars="0" w:right="0" w:rightChars="0" w:firstLine="478" w:firstLineChars="200"/>
        <w:rPr>
          <w:rFonts w:hint="eastAsia" w:ascii="宋体" w:hAnsi="宋体" w:eastAsia="宋体" w:cs="宋体"/>
          <w:b/>
          <w:bCs/>
          <w:color w:val="000000" w:themeColor="text1"/>
          <w:spacing w:val="-1"/>
          <w:sz w:val="24"/>
          <w:szCs w:val="24"/>
          <w:highlight w:val="none"/>
          <w:lang w:bidi="zh-CN"/>
        </w:rPr>
      </w:pPr>
      <w:r>
        <w:rPr>
          <w:rFonts w:hint="eastAsia" w:ascii="宋体" w:hAnsi="宋体" w:eastAsia="宋体" w:cs="宋体"/>
          <w:b/>
          <w:bCs/>
          <w:color w:val="000000" w:themeColor="text1"/>
          <w:spacing w:val="-1"/>
          <w:sz w:val="24"/>
          <w:szCs w:val="24"/>
          <w:highlight w:val="none"/>
          <w:lang w:bidi="zh-CN"/>
        </w:rPr>
        <w:t>河南省招标代理服务费计算标准</w:t>
      </w:r>
    </w:p>
    <w:tbl>
      <w:tblPr>
        <w:tblStyle w:val="28"/>
        <w:tblpPr w:leftFromText="180" w:rightFromText="180" w:vertAnchor="text" w:horzAnchor="page" w:tblpX="1862" w:tblpY="481"/>
        <w:tblOverlap w:val="never"/>
        <w:tblW w:w="8339" w:type="dxa"/>
        <w:tblInd w:w="0" w:type="dxa"/>
        <w:tblLayout w:type="fixed"/>
        <w:tblCellMar>
          <w:top w:w="0" w:type="dxa"/>
          <w:left w:w="15" w:type="dxa"/>
          <w:bottom w:w="0" w:type="dxa"/>
          <w:right w:w="15" w:type="dxa"/>
        </w:tblCellMar>
      </w:tblPr>
      <w:tblGrid>
        <w:gridCol w:w="3553"/>
        <w:gridCol w:w="1642"/>
        <w:gridCol w:w="1433"/>
        <w:gridCol w:w="1711"/>
      </w:tblGrid>
      <w:tr w14:paraId="04FF7CD7">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3A211E42">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9263446">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8AD3D68">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D930E58">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服务</w:t>
            </w:r>
          </w:p>
        </w:tc>
      </w:tr>
      <w:tr w14:paraId="57EDA78A">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154E4595">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2E5FEB0">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86F33BA">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F1B1F66">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1.70%</w:t>
            </w:r>
          </w:p>
        </w:tc>
      </w:tr>
      <w:tr w14:paraId="560C4177">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723DC18E">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5EC2DEE">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89E264B">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8A80464">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1.20%</w:t>
            </w:r>
          </w:p>
        </w:tc>
      </w:tr>
      <w:tr w14:paraId="6846C124">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4F6FC86C">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20B7B55">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2DF37E1">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9B2F4C8">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0.70%</w:t>
            </w:r>
          </w:p>
        </w:tc>
      </w:tr>
      <w:tr w14:paraId="77C2EFDE">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4DA4B976">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2B54BE3">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F423510">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0208D38">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0.40%</w:t>
            </w:r>
          </w:p>
        </w:tc>
      </w:tr>
      <w:tr w14:paraId="020EFF50">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51D08417">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C119BA5">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9FA74D5">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D4AD8DA">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0.25%</w:t>
            </w:r>
          </w:p>
        </w:tc>
      </w:tr>
      <w:tr w14:paraId="3A4C83F1">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64BF5FD0">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FEE6BFC">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C064A6B">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69C7F94">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0.10%</w:t>
            </w:r>
          </w:p>
        </w:tc>
      </w:tr>
      <w:tr w14:paraId="0775D32A">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right w:val="single" w:color="000000" w:sz="4" w:space="0"/>
            </w:tcBorders>
            <w:noWrap w:val="0"/>
            <w:vAlign w:val="center"/>
          </w:tcPr>
          <w:p w14:paraId="2C6EF382">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5亿--10亿元（含10亿元）</w:t>
            </w:r>
          </w:p>
        </w:tc>
        <w:tc>
          <w:tcPr>
            <w:tcW w:w="1642" w:type="dxa"/>
            <w:tcBorders>
              <w:top w:val="single" w:color="000000" w:sz="4" w:space="0"/>
              <w:left w:val="single" w:color="000000" w:sz="4" w:space="0"/>
              <w:right w:val="single" w:color="000000" w:sz="4" w:space="0"/>
            </w:tcBorders>
            <w:noWrap w:val="0"/>
            <w:vAlign w:val="center"/>
          </w:tcPr>
          <w:p w14:paraId="511B4815">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0.045%</w:t>
            </w:r>
          </w:p>
        </w:tc>
        <w:tc>
          <w:tcPr>
            <w:tcW w:w="1433" w:type="dxa"/>
            <w:tcBorders>
              <w:top w:val="single" w:color="000000" w:sz="4" w:space="0"/>
              <w:left w:val="single" w:color="000000" w:sz="4" w:space="0"/>
              <w:right w:val="single" w:color="000000" w:sz="4" w:space="0"/>
            </w:tcBorders>
            <w:noWrap w:val="0"/>
            <w:vAlign w:val="center"/>
          </w:tcPr>
          <w:p w14:paraId="78384711">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0.045%</w:t>
            </w:r>
          </w:p>
        </w:tc>
        <w:tc>
          <w:tcPr>
            <w:tcW w:w="1711" w:type="dxa"/>
            <w:tcBorders>
              <w:top w:val="single" w:color="000000" w:sz="4" w:space="0"/>
              <w:left w:val="single" w:color="000000" w:sz="4" w:space="0"/>
              <w:right w:val="single" w:color="000000" w:sz="4" w:space="0"/>
            </w:tcBorders>
            <w:noWrap w:val="0"/>
            <w:vAlign w:val="center"/>
          </w:tcPr>
          <w:p w14:paraId="1D91E433">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0.045%</w:t>
            </w:r>
          </w:p>
        </w:tc>
      </w:tr>
      <w:tr w14:paraId="28A182E3">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4C3F37C9">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9A68601">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4D54DE7">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70D479B">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0.010%</w:t>
            </w:r>
          </w:p>
        </w:tc>
      </w:tr>
      <w:tr w14:paraId="26C5749B">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48555A81">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50亿--100亿元（含</w:t>
            </w:r>
            <w:r>
              <w:rPr>
                <w:rFonts w:hint="eastAsia" w:ascii="宋体" w:hAnsi="宋体" w:eastAsia="宋体" w:cs="宋体"/>
                <w:color w:val="000000" w:themeColor="text1"/>
                <w:sz w:val="24"/>
                <w:szCs w:val="24"/>
                <w:highlight w:val="none"/>
                <w:lang w:bidi="zh-CN"/>
              </w:rPr>
              <w:t>100</w:t>
            </w:r>
            <w:r>
              <w:rPr>
                <w:rFonts w:hint="eastAsia" w:ascii="宋体" w:hAnsi="宋体" w:eastAsia="宋体" w:cs="宋体"/>
                <w:color w:val="000000" w:themeColor="text1"/>
                <w:sz w:val="24"/>
                <w:szCs w:val="24"/>
                <w:highlight w:val="none"/>
                <w:lang w:val="zh-CN" w:bidi="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5DFB771">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A15B153">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052DFE8">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0.008%</w:t>
            </w:r>
          </w:p>
        </w:tc>
      </w:tr>
      <w:tr w14:paraId="455C7B8A">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360754A2">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BC7C0B5">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DE748A3">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1778B20">
            <w:pPr>
              <w:keepNext w:val="0"/>
              <w:keepLines w:val="0"/>
              <w:pageBreakBefore w:val="0"/>
              <w:widowControl/>
              <w:kinsoku w:val="0"/>
              <w:wordWrap/>
              <w:autoSpaceDN w:val="0"/>
              <w:bidi w:val="0"/>
              <w:adjustRightInd w:val="0"/>
              <w:snapToGrid w:val="0"/>
              <w:spacing w:line="360" w:lineRule="auto"/>
              <w:ind w:left="0" w:leftChars="0" w:right="0" w:rightChars="0"/>
              <w:jc w:val="center"/>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0.004%</w:t>
            </w:r>
          </w:p>
        </w:tc>
      </w:tr>
      <w:tr w14:paraId="1C259708">
        <w:tblPrEx>
          <w:tblCellMar>
            <w:top w:w="0" w:type="dxa"/>
            <w:left w:w="15" w:type="dxa"/>
            <w:bottom w:w="0" w:type="dxa"/>
            <w:right w:w="15" w:type="dxa"/>
          </w:tblCellMar>
        </w:tblPrEx>
        <w:trPr>
          <w:trHeight w:val="621" w:hRule="atLeast"/>
        </w:trPr>
        <w:tc>
          <w:tcPr>
            <w:tcW w:w="8339" w:type="dxa"/>
            <w:gridSpan w:val="4"/>
            <w:noWrap w:val="0"/>
            <w:vAlign w:val="center"/>
          </w:tcPr>
          <w:p w14:paraId="58BBBBA9">
            <w:pPr>
              <w:keepNext w:val="0"/>
              <w:keepLines w:val="0"/>
              <w:pageBreakBefore w:val="0"/>
              <w:widowControl/>
              <w:kinsoku w:val="0"/>
              <w:wordWrap/>
              <w:autoSpaceDN w:val="0"/>
              <w:bidi w:val="0"/>
              <w:adjustRightInd w:val="0"/>
              <w:snapToGrid w:val="0"/>
              <w:spacing w:line="360" w:lineRule="auto"/>
              <w:ind w:left="0" w:leftChars="0" w:right="0" w:rightChars="0"/>
              <w:jc w:val="left"/>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注：1.按本表费率计算的收费金额为招标代理服务费的基准价格，不含工程量清单、最高投标限价（招标控制价）或标底的编制费用。</w:t>
            </w:r>
          </w:p>
          <w:p w14:paraId="52C32E11">
            <w:pPr>
              <w:keepNext w:val="0"/>
              <w:keepLines w:val="0"/>
              <w:pageBreakBefore w:val="0"/>
              <w:widowControl/>
              <w:kinsoku w:val="0"/>
              <w:wordWrap/>
              <w:autoSpaceDN w:val="0"/>
              <w:bidi w:val="0"/>
              <w:adjustRightInd w:val="0"/>
              <w:snapToGrid w:val="0"/>
              <w:spacing w:line="360" w:lineRule="auto"/>
              <w:ind w:left="0" w:leftChars="0" w:right="0" w:rightChars="0"/>
              <w:jc w:val="left"/>
              <w:textAlignment w:val="center"/>
              <w:rPr>
                <w:rFonts w:hint="eastAsia" w:ascii="宋体" w:hAnsi="宋体" w:eastAsia="宋体" w:cs="宋体"/>
                <w:color w:val="000000" w:themeColor="text1"/>
                <w:sz w:val="24"/>
                <w:szCs w:val="24"/>
                <w:highlight w:val="none"/>
                <w:lang w:bidi="zh-CN"/>
              </w:rPr>
            </w:pPr>
            <w:r>
              <w:rPr>
                <w:rFonts w:hint="eastAsia" w:ascii="宋体" w:hAnsi="宋体" w:eastAsia="宋体" w:cs="宋体"/>
                <w:color w:val="000000" w:themeColor="text1"/>
                <w:sz w:val="24"/>
                <w:szCs w:val="24"/>
                <w:highlight w:val="none"/>
                <w:lang w:bidi="zh-CN"/>
              </w:rPr>
              <w:t>2.招标代理服务收费按差额定率累进法计算。</w:t>
            </w:r>
          </w:p>
          <w:p w14:paraId="18B03A8A">
            <w:pPr>
              <w:keepNext w:val="0"/>
              <w:keepLines w:val="0"/>
              <w:pageBreakBefore w:val="0"/>
              <w:widowControl/>
              <w:kinsoku w:val="0"/>
              <w:wordWrap/>
              <w:autoSpaceDN w:val="0"/>
              <w:bidi w:val="0"/>
              <w:adjustRightInd w:val="0"/>
              <w:snapToGrid w:val="0"/>
              <w:spacing w:line="360" w:lineRule="auto"/>
              <w:ind w:left="0" w:leftChars="0" w:right="0" w:rightChars="0"/>
              <w:jc w:val="left"/>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例如：某工程招标代理业务，项目预算金额（招标控制价）为10000 万元，招标代理服务收费计算如下：</w:t>
            </w:r>
          </w:p>
          <w:p w14:paraId="3E0E8685">
            <w:pPr>
              <w:keepNext w:val="0"/>
              <w:keepLines w:val="0"/>
              <w:pageBreakBefore w:val="0"/>
              <w:widowControl/>
              <w:kinsoku w:val="0"/>
              <w:wordWrap/>
              <w:autoSpaceDN w:val="0"/>
              <w:bidi w:val="0"/>
              <w:adjustRightInd w:val="0"/>
              <w:snapToGrid w:val="0"/>
              <w:spacing w:line="360" w:lineRule="auto"/>
              <w:ind w:left="0" w:leftChars="0" w:right="0" w:rightChars="0"/>
              <w:jc w:val="left"/>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bidi="zh-CN"/>
              </w:rPr>
              <w:t xml:space="preserve"> </w:t>
            </w:r>
            <w:r>
              <w:rPr>
                <w:rFonts w:hint="eastAsia" w:ascii="宋体" w:hAnsi="宋体" w:eastAsia="宋体" w:cs="宋体"/>
                <w:color w:val="000000" w:themeColor="text1"/>
                <w:sz w:val="24"/>
                <w:szCs w:val="24"/>
                <w:highlight w:val="none"/>
                <w:lang w:val="zh-CN" w:bidi="zh-CN"/>
              </w:rPr>
              <w:t>100万元×1.2%=1.2万元</w:t>
            </w:r>
          </w:p>
          <w:p w14:paraId="0ADC5F48">
            <w:pPr>
              <w:keepNext w:val="0"/>
              <w:keepLines w:val="0"/>
              <w:pageBreakBefore w:val="0"/>
              <w:widowControl/>
              <w:kinsoku w:val="0"/>
              <w:wordWrap/>
              <w:autoSpaceDN w:val="0"/>
              <w:bidi w:val="0"/>
              <w:adjustRightInd w:val="0"/>
              <w:snapToGrid w:val="0"/>
              <w:spacing w:line="360" w:lineRule="auto"/>
              <w:ind w:left="0" w:leftChars="0" w:right="0" w:rightChars="0"/>
              <w:jc w:val="left"/>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（500-100）万元×1.0%=4万元</w:t>
            </w:r>
          </w:p>
          <w:p w14:paraId="70718E86">
            <w:pPr>
              <w:keepNext w:val="0"/>
              <w:keepLines w:val="0"/>
              <w:pageBreakBefore w:val="0"/>
              <w:widowControl/>
              <w:kinsoku w:val="0"/>
              <w:wordWrap/>
              <w:autoSpaceDN w:val="0"/>
              <w:bidi w:val="0"/>
              <w:adjustRightInd w:val="0"/>
              <w:snapToGrid w:val="0"/>
              <w:spacing w:line="360" w:lineRule="auto"/>
              <w:ind w:left="0" w:leftChars="0" w:right="0" w:rightChars="0"/>
              <w:jc w:val="left"/>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（1000-500）×0.7%=3.5万元</w:t>
            </w:r>
          </w:p>
          <w:p w14:paraId="3AE9F4E3">
            <w:pPr>
              <w:keepNext w:val="0"/>
              <w:keepLines w:val="0"/>
              <w:pageBreakBefore w:val="0"/>
              <w:widowControl/>
              <w:kinsoku w:val="0"/>
              <w:wordWrap/>
              <w:autoSpaceDN w:val="0"/>
              <w:bidi w:val="0"/>
              <w:adjustRightInd w:val="0"/>
              <w:snapToGrid w:val="0"/>
              <w:spacing w:line="360" w:lineRule="auto"/>
              <w:ind w:left="0" w:leftChars="0" w:right="0" w:rightChars="0"/>
              <w:jc w:val="left"/>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（5000-1000）×0.4%=16万元</w:t>
            </w:r>
          </w:p>
          <w:p w14:paraId="5575C17B">
            <w:pPr>
              <w:keepNext w:val="0"/>
              <w:keepLines w:val="0"/>
              <w:pageBreakBefore w:val="0"/>
              <w:widowControl/>
              <w:kinsoku w:val="0"/>
              <w:wordWrap/>
              <w:autoSpaceDN w:val="0"/>
              <w:bidi w:val="0"/>
              <w:adjustRightInd w:val="0"/>
              <w:snapToGrid w:val="0"/>
              <w:spacing w:line="360" w:lineRule="auto"/>
              <w:ind w:left="0" w:leftChars="0" w:right="0" w:rightChars="0"/>
              <w:jc w:val="left"/>
              <w:textAlignment w:val="center"/>
              <w:rPr>
                <w:rFonts w:hint="eastAsia" w:ascii="宋体" w:hAnsi="宋体" w:eastAsia="宋体" w:cs="宋体"/>
                <w:color w:val="000000" w:themeColor="text1"/>
                <w:sz w:val="24"/>
                <w:szCs w:val="24"/>
                <w:highlight w:val="none"/>
                <w:lang w:val="zh-CN" w:bidi="zh-CN"/>
              </w:rPr>
            </w:pPr>
            <w:r>
              <w:rPr>
                <w:rFonts w:hint="eastAsia" w:ascii="宋体" w:hAnsi="宋体" w:eastAsia="宋体" w:cs="宋体"/>
                <w:color w:val="000000" w:themeColor="text1"/>
                <w:sz w:val="24"/>
                <w:szCs w:val="24"/>
                <w:highlight w:val="none"/>
                <w:lang w:val="zh-CN" w:bidi="zh-CN"/>
              </w:rPr>
              <w:t>（10000-5000）×0.25%=12.5万元合计收费=1.2+4+3.5+16+12.5=37.2万元</w:t>
            </w:r>
          </w:p>
        </w:tc>
      </w:tr>
    </w:tbl>
    <w:p w14:paraId="7FE1540E">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b/>
          <w:bCs/>
          <w:color w:val="000000" w:themeColor="text1"/>
          <w:sz w:val="24"/>
          <w:szCs w:val="24"/>
          <w:highlight w:val="none"/>
          <w:lang w:val="en-US" w:eastAsia="zh-CN"/>
        </w:rPr>
        <w:t>14、需要补充的其他内容</w:t>
      </w:r>
    </w:p>
    <w:p w14:paraId="7EB17B4B">
      <w:pPr>
        <w:keepNext w:val="0"/>
        <w:keepLines w:val="0"/>
        <w:pageBreakBefore w:val="0"/>
        <w:widowControl/>
        <w:kinsoku w:val="0"/>
        <w:wordWrap/>
        <w:autoSpaceDE w:val="0"/>
        <w:autoSpaceDN w:val="0"/>
        <w:bidi w:val="0"/>
        <w:adjustRightInd w:val="0"/>
        <w:snapToGrid w:val="0"/>
        <w:spacing w:line="360" w:lineRule="auto"/>
        <w:ind w:left="0" w:leftChars="0" w:right="0" w:rightChars="0" w:firstLine="464" w:firstLineChars="200"/>
        <w:rPr>
          <w:rFonts w:hint="eastAsia" w:ascii="宋体" w:hAnsi="宋体" w:eastAsia="宋体" w:cs="宋体"/>
          <w:color w:val="000000" w:themeColor="text1"/>
          <w:spacing w:val="-4"/>
          <w:kern w:val="0"/>
          <w:sz w:val="24"/>
          <w:szCs w:val="24"/>
          <w:highlight w:val="none"/>
        </w:rPr>
      </w:pPr>
      <w:r>
        <w:rPr>
          <w:rFonts w:hint="eastAsia" w:ascii="宋体" w:hAnsi="宋体" w:eastAsia="宋体" w:cs="宋体"/>
          <w:color w:val="000000" w:themeColor="text1"/>
          <w:spacing w:val="-4"/>
          <w:kern w:val="0"/>
          <w:sz w:val="24"/>
          <w:szCs w:val="24"/>
          <w:highlight w:val="none"/>
          <w:lang w:val="en-US" w:eastAsia="zh-CN"/>
        </w:rPr>
        <w:t>14</w:t>
      </w:r>
      <w:r>
        <w:rPr>
          <w:rFonts w:hint="eastAsia" w:ascii="宋体" w:hAnsi="宋体" w:eastAsia="宋体" w:cs="宋体"/>
          <w:color w:val="000000" w:themeColor="text1"/>
          <w:spacing w:val="-4"/>
          <w:kern w:val="0"/>
          <w:sz w:val="24"/>
          <w:szCs w:val="24"/>
          <w:highlight w:val="none"/>
        </w:rPr>
        <w:t>.1采购人不承诺最低价中标，而且采购人没有义务解释说明未中标原因。</w:t>
      </w:r>
    </w:p>
    <w:p w14:paraId="25637B55">
      <w:pPr>
        <w:keepNext w:val="0"/>
        <w:keepLines w:val="0"/>
        <w:pageBreakBefore w:val="0"/>
        <w:widowControl/>
        <w:kinsoku w:val="0"/>
        <w:wordWrap/>
        <w:autoSpaceDE w:val="0"/>
        <w:autoSpaceDN w:val="0"/>
        <w:bidi w:val="0"/>
        <w:adjustRightInd w:val="0"/>
        <w:snapToGrid w:val="0"/>
        <w:spacing w:line="360" w:lineRule="auto"/>
        <w:ind w:left="0" w:leftChars="0" w:right="0" w:rightChars="0" w:firstLine="464" w:firstLineChars="200"/>
        <w:rPr>
          <w:rFonts w:hint="eastAsia" w:ascii="宋体" w:hAnsi="宋体" w:eastAsia="宋体" w:cs="宋体"/>
          <w:color w:val="000000" w:themeColor="text1"/>
          <w:spacing w:val="-4"/>
          <w:kern w:val="0"/>
          <w:sz w:val="24"/>
          <w:szCs w:val="24"/>
          <w:highlight w:val="none"/>
        </w:rPr>
      </w:pPr>
      <w:r>
        <w:rPr>
          <w:rFonts w:hint="eastAsia" w:ascii="宋体" w:hAnsi="宋体" w:eastAsia="宋体" w:cs="宋体"/>
          <w:color w:val="000000" w:themeColor="text1"/>
          <w:spacing w:val="-4"/>
          <w:kern w:val="0"/>
          <w:sz w:val="24"/>
          <w:szCs w:val="24"/>
          <w:highlight w:val="none"/>
          <w:lang w:val="en-US" w:eastAsia="zh-CN"/>
        </w:rPr>
        <w:t>14</w:t>
      </w:r>
      <w:r>
        <w:rPr>
          <w:rFonts w:hint="eastAsia" w:ascii="宋体" w:hAnsi="宋体" w:eastAsia="宋体" w:cs="宋体"/>
          <w:color w:val="000000" w:themeColor="text1"/>
          <w:spacing w:val="-4"/>
          <w:kern w:val="0"/>
          <w:sz w:val="24"/>
          <w:szCs w:val="24"/>
          <w:highlight w:val="none"/>
        </w:rPr>
        <w:t>.2其它未尽事宜，按国家有关法律、法规执行。</w:t>
      </w:r>
    </w:p>
    <w:p w14:paraId="7C537ABB">
      <w:pPr>
        <w:keepNext w:val="0"/>
        <w:keepLines w:val="0"/>
        <w:pageBreakBefore w:val="0"/>
        <w:widowControl/>
        <w:kinsoku w:val="0"/>
        <w:wordWrap/>
        <w:autoSpaceDE w:val="0"/>
        <w:autoSpaceDN w:val="0"/>
        <w:bidi w:val="0"/>
        <w:adjustRightInd w:val="0"/>
        <w:snapToGrid w:val="0"/>
        <w:spacing w:line="360" w:lineRule="auto"/>
        <w:ind w:left="0" w:leftChars="0" w:right="0" w:rightChars="0" w:firstLine="464" w:firstLineChars="200"/>
        <w:rPr>
          <w:rFonts w:hint="eastAsia" w:ascii="宋体" w:hAnsi="宋体" w:eastAsia="宋体" w:cs="宋体"/>
          <w:color w:val="000000" w:themeColor="text1"/>
          <w:spacing w:val="-4"/>
          <w:kern w:val="0"/>
          <w:sz w:val="24"/>
          <w:szCs w:val="24"/>
          <w:highlight w:val="none"/>
        </w:rPr>
      </w:pPr>
      <w:r>
        <w:rPr>
          <w:rFonts w:hint="eastAsia" w:ascii="宋体" w:hAnsi="宋体" w:eastAsia="宋体" w:cs="宋体"/>
          <w:color w:val="000000" w:themeColor="text1"/>
          <w:spacing w:val="-4"/>
          <w:kern w:val="0"/>
          <w:sz w:val="24"/>
          <w:szCs w:val="24"/>
          <w:highlight w:val="none"/>
          <w:lang w:val="en-US" w:eastAsia="zh-CN"/>
        </w:rPr>
        <w:t>14</w:t>
      </w:r>
      <w:r>
        <w:rPr>
          <w:rFonts w:hint="eastAsia" w:ascii="宋体" w:hAnsi="宋体" w:eastAsia="宋体" w:cs="宋体"/>
          <w:color w:val="000000" w:themeColor="text1"/>
          <w:spacing w:val="-4"/>
          <w:kern w:val="0"/>
          <w:sz w:val="24"/>
          <w:szCs w:val="24"/>
          <w:highlight w:val="none"/>
        </w:rPr>
        <w:t>.3本招标文件解释权归采购人。</w:t>
      </w:r>
    </w:p>
    <w:p w14:paraId="46274CA9">
      <w:pPr>
        <w:keepNext w:val="0"/>
        <w:keepLines w:val="0"/>
        <w:pageBreakBefore w:val="0"/>
        <w:widowControl/>
        <w:kinsoku w:val="0"/>
        <w:wordWrap/>
        <w:autoSpaceDE w:val="0"/>
        <w:autoSpaceDN w:val="0"/>
        <w:bidi w:val="0"/>
        <w:adjustRightInd w:val="0"/>
        <w:snapToGrid w:val="0"/>
        <w:spacing w:line="360" w:lineRule="auto"/>
        <w:ind w:left="0" w:leftChars="0" w:right="0" w:rightChars="0" w:firstLine="464" w:firstLineChars="200"/>
        <w:rPr>
          <w:rFonts w:hint="eastAsia" w:ascii="宋体" w:hAnsi="宋体" w:eastAsia="宋体" w:cs="宋体"/>
          <w:color w:val="000000" w:themeColor="text1"/>
          <w:spacing w:val="-4"/>
          <w:kern w:val="0"/>
          <w:sz w:val="24"/>
          <w:szCs w:val="24"/>
          <w:highlight w:val="none"/>
        </w:rPr>
      </w:pPr>
      <w:r>
        <w:rPr>
          <w:rFonts w:hint="eastAsia" w:ascii="宋体" w:hAnsi="宋体" w:eastAsia="宋体" w:cs="宋体"/>
          <w:color w:val="000000" w:themeColor="text1"/>
          <w:spacing w:val="-4"/>
          <w:kern w:val="0"/>
          <w:sz w:val="24"/>
          <w:szCs w:val="24"/>
          <w:highlight w:val="none"/>
          <w:lang w:val="en-US" w:eastAsia="zh-CN"/>
        </w:rPr>
        <w:t>14</w:t>
      </w:r>
      <w:r>
        <w:rPr>
          <w:rFonts w:hint="eastAsia" w:ascii="宋体" w:hAnsi="宋体" w:eastAsia="宋体" w:cs="宋体"/>
          <w:color w:val="000000" w:themeColor="text1"/>
          <w:spacing w:val="-4"/>
          <w:kern w:val="0"/>
          <w:sz w:val="24"/>
          <w:szCs w:val="24"/>
          <w:highlight w:val="none"/>
        </w:rPr>
        <w:t>.4本项目落实节能环保、中小微型企业扶持等相关政府采购政策，本项目支持河南省政府采购合同融资政策。</w:t>
      </w:r>
    </w:p>
    <w:p w14:paraId="5E3C51B1">
      <w:pPr>
        <w:keepNext w:val="0"/>
        <w:keepLines w:val="0"/>
        <w:pageBreakBefore w:val="0"/>
        <w:widowControl/>
        <w:kinsoku w:val="0"/>
        <w:wordWrap/>
        <w:autoSpaceDE w:val="0"/>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p>
    <w:bookmarkEnd w:id="16"/>
    <w:bookmarkEnd w:id="17"/>
    <w:p w14:paraId="00C373A0">
      <w:pPr>
        <w:keepNext w:val="0"/>
        <w:keepLines w:val="0"/>
        <w:pageBreakBefore w:val="0"/>
        <w:widowControl/>
        <w:kinsoku w:val="0"/>
        <w:wordWrap/>
        <w:bidi w:val="0"/>
        <w:adjustRightInd w:val="0"/>
        <w:snapToGrid w:val="0"/>
        <w:spacing w:line="360" w:lineRule="auto"/>
        <w:ind w:left="0" w:leftChars="0" w:right="0" w:rightChars="0" w:firstLine="405" w:firstLineChars="168"/>
        <w:rPr>
          <w:rFonts w:hint="eastAsia" w:ascii="宋体" w:hAnsi="宋体" w:eastAsia="宋体" w:cs="宋体"/>
          <w:b/>
          <w:sz w:val="24"/>
          <w:szCs w:val="24"/>
          <w:highlight w:val="none"/>
        </w:rPr>
      </w:pPr>
    </w:p>
    <w:p w14:paraId="107E7CC4">
      <w:pPr>
        <w:keepNext w:val="0"/>
        <w:keepLines w:val="0"/>
        <w:pageBreakBefore w:val="0"/>
        <w:widowControl/>
        <w:kinsoku w:val="0"/>
        <w:wordWrap/>
        <w:bidi w:val="0"/>
        <w:adjustRightInd w:val="0"/>
        <w:snapToGrid w:val="0"/>
        <w:spacing w:line="360" w:lineRule="auto"/>
        <w:ind w:left="0" w:leftChars="0" w:right="0" w:rightChars="0" w:firstLine="405" w:firstLineChars="168"/>
        <w:rPr>
          <w:rFonts w:hint="eastAsia" w:ascii="宋体" w:hAnsi="宋体" w:eastAsia="宋体" w:cs="宋体"/>
          <w:b/>
          <w:sz w:val="24"/>
          <w:szCs w:val="24"/>
          <w:highlight w:val="none"/>
        </w:rPr>
      </w:pPr>
    </w:p>
    <w:p w14:paraId="1B47EE7C">
      <w:pPr>
        <w:keepNext w:val="0"/>
        <w:keepLines w:val="0"/>
        <w:pageBreakBefore w:val="0"/>
        <w:widowControl/>
        <w:kinsoku w:val="0"/>
        <w:wordWrap/>
        <w:bidi w:val="0"/>
        <w:adjustRightInd w:val="0"/>
        <w:snapToGrid w:val="0"/>
        <w:spacing w:line="360" w:lineRule="auto"/>
        <w:ind w:left="0" w:leftChars="0" w:right="0" w:rightChars="0" w:firstLine="405" w:firstLineChars="168"/>
        <w:rPr>
          <w:rFonts w:hint="eastAsia" w:ascii="宋体" w:hAnsi="宋体" w:eastAsia="宋体" w:cs="宋体"/>
          <w:b/>
          <w:sz w:val="24"/>
          <w:szCs w:val="24"/>
          <w:highlight w:val="none"/>
        </w:rPr>
      </w:pPr>
    </w:p>
    <w:p w14:paraId="4290081B">
      <w:pPr>
        <w:keepNext w:val="0"/>
        <w:keepLines w:val="0"/>
        <w:pageBreakBefore w:val="0"/>
        <w:widowControl/>
        <w:kinsoku w:val="0"/>
        <w:wordWrap/>
        <w:bidi w:val="0"/>
        <w:adjustRightInd w:val="0"/>
        <w:snapToGrid w:val="0"/>
        <w:spacing w:line="360" w:lineRule="auto"/>
        <w:ind w:left="0" w:leftChars="0" w:right="0" w:rightChars="0" w:firstLine="405" w:firstLineChars="168"/>
        <w:rPr>
          <w:rFonts w:hint="eastAsia" w:ascii="宋体" w:hAnsi="宋体" w:eastAsia="宋体" w:cs="宋体"/>
          <w:b/>
          <w:sz w:val="24"/>
          <w:szCs w:val="24"/>
          <w:highlight w:val="none"/>
        </w:rPr>
      </w:pPr>
    </w:p>
    <w:p w14:paraId="7F31DEBC">
      <w:pPr>
        <w:keepNext w:val="0"/>
        <w:keepLines w:val="0"/>
        <w:pageBreakBefore w:val="0"/>
        <w:widowControl/>
        <w:kinsoku w:val="0"/>
        <w:wordWrap/>
        <w:bidi w:val="0"/>
        <w:adjustRightInd w:val="0"/>
        <w:snapToGrid w:val="0"/>
        <w:spacing w:line="360" w:lineRule="auto"/>
        <w:ind w:left="0" w:leftChars="0" w:right="0" w:rightChars="0" w:firstLine="405" w:firstLineChars="168"/>
        <w:rPr>
          <w:rFonts w:hint="eastAsia" w:ascii="宋体" w:hAnsi="宋体" w:eastAsia="宋体" w:cs="宋体"/>
          <w:b/>
          <w:sz w:val="24"/>
          <w:szCs w:val="24"/>
          <w:highlight w:val="none"/>
        </w:rPr>
      </w:pPr>
    </w:p>
    <w:p w14:paraId="1F7F26D5">
      <w:pPr>
        <w:keepNext w:val="0"/>
        <w:keepLines w:val="0"/>
        <w:pageBreakBefore w:val="0"/>
        <w:widowControl/>
        <w:kinsoku w:val="0"/>
        <w:wordWrap/>
        <w:bidi w:val="0"/>
        <w:adjustRightInd w:val="0"/>
        <w:snapToGrid w:val="0"/>
        <w:spacing w:line="360" w:lineRule="auto"/>
        <w:ind w:left="0" w:leftChars="0" w:right="0" w:rightChars="0" w:firstLine="405" w:firstLineChars="168"/>
        <w:rPr>
          <w:rFonts w:hint="eastAsia" w:ascii="宋体" w:hAnsi="宋体" w:eastAsia="宋体" w:cs="宋体"/>
          <w:b/>
          <w:sz w:val="24"/>
          <w:szCs w:val="24"/>
          <w:highlight w:val="none"/>
        </w:rPr>
      </w:pPr>
    </w:p>
    <w:p w14:paraId="16963559">
      <w:pPr>
        <w:keepNext w:val="0"/>
        <w:keepLines w:val="0"/>
        <w:pageBreakBefore w:val="0"/>
        <w:widowControl/>
        <w:kinsoku w:val="0"/>
        <w:wordWrap/>
        <w:bidi w:val="0"/>
        <w:adjustRightInd w:val="0"/>
        <w:snapToGrid w:val="0"/>
        <w:spacing w:line="360" w:lineRule="auto"/>
        <w:ind w:left="0" w:leftChars="0" w:right="0" w:rightChars="0" w:firstLine="405" w:firstLineChars="168"/>
        <w:rPr>
          <w:rFonts w:hint="eastAsia" w:ascii="宋体" w:hAnsi="宋体" w:eastAsia="宋体" w:cs="宋体"/>
          <w:b/>
          <w:sz w:val="24"/>
          <w:szCs w:val="24"/>
          <w:highlight w:val="none"/>
        </w:rPr>
      </w:pPr>
    </w:p>
    <w:p w14:paraId="1D1069A9">
      <w:pPr>
        <w:keepNext w:val="0"/>
        <w:keepLines w:val="0"/>
        <w:pageBreakBefore w:val="0"/>
        <w:widowControl/>
        <w:kinsoku w:val="0"/>
        <w:wordWrap/>
        <w:bidi w:val="0"/>
        <w:adjustRightInd w:val="0"/>
        <w:snapToGrid w:val="0"/>
        <w:spacing w:line="360" w:lineRule="auto"/>
        <w:ind w:left="0" w:leftChars="0" w:right="0" w:rightChars="0" w:firstLine="405" w:firstLineChars="168"/>
        <w:rPr>
          <w:rFonts w:hint="eastAsia" w:ascii="宋体" w:hAnsi="宋体" w:eastAsia="宋体" w:cs="宋体"/>
          <w:b/>
          <w:sz w:val="24"/>
          <w:szCs w:val="24"/>
          <w:highlight w:val="none"/>
        </w:rPr>
      </w:pPr>
    </w:p>
    <w:p w14:paraId="7D6C6605">
      <w:pPr>
        <w:keepNext w:val="0"/>
        <w:keepLines w:val="0"/>
        <w:pageBreakBefore w:val="0"/>
        <w:widowControl/>
        <w:kinsoku w:val="0"/>
        <w:wordWrap/>
        <w:bidi w:val="0"/>
        <w:adjustRightInd w:val="0"/>
        <w:snapToGrid w:val="0"/>
        <w:spacing w:line="360" w:lineRule="auto"/>
        <w:ind w:right="0" w:rightChars="0"/>
        <w:rPr>
          <w:rFonts w:hint="eastAsia" w:ascii="宋体" w:hAnsi="宋体" w:eastAsia="宋体" w:cs="宋体"/>
          <w:b/>
          <w:sz w:val="24"/>
          <w:szCs w:val="24"/>
          <w:highlight w:val="none"/>
        </w:rPr>
      </w:pPr>
      <w:r>
        <w:rPr>
          <w:rFonts w:hint="eastAsia" w:ascii="宋体" w:hAnsi="宋体" w:eastAsia="宋体" w:cs="宋体"/>
          <w:b/>
          <w:sz w:val="24"/>
          <w:szCs w:val="24"/>
          <w:highlight w:val="none"/>
        </w:rPr>
        <w:t>附件1：质疑函范本</w:t>
      </w:r>
    </w:p>
    <w:p w14:paraId="275B8D38">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质疑函范本</w:t>
      </w:r>
    </w:p>
    <w:p w14:paraId="4C8F8B18">
      <w:pPr>
        <w:keepNext w:val="0"/>
        <w:keepLines w:val="0"/>
        <w:pageBreakBefore w:val="0"/>
        <w:widowControl/>
        <w:kinsoku w:val="0"/>
        <w:wordWrap/>
        <w:bidi w:val="0"/>
        <w:adjustRightInd w:val="0"/>
        <w:snapToGrid w:val="0"/>
        <w:spacing w:line="360" w:lineRule="auto"/>
        <w:ind w:left="0" w:leftChars="0" w:right="0" w:rightChars="0" w:firstLine="480" w:firstLineChars="200"/>
        <w:outlineLvl w:val="3"/>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一、质疑供应商基本信息</w:t>
      </w:r>
    </w:p>
    <w:p w14:paraId="16E5AB87">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质疑供应商：                                        </w:t>
      </w:r>
    </w:p>
    <w:p w14:paraId="27DB305C">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地址：                          邮编：                                 </w:t>
      </w:r>
    </w:p>
    <w:p w14:paraId="6B38A83B">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联系人：                        联系电话：                              </w:t>
      </w:r>
    </w:p>
    <w:p w14:paraId="5706A7AF">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授权代表：                                          </w:t>
      </w:r>
    </w:p>
    <w:p w14:paraId="40167B1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联系电话：                                            </w:t>
      </w:r>
    </w:p>
    <w:p w14:paraId="21C71CB6">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地址：                         邮编：                                       </w:t>
      </w:r>
    </w:p>
    <w:p w14:paraId="5EB2A504">
      <w:pPr>
        <w:keepNext w:val="0"/>
        <w:keepLines w:val="0"/>
        <w:pageBreakBefore w:val="0"/>
        <w:widowControl/>
        <w:kinsoku w:val="0"/>
        <w:wordWrap/>
        <w:bidi w:val="0"/>
        <w:adjustRightInd w:val="0"/>
        <w:snapToGrid w:val="0"/>
        <w:spacing w:line="360" w:lineRule="auto"/>
        <w:ind w:left="0" w:leftChars="0" w:right="0" w:rightChars="0" w:firstLine="480" w:firstLineChars="200"/>
        <w:outlineLvl w:val="3"/>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二、质疑项目基本情况</w:t>
      </w:r>
    </w:p>
    <w:p w14:paraId="0AC347E6">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质疑项目的名称：                                      </w:t>
      </w:r>
    </w:p>
    <w:p w14:paraId="3C4DBD22">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质疑项目的编号：               包号：                 </w:t>
      </w:r>
    </w:p>
    <w:p w14:paraId="32259BB2">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招标人名称：                                         </w:t>
      </w:r>
    </w:p>
    <w:p w14:paraId="1D66A50F">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招标文件获取日期：                                           </w:t>
      </w:r>
    </w:p>
    <w:p w14:paraId="03EDD92A">
      <w:pPr>
        <w:keepNext w:val="0"/>
        <w:keepLines w:val="0"/>
        <w:pageBreakBefore w:val="0"/>
        <w:widowControl/>
        <w:kinsoku w:val="0"/>
        <w:wordWrap/>
        <w:bidi w:val="0"/>
        <w:adjustRightInd w:val="0"/>
        <w:snapToGrid w:val="0"/>
        <w:spacing w:line="360" w:lineRule="auto"/>
        <w:ind w:left="0" w:leftChars="0" w:right="0" w:rightChars="0" w:firstLine="480" w:firstLineChars="200"/>
        <w:outlineLvl w:val="3"/>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三、质疑事项具体内容</w:t>
      </w:r>
    </w:p>
    <w:p w14:paraId="259803D2">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质疑事项1：                                         </w:t>
      </w:r>
    </w:p>
    <w:p w14:paraId="45096B79">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事实依据：                                          </w:t>
      </w:r>
    </w:p>
    <w:p w14:paraId="7E858B72">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kern w:val="0"/>
          <w:sz w:val="24"/>
          <w:szCs w:val="24"/>
          <w:highlight w:val="none"/>
        </w:rPr>
      </w:pPr>
    </w:p>
    <w:p w14:paraId="560DB0B5">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法律依据：                                          </w:t>
      </w:r>
    </w:p>
    <w:p w14:paraId="24BBEB4A">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kern w:val="0"/>
          <w:sz w:val="24"/>
          <w:szCs w:val="24"/>
          <w:highlight w:val="none"/>
        </w:rPr>
      </w:pPr>
    </w:p>
    <w:p w14:paraId="61CD8411">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质疑事项2</w:t>
      </w:r>
    </w:p>
    <w:p w14:paraId="1FB805EC">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184247DD">
      <w:pPr>
        <w:keepNext w:val="0"/>
        <w:keepLines w:val="0"/>
        <w:pageBreakBefore w:val="0"/>
        <w:widowControl/>
        <w:kinsoku w:val="0"/>
        <w:wordWrap/>
        <w:bidi w:val="0"/>
        <w:adjustRightInd w:val="0"/>
        <w:snapToGrid w:val="0"/>
        <w:spacing w:line="360" w:lineRule="auto"/>
        <w:ind w:left="0" w:leftChars="0" w:right="0" w:rightChars="0" w:firstLine="480" w:firstLineChars="200"/>
        <w:outlineLvl w:val="3"/>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四、与质疑事项相关的质疑请求</w:t>
      </w:r>
    </w:p>
    <w:p w14:paraId="5B3005DE">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请求：                                               </w:t>
      </w:r>
    </w:p>
    <w:p w14:paraId="6DFF7D56">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签字(签章)：                   公章：                      </w:t>
      </w:r>
    </w:p>
    <w:p w14:paraId="7E87EC7E">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p w14:paraId="3CC4A893">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728C4024">
      <w:pPr>
        <w:keepNext w:val="0"/>
        <w:keepLines w:val="0"/>
        <w:pageBreakBefore w:val="0"/>
        <w:widowControl/>
        <w:kinsoku w:val="0"/>
        <w:wordWrap/>
        <w:bidi w:val="0"/>
        <w:adjustRightInd w:val="0"/>
        <w:snapToGrid w:val="0"/>
        <w:spacing w:line="360" w:lineRule="auto"/>
        <w:ind w:left="0" w:leftChars="0" w:right="0" w:rightChars="0"/>
        <w:jc w:val="center"/>
        <w:outlineLvl w:val="0"/>
        <w:rPr>
          <w:rFonts w:hint="eastAsia" w:ascii="宋体" w:hAnsi="宋体" w:eastAsia="宋体" w:cs="宋体"/>
          <w:b/>
          <w:bCs/>
          <w:color w:val="auto"/>
          <w:sz w:val="32"/>
          <w:szCs w:val="32"/>
          <w:highlight w:val="none"/>
        </w:rPr>
      </w:pPr>
      <w:bookmarkStart w:id="40" w:name="_Toc11929"/>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章  评审标准</w:t>
      </w:r>
      <w:bookmarkEnd w:id="40"/>
    </w:p>
    <w:p w14:paraId="582A31A6">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bookmarkStart w:id="41" w:name="OLE_LINK2"/>
      <w:bookmarkEnd w:id="41"/>
      <w:r>
        <w:rPr>
          <w:rFonts w:hint="eastAsia" w:ascii="宋体" w:hAnsi="宋体" w:eastAsia="宋体" w:cs="宋体"/>
          <w:color w:val="auto"/>
          <w:sz w:val="24"/>
          <w:szCs w:val="24"/>
          <w:highlight w:val="none"/>
        </w:rPr>
        <w:t>一、初步审查详见下表</w:t>
      </w:r>
    </w:p>
    <w:tbl>
      <w:tblPr>
        <w:tblStyle w:val="28"/>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38"/>
        <w:gridCol w:w="1569"/>
        <w:gridCol w:w="6410"/>
      </w:tblGrid>
      <w:tr w14:paraId="137D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538" w:type="dxa"/>
            <w:gridSpan w:val="2"/>
            <w:tcBorders>
              <w:top w:val="single" w:color="auto" w:sz="4" w:space="0"/>
              <w:left w:val="single" w:color="auto" w:sz="4" w:space="0"/>
              <w:bottom w:val="single" w:color="auto" w:sz="4" w:space="0"/>
              <w:right w:val="single" w:color="auto" w:sz="4" w:space="0"/>
            </w:tcBorders>
            <w:vAlign w:val="center"/>
          </w:tcPr>
          <w:p w14:paraId="192B75FB">
            <w:pPr>
              <w:keepNext w:val="0"/>
              <w:keepLines w:val="0"/>
              <w:pageBreakBefore w:val="0"/>
              <w:widowControl/>
              <w:kinsoku w:val="0"/>
              <w:wordWrap/>
              <w:autoSpaceDE w:val="0"/>
              <w:autoSpaceDN w:val="0"/>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1569" w:type="dxa"/>
            <w:tcBorders>
              <w:top w:val="single" w:color="auto" w:sz="4" w:space="0"/>
              <w:left w:val="nil"/>
              <w:bottom w:val="single" w:color="auto" w:sz="4" w:space="0"/>
              <w:right w:val="single" w:color="auto" w:sz="4" w:space="0"/>
            </w:tcBorders>
            <w:vAlign w:val="center"/>
          </w:tcPr>
          <w:p w14:paraId="2006E171">
            <w:pPr>
              <w:keepNext w:val="0"/>
              <w:keepLines w:val="0"/>
              <w:pageBreakBefore w:val="0"/>
              <w:widowControl/>
              <w:kinsoku w:val="0"/>
              <w:wordWrap/>
              <w:autoSpaceDE w:val="0"/>
              <w:autoSpaceDN w:val="0"/>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6410" w:type="dxa"/>
            <w:tcBorders>
              <w:top w:val="single" w:color="auto" w:sz="4" w:space="0"/>
              <w:left w:val="nil"/>
              <w:bottom w:val="single" w:color="auto" w:sz="4" w:space="0"/>
              <w:right w:val="single" w:color="auto" w:sz="4" w:space="0"/>
            </w:tcBorders>
            <w:vAlign w:val="center"/>
          </w:tcPr>
          <w:p w14:paraId="32D6EE1D">
            <w:pPr>
              <w:keepNext w:val="0"/>
              <w:keepLines w:val="0"/>
              <w:pageBreakBefore w:val="0"/>
              <w:widowControl/>
              <w:kinsoku w:val="0"/>
              <w:wordWrap/>
              <w:autoSpaceDE w:val="0"/>
              <w:autoSpaceDN w:val="0"/>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r>
      <w:tr w14:paraId="30C2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00" w:type="dxa"/>
            <w:vMerge w:val="restart"/>
            <w:tcBorders>
              <w:top w:val="nil"/>
              <w:left w:val="single" w:color="auto" w:sz="4" w:space="0"/>
              <w:bottom w:val="single" w:color="auto" w:sz="4" w:space="0"/>
              <w:right w:val="single" w:color="auto" w:sz="4" w:space="0"/>
            </w:tcBorders>
            <w:vAlign w:val="center"/>
          </w:tcPr>
          <w:p w14:paraId="51737D22">
            <w:pPr>
              <w:keepNext w:val="0"/>
              <w:keepLines w:val="0"/>
              <w:pageBreakBefore w:val="0"/>
              <w:widowControl/>
              <w:kinsoku w:val="0"/>
              <w:wordWrap/>
              <w:autoSpaceDE w:val="0"/>
              <w:autoSpaceDN w:val="0"/>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938" w:type="dxa"/>
            <w:vMerge w:val="restart"/>
            <w:tcBorders>
              <w:top w:val="nil"/>
              <w:left w:val="nil"/>
              <w:bottom w:val="single" w:color="auto" w:sz="4" w:space="0"/>
              <w:right w:val="single" w:color="auto" w:sz="4" w:space="0"/>
            </w:tcBorders>
            <w:vAlign w:val="center"/>
          </w:tcPr>
          <w:p w14:paraId="695EA5E3">
            <w:pPr>
              <w:keepNext w:val="0"/>
              <w:keepLines w:val="0"/>
              <w:pageBreakBefore w:val="0"/>
              <w:widowControl/>
              <w:kinsoku w:val="0"/>
              <w:wordWrap/>
              <w:autoSpaceDE w:val="0"/>
              <w:autoSpaceDN w:val="0"/>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资格评</w:t>
            </w:r>
          </w:p>
          <w:p w14:paraId="5FA2E2D7">
            <w:pPr>
              <w:keepNext w:val="0"/>
              <w:keepLines w:val="0"/>
              <w:pageBreakBefore w:val="0"/>
              <w:widowControl/>
              <w:kinsoku w:val="0"/>
              <w:wordWrap/>
              <w:autoSpaceDE w:val="0"/>
              <w:autoSpaceDN w:val="0"/>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审标准</w:t>
            </w:r>
          </w:p>
        </w:tc>
        <w:tc>
          <w:tcPr>
            <w:tcW w:w="1569" w:type="dxa"/>
            <w:tcBorders>
              <w:top w:val="single" w:color="auto" w:sz="4" w:space="0"/>
              <w:left w:val="nil"/>
              <w:bottom w:val="single" w:color="auto" w:sz="4" w:space="0"/>
              <w:right w:val="single" w:color="auto" w:sz="4" w:space="0"/>
            </w:tcBorders>
            <w:vAlign w:val="center"/>
          </w:tcPr>
          <w:p w14:paraId="593FFCBB">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p>
        </w:tc>
        <w:tc>
          <w:tcPr>
            <w:tcW w:w="6410" w:type="dxa"/>
            <w:tcBorders>
              <w:top w:val="single" w:color="auto" w:sz="4" w:space="0"/>
              <w:left w:val="nil"/>
              <w:bottom w:val="single" w:color="auto" w:sz="4" w:space="0"/>
              <w:right w:val="single" w:color="auto" w:sz="4" w:space="0"/>
            </w:tcBorders>
            <w:vAlign w:val="center"/>
          </w:tcPr>
          <w:p w14:paraId="7DA7EE68">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有效的营业执照</w:t>
            </w:r>
          </w:p>
        </w:tc>
      </w:tr>
      <w:tr w14:paraId="50CF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00" w:type="dxa"/>
            <w:vMerge w:val="continue"/>
            <w:tcBorders>
              <w:top w:val="nil"/>
              <w:left w:val="single" w:color="auto" w:sz="4" w:space="0"/>
              <w:bottom w:val="single" w:color="auto" w:sz="4" w:space="0"/>
              <w:right w:val="single" w:color="auto" w:sz="4" w:space="0"/>
            </w:tcBorders>
            <w:vAlign w:val="center"/>
          </w:tcPr>
          <w:p w14:paraId="24B61F15">
            <w:pPr>
              <w:keepNext w:val="0"/>
              <w:keepLines w:val="0"/>
              <w:pageBreakBefore w:val="0"/>
              <w:widowControl/>
              <w:kinsoku w:val="0"/>
              <w:wordWrap/>
              <w:autoSpaceDE w:val="0"/>
              <w:autoSpaceDN w:val="0"/>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p>
        </w:tc>
        <w:tc>
          <w:tcPr>
            <w:tcW w:w="938" w:type="dxa"/>
            <w:vMerge w:val="continue"/>
            <w:tcBorders>
              <w:top w:val="nil"/>
              <w:left w:val="nil"/>
              <w:bottom w:val="single" w:color="auto" w:sz="4" w:space="0"/>
              <w:right w:val="single" w:color="auto" w:sz="4" w:space="0"/>
            </w:tcBorders>
            <w:vAlign w:val="center"/>
          </w:tcPr>
          <w:p w14:paraId="37089FE3">
            <w:pPr>
              <w:keepNext w:val="0"/>
              <w:keepLines w:val="0"/>
              <w:pageBreakBefore w:val="0"/>
              <w:widowControl/>
              <w:kinsoku w:val="0"/>
              <w:wordWrap/>
              <w:autoSpaceDE w:val="0"/>
              <w:autoSpaceDN w:val="0"/>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p>
        </w:tc>
        <w:tc>
          <w:tcPr>
            <w:tcW w:w="1569" w:type="dxa"/>
            <w:tcBorders>
              <w:top w:val="single" w:color="auto" w:sz="4" w:space="0"/>
              <w:left w:val="nil"/>
              <w:bottom w:val="single" w:color="auto" w:sz="4" w:space="0"/>
              <w:right w:val="single" w:color="auto" w:sz="4" w:space="0"/>
            </w:tcBorders>
            <w:vAlign w:val="center"/>
          </w:tcPr>
          <w:p w14:paraId="711D76D6">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资质要求</w:t>
            </w:r>
          </w:p>
        </w:tc>
        <w:tc>
          <w:tcPr>
            <w:tcW w:w="6410" w:type="dxa"/>
            <w:tcBorders>
              <w:top w:val="single" w:color="auto" w:sz="4" w:space="0"/>
              <w:left w:val="nil"/>
              <w:bottom w:val="single" w:color="auto" w:sz="4" w:space="0"/>
              <w:right w:val="single" w:color="auto" w:sz="4" w:space="0"/>
            </w:tcBorders>
            <w:vAlign w:val="center"/>
          </w:tcPr>
          <w:p w14:paraId="022E9C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right="0" w:rightChars="0"/>
              <w:jc w:val="left"/>
              <w:rPr>
                <w:rFonts w:hint="eastAsia" w:ascii="宋体" w:hAnsi="宋体" w:eastAsia="宋体" w:cs="宋体"/>
                <w:color w:val="0C0C0C"/>
                <w:kern w:val="0"/>
                <w:sz w:val="24"/>
                <w:szCs w:val="24"/>
                <w:highlight w:val="none"/>
                <w:shd w:val="clear" w:fill="FFFFFF"/>
                <w:lang w:val="en-US" w:eastAsia="zh-CN" w:bidi="ar"/>
              </w:rPr>
            </w:pPr>
            <w:r>
              <w:rPr>
                <w:rFonts w:hint="eastAsia" w:ascii="宋体" w:hAnsi="宋体" w:eastAsia="宋体" w:cs="宋体"/>
                <w:color w:val="0C0C0C"/>
                <w:kern w:val="0"/>
                <w:sz w:val="24"/>
                <w:szCs w:val="24"/>
                <w:highlight w:val="none"/>
                <w:shd w:val="clear" w:fill="FFFFFF"/>
                <w:lang w:val="en-US" w:eastAsia="zh-CN" w:bidi="ar"/>
              </w:rPr>
              <w:t>一标段供应商为生产商的需提供农药生产许可证(登记对象必须包含</w:t>
            </w:r>
            <w:r>
              <w:rPr>
                <w:rFonts w:hint="eastAsia" w:ascii="宋体" w:hAnsi="宋体" w:cs="宋体"/>
                <w:color w:val="0C0C0C"/>
                <w:kern w:val="0"/>
                <w:sz w:val="24"/>
                <w:szCs w:val="24"/>
                <w:highlight w:val="none"/>
                <w:shd w:val="clear" w:fill="FFFFFF"/>
                <w:lang w:val="en-US" w:eastAsia="zh-CN" w:bidi="ar"/>
              </w:rPr>
              <w:t>玉米</w:t>
            </w:r>
            <w:r>
              <w:rPr>
                <w:rFonts w:hint="eastAsia" w:ascii="宋体" w:hAnsi="宋体" w:eastAsia="宋体" w:cs="宋体"/>
                <w:color w:val="0C0C0C"/>
                <w:kern w:val="0"/>
                <w:sz w:val="24"/>
                <w:szCs w:val="24"/>
                <w:highlight w:val="none"/>
                <w:shd w:val="clear" w:fill="FFFFFF"/>
                <w:lang w:val="en-US" w:eastAsia="zh-CN" w:bidi="ar"/>
              </w:rPr>
              <w:t>)，若供应商为经销商的需提供农药经营许可证；所提供的农药产品须 “三证”（生产许可证或生产批准证、农药登记证(登记对象必须包含</w:t>
            </w:r>
            <w:r>
              <w:rPr>
                <w:rFonts w:hint="eastAsia" w:ascii="宋体" w:hAnsi="宋体" w:cs="宋体"/>
                <w:color w:val="0C0C0C"/>
                <w:kern w:val="0"/>
                <w:sz w:val="24"/>
                <w:szCs w:val="24"/>
                <w:highlight w:val="none"/>
                <w:shd w:val="clear" w:fill="FFFFFF"/>
                <w:lang w:val="en-US" w:eastAsia="zh-CN" w:bidi="ar"/>
              </w:rPr>
              <w:t>玉米</w:t>
            </w:r>
            <w:r>
              <w:rPr>
                <w:rFonts w:hint="eastAsia" w:ascii="宋体" w:hAnsi="宋体" w:eastAsia="宋体" w:cs="宋体"/>
                <w:color w:val="0C0C0C"/>
                <w:kern w:val="0"/>
                <w:sz w:val="24"/>
                <w:szCs w:val="24"/>
                <w:highlight w:val="none"/>
                <w:shd w:val="clear" w:fill="FFFFFF"/>
                <w:lang w:val="en-US" w:eastAsia="zh-CN" w:bidi="ar"/>
              </w:rPr>
              <w:t>)、产品标准证）齐全，并在有效期内。</w:t>
            </w:r>
          </w:p>
          <w:p w14:paraId="66EB59A2">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0C0C0C"/>
                <w:kern w:val="0"/>
                <w:sz w:val="24"/>
                <w:szCs w:val="24"/>
                <w:highlight w:val="none"/>
                <w:shd w:val="clear" w:fill="FFFFFF"/>
                <w:lang w:val="en-US" w:eastAsia="zh-CN" w:bidi="ar"/>
              </w:rPr>
              <w:t>二标段</w:t>
            </w:r>
            <w:r>
              <w:rPr>
                <w:rFonts w:hint="eastAsia" w:ascii="宋体" w:hAnsi="宋体" w:eastAsia="宋体" w:cs="宋体"/>
                <w:sz w:val="24"/>
                <w:szCs w:val="24"/>
                <w:highlight w:val="none"/>
                <w:u w:val="none"/>
                <w:lang w:eastAsia="zh-CN"/>
              </w:rPr>
              <w:t>供应商</w:t>
            </w:r>
            <w:r>
              <w:rPr>
                <w:rFonts w:hint="eastAsia" w:ascii="宋体" w:hAnsi="宋体" w:eastAsia="宋体" w:cs="宋体"/>
                <w:color w:val="333333"/>
                <w:kern w:val="0"/>
                <w:sz w:val="24"/>
                <w:szCs w:val="24"/>
                <w:highlight w:val="none"/>
                <w:lang w:val="en-US" w:eastAsia="zh-CN" w:bidi="ar"/>
              </w:rPr>
              <w:t>需具有满足本次病虫害统防的植保飞行器作业能力（需提供植保无人机等飞行器相关作业能力证明或承诺函）</w:t>
            </w:r>
          </w:p>
        </w:tc>
      </w:tr>
      <w:tr w14:paraId="67D08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600" w:type="dxa"/>
            <w:vMerge w:val="continue"/>
            <w:tcBorders>
              <w:top w:val="nil"/>
              <w:left w:val="single" w:color="auto" w:sz="4" w:space="0"/>
              <w:bottom w:val="single" w:color="auto" w:sz="4" w:space="0"/>
              <w:right w:val="single" w:color="auto" w:sz="4" w:space="0"/>
            </w:tcBorders>
            <w:vAlign w:val="center"/>
          </w:tcPr>
          <w:p w14:paraId="57FA36D6">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tc>
        <w:tc>
          <w:tcPr>
            <w:tcW w:w="938" w:type="dxa"/>
            <w:vMerge w:val="continue"/>
            <w:tcBorders>
              <w:top w:val="nil"/>
              <w:left w:val="nil"/>
              <w:bottom w:val="single" w:color="auto" w:sz="4" w:space="0"/>
              <w:right w:val="single" w:color="auto" w:sz="4" w:space="0"/>
            </w:tcBorders>
            <w:vAlign w:val="center"/>
          </w:tcPr>
          <w:p w14:paraId="220D2391">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tc>
        <w:tc>
          <w:tcPr>
            <w:tcW w:w="1569" w:type="dxa"/>
            <w:tcBorders>
              <w:top w:val="single" w:color="auto" w:sz="4" w:space="0"/>
              <w:left w:val="nil"/>
              <w:bottom w:val="single" w:color="auto" w:sz="4" w:space="0"/>
              <w:right w:val="single" w:color="auto" w:sz="4" w:space="0"/>
            </w:tcBorders>
            <w:vAlign w:val="center"/>
          </w:tcPr>
          <w:p w14:paraId="32EAC660">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承诺书</w:t>
            </w:r>
          </w:p>
        </w:tc>
        <w:tc>
          <w:tcPr>
            <w:tcW w:w="6410" w:type="dxa"/>
            <w:tcBorders>
              <w:top w:val="single" w:color="auto" w:sz="4" w:space="0"/>
              <w:left w:val="nil"/>
              <w:bottom w:val="single" w:color="auto" w:sz="4" w:space="0"/>
              <w:right w:val="single" w:color="auto" w:sz="4" w:space="0"/>
            </w:tcBorders>
            <w:vAlign w:val="center"/>
          </w:tcPr>
          <w:p w14:paraId="44B9DE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1、供应商具有履行合同所必须的设备和专业能力，具有良好的社会信誉，在实施项目中没有出现不良记录，并且没有出现经营管理、产品质量安全、纳税、环保等问题，能够接受行业管理部门的监督、管理（提供承诺书）2、参加政府采购活动前三年内，在经营活动中没有重大违法记录（承诺对象公司、法人）。</w:t>
            </w:r>
          </w:p>
          <w:p w14:paraId="2B6A98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333333"/>
                <w:kern w:val="0"/>
                <w:sz w:val="24"/>
                <w:szCs w:val="24"/>
                <w:highlight w:val="none"/>
                <w:lang w:val="en-US" w:eastAsia="zh-CN" w:bidi="ar"/>
              </w:rPr>
              <w:t>3、企业自行出具本企业无商业贿赂和不正当竞争行为的承诺书（承诺对象公司、法人）。</w:t>
            </w:r>
          </w:p>
        </w:tc>
      </w:tr>
      <w:tr w14:paraId="59EF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600" w:type="dxa"/>
            <w:vMerge w:val="continue"/>
            <w:tcBorders>
              <w:top w:val="nil"/>
              <w:left w:val="single" w:color="auto" w:sz="4" w:space="0"/>
              <w:bottom w:val="single" w:color="auto" w:sz="4" w:space="0"/>
              <w:right w:val="single" w:color="auto" w:sz="4" w:space="0"/>
            </w:tcBorders>
            <w:vAlign w:val="center"/>
          </w:tcPr>
          <w:p w14:paraId="7C595BA0">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tc>
        <w:tc>
          <w:tcPr>
            <w:tcW w:w="938" w:type="dxa"/>
            <w:vMerge w:val="continue"/>
            <w:tcBorders>
              <w:top w:val="nil"/>
              <w:left w:val="nil"/>
              <w:bottom w:val="single" w:color="auto" w:sz="4" w:space="0"/>
              <w:right w:val="single" w:color="auto" w:sz="4" w:space="0"/>
            </w:tcBorders>
            <w:vAlign w:val="center"/>
          </w:tcPr>
          <w:p w14:paraId="442C495B">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tc>
        <w:tc>
          <w:tcPr>
            <w:tcW w:w="1569" w:type="dxa"/>
            <w:tcBorders>
              <w:top w:val="single" w:color="auto" w:sz="4" w:space="0"/>
              <w:left w:val="nil"/>
              <w:bottom w:val="single" w:color="auto" w:sz="4" w:space="0"/>
              <w:right w:val="single" w:color="auto" w:sz="4" w:space="0"/>
            </w:tcBorders>
            <w:vAlign w:val="center"/>
          </w:tcPr>
          <w:p w14:paraId="5D513441">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信用查询</w:t>
            </w:r>
          </w:p>
        </w:tc>
        <w:tc>
          <w:tcPr>
            <w:tcW w:w="6410" w:type="dxa"/>
            <w:tcBorders>
              <w:top w:val="single" w:color="auto" w:sz="4" w:space="0"/>
              <w:left w:val="nil"/>
              <w:bottom w:val="single" w:color="auto" w:sz="4" w:space="0"/>
              <w:right w:val="single" w:color="auto" w:sz="4" w:space="0"/>
            </w:tcBorders>
            <w:vAlign w:val="center"/>
          </w:tcPr>
          <w:p w14:paraId="24527CC1">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333333"/>
                <w:kern w:val="0"/>
                <w:sz w:val="24"/>
                <w:szCs w:val="24"/>
                <w:highlight w:val="none"/>
                <w:lang w:val="en-US" w:eastAsia="zh-CN" w:bidi="ar"/>
              </w:rPr>
              <w:t>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tc>
      </w:tr>
      <w:tr w14:paraId="69FB0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600" w:type="dxa"/>
            <w:vMerge w:val="continue"/>
            <w:tcBorders>
              <w:top w:val="nil"/>
              <w:left w:val="single" w:color="auto" w:sz="4" w:space="0"/>
              <w:bottom w:val="single" w:color="auto" w:sz="4" w:space="0"/>
              <w:right w:val="single" w:color="auto" w:sz="4" w:space="0"/>
            </w:tcBorders>
            <w:vAlign w:val="center"/>
          </w:tcPr>
          <w:p w14:paraId="6AE2D3FD">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tc>
        <w:tc>
          <w:tcPr>
            <w:tcW w:w="938" w:type="dxa"/>
            <w:vMerge w:val="continue"/>
            <w:tcBorders>
              <w:top w:val="nil"/>
              <w:left w:val="nil"/>
              <w:bottom w:val="single" w:color="auto" w:sz="4" w:space="0"/>
              <w:right w:val="single" w:color="auto" w:sz="4" w:space="0"/>
            </w:tcBorders>
            <w:vAlign w:val="center"/>
          </w:tcPr>
          <w:p w14:paraId="77923FC2">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tc>
        <w:tc>
          <w:tcPr>
            <w:tcW w:w="1569" w:type="dxa"/>
            <w:tcBorders>
              <w:top w:val="single" w:color="auto" w:sz="4" w:space="0"/>
              <w:left w:val="nil"/>
              <w:bottom w:val="single" w:color="auto" w:sz="4" w:space="0"/>
              <w:right w:val="single" w:color="auto" w:sz="4" w:space="0"/>
            </w:tcBorders>
            <w:vAlign w:val="center"/>
          </w:tcPr>
          <w:p w14:paraId="7BCE36B1">
            <w:pPr>
              <w:keepNext w:val="0"/>
              <w:keepLines w:val="0"/>
              <w:pageBreakBefore w:val="0"/>
              <w:widowControl/>
              <w:suppressLineNumbers w:val="0"/>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“国家企业信用信息公示系统”网页</w:t>
            </w:r>
          </w:p>
          <w:p w14:paraId="71331755">
            <w:pPr>
              <w:keepNext w:val="0"/>
              <w:keepLines w:val="0"/>
              <w:pageBreakBefore w:val="0"/>
              <w:widowControl/>
              <w:suppressLineNumbers w:val="0"/>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查询</w:t>
            </w:r>
          </w:p>
        </w:tc>
        <w:tc>
          <w:tcPr>
            <w:tcW w:w="6410" w:type="dxa"/>
            <w:tcBorders>
              <w:top w:val="single" w:color="auto" w:sz="4" w:space="0"/>
              <w:left w:val="nil"/>
              <w:bottom w:val="single" w:color="auto" w:sz="4" w:space="0"/>
              <w:right w:val="single" w:color="auto" w:sz="4" w:space="0"/>
            </w:tcBorders>
            <w:vAlign w:val="center"/>
          </w:tcPr>
          <w:p w14:paraId="3975D397">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333333"/>
                <w:kern w:val="0"/>
                <w:sz w:val="24"/>
                <w:szCs w:val="24"/>
                <w:highlight w:val="none"/>
                <w:lang w:val="en-US" w:eastAsia="zh-CN" w:bidi="ar"/>
              </w:rPr>
              <w:t>单位负责人为同一人或者存在控股、管理关系的不同单位，不得同时参加本项目的投标；（提供“国家企业信用信息公示系统”中公示的公司信息、股东或投资人信息查询截图（查询时间自公告发布之日起）。</w:t>
            </w:r>
          </w:p>
        </w:tc>
      </w:tr>
      <w:tr w14:paraId="04D2F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600" w:type="dxa"/>
            <w:vMerge w:val="restart"/>
            <w:tcBorders>
              <w:top w:val="nil"/>
              <w:left w:val="single" w:color="auto" w:sz="4" w:space="0"/>
              <w:right w:val="single" w:color="auto" w:sz="4" w:space="0"/>
            </w:tcBorders>
            <w:vAlign w:val="center"/>
          </w:tcPr>
          <w:p w14:paraId="003A13BD">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1.1.2</w:t>
            </w:r>
          </w:p>
        </w:tc>
        <w:tc>
          <w:tcPr>
            <w:tcW w:w="938" w:type="dxa"/>
            <w:vMerge w:val="restart"/>
            <w:tcBorders>
              <w:top w:val="nil"/>
              <w:left w:val="nil"/>
              <w:bottom w:val="single" w:color="auto" w:sz="4" w:space="0"/>
              <w:right w:val="single" w:color="auto" w:sz="4" w:space="0"/>
            </w:tcBorders>
            <w:vAlign w:val="center"/>
          </w:tcPr>
          <w:p w14:paraId="05B62A31">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形式评审标准</w:t>
            </w:r>
          </w:p>
        </w:tc>
        <w:tc>
          <w:tcPr>
            <w:tcW w:w="1569" w:type="dxa"/>
            <w:tcBorders>
              <w:top w:val="single" w:color="auto" w:sz="4" w:space="0"/>
              <w:left w:val="nil"/>
              <w:bottom w:val="single" w:color="auto" w:sz="4" w:space="0"/>
              <w:right w:val="single" w:color="auto" w:sz="4" w:space="0"/>
            </w:tcBorders>
            <w:vAlign w:val="center"/>
          </w:tcPr>
          <w:p w14:paraId="67B97FAF">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名称</w:t>
            </w:r>
          </w:p>
        </w:tc>
        <w:tc>
          <w:tcPr>
            <w:tcW w:w="6410" w:type="dxa"/>
            <w:tcBorders>
              <w:top w:val="single" w:color="auto" w:sz="4" w:space="0"/>
              <w:left w:val="nil"/>
              <w:bottom w:val="single" w:color="auto" w:sz="4" w:space="0"/>
              <w:right w:val="single" w:color="auto" w:sz="4" w:space="0"/>
            </w:tcBorders>
            <w:vAlign w:val="center"/>
          </w:tcPr>
          <w:p w14:paraId="0C515B92">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与营业执照一致</w:t>
            </w:r>
          </w:p>
        </w:tc>
      </w:tr>
      <w:tr w14:paraId="6D685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600" w:type="dxa"/>
            <w:vMerge w:val="continue"/>
            <w:tcBorders>
              <w:left w:val="single" w:color="auto" w:sz="4" w:space="0"/>
              <w:right w:val="single" w:color="auto" w:sz="4" w:space="0"/>
            </w:tcBorders>
            <w:vAlign w:val="center"/>
          </w:tcPr>
          <w:p w14:paraId="746AB57E">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tc>
        <w:tc>
          <w:tcPr>
            <w:tcW w:w="938" w:type="dxa"/>
            <w:vMerge w:val="continue"/>
            <w:tcBorders>
              <w:top w:val="nil"/>
              <w:left w:val="nil"/>
              <w:bottom w:val="single" w:color="auto" w:sz="4" w:space="0"/>
              <w:right w:val="single" w:color="auto" w:sz="4" w:space="0"/>
            </w:tcBorders>
            <w:vAlign w:val="center"/>
          </w:tcPr>
          <w:p w14:paraId="75067167">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color w:val="auto"/>
                <w:sz w:val="24"/>
                <w:szCs w:val="24"/>
                <w:highlight w:val="none"/>
              </w:rPr>
            </w:pPr>
          </w:p>
        </w:tc>
        <w:tc>
          <w:tcPr>
            <w:tcW w:w="1569" w:type="dxa"/>
            <w:tcBorders>
              <w:top w:val="single" w:color="auto" w:sz="4" w:space="0"/>
              <w:left w:val="nil"/>
              <w:bottom w:val="single" w:color="auto" w:sz="4" w:space="0"/>
              <w:right w:val="single" w:color="auto" w:sz="4" w:space="0"/>
            </w:tcBorders>
            <w:vAlign w:val="center"/>
          </w:tcPr>
          <w:p w14:paraId="5DF87FD2">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磋商函签字盖章</w:t>
            </w:r>
          </w:p>
        </w:tc>
        <w:tc>
          <w:tcPr>
            <w:tcW w:w="6410" w:type="dxa"/>
            <w:tcBorders>
              <w:top w:val="single" w:color="auto" w:sz="4" w:space="0"/>
              <w:left w:val="nil"/>
              <w:bottom w:val="single" w:color="auto" w:sz="4" w:space="0"/>
              <w:right w:val="single" w:color="auto" w:sz="4" w:space="0"/>
            </w:tcBorders>
            <w:vAlign w:val="center"/>
          </w:tcPr>
          <w:p w14:paraId="3FE22C44">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在生成电子化</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后，应对电子化</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进行签章，未对电子化文件进行签章的视为无效投标。</w:t>
            </w:r>
          </w:p>
          <w:p w14:paraId="7273A5B8">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2、竞争性磋商文件中要求</w:t>
            </w:r>
            <w:r>
              <w:rPr>
                <w:rFonts w:hint="eastAsia" w:ascii="宋体" w:hAnsi="宋体" w:eastAsia="宋体" w:cs="宋体"/>
                <w:b/>
                <w:bCs/>
                <w:color w:val="auto"/>
                <w:sz w:val="24"/>
                <w:szCs w:val="24"/>
                <w:highlight w:val="none"/>
              </w:rPr>
              <w:t>法定代表人或授权委托人签字或盖章的，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在进行</w:t>
            </w:r>
            <w:r>
              <w:rPr>
                <w:rFonts w:hint="eastAsia" w:ascii="宋体" w:hAnsi="宋体" w:eastAsia="宋体" w:cs="宋体"/>
                <w:b/>
                <w:bCs/>
                <w:color w:val="auto"/>
                <w:sz w:val="24"/>
                <w:szCs w:val="24"/>
                <w:highlight w:val="none"/>
              </w:rPr>
              <w:t>电子化</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签章时，以签盖法定代表人签章为准</w:t>
            </w:r>
            <w:r>
              <w:rPr>
                <w:rFonts w:hint="eastAsia" w:ascii="宋体" w:hAnsi="宋体" w:eastAsia="宋体" w:cs="宋体"/>
                <w:color w:val="auto"/>
                <w:sz w:val="24"/>
                <w:szCs w:val="24"/>
                <w:highlight w:val="none"/>
              </w:rPr>
              <w:t>。</w:t>
            </w:r>
          </w:p>
        </w:tc>
      </w:tr>
      <w:tr w14:paraId="1F8C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00" w:type="dxa"/>
            <w:vMerge w:val="continue"/>
            <w:tcBorders>
              <w:left w:val="single" w:color="auto" w:sz="4" w:space="0"/>
              <w:bottom w:val="single" w:color="auto" w:sz="4" w:space="0"/>
              <w:right w:val="single" w:color="auto" w:sz="4" w:space="0"/>
            </w:tcBorders>
            <w:vAlign w:val="center"/>
          </w:tcPr>
          <w:p w14:paraId="3CCBE32E">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tc>
        <w:tc>
          <w:tcPr>
            <w:tcW w:w="938" w:type="dxa"/>
            <w:vMerge w:val="continue"/>
            <w:tcBorders>
              <w:top w:val="nil"/>
              <w:left w:val="nil"/>
              <w:bottom w:val="single" w:color="auto" w:sz="4" w:space="0"/>
              <w:right w:val="single" w:color="auto" w:sz="4" w:space="0"/>
            </w:tcBorders>
            <w:vAlign w:val="center"/>
          </w:tcPr>
          <w:p w14:paraId="6A3EA375">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color w:val="auto"/>
                <w:sz w:val="24"/>
                <w:szCs w:val="24"/>
                <w:highlight w:val="none"/>
              </w:rPr>
            </w:pPr>
          </w:p>
        </w:tc>
        <w:tc>
          <w:tcPr>
            <w:tcW w:w="1569" w:type="dxa"/>
            <w:tcBorders>
              <w:top w:val="single" w:color="auto" w:sz="4" w:space="0"/>
              <w:left w:val="nil"/>
              <w:bottom w:val="single" w:color="auto" w:sz="4" w:space="0"/>
              <w:right w:val="single" w:color="auto" w:sz="4" w:space="0"/>
            </w:tcBorders>
            <w:vAlign w:val="top"/>
          </w:tcPr>
          <w:p w14:paraId="14480107">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kern w:val="0"/>
                <w:sz w:val="24"/>
                <w:szCs w:val="24"/>
                <w:highlight w:val="none"/>
              </w:rPr>
            </w:pPr>
            <w:r>
              <w:rPr>
                <w:rFonts w:hint="eastAsia" w:ascii="宋体" w:hAnsi="宋体" w:eastAsia="宋体" w:cs="宋体"/>
                <w:snapToGrid w:val="0"/>
                <w:color w:val="000000"/>
                <w:sz w:val="24"/>
                <w:szCs w:val="24"/>
                <w:highlight w:val="none"/>
                <w:lang w:eastAsia="zh-CN"/>
              </w:rPr>
              <w:t>投标文件</w:t>
            </w:r>
            <w:r>
              <w:rPr>
                <w:rFonts w:hint="eastAsia" w:ascii="宋体" w:hAnsi="宋体" w:eastAsia="宋体" w:cs="宋体"/>
                <w:snapToGrid w:val="0"/>
                <w:color w:val="000000"/>
                <w:sz w:val="24"/>
                <w:szCs w:val="24"/>
                <w:highlight w:val="none"/>
              </w:rPr>
              <w:t>格式</w:t>
            </w:r>
          </w:p>
        </w:tc>
        <w:tc>
          <w:tcPr>
            <w:tcW w:w="6410" w:type="dxa"/>
            <w:tcBorders>
              <w:top w:val="single" w:color="auto" w:sz="4" w:space="0"/>
              <w:left w:val="nil"/>
              <w:bottom w:val="single" w:color="auto" w:sz="4" w:space="0"/>
              <w:right w:val="single" w:color="auto" w:sz="4" w:space="0"/>
            </w:tcBorders>
            <w:vAlign w:val="top"/>
          </w:tcPr>
          <w:p w14:paraId="34AC60D8">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jc w:val="left"/>
              <w:rPr>
                <w:rFonts w:hint="eastAsia" w:ascii="宋体" w:hAnsi="宋体" w:eastAsia="宋体" w:cs="宋体"/>
                <w:color w:val="auto"/>
                <w:kern w:val="0"/>
                <w:sz w:val="24"/>
                <w:szCs w:val="24"/>
                <w:highlight w:val="none"/>
                <w:lang w:eastAsia="zh-CN"/>
              </w:rPr>
            </w:pPr>
            <w:r>
              <w:rPr>
                <w:rFonts w:hint="eastAsia" w:ascii="宋体" w:hAnsi="宋体" w:eastAsia="宋体" w:cs="宋体"/>
                <w:snapToGrid w:val="0"/>
                <w:color w:val="000000"/>
                <w:sz w:val="24"/>
                <w:szCs w:val="24"/>
                <w:highlight w:val="none"/>
              </w:rPr>
              <w:t>符合“</w:t>
            </w:r>
            <w:r>
              <w:rPr>
                <w:rFonts w:hint="eastAsia" w:ascii="宋体" w:hAnsi="宋体" w:eastAsia="宋体" w:cs="宋体"/>
                <w:snapToGrid w:val="0"/>
                <w:color w:val="000000"/>
                <w:sz w:val="24"/>
                <w:szCs w:val="24"/>
                <w:highlight w:val="none"/>
                <w:lang w:eastAsia="zh-CN"/>
              </w:rPr>
              <w:t>投标文件</w:t>
            </w:r>
            <w:r>
              <w:rPr>
                <w:rFonts w:hint="eastAsia" w:ascii="宋体" w:hAnsi="宋体" w:eastAsia="宋体" w:cs="宋体"/>
                <w:snapToGrid w:val="0"/>
                <w:color w:val="000000"/>
                <w:sz w:val="24"/>
                <w:szCs w:val="24"/>
                <w:highlight w:val="none"/>
              </w:rPr>
              <w:t>格式”的要求</w:t>
            </w:r>
          </w:p>
        </w:tc>
      </w:tr>
      <w:tr w14:paraId="0AFA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00" w:type="dxa"/>
            <w:vMerge w:val="continue"/>
            <w:tcBorders>
              <w:left w:val="single" w:color="auto" w:sz="4" w:space="0"/>
              <w:bottom w:val="single" w:color="auto" w:sz="4" w:space="0"/>
              <w:right w:val="single" w:color="auto" w:sz="4" w:space="0"/>
            </w:tcBorders>
            <w:vAlign w:val="center"/>
          </w:tcPr>
          <w:p w14:paraId="3466BA4C">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tc>
        <w:tc>
          <w:tcPr>
            <w:tcW w:w="938" w:type="dxa"/>
            <w:vMerge w:val="continue"/>
            <w:tcBorders>
              <w:top w:val="nil"/>
              <w:left w:val="nil"/>
              <w:bottom w:val="single" w:color="auto" w:sz="4" w:space="0"/>
              <w:right w:val="single" w:color="auto" w:sz="4" w:space="0"/>
            </w:tcBorders>
            <w:vAlign w:val="center"/>
          </w:tcPr>
          <w:p w14:paraId="7B3DB375">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color w:val="auto"/>
                <w:sz w:val="24"/>
                <w:szCs w:val="24"/>
                <w:highlight w:val="none"/>
              </w:rPr>
            </w:pPr>
          </w:p>
        </w:tc>
        <w:tc>
          <w:tcPr>
            <w:tcW w:w="1569" w:type="dxa"/>
            <w:tcBorders>
              <w:top w:val="single" w:color="auto" w:sz="4" w:space="0"/>
              <w:left w:val="nil"/>
              <w:bottom w:val="single" w:color="auto" w:sz="4" w:space="0"/>
              <w:right w:val="single" w:color="auto" w:sz="4" w:space="0"/>
            </w:tcBorders>
            <w:vAlign w:val="center"/>
          </w:tcPr>
          <w:p w14:paraId="4D12E222">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报价唯一</w:t>
            </w:r>
          </w:p>
        </w:tc>
        <w:tc>
          <w:tcPr>
            <w:tcW w:w="6410" w:type="dxa"/>
            <w:tcBorders>
              <w:top w:val="single" w:color="auto" w:sz="4" w:space="0"/>
              <w:left w:val="nil"/>
              <w:bottom w:val="single" w:color="auto" w:sz="4" w:space="0"/>
              <w:right w:val="single" w:color="auto" w:sz="4" w:space="0"/>
            </w:tcBorders>
            <w:vAlign w:val="center"/>
          </w:tcPr>
          <w:p w14:paraId="6A70D95E">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中只能有一个有效报价，且不超过采购预算价</w:t>
            </w:r>
          </w:p>
        </w:tc>
      </w:tr>
      <w:tr w14:paraId="758F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00" w:type="dxa"/>
            <w:vMerge w:val="restart"/>
            <w:tcBorders>
              <w:top w:val="nil"/>
              <w:left w:val="single" w:color="auto" w:sz="4" w:space="0"/>
              <w:right w:val="single" w:color="auto" w:sz="4" w:space="0"/>
            </w:tcBorders>
            <w:vAlign w:val="center"/>
          </w:tcPr>
          <w:p w14:paraId="174C13E8">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21.1.3</w:t>
            </w:r>
          </w:p>
        </w:tc>
        <w:tc>
          <w:tcPr>
            <w:tcW w:w="938" w:type="dxa"/>
            <w:vMerge w:val="restart"/>
            <w:tcBorders>
              <w:top w:val="nil"/>
              <w:left w:val="nil"/>
              <w:right w:val="single" w:color="auto" w:sz="4" w:space="0"/>
            </w:tcBorders>
            <w:vAlign w:val="center"/>
          </w:tcPr>
          <w:p w14:paraId="10464DCF">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响应性评审标准</w:t>
            </w:r>
          </w:p>
        </w:tc>
        <w:tc>
          <w:tcPr>
            <w:tcW w:w="1569" w:type="dxa"/>
            <w:tcBorders>
              <w:top w:val="single" w:color="auto" w:sz="4" w:space="0"/>
              <w:left w:val="nil"/>
              <w:bottom w:val="single" w:color="auto" w:sz="4" w:space="0"/>
              <w:right w:val="single" w:color="auto" w:sz="4" w:space="0"/>
            </w:tcBorders>
            <w:vAlign w:val="center"/>
          </w:tcPr>
          <w:p w14:paraId="25873F8E">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sz w:val="24"/>
                <w:szCs w:val="24"/>
                <w:highlight w:val="none"/>
              </w:rPr>
              <w:t>采购内容</w:t>
            </w:r>
          </w:p>
        </w:tc>
        <w:tc>
          <w:tcPr>
            <w:tcW w:w="6410" w:type="dxa"/>
            <w:tcBorders>
              <w:top w:val="single" w:color="auto" w:sz="4" w:space="0"/>
              <w:left w:val="nil"/>
              <w:bottom w:val="single" w:color="auto" w:sz="4" w:space="0"/>
              <w:right w:val="single" w:color="auto" w:sz="4" w:space="0"/>
            </w:tcBorders>
            <w:vAlign w:val="center"/>
          </w:tcPr>
          <w:p w14:paraId="123DC8B5">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sz w:val="24"/>
                <w:szCs w:val="24"/>
                <w:highlight w:val="none"/>
              </w:rPr>
              <w:t>符合磋商文件要求</w:t>
            </w:r>
          </w:p>
        </w:tc>
      </w:tr>
      <w:tr w14:paraId="79D8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00" w:type="dxa"/>
            <w:vMerge w:val="continue"/>
            <w:tcBorders>
              <w:left w:val="single" w:color="auto" w:sz="4" w:space="0"/>
              <w:right w:val="single" w:color="auto" w:sz="4" w:space="0"/>
            </w:tcBorders>
            <w:vAlign w:val="center"/>
          </w:tcPr>
          <w:p w14:paraId="350F322B">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lang w:val="en-US" w:eastAsia="zh-CN"/>
              </w:rPr>
            </w:pPr>
          </w:p>
        </w:tc>
        <w:tc>
          <w:tcPr>
            <w:tcW w:w="938" w:type="dxa"/>
            <w:vMerge w:val="continue"/>
            <w:tcBorders>
              <w:left w:val="nil"/>
              <w:right w:val="single" w:color="auto" w:sz="4" w:space="0"/>
            </w:tcBorders>
            <w:vAlign w:val="center"/>
          </w:tcPr>
          <w:p w14:paraId="32A59432">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lang w:val="en-US" w:eastAsia="zh-CN"/>
              </w:rPr>
            </w:pPr>
          </w:p>
        </w:tc>
        <w:tc>
          <w:tcPr>
            <w:tcW w:w="1569" w:type="dxa"/>
            <w:tcBorders>
              <w:top w:val="single" w:color="auto" w:sz="4" w:space="0"/>
              <w:left w:val="nil"/>
              <w:bottom w:val="single" w:color="auto" w:sz="4" w:space="0"/>
              <w:right w:val="single" w:color="auto" w:sz="4" w:space="0"/>
            </w:tcBorders>
            <w:vAlign w:val="center"/>
          </w:tcPr>
          <w:p w14:paraId="5883045E">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sz w:val="24"/>
                <w:szCs w:val="24"/>
                <w:highlight w:val="none"/>
                <w:lang w:eastAsia="zh-CN"/>
              </w:rPr>
              <w:t>交货</w:t>
            </w:r>
            <w:r>
              <w:rPr>
                <w:rFonts w:hint="eastAsia" w:ascii="宋体" w:hAnsi="宋体" w:eastAsia="宋体" w:cs="宋体"/>
                <w:snapToGrid w:val="0"/>
                <w:sz w:val="24"/>
                <w:szCs w:val="24"/>
                <w:highlight w:val="none"/>
                <w:lang w:val="en-US" w:eastAsia="zh-CN"/>
              </w:rPr>
              <w:t>服务</w:t>
            </w:r>
            <w:r>
              <w:rPr>
                <w:rFonts w:hint="eastAsia" w:ascii="宋体" w:hAnsi="宋体" w:eastAsia="宋体" w:cs="宋体"/>
                <w:snapToGrid w:val="0"/>
                <w:sz w:val="24"/>
                <w:szCs w:val="24"/>
                <w:highlight w:val="none"/>
                <w:lang w:eastAsia="zh-CN"/>
              </w:rPr>
              <w:t>期</w:t>
            </w:r>
          </w:p>
        </w:tc>
        <w:tc>
          <w:tcPr>
            <w:tcW w:w="6410" w:type="dxa"/>
            <w:tcBorders>
              <w:top w:val="single" w:color="auto" w:sz="4" w:space="0"/>
              <w:left w:val="nil"/>
              <w:bottom w:val="single" w:color="auto" w:sz="4" w:space="0"/>
              <w:right w:val="single" w:color="auto" w:sz="4" w:space="0"/>
            </w:tcBorders>
            <w:vAlign w:val="center"/>
          </w:tcPr>
          <w:p w14:paraId="19416ED6">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sz w:val="24"/>
                <w:szCs w:val="24"/>
                <w:highlight w:val="none"/>
              </w:rPr>
              <w:t>符合磋商文件要求</w:t>
            </w:r>
          </w:p>
        </w:tc>
      </w:tr>
      <w:tr w14:paraId="5DDC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00" w:type="dxa"/>
            <w:vMerge w:val="continue"/>
            <w:tcBorders>
              <w:left w:val="single" w:color="auto" w:sz="4" w:space="0"/>
              <w:right w:val="single" w:color="auto" w:sz="4" w:space="0"/>
            </w:tcBorders>
            <w:vAlign w:val="center"/>
          </w:tcPr>
          <w:p w14:paraId="7A13B96B">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lang w:val="en-US" w:eastAsia="zh-CN"/>
              </w:rPr>
            </w:pPr>
          </w:p>
        </w:tc>
        <w:tc>
          <w:tcPr>
            <w:tcW w:w="938" w:type="dxa"/>
            <w:vMerge w:val="continue"/>
            <w:tcBorders>
              <w:left w:val="nil"/>
              <w:right w:val="single" w:color="auto" w:sz="4" w:space="0"/>
            </w:tcBorders>
            <w:vAlign w:val="center"/>
          </w:tcPr>
          <w:p w14:paraId="32B6057F">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lang w:val="en-US" w:eastAsia="zh-CN"/>
              </w:rPr>
            </w:pPr>
          </w:p>
        </w:tc>
        <w:tc>
          <w:tcPr>
            <w:tcW w:w="1569" w:type="dxa"/>
            <w:tcBorders>
              <w:top w:val="single" w:color="auto" w:sz="4" w:space="0"/>
              <w:left w:val="nil"/>
              <w:bottom w:val="single" w:color="auto" w:sz="4" w:space="0"/>
              <w:right w:val="single" w:color="auto" w:sz="4" w:space="0"/>
            </w:tcBorders>
            <w:vAlign w:val="top"/>
          </w:tcPr>
          <w:p w14:paraId="6AC9708D">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sz w:val="24"/>
                <w:szCs w:val="24"/>
                <w:highlight w:val="none"/>
              </w:rPr>
              <w:t>质量要求</w:t>
            </w:r>
          </w:p>
        </w:tc>
        <w:tc>
          <w:tcPr>
            <w:tcW w:w="6410" w:type="dxa"/>
            <w:tcBorders>
              <w:top w:val="single" w:color="auto" w:sz="4" w:space="0"/>
              <w:left w:val="nil"/>
              <w:bottom w:val="single" w:color="auto" w:sz="4" w:space="0"/>
              <w:right w:val="single" w:color="auto" w:sz="4" w:space="0"/>
            </w:tcBorders>
            <w:vAlign w:val="top"/>
          </w:tcPr>
          <w:p w14:paraId="4751058D">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sz w:val="24"/>
                <w:szCs w:val="24"/>
                <w:highlight w:val="none"/>
              </w:rPr>
              <w:t>符合磋商文件要求</w:t>
            </w:r>
          </w:p>
        </w:tc>
      </w:tr>
      <w:tr w14:paraId="7CEB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00" w:type="dxa"/>
            <w:vMerge w:val="continue"/>
            <w:tcBorders>
              <w:left w:val="single" w:color="auto" w:sz="4" w:space="0"/>
              <w:right w:val="single" w:color="auto" w:sz="4" w:space="0"/>
            </w:tcBorders>
            <w:vAlign w:val="center"/>
          </w:tcPr>
          <w:p w14:paraId="1CBEEE66">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lang w:val="en-US" w:eastAsia="zh-CN"/>
              </w:rPr>
            </w:pPr>
          </w:p>
        </w:tc>
        <w:tc>
          <w:tcPr>
            <w:tcW w:w="938" w:type="dxa"/>
            <w:vMerge w:val="continue"/>
            <w:tcBorders>
              <w:left w:val="nil"/>
              <w:right w:val="single" w:color="auto" w:sz="4" w:space="0"/>
            </w:tcBorders>
            <w:vAlign w:val="center"/>
          </w:tcPr>
          <w:p w14:paraId="2FA93639">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lang w:val="en-US" w:eastAsia="zh-CN"/>
              </w:rPr>
            </w:pPr>
          </w:p>
        </w:tc>
        <w:tc>
          <w:tcPr>
            <w:tcW w:w="1569" w:type="dxa"/>
            <w:tcBorders>
              <w:top w:val="single" w:color="auto" w:sz="4" w:space="0"/>
              <w:left w:val="nil"/>
              <w:bottom w:val="single" w:color="auto" w:sz="4" w:space="0"/>
              <w:right w:val="single" w:color="auto" w:sz="4" w:space="0"/>
            </w:tcBorders>
            <w:vAlign w:val="center"/>
          </w:tcPr>
          <w:p w14:paraId="6794E64A">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投标有效期</w:t>
            </w:r>
          </w:p>
        </w:tc>
        <w:tc>
          <w:tcPr>
            <w:tcW w:w="6410" w:type="dxa"/>
            <w:tcBorders>
              <w:top w:val="single" w:color="auto" w:sz="4" w:space="0"/>
              <w:left w:val="nil"/>
              <w:bottom w:val="single" w:color="auto" w:sz="4" w:space="0"/>
              <w:right w:val="single" w:color="auto" w:sz="4" w:space="0"/>
            </w:tcBorders>
            <w:vAlign w:val="center"/>
          </w:tcPr>
          <w:p w14:paraId="6CE96815">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符合竞争性磋商文件要求</w:t>
            </w:r>
          </w:p>
        </w:tc>
      </w:tr>
      <w:tr w14:paraId="0FEC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600" w:type="dxa"/>
            <w:vMerge w:val="continue"/>
            <w:tcBorders>
              <w:left w:val="single" w:color="auto" w:sz="4" w:space="0"/>
              <w:bottom w:val="single" w:color="auto" w:sz="4" w:space="0"/>
              <w:right w:val="single" w:color="auto" w:sz="4" w:space="0"/>
            </w:tcBorders>
            <w:vAlign w:val="center"/>
          </w:tcPr>
          <w:p w14:paraId="33172D38">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lang w:val="en-US" w:eastAsia="zh-CN"/>
              </w:rPr>
            </w:pPr>
          </w:p>
        </w:tc>
        <w:tc>
          <w:tcPr>
            <w:tcW w:w="938" w:type="dxa"/>
            <w:vMerge w:val="continue"/>
            <w:tcBorders>
              <w:left w:val="nil"/>
              <w:bottom w:val="single" w:color="auto" w:sz="4" w:space="0"/>
              <w:right w:val="single" w:color="auto" w:sz="4" w:space="0"/>
            </w:tcBorders>
            <w:vAlign w:val="center"/>
          </w:tcPr>
          <w:p w14:paraId="0C2D56F1">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lang w:val="en-US" w:eastAsia="zh-CN"/>
              </w:rPr>
            </w:pPr>
          </w:p>
        </w:tc>
        <w:tc>
          <w:tcPr>
            <w:tcW w:w="1569" w:type="dxa"/>
            <w:tcBorders>
              <w:top w:val="single" w:color="auto" w:sz="4" w:space="0"/>
              <w:left w:val="nil"/>
              <w:bottom w:val="single" w:color="auto" w:sz="4" w:space="0"/>
              <w:right w:val="single" w:color="auto" w:sz="4" w:space="0"/>
            </w:tcBorders>
            <w:vAlign w:val="center"/>
          </w:tcPr>
          <w:p w14:paraId="4360CA48">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000000"/>
                <w:sz w:val="24"/>
                <w:szCs w:val="24"/>
                <w:highlight w:val="none"/>
              </w:rPr>
              <w:t>磋商价格</w:t>
            </w:r>
          </w:p>
        </w:tc>
        <w:tc>
          <w:tcPr>
            <w:tcW w:w="6410" w:type="dxa"/>
            <w:tcBorders>
              <w:top w:val="single" w:color="auto" w:sz="4" w:space="0"/>
              <w:left w:val="nil"/>
              <w:bottom w:val="single" w:color="auto" w:sz="4" w:space="0"/>
              <w:right w:val="single" w:color="auto" w:sz="4" w:space="0"/>
            </w:tcBorders>
            <w:vAlign w:val="center"/>
          </w:tcPr>
          <w:p w14:paraId="3110396C">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bCs/>
                <w:snapToGrid w:val="0"/>
                <w:sz w:val="24"/>
                <w:szCs w:val="24"/>
                <w:highlight w:val="none"/>
              </w:rPr>
              <w:t>本次磋商采用二轮（最终）报价法，供应商递交的</w:t>
            </w:r>
            <w:r>
              <w:rPr>
                <w:rFonts w:hint="eastAsia" w:ascii="宋体" w:hAnsi="宋体" w:eastAsia="宋体" w:cs="宋体"/>
                <w:bCs/>
                <w:snapToGrid w:val="0"/>
                <w:sz w:val="24"/>
                <w:szCs w:val="24"/>
                <w:highlight w:val="none"/>
                <w:lang w:eastAsia="zh-CN"/>
              </w:rPr>
              <w:t>投标文件</w:t>
            </w:r>
            <w:r>
              <w:rPr>
                <w:rFonts w:hint="eastAsia" w:ascii="宋体" w:hAnsi="宋体" w:eastAsia="宋体" w:cs="宋体"/>
                <w:bCs/>
                <w:snapToGrid w:val="0"/>
                <w:sz w:val="24"/>
                <w:szCs w:val="24"/>
                <w:highlight w:val="none"/>
              </w:rPr>
              <w:t>中的报价为第一轮报价，</w:t>
            </w:r>
            <w:r>
              <w:rPr>
                <w:rFonts w:hint="eastAsia" w:ascii="宋体" w:hAnsi="宋体" w:eastAsia="宋体" w:cs="宋体"/>
                <w:snapToGrid w:val="0"/>
                <w:sz w:val="24"/>
                <w:szCs w:val="24"/>
                <w:highlight w:val="none"/>
              </w:rPr>
              <w:t>供应商的两轮磋商报价都不得高于采购人公布的控制价，否则其投标将被否决。</w:t>
            </w:r>
          </w:p>
        </w:tc>
      </w:tr>
    </w:tbl>
    <w:p w14:paraId="5F5DF665">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lang w:val="en-US" w:eastAsia="zh-CN"/>
        </w:rPr>
      </w:pPr>
    </w:p>
    <w:p w14:paraId="7EAB13CC">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lang w:val="en-US" w:eastAsia="zh-CN"/>
        </w:rPr>
      </w:pPr>
    </w:p>
    <w:p w14:paraId="41B6CF8B">
      <w:pPr>
        <w:keepNext w:val="0"/>
        <w:keepLines w:val="0"/>
        <w:pageBreakBefore w:val="0"/>
        <w:widowControl/>
        <w:numPr>
          <w:ilvl w:val="0"/>
          <w:numId w:val="2"/>
        </w:numPr>
        <w:kinsoku w:val="0"/>
        <w:wordWrap/>
        <w:bidi w:val="0"/>
        <w:adjustRightInd w:val="0"/>
        <w:snapToGrid w:val="0"/>
        <w:spacing w:line="360" w:lineRule="auto"/>
        <w:ind w:left="0" w:leftChars="0" w:right="0" w:right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详细评审标准</w:t>
      </w:r>
    </w:p>
    <w:p w14:paraId="1A383493">
      <w:pPr>
        <w:keepNext w:val="0"/>
        <w:keepLines w:val="0"/>
        <w:pageBreakBefore w:val="0"/>
        <w:widowControl/>
        <w:numPr>
          <w:ilvl w:val="0"/>
          <w:numId w:val="0"/>
        </w:numPr>
        <w:kinsoku w:val="0"/>
        <w:wordWrap/>
        <w:bidi w:val="0"/>
        <w:adjustRightInd w:val="0"/>
        <w:snapToGrid w:val="0"/>
        <w:spacing w:line="360" w:lineRule="auto"/>
        <w:ind w:right="0" w:rightChars="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一标段</w:t>
      </w:r>
    </w:p>
    <w:tbl>
      <w:tblPr>
        <w:tblStyle w:val="28"/>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639"/>
        <w:gridCol w:w="6441"/>
      </w:tblGrid>
      <w:tr w14:paraId="78EEE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atLeast"/>
          <w:jc w:val="center"/>
        </w:trPr>
        <w:tc>
          <w:tcPr>
            <w:tcW w:w="1276" w:type="dxa"/>
            <w:vAlign w:val="center"/>
          </w:tcPr>
          <w:p w14:paraId="6827C9AF">
            <w:pPr>
              <w:pStyle w:val="73"/>
              <w:keepNext w:val="0"/>
              <w:keepLines w:val="0"/>
              <w:pageBreakBefore w:val="0"/>
              <w:widowControl/>
              <w:kinsoku w:val="0"/>
              <w:wordWrap/>
              <w:bidi w:val="0"/>
              <w:adjustRightInd w:val="0"/>
              <w:snapToGrid w:val="0"/>
              <w:spacing w:line="360" w:lineRule="auto"/>
              <w:ind w:left="0" w:leftChars="0" w:right="0" w:righ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w:t>
            </w:r>
          </w:p>
        </w:tc>
        <w:tc>
          <w:tcPr>
            <w:tcW w:w="1639" w:type="dxa"/>
            <w:vAlign w:val="center"/>
          </w:tcPr>
          <w:p w14:paraId="1B6FD869">
            <w:pPr>
              <w:pStyle w:val="73"/>
              <w:keepNext w:val="0"/>
              <w:keepLines w:val="0"/>
              <w:pageBreakBefore w:val="0"/>
              <w:widowControl/>
              <w:kinsoku w:val="0"/>
              <w:wordWrap/>
              <w:bidi w:val="0"/>
              <w:adjustRightInd w:val="0"/>
              <w:snapToGrid w:val="0"/>
              <w:spacing w:line="360" w:lineRule="auto"/>
              <w:ind w:left="0" w:leftChars="0" w:right="0" w:righ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评分内容</w:t>
            </w:r>
          </w:p>
        </w:tc>
        <w:tc>
          <w:tcPr>
            <w:tcW w:w="6441" w:type="dxa"/>
            <w:vAlign w:val="center"/>
          </w:tcPr>
          <w:p w14:paraId="5EC6D676">
            <w:pPr>
              <w:pStyle w:val="73"/>
              <w:keepNext w:val="0"/>
              <w:keepLines w:val="0"/>
              <w:pageBreakBefore w:val="0"/>
              <w:widowControl/>
              <w:kinsoku w:val="0"/>
              <w:wordWrap/>
              <w:bidi w:val="0"/>
              <w:adjustRightInd w:val="0"/>
              <w:snapToGrid w:val="0"/>
              <w:spacing w:line="360" w:lineRule="auto"/>
              <w:ind w:left="0" w:leftChars="0" w:right="0" w:righ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14:paraId="790B3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jc w:val="center"/>
        </w:trPr>
        <w:tc>
          <w:tcPr>
            <w:tcW w:w="1276" w:type="dxa"/>
            <w:vAlign w:val="center"/>
          </w:tcPr>
          <w:p w14:paraId="15889E0F">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jc w:val="left"/>
              <w:rPr>
                <w:rFonts w:hint="eastAsia" w:ascii="宋体" w:hAnsi="宋体" w:eastAsia="宋体" w:cs="宋体"/>
                <w:b/>
                <w:color w:val="auto"/>
                <w:sz w:val="24"/>
                <w:szCs w:val="24"/>
                <w:highlight w:val="none"/>
              </w:rPr>
            </w:pPr>
            <w:r>
              <w:rPr>
                <w:rFonts w:hint="eastAsia" w:ascii="宋体" w:hAnsi="宋体" w:eastAsia="宋体" w:cs="宋体"/>
                <w:b w:val="0"/>
                <w:bCs w:val="0"/>
                <w:snapToGrid w:val="0"/>
                <w:sz w:val="24"/>
                <w:szCs w:val="24"/>
                <w:highlight w:val="none"/>
              </w:rPr>
              <w:t>价格部分</w:t>
            </w:r>
            <w:r>
              <w:rPr>
                <w:rFonts w:hint="eastAsia" w:ascii="宋体" w:hAnsi="宋体" w:eastAsia="宋体" w:cs="宋体"/>
                <w:b w:val="0"/>
                <w:bCs w:val="0"/>
                <w:snapToGrid w:val="0"/>
                <w:sz w:val="24"/>
                <w:szCs w:val="24"/>
                <w:highlight w:val="none"/>
                <w:lang w:val="en-US" w:eastAsia="zh-CN"/>
              </w:rPr>
              <w:t>30</w:t>
            </w:r>
            <w:r>
              <w:rPr>
                <w:rFonts w:hint="eastAsia" w:ascii="宋体" w:hAnsi="宋体" w:eastAsia="宋体" w:cs="宋体"/>
                <w:b w:val="0"/>
                <w:bCs w:val="0"/>
                <w:snapToGrid w:val="0"/>
                <w:sz w:val="24"/>
                <w:szCs w:val="24"/>
                <w:highlight w:val="none"/>
              </w:rPr>
              <w:t>分</w:t>
            </w:r>
          </w:p>
        </w:tc>
        <w:tc>
          <w:tcPr>
            <w:tcW w:w="1639" w:type="dxa"/>
            <w:vAlign w:val="center"/>
          </w:tcPr>
          <w:p w14:paraId="3DDAC608">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jc w:val="left"/>
              <w:rPr>
                <w:rFonts w:hint="eastAsia" w:ascii="宋体" w:hAnsi="宋体" w:eastAsia="宋体" w:cs="宋体"/>
                <w:b/>
                <w:color w:val="auto"/>
                <w:sz w:val="24"/>
                <w:szCs w:val="24"/>
                <w:highlight w:val="none"/>
              </w:rPr>
            </w:pPr>
            <w:r>
              <w:rPr>
                <w:rFonts w:hint="eastAsia" w:ascii="宋体" w:hAnsi="宋体" w:eastAsia="宋体" w:cs="宋体"/>
                <w:b w:val="0"/>
                <w:bCs w:val="0"/>
                <w:snapToGrid w:val="0"/>
                <w:sz w:val="24"/>
                <w:szCs w:val="24"/>
                <w:highlight w:val="none"/>
              </w:rPr>
              <w:t>投标报价</w:t>
            </w:r>
          </w:p>
        </w:tc>
        <w:tc>
          <w:tcPr>
            <w:tcW w:w="6441" w:type="dxa"/>
            <w:vAlign w:val="top"/>
          </w:tcPr>
          <w:p w14:paraId="70812322">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1、价格分采用低价优先法计算，即满足招标文件通过资格性和形式性审查且投标价格最低的投标报价为评标基准价，其价格得分为满分30分。</w:t>
            </w:r>
          </w:p>
          <w:p w14:paraId="4F5A34DF">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2、其他供应商的价格分统一按照下列公式计算：</w:t>
            </w:r>
          </w:p>
          <w:p w14:paraId="6583B8F2">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投标报价得分=(评标基准价／投标报价)×30</w:t>
            </w:r>
          </w:p>
          <w:p w14:paraId="4288A9B3">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3、价格扣除：1.根据《政府采购促进中小企业发展管理办法》（财库﹝2020﹞46 号）及《三门峡市财政局关于进一步优化提升政府采购营商环境有关事项通知》（三财购（2021）14号）及《三门峡市财政局关于进一步加大政府采购支持中小企业发展有关事项的通知》（三财购（2022）9号）的规定，对小型、微型企业产品的价格给予10%～20%的扣除，本项目小型、微型企业（提供证明材料）按20%扣除，使用扣除后的价格参与评审。对于中型企业产品的价格不予扣除。小微企业需完整填写小微企业声明函并提供证明资料。</w:t>
            </w:r>
          </w:p>
          <w:p w14:paraId="462E0B3E">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所投小微企业产品报价=所投小微企业产品报价×（1-20%）</w:t>
            </w:r>
          </w:p>
          <w:p w14:paraId="6C561A37">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4、根据财政部司法部《关于政府采购支持监狱企业发展有关问题的通知》（财库〔2014〕68号）规定及《关于进一步加大政府采购支持中小企业发展有关事项的通知》（灵财[2022]97号）通知，本项目对监狱企业作为供应商所提供的本企业生产的产品的价格给予20%的扣除。监狱企业，应当提供由省级以上监狱管理局、戒毒管理局（含新疆生产建设兵团）出具的属于监狱企业的证明文件。</w:t>
            </w:r>
          </w:p>
          <w:p w14:paraId="379A4E0F">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5、根据财政部民政部中国残疾人联合会《关于促进残疾人就业政府采购政策的通知》（财库〔2017〕141号）规定，对于残疾人福利性单位视同为小型、微型企业，价格给予20%的扣除。</w:t>
            </w:r>
          </w:p>
          <w:p w14:paraId="37F73118">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6、同一供应商，中小微企业产品和监狱企业产品价格扣除优惠只享受一次，不得重复享受。</w:t>
            </w:r>
          </w:p>
          <w:p w14:paraId="0067F186">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注：价格分计算保留小数点后二位。</w:t>
            </w:r>
          </w:p>
          <w:p w14:paraId="1D018862">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color w:val="auto"/>
                <w:sz w:val="24"/>
                <w:szCs w:val="24"/>
                <w:highlight w:val="none"/>
              </w:rPr>
            </w:pPr>
            <w:r>
              <w:rPr>
                <w:rFonts w:hint="eastAsia" w:ascii="宋体" w:hAnsi="宋体" w:eastAsia="宋体" w:cs="宋体"/>
                <w:b w:val="0"/>
                <w:bCs w:val="0"/>
                <w:snapToGrid w:val="0"/>
                <w:kern w:val="2"/>
                <w:sz w:val="24"/>
                <w:szCs w:val="24"/>
                <w:highlight w:val="none"/>
                <w:lang w:val="en-US" w:eastAsia="zh-CN"/>
              </w:rPr>
              <w:t>在评标过程中，评标委员会发现供应商的报价明显低于成本价时或明显低于其他通过初步审查供应商的报价，有可能影响产品质量或者不能诚信履约的，评标委员会可向该供应商提出询问， 要求该供应商作出书面说明并提供相关证明材料。供应商不能合理说明及不能提供相关证明材料的，评标委员会认定该供应商以低于成本价恶意竞标，其投标作废标处理。</w:t>
            </w:r>
          </w:p>
        </w:tc>
      </w:tr>
      <w:tr w14:paraId="3FC2A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76" w:type="dxa"/>
            <w:vMerge w:val="restart"/>
            <w:vAlign w:val="center"/>
          </w:tcPr>
          <w:p w14:paraId="73EE8602">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技术部分（0-50分）</w:t>
            </w:r>
          </w:p>
        </w:tc>
        <w:tc>
          <w:tcPr>
            <w:tcW w:w="1639" w:type="dxa"/>
            <w:vAlign w:val="center"/>
          </w:tcPr>
          <w:p w14:paraId="21CE28A7">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技术参数</w:t>
            </w:r>
          </w:p>
          <w:p w14:paraId="26FC33B6">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（10分）</w:t>
            </w:r>
          </w:p>
        </w:tc>
        <w:tc>
          <w:tcPr>
            <w:tcW w:w="6441" w:type="dxa"/>
            <w:vAlign w:val="center"/>
          </w:tcPr>
          <w:p w14:paraId="691F5FE8">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color w:val="auto"/>
                <w:sz w:val="24"/>
                <w:szCs w:val="24"/>
                <w:highlight w:val="none"/>
              </w:rPr>
            </w:pPr>
            <w:r>
              <w:rPr>
                <w:rFonts w:hint="eastAsia" w:ascii="宋体" w:hAnsi="宋体" w:eastAsia="宋体" w:cs="宋体"/>
                <w:b w:val="0"/>
                <w:bCs w:val="0"/>
                <w:snapToGrid w:val="0"/>
                <w:kern w:val="2"/>
                <w:sz w:val="24"/>
                <w:szCs w:val="24"/>
                <w:highlight w:val="none"/>
                <w:lang w:val="en-US" w:eastAsia="zh-CN"/>
              </w:rPr>
              <w:t>供应商投标产品满足技术参数要求，得满分10分，有一项不满足招标文件要求的扣3分，扣完为止。</w:t>
            </w:r>
          </w:p>
        </w:tc>
      </w:tr>
      <w:tr w14:paraId="265E9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114B374F">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b/>
                <w:color w:val="auto"/>
                <w:sz w:val="24"/>
                <w:szCs w:val="24"/>
                <w:highlight w:val="none"/>
              </w:rPr>
            </w:pPr>
          </w:p>
        </w:tc>
        <w:tc>
          <w:tcPr>
            <w:tcW w:w="1639" w:type="dxa"/>
            <w:vAlign w:val="center"/>
          </w:tcPr>
          <w:p w14:paraId="79E0AEF1">
            <w:pPr>
              <w:keepNext w:val="0"/>
              <w:keepLines w:val="0"/>
              <w:pageBreakBefore w:val="0"/>
              <w:widowControl/>
              <w:numPr>
                <w:ilvl w:val="0"/>
                <w:numId w:val="0"/>
              </w:numPr>
              <w:kinsoku w:val="0"/>
              <w:wordWrap/>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实施方案</w:t>
            </w:r>
          </w:p>
          <w:p w14:paraId="271C47E1">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lang w:val="en-US" w:eastAsia="zh-CN"/>
              </w:rPr>
              <w:t>（0-10分）</w:t>
            </w:r>
          </w:p>
        </w:tc>
        <w:tc>
          <w:tcPr>
            <w:tcW w:w="6441" w:type="dxa"/>
            <w:vAlign w:val="top"/>
          </w:tcPr>
          <w:p w14:paraId="4E2EFCD6">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sz w:val="24"/>
                <w:szCs w:val="24"/>
                <w:highlight w:val="none"/>
              </w:rPr>
            </w:pPr>
            <w:r>
              <w:rPr>
                <w:rFonts w:hint="eastAsia" w:ascii="宋体" w:hAnsi="宋体" w:eastAsia="宋体" w:cs="宋体"/>
                <w:b w:val="0"/>
                <w:bCs w:val="0"/>
                <w:snapToGrid w:val="0"/>
                <w:kern w:val="2"/>
                <w:sz w:val="24"/>
                <w:szCs w:val="24"/>
                <w:highlight w:val="none"/>
                <w:lang w:val="en-US" w:eastAsia="zh-CN"/>
              </w:rPr>
              <w:t>提供项目组织实施方案，评委根据方案中人员组织、进度安排、实施步骤、保障措施等内容及优惠服务等内容进行对比，详细、完整、合理的得7-10分，较详细、完整、合理的得3-7分，一般的得3分，否则不得分。</w:t>
            </w:r>
          </w:p>
        </w:tc>
      </w:tr>
      <w:tr w14:paraId="4EEED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5F87BFEA">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b/>
                <w:color w:val="auto"/>
                <w:sz w:val="24"/>
                <w:szCs w:val="24"/>
                <w:highlight w:val="none"/>
              </w:rPr>
            </w:pPr>
          </w:p>
        </w:tc>
        <w:tc>
          <w:tcPr>
            <w:tcW w:w="1639" w:type="dxa"/>
            <w:vAlign w:val="center"/>
          </w:tcPr>
          <w:p w14:paraId="4447E1C3">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质量保障措施</w:t>
            </w:r>
            <w:r>
              <w:rPr>
                <w:rFonts w:hint="eastAsia" w:ascii="宋体" w:hAnsi="宋体" w:eastAsia="宋体" w:cs="宋体"/>
                <w:color w:val="auto"/>
                <w:sz w:val="24"/>
                <w:szCs w:val="24"/>
                <w:highlight w:val="none"/>
                <w:lang w:val="en-US" w:eastAsia="zh-CN"/>
              </w:rPr>
              <w:t>（0-10分）</w:t>
            </w:r>
          </w:p>
        </w:tc>
        <w:tc>
          <w:tcPr>
            <w:tcW w:w="6441" w:type="dxa"/>
            <w:vAlign w:val="center"/>
          </w:tcPr>
          <w:p w14:paraId="40FAE31B">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根据供应商提供的质量保障措施是否科学、合理、可行。</w:t>
            </w:r>
          </w:p>
          <w:p w14:paraId="3A088282">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投标人提供的质量保证措施便于实施、具有针对性、完善程度高</w:t>
            </w:r>
            <w:r>
              <w:rPr>
                <w:rFonts w:hint="eastAsia" w:ascii="宋体" w:hAnsi="宋体" w:eastAsia="宋体" w:cs="宋体"/>
                <w:sz w:val="24"/>
                <w:szCs w:val="24"/>
                <w:highlight w:val="none"/>
                <w:lang w:eastAsia="zh-CN"/>
              </w:rPr>
              <w:t>，质量稳定，包装完整、环保，能够提供相关的证明</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7-10</w:t>
            </w:r>
            <w:r>
              <w:rPr>
                <w:rFonts w:hint="eastAsia" w:ascii="宋体" w:hAnsi="宋体" w:eastAsia="宋体" w:cs="宋体"/>
                <w:sz w:val="24"/>
                <w:szCs w:val="24"/>
                <w:highlight w:val="none"/>
              </w:rPr>
              <w:t>分；</w:t>
            </w:r>
          </w:p>
          <w:p w14:paraId="7AA82E79">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投标人提供的质量保证措施合理便于实施、但完善程度一般不够详尽的</w:t>
            </w:r>
            <w:r>
              <w:rPr>
                <w:rFonts w:hint="eastAsia" w:ascii="宋体" w:hAnsi="宋体" w:eastAsia="宋体" w:cs="宋体"/>
                <w:sz w:val="24"/>
                <w:szCs w:val="24"/>
                <w:highlight w:val="none"/>
                <w:lang w:eastAsia="zh-CN"/>
              </w:rPr>
              <w:t>，相关证明和保证措施内容基本完整</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3-7</w:t>
            </w:r>
            <w:r>
              <w:rPr>
                <w:rFonts w:hint="eastAsia" w:ascii="宋体" w:hAnsi="宋体" w:eastAsia="宋体" w:cs="宋体"/>
                <w:sz w:val="24"/>
                <w:szCs w:val="24"/>
                <w:highlight w:val="none"/>
              </w:rPr>
              <w:t>分；</w:t>
            </w:r>
          </w:p>
          <w:p w14:paraId="16B6FE0D">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投标人提供的质量保证措施合理性一般，不便于实施，完善程度一般不够详尽的</w:t>
            </w:r>
            <w:r>
              <w:rPr>
                <w:rFonts w:hint="eastAsia" w:ascii="宋体" w:hAnsi="宋体" w:eastAsia="宋体" w:cs="宋体"/>
                <w:sz w:val="24"/>
                <w:szCs w:val="24"/>
                <w:highlight w:val="none"/>
                <w:lang w:eastAsia="zh-CN"/>
              </w:rPr>
              <w:t>。相关证明和保证措施内容一般</w:t>
            </w:r>
            <w:r>
              <w:rPr>
                <w:rFonts w:hint="eastAsia" w:ascii="宋体" w:hAnsi="宋体" w:eastAsia="宋体" w:cs="宋体"/>
                <w:sz w:val="24"/>
                <w:szCs w:val="24"/>
                <w:highlight w:val="none"/>
              </w:rPr>
              <w:t>得3分。</w:t>
            </w:r>
          </w:p>
          <w:p w14:paraId="627BE1D2">
            <w:pPr>
              <w:keepNext w:val="0"/>
              <w:keepLines w:val="0"/>
              <w:pageBreakBefore w:val="0"/>
              <w:widowControl/>
              <w:kinsoku w:val="0"/>
              <w:wordWrap/>
              <w:bidi w:val="0"/>
              <w:adjustRightInd w:val="0"/>
              <w:snapToGrid w:val="0"/>
              <w:spacing w:line="360" w:lineRule="auto"/>
              <w:ind w:left="0" w:leftChars="0" w:right="0" w:rightChars="0"/>
              <w:jc w:val="left"/>
              <w:rPr>
                <w:rFonts w:hint="eastAsia"/>
                <w:highlight w:val="none"/>
              </w:rPr>
            </w:pPr>
            <w:r>
              <w:rPr>
                <w:rFonts w:hint="eastAsia" w:ascii="宋体" w:hAnsi="宋体" w:eastAsia="宋体" w:cs="宋体"/>
                <w:sz w:val="24"/>
                <w:szCs w:val="24"/>
                <w:highlight w:val="none"/>
              </w:rPr>
              <w:t>投标人没有提供上述内容，或提供的不完整有缺项的得0 分</w:t>
            </w:r>
          </w:p>
        </w:tc>
      </w:tr>
      <w:tr w14:paraId="4EEB9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5A8959C5">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b/>
                <w:color w:val="auto"/>
                <w:sz w:val="24"/>
                <w:szCs w:val="24"/>
                <w:highlight w:val="none"/>
              </w:rPr>
            </w:pPr>
          </w:p>
        </w:tc>
        <w:tc>
          <w:tcPr>
            <w:tcW w:w="1639" w:type="dxa"/>
            <w:vAlign w:val="center"/>
          </w:tcPr>
          <w:p w14:paraId="53DF90D9">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供货方案（</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10分）</w:t>
            </w:r>
          </w:p>
        </w:tc>
        <w:tc>
          <w:tcPr>
            <w:tcW w:w="6441" w:type="dxa"/>
            <w:vAlign w:val="center"/>
          </w:tcPr>
          <w:p w14:paraId="6227D220">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根据采购人实际需求，针对项目实际情况，提供农药统一进行送货到指定地点的实施有详细的供货、组织协调计划，人员、车辆配备合理、可行，供货保证措施明确、具体的，得</w:t>
            </w:r>
            <w:r>
              <w:rPr>
                <w:rFonts w:hint="eastAsia" w:ascii="宋体" w:hAnsi="宋体" w:eastAsia="宋体" w:cs="宋体"/>
                <w:sz w:val="24"/>
                <w:szCs w:val="24"/>
                <w:highlight w:val="none"/>
                <w:lang w:val="en-US" w:eastAsia="zh-CN"/>
              </w:rPr>
              <w:t>7-10</w:t>
            </w:r>
            <w:r>
              <w:rPr>
                <w:rFonts w:hint="eastAsia" w:ascii="宋体" w:hAnsi="宋体" w:eastAsia="宋体" w:cs="宋体"/>
                <w:sz w:val="24"/>
                <w:szCs w:val="24"/>
                <w:highlight w:val="none"/>
              </w:rPr>
              <w:t>分；</w:t>
            </w:r>
          </w:p>
          <w:p w14:paraId="36AE936A">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根据采购人实际需求，针对项目实际情况，提供农药统一进行送货到指定地点的实施有基本合理的供货、组织协调计划，人员、车辆配备基本满足供货需求，供货保证措施基本可行的，得</w:t>
            </w:r>
            <w:r>
              <w:rPr>
                <w:rFonts w:hint="eastAsia" w:ascii="宋体" w:hAnsi="宋体" w:eastAsia="宋体" w:cs="宋体"/>
                <w:sz w:val="24"/>
                <w:szCs w:val="24"/>
                <w:highlight w:val="none"/>
                <w:lang w:val="en-US" w:eastAsia="zh-CN"/>
              </w:rPr>
              <w:t>3-7</w:t>
            </w:r>
            <w:r>
              <w:rPr>
                <w:rFonts w:hint="eastAsia" w:ascii="宋体" w:hAnsi="宋体" w:eastAsia="宋体" w:cs="宋体"/>
                <w:sz w:val="24"/>
                <w:szCs w:val="24"/>
                <w:highlight w:val="none"/>
              </w:rPr>
              <w:t>分；</w:t>
            </w:r>
          </w:p>
          <w:p w14:paraId="3423F228">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针对项目实际情况，提供农药统一进行送货到指定地点的实施有详细的供货、基本合理。有人员安排计划、供货计划的，得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1212C8B7">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没有不得分</w:t>
            </w:r>
            <w:r>
              <w:rPr>
                <w:rFonts w:hint="eastAsia" w:ascii="宋体" w:hAnsi="宋体" w:eastAsia="宋体" w:cs="宋体"/>
                <w:sz w:val="24"/>
                <w:szCs w:val="24"/>
                <w:highlight w:val="none"/>
                <w:lang w:eastAsia="zh-CN"/>
              </w:rPr>
              <w:t>；</w:t>
            </w:r>
          </w:p>
        </w:tc>
      </w:tr>
      <w:tr w14:paraId="16E1A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47D8A1F4">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b/>
                <w:color w:val="auto"/>
                <w:sz w:val="24"/>
                <w:szCs w:val="24"/>
                <w:highlight w:val="none"/>
              </w:rPr>
            </w:pPr>
          </w:p>
        </w:tc>
        <w:tc>
          <w:tcPr>
            <w:tcW w:w="1639" w:type="dxa"/>
            <w:vAlign w:val="center"/>
          </w:tcPr>
          <w:p w14:paraId="20D61D9E">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安全保障措施</w:t>
            </w:r>
            <w:r>
              <w:rPr>
                <w:rFonts w:hint="eastAsia" w:ascii="宋体" w:hAnsi="宋体" w:eastAsia="宋体" w:cs="宋体"/>
                <w:sz w:val="24"/>
                <w:szCs w:val="24"/>
                <w:highlight w:val="none"/>
                <w:lang w:val="en-US" w:eastAsia="zh-CN"/>
              </w:rPr>
              <w:t>（0-10分）</w:t>
            </w:r>
          </w:p>
        </w:tc>
        <w:tc>
          <w:tcPr>
            <w:tcW w:w="6441" w:type="dxa"/>
            <w:vAlign w:val="center"/>
          </w:tcPr>
          <w:p w14:paraId="05B78325">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有制定全面的服务安全保障</w:t>
            </w: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rPr>
              <w:t>，对服务过程中的关键节点有具体安全控制措施，有相应的人力、物力投入安排，能够确保服务安全的，得</w:t>
            </w:r>
            <w:r>
              <w:rPr>
                <w:rFonts w:hint="eastAsia" w:ascii="宋体" w:hAnsi="宋体" w:eastAsia="宋体" w:cs="宋体"/>
                <w:sz w:val="24"/>
                <w:szCs w:val="24"/>
                <w:highlight w:val="none"/>
                <w:lang w:val="en-US" w:eastAsia="zh-CN"/>
              </w:rPr>
              <w:t>7-10</w:t>
            </w:r>
            <w:r>
              <w:rPr>
                <w:rFonts w:hint="eastAsia" w:ascii="宋体" w:hAnsi="宋体" w:eastAsia="宋体" w:cs="宋体"/>
                <w:sz w:val="24"/>
                <w:szCs w:val="24"/>
                <w:highlight w:val="none"/>
              </w:rPr>
              <w:t>分；</w:t>
            </w:r>
          </w:p>
          <w:p w14:paraId="46E8D4FF">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第</w:t>
            </w:r>
            <w:r>
              <w:rPr>
                <w:rFonts w:hint="eastAsia" w:ascii="宋体" w:hAnsi="宋体" w:eastAsia="宋体" w:cs="宋体"/>
                <w:sz w:val="24"/>
                <w:szCs w:val="24"/>
                <w:highlight w:val="none"/>
              </w:rPr>
              <w:t>安全保障</w:t>
            </w: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rPr>
              <w:t>较完整详细、基本合理、可靠性较强的，得</w:t>
            </w:r>
            <w:r>
              <w:rPr>
                <w:rFonts w:hint="eastAsia" w:ascii="宋体" w:hAnsi="宋体" w:eastAsia="宋体" w:cs="宋体"/>
                <w:sz w:val="24"/>
                <w:szCs w:val="24"/>
                <w:highlight w:val="none"/>
                <w:lang w:val="en-US" w:eastAsia="zh-CN"/>
              </w:rPr>
              <w:t>3-7</w:t>
            </w:r>
            <w:r>
              <w:rPr>
                <w:rFonts w:hint="eastAsia" w:ascii="宋体" w:hAnsi="宋体" w:eastAsia="宋体" w:cs="宋体"/>
                <w:sz w:val="24"/>
                <w:szCs w:val="24"/>
                <w:highlight w:val="none"/>
              </w:rPr>
              <w:t>分；</w:t>
            </w:r>
          </w:p>
          <w:p w14:paraId="0A834E19">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安全保障</w:t>
            </w: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rPr>
              <w:t>一般、合理性和可靠性一般的，得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5C154076">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没有不得分</w:t>
            </w:r>
            <w:r>
              <w:rPr>
                <w:rFonts w:hint="eastAsia" w:ascii="宋体" w:hAnsi="宋体" w:eastAsia="宋体" w:cs="宋体"/>
                <w:sz w:val="24"/>
                <w:szCs w:val="24"/>
                <w:highlight w:val="none"/>
                <w:lang w:eastAsia="zh-CN"/>
              </w:rPr>
              <w:t>；</w:t>
            </w:r>
          </w:p>
        </w:tc>
      </w:tr>
      <w:tr w14:paraId="3DCF5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1276" w:type="dxa"/>
            <w:vMerge w:val="restart"/>
            <w:vAlign w:val="center"/>
          </w:tcPr>
          <w:p w14:paraId="382468DA">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商务部分</w:t>
            </w:r>
          </w:p>
          <w:p w14:paraId="2F21FBA0">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分）</w:t>
            </w:r>
          </w:p>
        </w:tc>
        <w:tc>
          <w:tcPr>
            <w:tcW w:w="1639" w:type="dxa"/>
            <w:vAlign w:val="center"/>
          </w:tcPr>
          <w:p w14:paraId="638EAFFF">
            <w:pPr>
              <w:pStyle w:val="73"/>
              <w:keepNext w:val="0"/>
              <w:keepLines w:val="0"/>
              <w:pageBreakBefore w:val="0"/>
              <w:widowControl/>
              <w:kinsoku w:val="0"/>
              <w:wordWrap/>
              <w:bidi w:val="0"/>
              <w:adjustRightInd w:val="0"/>
              <w:snapToGrid w:val="0"/>
              <w:spacing w:line="360" w:lineRule="auto"/>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企业业绩</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8"/>
                <w:sz w:val="24"/>
                <w:szCs w:val="24"/>
                <w:highlight w:val="none"/>
                <w:lang w:val="en-US" w:eastAsia="zh-CN"/>
              </w:rPr>
              <w:t>6</w:t>
            </w:r>
            <w:r>
              <w:rPr>
                <w:rFonts w:hint="eastAsia" w:ascii="宋体" w:hAnsi="宋体" w:eastAsia="宋体" w:cs="宋体"/>
                <w:color w:val="auto"/>
                <w:spacing w:val="-8"/>
                <w:sz w:val="24"/>
                <w:szCs w:val="24"/>
                <w:highlight w:val="none"/>
              </w:rPr>
              <w:t>分）</w:t>
            </w:r>
          </w:p>
        </w:tc>
        <w:tc>
          <w:tcPr>
            <w:tcW w:w="6441" w:type="dxa"/>
            <w:vAlign w:val="center"/>
          </w:tcPr>
          <w:p w14:paraId="2F08B655">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供应商自20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年1月</w:t>
            </w:r>
            <w:r>
              <w:rPr>
                <w:rFonts w:hint="eastAsia" w:ascii="宋体" w:hAnsi="宋体" w:eastAsia="宋体" w:cs="宋体"/>
                <w:color w:val="auto"/>
                <w:sz w:val="24"/>
                <w:szCs w:val="24"/>
                <w:highlight w:val="none"/>
                <w:lang w:val="en-US" w:eastAsia="zh-CN"/>
              </w:rPr>
              <w:t>1日</w:t>
            </w:r>
            <w:r>
              <w:rPr>
                <w:rFonts w:hint="eastAsia" w:ascii="宋体" w:hAnsi="宋体" w:eastAsia="宋体" w:cs="宋体"/>
                <w:color w:val="auto"/>
                <w:sz w:val="24"/>
                <w:szCs w:val="24"/>
                <w:highlight w:val="none"/>
              </w:rPr>
              <w:t>以来承接过类似项目的，每个得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分，最多得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分（提供合同协议，以合同签订日期为准）。</w:t>
            </w:r>
          </w:p>
        </w:tc>
      </w:tr>
      <w:tr w14:paraId="50641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1276" w:type="dxa"/>
            <w:vMerge w:val="continue"/>
            <w:vAlign w:val="center"/>
          </w:tcPr>
          <w:p w14:paraId="3B94D4EB">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p>
        </w:tc>
        <w:tc>
          <w:tcPr>
            <w:tcW w:w="1639" w:type="dxa"/>
            <w:vAlign w:val="center"/>
          </w:tcPr>
          <w:p w14:paraId="4ABB61E5">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center"/>
              <w:rPr>
                <w:rFonts w:hint="default" w:ascii="宋体" w:hAnsi="宋体" w:eastAsia="宋体" w:cs="宋体"/>
                <w:snapToGrid w:val="0"/>
                <w:kern w:val="2"/>
                <w:sz w:val="24"/>
                <w:szCs w:val="24"/>
                <w:highlight w:val="none"/>
                <w:lang w:val="en-US" w:eastAsia="zh-CN"/>
              </w:rPr>
            </w:pPr>
            <w:r>
              <w:rPr>
                <w:rFonts w:hint="eastAsia" w:ascii="宋体" w:hAnsi="宋体" w:eastAsia="宋体" w:cs="宋体"/>
                <w:snapToGrid w:val="0"/>
                <w:kern w:val="2"/>
                <w:sz w:val="24"/>
                <w:szCs w:val="24"/>
                <w:highlight w:val="none"/>
                <w:lang w:val="en-US" w:eastAsia="zh-CN"/>
              </w:rPr>
              <w:t>优惠承诺承诺</w:t>
            </w:r>
          </w:p>
          <w:p w14:paraId="06F7C6A8">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color w:val="auto"/>
                <w:sz w:val="24"/>
                <w:szCs w:val="24"/>
                <w:highlight w:val="none"/>
              </w:rPr>
            </w:pPr>
            <w:r>
              <w:rPr>
                <w:rFonts w:hint="eastAsia" w:ascii="宋体" w:hAnsi="宋体" w:eastAsia="宋体" w:cs="宋体"/>
                <w:snapToGrid w:val="0"/>
                <w:kern w:val="2"/>
                <w:sz w:val="24"/>
                <w:szCs w:val="24"/>
                <w:highlight w:val="none"/>
                <w:lang w:val="en-US" w:eastAsia="zh-CN"/>
              </w:rPr>
              <w:t>(0-4分)</w:t>
            </w:r>
          </w:p>
        </w:tc>
        <w:tc>
          <w:tcPr>
            <w:tcW w:w="6441" w:type="dxa"/>
            <w:vAlign w:val="center"/>
          </w:tcPr>
          <w:p w14:paraId="47B3FED8">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napToGrid w:val="0"/>
                <w:kern w:val="2"/>
                <w:sz w:val="24"/>
                <w:szCs w:val="24"/>
                <w:highlight w:val="none"/>
                <w:lang w:val="zh-CN" w:eastAsia="zh-CN"/>
              </w:rPr>
            </w:pPr>
            <w:r>
              <w:rPr>
                <w:rFonts w:hint="eastAsia" w:ascii="宋体" w:hAnsi="宋体" w:eastAsia="宋体" w:cs="宋体"/>
                <w:snapToGrid w:val="0"/>
                <w:kern w:val="2"/>
                <w:sz w:val="24"/>
                <w:szCs w:val="24"/>
                <w:highlight w:val="none"/>
                <w:lang w:val="en-US" w:eastAsia="zh-CN"/>
              </w:rPr>
              <w:t>磋商小组根据</w:t>
            </w:r>
            <w:r>
              <w:rPr>
                <w:rFonts w:hint="eastAsia" w:ascii="宋体" w:hAnsi="宋体" w:eastAsia="宋体" w:cs="宋体"/>
                <w:snapToGrid w:val="0"/>
                <w:kern w:val="2"/>
                <w:sz w:val="24"/>
                <w:szCs w:val="24"/>
                <w:highlight w:val="none"/>
                <w:lang w:val="zh-CN" w:eastAsia="zh-CN"/>
              </w:rPr>
              <w:t>投标人</w:t>
            </w:r>
            <w:r>
              <w:rPr>
                <w:rFonts w:hint="eastAsia" w:ascii="宋体" w:hAnsi="宋体" w:eastAsia="宋体" w:cs="宋体"/>
                <w:snapToGrid w:val="0"/>
                <w:kern w:val="2"/>
                <w:sz w:val="24"/>
                <w:szCs w:val="24"/>
                <w:highlight w:val="none"/>
                <w:lang w:val="en-US" w:eastAsia="zh-CN"/>
              </w:rPr>
              <w:t>提供优惠承诺</w:t>
            </w:r>
            <w:r>
              <w:rPr>
                <w:rFonts w:hint="eastAsia" w:ascii="宋体" w:hAnsi="宋体" w:eastAsia="宋体" w:cs="宋体"/>
                <w:snapToGrid w:val="0"/>
                <w:kern w:val="2"/>
                <w:sz w:val="24"/>
                <w:szCs w:val="24"/>
                <w:highlight w:val="none"/>
                <w:lang w:val="zh-CN" w:eastAsia="zh-CN"/>
              </w:rPr>
              <w:t>内容详实，科学、合理，考虑周全，措施到位，针对性强，完全能够满足项目的需要。（</w:t>
            </w:r>
            <w:r>
              <w:rPr>
                <w:rFonts w:hint="eastAsia" w:ascii="宋体" w:hAnsi="宋体" w:eastAsia="宋体" w:cs="宋体"/>
                <w:snapToGrid w:val="0"/>
                <w:kern w:val="2"/>
                <w:sz w:val="24"/>
                <w:szCs w:val="24"/>
                <w:highlight w:val="none"/>
                <w:lang w:val="en-US" w:eastAsia="zh-CN"/>
              </w:rPr>
              <w:t>0-4分</w:t>
            </w:r>
            <w:r>
              <w:rPr>
                <w:rFonts w:hint="eastAsia" w:ascii="宋体" w:hAnsi="宋体" w:eastAsia="宋体" w:cs="宋体"/>
                <w:snapToGrid w:val="0"/>
                <w:kern w:val="2"/>
                <w:sz w:val="24"/>
                <w:szCs w:val="24"/>
                <w:highlight w:val="none"/>
                <w:lang w:val="zh-CN" w:eastAsia="zh-CN"/>
              </w:rPr>
              <w:t>）</w:t>
            </w:r>
          </w:p>
          <w:p w14:paraId="172551AC">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val="en-US" w:eastAsia="zh-CN"/>
              </w:rPr>
              <w:t>优惠服务承诺</w:t>
            </w:r>
            <w:r>
              <w:rPr>
                <w:rFonts w:hint="eastAsia" w:ascii="宋体" w:hAnsi="宋体" w:eastAsia="宋体" w:cs="宋体"/>
                <w:sz w:val="24"/>
                <w:szCs w:val="24"/>
                <w:highlight w:val="none"/>
              </w:rPr>
              <w:t>便于实施、科学、合理、可行</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1B0EE38F">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val="en-US" w:eastAsia="zh-CN"/>
              </w:rPr>
              <w:t>优惠服务承诺</w:t>
            </w:r>
            <w:r>
              <w:rPr>
                <w:rFonts w:hint="eastAsia" w:ascii="宋体" w:hAnsi="宋体" w:eastAsia="宋体" w:cs="宋体"/>
                <w:sz w:val="24"/>
                <w:szCs w:val="24"/>
                <w:highlight w:val="none"/>
              </w:rPr>
              <w:t>合理性一般，不便于实施，完善程度一般，不够详尽的，得</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分。</w:t>
            </w:r>
          </w:p>
          <w:p w14:paraId="17C4CF75">
            <w:pPr>
              <w:pStyle w:val="44"/>
              <w:keepNext w:val="0"/>
              <w:keepLines w:val="0"/>
              <w:pageBreakBefore w:val="0"/>
              <w:widowControl/>
              <w:kinsoku w:val="0"/>
              <w:wordWrap/>
              <w:bidi w:val="0"/>
              <w:adjustRightInd w:val="0"/>
              <w:snapToGrid w:val="0"/>
              <w:spacing w:line="360" w:lineRule="auto"/>
              <w:ind w:left="0" w:leftChars="0" w:right="0" w:righ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不提供得0分。</w:t>
            </w:r>
          </w:p>
        </w:tc>
      </w:tr>
      <w:tr w14:paraId="3C7EA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1276" w:type="dxa"/>
            <w:vMerge w:val="continue"/>
            <w:vAlign w:val="center"/>
          </w:tcPr>
          <w:p w14:paraId="49DA1F5B">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p>
        </w:tc>
        <w:tc>
          <w:tcPr>
            <w:tcW w:w="1639" w:type="dxa"/>
            <w:vAlign w:val="center"/>
          </w:tcPr>
          <w:p w14:paraId="6E5F3743">
            <w:pPr>
              <w:pStyle w:val="73"/>
              <w:keepNext w:val="0"/>
              <w:keepLines w:val="0"/>
              <w:pageBreakBefore w:val="0"/>
              <w:widowControl/>
              <w:kinsoku w:val="0"/>
              <w:wordWrap/>
              <w:bidi w:val="0"/>
              <w:adjustRightInd w:val="0"/>
              <w:snapToGrid w:val="0"/>
              <w:spacing w:line="360" w:lineRule="auto"/>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8"/>
                <w:sz w:val="24"/>
                <w:szCs w:val="24"/>
                <w:highlight w:val="none"/>
                <w:lang w:val="en-US" w:eastAsia="zh-CN"/>
              </w:rPr>
              <w:t>10</w:t>
            </w:r>
            <w:r>
              <w:rPr>
                <w:rFonts w:hint="eastAsia" w:ascii="宋体" w:hAnsi="宋体" w:eastAsia="宋体" w:cs="宋体"/>
                <w:color w:val="auto"/>
                <w:spacing w:val="-8"/>
                <w:sz w:val="24"/>
                <w:szCs w:val="24"/>
                <w:highlight w:val="none"/>
              </w:rPr>
              <w:t>分）</w:t>
            </w:r>
          </w:p>
        </w:tc>
        <w:tc>
          <w:tcPr>
            <w:tcW w:w="6441" w:type="dxa"/>
            <w:vAlign w:val="center"/>
          </w:tcPr>
          <w:p w14:paraId="7617C4C5">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1.有优惠条件，有完善的售后服务计划、稳定的售后服务队伍、良好的服务信誉，服务热线、详细的人员培训计划</w:t>
            </w:r>
            <w:r>
              <w:rPr>
                <w:rFonts w:hint="eastAsia" w:ascii="宋体" w:hAnsi="宋体" w:eastAsia="宋体" w:cs="宋体"/>
                <w:color w:val="auto"/>
                <w:sz w:val="24"/>
                <w:szCs w:val="24"/>
                <w:highlight w:val="none"/>
                <w:lang w:eastAsia="zh-CN"/>
              </w:rPr>
              <w:t>。</w:t>
            </w:r>
          </w:p>
          <w:p w14:paraId="70C6AF54">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2.质保期内，出现任何问题，无条件负责等承诺情况；</w:t>
            </w:r>
          </w:p>
          <w:p w14:paraId="3A5A2367">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3.供应商应书面对本次对投标产品的性能、货源组织安排进行详细描述，发放到指定地点，配备相应技术人员和服务团队，为采购人免费提供技术培训、指导等承诺；</w:t>
            </w:r>
          </w:p>
          <w:p w14:paraId="60C56F92">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4.后期指导服务方案。</w:t>
            </w:r>
          </w:p>
          <w:p w14:paraId="510E163B">
            <w:pPr>
              <w:keepNext w:val="0"/>
              <w:keepLines w:val="0"/>
              <w:pageBreakBefore w:val="0"/>
              <w:widowControl/>
              <w:numPr>
                <w:ilvl w:val="0"/>
                <w:numId w:val="3"/>
              </w:numPr>
              <w:kinsoku w:val="0"/>
              <w:wordWrap/>
              <w:bidi w:val="0"/>
              <w:adjustRightInd w:val="0"/>
              <w:snapToGrid w:val="0"/>
              <w:spacing w:line="360" w:lineRule="auto"/>
              <w:ind w:left="0" w:leftChars="0" w:right="0" w:rightChars="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第一档：服务方案、措施及承诺特别全面、合理、可行、可实施性强，有详细的产品退换货方案及措施，能较好的满足本项目要求的得</w:t>
            </w:r>
            <w:r>
              <w:rPr>
                <w:rFonts w:hint="eastAsia" w:ascii="宋体" w:hAnsi="宋体" w:eastAsia="宋体" w:cs="宋体"/>
                <w:color w:val="auto"/>
                <w:sz w:val="24"/>
                <w:szCs w:val="24"/>
                <w:highlight w:val="none"/>
                <w:lang w:val="en-US" w:eastAsia="zh-CN"/>
              </w:rPr>
              <w:t>7-10</w:t>
            </w:r>
            <w:r>
              <w:rPr>
                <w:rFonts w:hint="eastAsia" w:ascii="宋体" w:hAnsi="宋体" w:eastAsia="宋体" w:cs="宋体"/>
                <w:color w:val="auto"/>
                <w:sz w:val="24"/>
                <w:szCs w:val="24"/>
                <w:highlight w:val="none"/>
              </w:rPr>
              <w:t>分；</w:t>
            </w:r>
          </w:p>
          <w:p w14:paraId="00154348">
            <w:pPr>
              <w:keepNext w:val="0"/>
              <w:keepLines w:val="0"/>
              <w:pageBreakBefore w:val="0"/>
              <w:widowControl/>
              <w:numPr>
                <w:ilvl w:val="0"/>
                <w:numId w:val="3"/>
              </w:numPr>
              <w:kinsoku w:val="0"/>
              <w:wordWrap/>
              <w:bidi w:val="0"/>
              <w:adjustRightInd w:val="0"/>
              <w:snapToGrid w:val="0"/>
              <w:spacing w:line="360" w:lineRule="auto"/>
              <w:ind w:left="0" w:leftChars="0" w:right="0" w:rightChars="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第二档：服务方案各方面安排较合理，产品退换货方案及措施简单、可实践实施的得</w:t>
            </w:r>
            <w:r>
              <w:rPr>
                <w:rFonts w:hint="eastAsia" w:ascii="宋体" w:hAnsi="宋体" w:eastAsia="宋体" w:cs="宋体"/>
                <w:color w:val="auto"/>
                <w:sz w:val="24"/>
                <w:szCs w:val="24"/>
                <w:highlight w:val="none"/>
                <w:lang w:val="en-US" w:eastAsia="zh-CN"/>
              </w:rPr>
              <w:t>5-7</w:t>
            </w:r>
            <w:r>
              <w:rPr>
                <w:rFonts w:hint="eastAsia" w:ascii="宋体" w:hAnsi="宋体" w:eastAsia="宋体" w:cs="宋体"/>
                <w:color w:val="auto"/>
                <w:sz w:val="24"/>
                <w:szCs w:val="24"/>
                <w:highlight w:val="none"/>
              </w:rPr>
              <w:t>分；</w:t>
            </w:r>
          </w:p>
          <w:p w14:paraId="5D11C7BF">
            <w:pPr>
              <w:keepNext w:val="0"/>
              <w:keepLines w:val="0"/>
              <w:pageBreakBefore w:val="0"/>
              <w:widowControl/>
              <w:numPr>
                <w:ilvl w:val="0"/>
                <w:numId w:val="3"/>
              </w:numPr>
              <w:kinsoku w:val="0"/>
              <w:wordWrap/>
              <w:bidi w:val="0"/>
              <w:adjustRightInd w:val="0"/>
              <w:snapToGrid w:val="0"/>
              <w:spacing w:line="360" w:lineRule="auto"/>
              <w:ind w:left="0" w:leftChars="0" w:right="0" w:rightChars="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第三档：服务方案各方面安排较差、均为通用性的说明，产品退换货方案及措施不具有实践实施性的得</w:t>
            </w: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分；</w:t>
            </w:r>
          </w:p>
          <w:p w14:paraId="1C3A2E28">
            <w:pPr>
              <w:keepNext w:val="0"/>
              <w:keepLines w:val="0"/>
              <w:pageBreakBefore w:val="0"/>
              <w:widowControl/>
              <w:numPr>
                <w:ilvl w:val="0"/>
                <w:numId w:val="3"/>
              </w:numPr>
              <w:kinsoku w:val="0"/>
              <w:wordWrap/>
              <w:bidi w:val="0"/>
              <w:adjustRightInd w:val="0"/>
              <w:snapToGrid w:val="0"/>
              <w:spacing w:line="360" w:lineRule="auto"/>
              <w:ind w:left="0" w:leftChars="0" w:right="0" w:rightChars="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第四档：有服务方案，但内容与本项目实际不符，无操作性的得</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分；</w:t>
            </w:r>
          </w:p>
          <w:p w14:paraId="74EE3E7B">
            <w:pPr>
              <w:keepNext w:val="0"/>
              <w:keepLines w:val="0"/>
              <w:pageBreakBefore w:val="0"/>
              <w:widowControl/>
              <w:numPr>
                <w:ilvl w:val="0"/>
                <w:numId w:val="3"/>
              </w:numPr>
              <w:kinsoku w:val="0"/>
              <w:wordWrap/>
              <w:bidi w:val="0"/>
              <w:adjustRightInd w:val="0"/>
              <w:snapToGrid w:val="0"/>
              <w:spacing w:line="360" w:lineRule="auto"/>
              <w:ind w:left="0" w:leftChars="0" w:right="0" w:rightChars="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第五档：完全不满足不得分。</w:t>
            </w:r>
          </w:p>
        </w:tc>
      </w:tr>
      <w:tr w14:paraId="5AD93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9356" w:type="dxa"/>
            <w:gridSpan w:val="3"/>
            <w:vAlign w:val="center"/>
          </w:tcPr>
          <w:p w14:paraId="15231F1C">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备注：1、评标打分部分：评标打分部分仍按照100分制原则进行，涉及到资格审查、企业荣誉、人员业绩、企业业绩等计分部分时，以投标单位自行上传到投标文件中的相应内容为准。</w:t>
            </w:r>
          </w:p>
          <w:p w14:paraId="2307CC09">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2、投标文件编制部分：在招标文件中要求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照投标文件格式进行投标文件编制，在投标文件编制时，应明确将投标单位企业基本情况、资质情况、人员情况、财务情况、业绩情况编入投标文件，便于进行资格审查及评标打分以投标文件业绩信息为准，可使用电子营业执照。</w:t>
            </w:r>
          </w:p>
          <w:p w14:paraId="00F53A9E">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3、磋商文件中涉及到资格审查、企业荣誉、人员业绩、企业业绩等计分部分，以投标单位自行上传到投标文件中的相应内容为准.</w:t>
            </w:r>
          </w:p>
          <w:p w14:paraId="14B8A610">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以上项目若有缺项的，该项为0分；不缺项的，不低于最低分。</w:t>
            </w:r>
          </w:p>
          <w:p w14:paraId="1C5FEF1E">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供应商综合得分等于投标报价、技术部分、综合部分的汇总得分。</w:t>
            </w:r>
          </w:p>
          <w:p w14:paraId="73127F49">
            <w:pPr>
              <w:keepNext w:val="0"/>
              <w:keepLines w:val="0"/>
              <w:pageBreakBefore w:val="0"/>
              <w:widowControl/>
              <w:numPr>
                <w:ilvl w:val="0"/>
                <w:numId w:val="3"/>
              </w:numPr>
              <w:kinsoku w:val="0"/>
              <w:wordWrap/>
              <w:bidi w:val="0"/>
              <w:adjustRightInd w:val="0"/>
              <w:snapToGrid w:val="0"/>
              <w:spacing w:line="360" w:lineRule="auto"/>
              <w:ind w:left="0" w:leftChars="0" w:right="0" w:rightChars="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磋商小组对各供应商的得分进行汇总，计算过程中磋商小组个人分值按四舍五入保留三位小数，最终结果按四舍五入保留两位小数。以各磋商小组打分的算术平均值作为该供应商的最终得分</w:t>
            </w:r>
          </w:p>
        </w:tc>
      </w:tr>
    </w:tbl>
    <w:p w14:paraId="74DA70CB">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vanish/>
          <w:color w:val="auto"/>
          <w:sz w:val="24"/>
          <w:szCs w:val="24"/>
          <w:highlight w:val="none"/>
        </w:rPr>
      </w:pPr>
    </w:p>
    <w:p w14:paraId="232C98F9">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firstLine="480"/>
        <w:jc w:val="both"/>
        <w:outlineLvl w:val="1"/>
        <w:rPr>
          <w:rFonts w:hint="eastAsia" w:ascii="宋体" w:hAnsi="宋体" w:eastAsia="宋体" w:cs="宋体"/>
          <w:b/>
          <w:snapToGrid w:val="0"/>
          <w:color w:val="000000"/>
          <w:sz w:val="24"/>
          <w:szCs w:val="24"/>
          <w:highlight w:val="none"/>
          <w:lang w:val="en-US" w:eastAsia="zh-CN"/>
        </w:rPr>
      </w:pPr>
      <w:r>
        <w:rPr>
          <w:rFonts w:hint="eastAsia" w:ascii="宋体" w:hAnsi="宋体" w:eastAsia="宋体" w:cs="宋体"/>
          <w:b/>
          <w:snapToGrid w:val="0"/>
          <w:color w:val="000000"/>
          <w:sz w:val="24"/>
          <w:szCs w:val="24"/>
          <w:highlight w:val="none"/>
          <w:lang w:val="en-US" w:eastAsia="zh-CN"/>
        </w:rPr>
        <w:t>二标段</w:t>
      </w:r>
    </w:p>
    <w:tbl>
      <w:tblPr>
        <w:tblStyle w:val="28"/>
        <w:tblW w:w="9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887"/>
        <w:gridCol w:w="6092"/>
      </w:tblGrid>
      <w:tr w14:paraId="2CBB9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atLeast"/>
          <w:jc w:val="center"/>
        </w:trPr>
        <w:tc>
          <w:tcPr>
            <w:tcW w:w="1260" w:type="dxa"/>
            <w:vAlign w:val="center"/>
          </w:tcPr>
          <w:p w14:paraId="0AD24135">
            <w:pPr>
              <w:pStyle w:val="73"/>
              <w:keepNext w:val="0"/>
              <w:keepLines w:val="0"/>
              <w:pageBreakBefore w:val="0"/>
              <w:widowControl/>
              <w:kinsoku w:val="0"/>
              <w:wordWrap/>
              <w:bidi w:val="0"/>
              <w:adjustRightInd w:val="0"/>
              <w:snapToGrid w:val="0"/>
              <w:spacing w:line="360" w:lineRule="auto"/>
              <w:ind w:left="0" w:leftChars="0" w:right="0" w:righ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w:t>
            </w:r>
          </w:p>
        </w:tc>
        <w:tc>
          <w:tcPr>
            <w:tcW w:w="1887" w:type="dxa"/>
            <w:vAlign w:val="center"/>
          </w:tcPr>
          <w:p w14:paraId="430106B1">
            <w:pPr>
              <w:pStyle w:val="73"/>
              <w:keepNext w:val="0"/>
              <w:keepLines w:val="0"/>
              <w:pageBreakBefore w:val="0"/>
              <w:widowControl/>
              <w:kinsoku w:val="0"/>
              <w:wordWrap/>
              <w:bidi w:val="0"/>
              <w:adjustRightInd w:val="0"/>
              <w:snapToGrid w:val="0"/>
              <w:spacing w:line="360" w:lineRule="auto"/>
              <w:ind w:left="0" w:leftChars="0" w:right="0" w:righ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评分内容</w:t>
            </w:r>
          </w:p>
        </w:tc>
        <w:tc>
          <w:tcPr>
            <w:tcW w:w="6092" w:type="dxa"/>
            <w:vAlign w:val="center"/>
          </w:tcPr>
          <w:p w14:paraId="009B0556">
            <w:pPr>
              <w:pStyle w:val="73"/>
              <w:keepNext w:val="0"/>
              <w:keepLines w:val="0"/>
              <w:pageBreakBefore w:val="0"/>
              <w:widowControl/>
              <w:kinsoku w:val="0"/>
              <w:wordWrap/>
              <w:bidi w:val="0"/>
              <w:adjustRightInd w:val="0"/>
              <w:snapToGrid w:val="0"/>
              <w:spacing w:line="360" w:lineRule="auto"/>
              <w:ind w:left="0" w:leftChars="0" w:right="0" w:righ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14:paraId="397BC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jc w:val="center"/>
        </w:trPr>
        <w:tc>
          <w:tcPr>
            <w:tcW w:w="1260" w:type="dxa"/>
            <w:vAlign w:val="center"/>
          </w:tcPr>
          <w:p w14:paraId="3E6F7B3D">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jc w:val="left"/>
              <w:rPr>
                <w:rFonts w:hint="eastAsia" w:ascii="宋体" w:hAnsi="宋体" w:eastAsia="宋体" w:cs="宋体"/>
                <w:b/>
                <w:color w:val="auto"/>
                <w:sz w:val="24"/>
                <w:szCs w:val="24"/>
                <w:highlight w:val="none"/>
              </w:rPr>
            </w:pPr>
            <w:r>
              <w:rPr>
                <w:rFonts w:hint="eastAsia" w:ascii="宋体" w:hAnsi="宋体" w:eastAsia="宋体" w:cs="宋体"/>
                <w:b w:val="0"/>
                <w:bCs w:val="0"/>
                <w:snapToGrid w:val="0"/>
                <w:sz w:val="24"/>
                <w:szCs w:val="24"/>
                <w:highlight w:val="none"/>
              </w:rPr>
              <w:t>价格部分</w:t>
            </w:r>
            <w:r>
              <w:rPr>
                <w:rFonts w:hint="eastAsia" w:ascii="宋体" w:hAnsi="宋体" w:eastAsia="宋体" w:cs="宋体"/>
                <w:b w:val="0"/>
                <w:bCs w:val="0"/>
                <w:snapToGrid w:val="0"/>
                <w:sz w:val="24"/>
                <w:szCs w:val="24"/>
                <w:highlight w:val="none"/>
                <w:lang w:val="en-US" w:eastAsia="zh-CN"/>
              </w:rPr>
              <w:t>20</w:t>
            </w:r>
            <w:r>
              <w:rPr>
                <w:rFonts w:hint="eastAsia" w:ascii="宋体" w:hAnsi="宋体" w:eastAsia="宋体" w:cs="宋体"/>
                <w:b w:val="0"/>
                <w:bCs w:val="0"/>
                <w:snapToGrid w:val="0"/>
                <w:sz w:val="24"/>
                <w:szCs w:val="24"/>
                <w:highlight w:val="none"/>
              </w:rPr>
              <w:t>分</w:t>
            </w:r>
          </w:p>
        </w:tc>
        <w:tc>
          <w:tcPr>
            <w:tcW w:w="1887" w:type="dxa"/>
            <w:vAlign w:val="center"/>
          </w:tcPr>
          <w:p w14:paraId="537070C9">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jc w:val="left"/>
              <w:rPr>
                <w:rFonts w:hint="eastAsia" w:ascii="宋体" w:hAnsi="宋体" w:eastAsia="宋体" w:cs="宋体"/>
                <w:b/>
                <w:color w:val="auto"/>
                <w:sz w:val="24"/>
                <w:szCs w:val="24"/>
                <w:highlight w:val="none"/>
              </w:rPr>
            </w:pPr>
            <w:r>
              <w:rPr>
                <w:rFonts w:hint="eastAsia" w:ascii="宋体" w:hAnsi="宋体" w:eastAsia="宋体" w:cs="宋体"/>
                <w:b w:val="0"/>
                <w:bCs w:val="0"/>
                <w:snapToGrid w:val="0"/>
                <w:sz w:val="24"/>
                <w:szCs w:val="24"/>
                <w:highlight w:val="none"/>
              </w:rPr>
              <w:t>投标报价</w:t>
            </w:r>
          </w:p>
        </w:tc>
        <w:tc>
          <w:tcPr>
            <w:tcW w:w="6092" w:type="dxa"/>
            <w:vAlign w:val="top"/>
          </w:tcPr>
          <w:p w14:paraId="5270BDFF">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1、价格分采用低价优先法计算，即满足招标文件通过资格性和形式性审查且投标价格最低的投标报价为评标基准价，其价格得分为满分20分。</w:t>
            </w:r>
          </w:p>
          <w:p w14:paraId="24406441">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2、其他供应商的价格分统一按照下列公式计算：</w:t>
            </w:r>
          </w:p>
          <w:p w14:paraId="4DF95B3D">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default"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投标报价得分=(评标基准价／投标报价)×20</w:t>
            </w:r>
          </w:p>
          <w:p w14:paraId="0C70DD57">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3、价格扣除：1.根据《政府采购促进中小企业发展管理办法》（财库﹝2020﹞46 号）及《三门峡市财政局关于进一步优化提升政府采购营商环境有关事项通知》（三财购（2021）14号）及《三门峡市财政局关于进一步加大政府采购支持中小企业发展有关事项的通知》（三财购（2022）9号）的规定，对小型、微型企业产品的价格给予10%～20%的扣除，本项目小型、微型企业（提供证明材料）按20%扣除，使用扣除后的价格参与评审。对于中型企业产品的价格不予扣除。小微企业需完整填写小微企业声明函并提供证明资料。</w:t>
            </w:r>
          </w:p>
          <w:p w14:paraId="04991D93">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所投小微企业产品报价=所投小微企业产品报价×（1-20%）</w:t>
            </w:r>
          </w:p>
          <w:p w14:paraId="14722B00">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4、根据财政部司法部《关于政府采购支持监狱企业发展有关问题的通知》（财库〔2014〕68号）规定及《关于进一步加大政府采购支持中小企业发展有关事项的通知》（灵财[2022]97号）通知，本项目对监狱企业作为供应商所提供的本企业生产的产品的价格给予20%的扣除。监狱企业，应当提供由省级以上监狱管理局、戒毒管理局（含新疆生产建设兵团）出具的属于监狱企业的证明文件。</w:t>
            </w:r>
          </w:p>
          <w:p w14:paraId="132296CE">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5、根据财政部民政部中国残疾人联合会《关于促进残疾人就业政府采购政策的通知》（财库〔2017〕141号）规定，对于残疾人福利性单位视同为小型、微型企业，价格给予20%的扣除。</w:t>
            </w:r>
          </w:p>
          <w:p w14:paraId="5DBF5088">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6、同一供应商，中小微企业产品和监狱企业产品价格扣除优惠只享受一次，不得重复享受。</w:t>
            </w:r>
          </w:p>
          <w:p w14:paraId="6F0BEDC3">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注：价格分计算保留小数点后二位。</w:t>
            </w:r>
          </w:p>
          <w:p w14:paraId="569B5FB5">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color w:val="auto"/>
                <w:sz w:val="24"/>
                <w:szCs w:val="24"/>
                <w:highlight w:val="none"/>
              </w:rPr>
            </w:pPr>
            <w:r>
              <w:rPr>
                <w:rFonts w:hint="eastAsia" w:ascii="宋体" w:hAnsi="宋体" w:eastAsia="宋体" w:cs="宋体"/>
                <w:b w:val="0"/>
                <w:bCs w:val="0"/>
                <w:snapToGrid w:val="0"/>
                <w:kern w:val="2"/>
                <w:sz w:val="24"/>
                <w:szCs w:val="24"/>
                <w:highlight w:val="none"/>
                <w:lang w:val="en-US" w:eastAsia="zh-CN"/>
              </w:rPr>
              <w:t>在评标过程中，评标委员会发现供应商的报价明显低于成本价时或明显低于其他通过初步审查供应商的报价，有可能影响产品质量或者不能诚信履约的，评标委员会可向该供应商提出询问， 要求该供应商作出书面说明并提供相关证明材料。供应商不能合理说明及不能提供相关证明材料的，评标委员会认定该供应商以低于成本价恶意竞标，其投标作废标处理。</w:t>
            </w:r>
          </w:p>
        </w:tc>
      </w:tr>
      <w:tr w14:paraId="7CBAF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60" w:type="dxa"/>
            <w:vMerge w:val="restart"/>
            <w:vAlign w:val="center"/>
          </w:tcPr>
          <w:p w14:paraId="0F72D3EB">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技术部分（0-60分）</w:t>
            </w:r>
          </w:p>
        </w:tc>
        <w:tc>
          <w:tcPr>
            <w:tcW w:w="1887" w:type="dxa"/>
            <w:vAlign w:val="center"/>
          </w:tcPr>
          <w:p w14:paraId="23730151">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技术参数</w:t>
            </w:r>
          </w:p>
          <w:p w14:paraId="0769F045">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（10分）</w:t>
            </w:r>
          </w:p>
        </w:tc>
        <w:tc>
          <w:tcPr>
            <w:tcW w:w="6092" w:type="dxa"/>
            <w:vAlign w:val="center"/>
          </w:tcPr>
          <w:p w14:paraId="4724E850">
            <w:pPr>
              <w:keepNext w:val="0"/>
              <w:keepLines w:val="0"/>
              <w:pageBreakBefore w:val="0"/>
              <w:widowControl/>
              <w:kinsoku w:val="0"/>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color w:val="auto"/>
                <w:sz w:val="24"/>
                <w:szCs w:val="24"/>
                <w:highlight w:val="none"/>
              </w:rPr>
            </w:pPr>
            <w:r>
              <w:rPr>
                <w:rFonts w:hint="eastAsia" w:ascii="宋体" w:hAnsi="宋体" w:eastAsia="宋体" w:cs="宋体"/>
                <w:b w:val="0"/>
                <w:bCs w:val="0"/>
                <w:snapToGrid w:val="0"/>
                <w:kern w:val="2"/>
                <w:sz w:val="24"/>
                <w:szCs w:val="24"/>
                <w:highlight w:val="none"/>
                <w:lang w:val="en-US" w:eastAsia="zh-CN"/>
              </w:rPr>
              <w:t>供应商投标产品满足技术参数要求，得满分10分，有一项不满足招标文件要求的扣3分，扣完为止。</w:t>
            </w:r>
          </w:p>
        </w:tc>
      </w:tr>
      <w:tr w14:paraId="51F1F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60" w:type="dxa"/>
            <w:vMerge w:val="continue"/>
            <w:vAlign w:val="center"/>
          </w:tcPr>
          <w:p w14:paraId="15C0CF6C">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b/>
                <w:color w:val="auto"/>
                <w:sz w:val="24"/>
                <w:szCs w:val="24"/>
                <w:highlight w:val="none"/>
              </w:rPr>
            </w:pPr>
          </w:p>
        </w:tc>
        <w:tc>
          <w:tcPr>
            <w:tcW w:w="1887" w:type="dxa"/>
            <w:vAlign w:val="center"/>
          </w:tcPr>
          <w:p w14:paraId="3F97F259">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lang w:val="en-US" w:eastAsia="zh-CN"/>
              </w:rPr>
              <w:t>服务方案（0-10分）</w:t>
            </w:r>
          </w:p>
        </w:tc>
        <w:tc>
          <w:tcPr>
            <w:tcW w:w="6092" w:type="dxa"/>
            <w:vAlign w:val="center"/>
          </w:tcPr>
          <w:p w14:paraId="1C889148">
            <w:pPr>
              <w:keepNext w:val="0"/>
              <w:keepLines w:val="0"/>
              <w:pageBreakBefore w:val="0"/>
              <w:widowControl/>
              <w:numPr>
                <w:ilvl w:val="0"/>
                <w:numId w:val="4"/>
              </w:numPr>
              <w:kinsoku w:val="0"/>
              <w:wordWrap/>
              <w:bidi w:val="0"/>
              <w:adjustRightInd w:val="0"/>
              <w:snapToGrid w:val="0"/>
              <w:spacing w:line="360" w:lineRule="auto"/>
              <w:ind w:left="0" w:leftChars="0" w:right="0" w:righ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服务方案针对本项目的特点，考虑周全、措施到位、条理清晰、思路明确、表述准确，方案技术含量高。</w:t>
            </w:r>
          </w:p>
          <w:p w14:paraId="5A1D841B">
            <w:pPr>
              <w:keepNext w:val="0"/>
              <w:keepLines w:val="0"/>
              <w:pageBreakBefore w:val="0"/>
              <w:widowControl/>
              <w:numPr>
                <w:ilvl w:val="0"/>
                <w:numId w:val="0"/>
              </w:numPr>
              <w:kinsoku w:val="0"/>
              <w:wordWrap/>
              <w:bidi w:val="0"/>
              <w:adjustRightInd w:val="0"/>
              <w:snapToGrid w:val="0"/>
              <w:spacing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kern w:val="2"/>
                <w:sz w:val="24"/>
                <w:szCs w:val="24"/>
                <w:highlight w:val="none"/>
                <w:lang w:val="en-US" w:eastAsia="zh-CN" w:bidi="ar-SA"/>
              </w:rPr>
              <w:t>服务方案全面、详尽、合理、有保障、完全满足项目要求的，得7-10分；方案不全面、或者不详尽的，得3-7分；方案不合理或者技术质量无保障的，得3分；缺项的不得分。</w:t>
            </w:r>
          </w:p>
        </w:tc>
      </w:tr>
      <w:tr w14:paraId="3E1E1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60" w:type="dxa"/>
            <w:vMerge w:val="continue"/>
            <w:vAlign w:val="center"/>
          </w:tcPr>
          <w:p w14:paraId="6596F66B">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b/>
                <w:color w:val="auto"/>
                <w:sz w:val="24"/>
                <w:szCs w:val="24"/>
                <w:highlight w:val="none"/>
              </w:rPr>
            </w:pPr>
          </w:p>
        </w:tc>
        <w:tc>
          <w:tcPr>
            <w:tcW w:w="1887" w:type="dxa"/>
            <w:vAlign w:val="center"/>
          </w:tcPr>
          <w:p w14:paraId="5CEF3CB6">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质量保障措施</w:t>
            </w:r>
            <w:r>
              <w:rPr>
                <w:rFonts w:hint="eastAsia" w:ascii="宋体" w:hAnsi="宋体" w:eastAsia="宋体" w:cs="宋体"/>
                <w:color w:val="auto"/>
                <w:sz w:val="24"/>
                <w:szCs w:val="24"/>
                <w:highlight w:val="none"/>
                <w:lang w:val="en-US" w:eastAsia="zh-CN"/>
              </w:rPr>
              <w:t>（0-10分）</w:t>
            </w:r>
          </w:p>
        </w:tc>
        <w:tc>
          <w:tcPr>
            <w:tcW w:w="6092" w:type="dxa"/>
            <w:vAlign w:val="center"/>
          </w:tcPr>
          <w:p w14:paraId="3D7196A1">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根据供应商提供的质量保障措施是否科学、合理、可行。</w:t>
            </w:r>
          </w:p>
          <w:p w14:paraId="3BE7D9CA">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投标人提供的质量保证措施便于实施、具有针对性、完善程度高</w:t>
            </w:r>
            <w:r>
              <w:rPr>
                <w:rFonts w:hint="eastAsia" w:ascii="宋体" w:hAnsi="宋体" w:eastAsia="宋体" w:cs="宋体"/>
                <w:sz w:val="24"/>
                <w:szCs w:val="24"/>
                <w:highlight w:val="none"/>
                <w:lang w:eastAsia="zh-CN"/>
              </w:rPr>
              <w:t>，质量稳定</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7-10</w:t>
            </w:r>
            <w:r>
              <w:rPr>
                <w:rFonts w:hint="eastAsia" w:ascii="宋体" w:hAnsi="宋体" w:eastAsia="宋体" w:cs="宋体"/>
                <w:sz w:val="24"/>
                <w:szCs w:val="24"/>
                <w:highlight w:val="none"/>
              </w:rPr>
              <w:t>分；</w:t>
            </w:r>
          </w:p>
          <w:p w14:paraId="43ADD32C">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投标人提供的质量保证措施合理便于实施、但完善程度一般不够详尽的得</w:t>
            </w:r>
            <w:r>
              <w:rPr>
                <w:rFonts w:hint="eastAsia" w:ascii="宋体" w:hAnsi="宋体" w:eastAsia="宋体" w:cs="宋体"/>
                <w:sz w:val="24"/>
                <w:szCs w:val="24"/>
                <w:highlight w:val="none"/>
                <w:lang w:val="en-US" w:eastAsia="zh-CN"/>
              </w:rPr>
              <w:t>3-7</w:t>
            </w:r>
            <w:r>
              <w:rPr>
                <w:rFonts w:hint="eastAsia" w:ascii="宋体" w:hAnsi="宋体" w:eastAsia="宋体" w:cs="宋体"/>
                <w:sz w:val="24"/>
                <w:szCs w:val="24"/>
                <w:highlight w:val="none"/>
              </w:rPr>
              <w:t xml:space="preserve"> 分；</w:t>
            </w:r>
          </w:p>
          <w:p w14:paraId="698ACD4A">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投标人提供的质量保证措施合理性一般，不便于实施，完善程度一般不够详尽的得3分。</w:t>
            </w:r>
          </w:p>
          <w:p w14:paraId="61DE6A26">
            <w:pPr>
              <w:keepNext w:val="0"/>
              <w:keepLines w:val="0"/>
              <w:pageBreakBefore w:val="0"/>
              <w:widowControl/>
              <w:kinsoku w:val="0"/>
              <w:wordWrap/>
              <w:bidi w:val="0"/>
              <w:adjustRightInd w:val="0"/>
              <w:snapToGrid w:val="0"/>
              <w:spacing w:line="360" w:lineRule="auto"/>
              <w:ind w:left="0" w:leftChars="0" w:right="0" w:rightChars="0"/>
              <w:jc w:val="left"/>
              <w:rPr>
                <w:rFonts w:hint="eastAsia"/>
                <w:highlight w:val="none"/>
              </w:rPr>
            </w:pPr>
            <w:r>
              <w:rPr>
                <w:rFonts w:hint="eastAsia" w:ascii="宋体" w:hAnsi="宋体" w:eastAsia="宋体" w:cs="宋体"/>
                <w:sz w:val="24"/>
                <w:szCs w:val="24"/>
                <w:highlight w:val="none"/>
              </w:rPr>
              <w:t>投标人没有提供上述内容，或提供的不完整有缺项的得0 分</w:t>
            </w:r>
          </w:p>
        </w:tc>
      </w:tr>
      <w:tr w14:paraId="5E9D1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60" w:type="dxa"/>
            <w:vMerge w:val="continue"/>
            <w:vAlign w:val="center"/>
          </w:tcPr>
          <w:p w14:paraId="1696B971">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b/>
                <w:color w:val="auto"/>
                <w:sz w:val="24"/>
                <w:szCs w:val="24"/>
                <w:highlight w:val="none"/>
              </w:rPr>
            </w:pPr>
          </w:p>
        </w:tc>
        <w:tc>
          <w:tcPr>
            <w:tcW w:w="1887" w:type="dxa"/>
            <w:vAlign w:val="center"/>
          </w:tcPr>
          <w:p w14:paraId="0C185955">
            <w:pPr>
              <w:keepNext w:val="0"/>
              <w:keepLines w:val="0"/>
              <w:pageBreakBefore w:val="0"/>
              <w:widowControl/>
              <w:kinsoku w:val="0"/>
              <w:wordWrap/>
              <w:bidi w:val="0"/>
              <w:adjustRightInd w:val="0"/>
              <w:snapToGrid w:val="0"/>
              <w:spacing w:line="360" w:lineRule="auto"/>
              <w:ind w:left="0" w:leftChars="0" w:right="0" w:rightChars="0"/>
              <w:jc w:val="both"/>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保证重大病虫害防治率及漏喷率不超出文件要求的措施及方法</w:t>
            </w:r>
            <w:r>
              <w:rPr>
                <w:rFonts w:hint="eastAsia" w:ascii="宋体" w:hAnsi="宋体" w:eastAsia="宋体" w:cs="宋体"/>
                <w:color w:val="auto"/>
                <w:sz w:val="24"/>
                <w:szCs w:val="24"/>
                <w:highlight w:val="none"/>
                <w:lang w:val="en-US" w:eastAsia="zh-CN"/>
              </w:rPr>
              <w:t>（0-10 分）</w:t>
            </w:r>
          </w:p>
        </w:tc>
        <w:tc>
          <w:tcPr>
            <w:tcW w:w="6092" w:type="dxa"/>
            <w:vAlign w:val="center"/>
          </w:tcPr>
          <w:p w14:paraId="491C12DB">
            <w:pPr>
              <w:keepNext w:val="0"/>
              <w:keepLines w:val="0"/>
              <w:pageBreakBefore w:val="0"/>
              <w:widowControl/>
              <w:numPr>
                <w:ilvl w:val="0"/>
                <w:numId w:val="4"/>
              </w:numPr>
              <w:kinsoku w:val="0"/>
              <w:wordWrap/>
              <w:bidi w:val="0"/>
              <w:adjustRightInd w:val="0"/>
              <w:snapToGrid w:val="0"/>
              <w:spacing w:line="360" w:lineRule="auto"/>
              <w:ind w:left="0" w:leftChars="0" w:right="0" w:rightChars="0" w:hanging="425" w:firstLineChars="0"/>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保证重大病虫害防治率及漏喷率不超出文件要求的措施及方法</w:t>
            </w:r>
          </w:p>
          <w:p w14:paraId="0A9C65C5">
            <w:pPr>
              <w:keepNext w:val="0"/>
              <w:keepLines w:val="0"/>
              <w:pageBreakBefore w:val="0"/>
              <w:widowControl/>
              <w:numPr>
                <w:ilvl w:val="0"/>
                <w:numId w:val="4"/>
              </w:numPr>
              <w:kinsoku w:val="0"/>
              <w:wordWrap/>
              <w:bidi w:val="0"/>
              <w:adjustRightInd w:val="0"/>
              <w:snapToGrid w:val="0"/>
              <w:spacing w:line="360" w:lineRule="auto"/>
              <w:ind w:left="0" w:leftChars="0" w:right="0" w:rightChars="0" w:hanging="425" w:firstLineChars="0"/>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kern w:val="2"/>
                <w:sz w:val="24"/>
                <w:szCs w:val="24"/>
                <w:highlight w:val="none"/>
                <w:lang w:val="en-US" w:eastAsia="zh-CN" w:bidi="ar-SA"/>
              </w:rPr>
              <w:t>服务方案全面、详尽、合理、有保障、完全满足项目要求的，得7-10分；方案不全面、或者不详尽的，得3-7分；方案不合理或者技术质量无保障的，得3分；缺项的不得分。</w:t>
            </w:r>
          </w:p>
        </w:tc>
      </w:tr>
      <w:tr w14:paraId="0B50E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60" w:type="dxa"/>
            <w:vMerge w:val="continue"/>
            <w:vAlign w:val="center"/>
          </w:tcPr>
          <w:p w14:paraId="263A6381">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b/>
                <w:color w:val="auto"/>
                <w:sz w:val="24"/>
                <w:szCs w:val="24"/>
                <w:highlight w:val="none"/>
              </w:rPr>
            </w:pPr>
          </w:p>
        </w:tc>
        <w:tc>
          <w:tcPr>
            <w:tcW w:w="1887" w:type="dxa"/>
            <w:vAlign w:val="center"/>
          </w:tcPr>
          <w:p w14:paraId="5062F749">
            <w:pPr>
              <w:keepNext w:val="0"/>
              <w:keepLines w:val="0"/>
              <w:pageBreakBefore w:val="0"/>
              <w:widowControl/>
              <w:kinsoku w:val="0"/>
              <w:wordWrap/>
              <w:bidi w:val="0"/>
              <w:adjustRightInd w:val="0"/>
              <w:snapToGrid w:val="0"/>
              <w:spacing w:line="360" w:lineRule="auto"/>
              <w:ind w:left="0" w:leftChars="0" w:right="0" w:rightChars="0"/>
              <w:jc w:val="both"/>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配合项目实施，针对实施过程中注意事项及中毒急救措施方案</w:t>
            </w:r>
            <w:r>
              <w:rPr>
                <w:rFonts w:hint="eastAsia" w:ascii="宋体" w:hAnsi="宋体" w:eastAsia="宋体" w:cs="宋体"/>
                <w:color w:val="auto"/>
                <w:sz w:val="24"/>
                <w:szCs w:val="24"/>
                <w:highlight w:val="none"/>
                <w:lang w:val="en-US" w:eastAsia="zh-CN"/>
              </w:rPr>
              <w:t>（0-10分）</w:t>
            </w:r>
          </w:p>
        </w:tc>
        <w:tc>
          <w:tcPr>
            <w:tcW w:w="6092" w:type="dxa"/>
            <w:vAlign w:val="center"/>
          </w:tcPr>
          <w:p w14:paraId="3D54DD7D">
            <w:pPr>
              <w:keepNext w:val="0"/>
              <w:keepLines w:val="0"/>
              <w:pageBreakBefore w:val="0"/>
              <w:widowControl/>
              <w:numPr>
                <w:ilvl w:val="0"/>
                <w:numId w:val="4"/>
              </w:numPr>
              <w:kinsoku w:val="0"/>
              <w:wordWrap/>
              <w:bidi w:val="0"/>
              <w:adjustRightInd w:val="0"/>
              <w:snapToGrid w:val="0"/>
              <w:spacing w:line="360" w:lineRule="auto"/>
              <w:ind w:left="0" w:leftChars="0" w:right="0" w:righ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配合项目实施，针对实施过程中注意事项及中毒急救措施方案</w:t>
            </w:r>
          </w:p>
          <w:p w14:paraId="19CC6784">
            <w:pPr>
              <w:keepNext w:val="0"/>
              <w:keepLines w:val="0"/>
              <w:pageBreakBefore w:val="0"/>
              <w:widowControl/>
              <w:numPr>
                <w:ilvl w:val="0"/>
                <w:numId w:val="0"/>
              </w:numPr>
              <w:kinsoku w:val="0"/>
              <w:wordWrap/>
              <w:bidi w:val="0"/>
              <w:adjustRightInd w:val="0"/>
              <w:snapToGrid w:val="0"/>
              <w:spacing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kern w:val="2"/>
                <w:sz w:val="24"/>
                <w:szCs w:val="24"/>
                <w:highlight w:val="none"/>
                <w:lang w:val="en-US" w:eastAsia="zh-CN" w:bidi="ar-SA"/>
              </w:rPr>
              <w:t>服务方案全面、详尽、合理、有保障、完全满足项目要求的得7-10分；方案不全面、或者不详尽的得3-7分；方案不合理或者技术质量无保障的得3分；缺项的不得分。</w:t>
            </w:r>
          </w:p>
        </w:tc>
      </w:tr>
      <w:tr w14:paraId="54AD8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60" w:type="dxa"/>
            <w:vMerge w:val="continue"/>
            <w:vAlign w:val="center"/>
          </w:tcPr>
          <w:p w14:paraId="0416C36B">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b/>
                <w:color w:val="auto"/>
                <w:sz w:val="24"/>
                <w:szCs w:val="24"/>
                <w:highlight w:val="none"/>
              </w:rPr>
            </w:pPr>
          </w:p>
        </w:tc>
        <w:tc>
          <w:tcPr>
            <w:tcW w:w="1887" w:type="dxa"/>
            <w:vAlign w:val="center"/>
          </w:tcPr>
          <w:p w14:paraId="246E0307">
            <w:pPr>
              <w:keepNext w:val="0"/>
              <w:keepLines w:val="0"/>
              <w:pageBreakBefore w:val="0"/>
              <w:widowControl/>
              <w:kinsoku w:val="0"/>
              <w:wordWrap/>
              <w:bidi w:val="0"/>
              <w:adjustRightInd w:val="0"/>
              <w:snapToGrid w:val="0"/>
              <w:spacing w:line="360" w:lineRule="auto"/>
              <w:ind w:left="0" w:leftChars="0" w:right="0" w:rightChars="0"/>
              <w:jc w:val="both"/>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因服务质量问题引起纠纷时提供的应急解决方案及赔偿标准</w:t>
            </w:r>
            <w:r>
              <w:rPr>
                <w:rFonts w:hint="eastAsia" w:ascii="宋体" w:hAnsi="宋体" w:eastAsia="宋体" w:cs="宋体"/>
                <w:color w:val="auto"/>
                <w:sz w:val="24"/>
                <w:szCs w:val="24"/>
                <w:highlight w:val="none"/>
                <w:lang w:val="en-US" w:eastAsia="zh-CN"/>
              </w:rPr>
              <w:t>（0-5分）</w:t>
            </w:r>
          </w:p>
        </w:tc>
        <w:tc>
          <w:tcPr>
            <w:tcW w:w="6092" w:type="dxa"/>
            <w:vAlign w:val="center"/>
          </w:tcPr>
          <w:p w14:paraId="5B91F50B">
            <w:pPr>
              <w:keepNext w:val="0"/>
              <w:keepLines w:val="0"/>
              <w:pageBreakBefore w:val="0"/>
              <w:widowControl/>
              <w:numPr>
                <w:ilvl w:val="0"/>
                <w:numId w:val="4"/>
              </w:numPr>
              <w:kinsoku w:val="0"/>
              <w:wordWrap/>
              <w:bidi w:val="0"/>
              <w:adjustRightInd w:val="0"/>
              <w:snapToGrid w:val="0"/>
              <w:spacing w:line="360" w:lineRule="auto"/>
              <w:ind w:left="0" w:leftChars="0" w:right="0" w:righ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因服务质量问题引起纠纷时提供的应急解决方案及赔偿标准</w:t>
            </w:r>
          </w:p>
          <w:p w14:paraId="7B7D74C4">
            <w:pPr>
              <w:keepNext w:val="0"/>
              <w:keepLines w:val="0"/>
              <w:pageBreakBefore w:val="0"/>
              <w:widowControl/>
              <w:numPr>
                <w:ilvl w:val="0"/>
                <w:numId w:val="0"/>
              </w:numPr>
              <w:kinsoku w:val="0"/>
              <w:wordWrap/>
              <w:bidi w:val="0"/>
              <w:adjustRightInd w:val="0"/>
              <w:snapToGrid w:val="0"/>
              <w:spacing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kern w:val="2"/>
                <w:sz w:val="24"/>
                <w:szCs w:val="24"/>
                <w:highlight w:val="none"/>
                <w:lang w:val="en-US" w:eastAsia="zh-CN" w:bidi="ar-SA"/>
              </w:rPr>
              <w:t>服务方案全面、详尽、合理、有保障、完全满足项目要求的，得5分；方案不全面、或者不详尽的，得3分；方案不合理或者技术质量无保障的，得1分；缺项的不得分。</w:t>
            </w:r>
          </w:p>
        </w:tc>
      </w:tr>
      <w:tr w14:paraId="0DA2C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60" w:type="dxa"/>
            <w:vMerge w:val="continue"/>
            <w:vAlign w:val="center"/>
          </w:tcPr>
          <w:p w14:paraId="1A618F6E">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b/>
                <w:color w:val="auto"/>
                <w:sz w:val="24"/>
                <w:szCs w:val="24"/>
                <w:highlight w:val="none"/>
              </w:rPr>
            </w:pPr>
          </w:p>
        </w:tc>
        <w:tc>
          <w:tcPr>
            <w:tcW w:w="1887" w:type="dxa"/>
            <w:vAlign w:val="center"/>
          </w:tcPr>
          <w:p w14:paraId="2CB4EB40">
            <w:pPr>
              <w:keepNext w:val="0"/>
              <w:keepLines w:val="0"/>
              <w:pageBreakBefore w:val="0"/>
              <w:widowControl/>
              <w:kinsoku w:val="0"/>
              <w:wordWrap/>
              <w:bidi w:val="0"/>
              <w:adjustRightInd w:val="0"/>
              <w:snapToGrid w:val="0"/>
              <w:spacing w:line="360" w:lineRule="auto"/>
              <w:ind w:left="0" w:leftChars="0" w:right="0" w:rightChars="0"/>
              <w:jc w:val="both"/>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突发应急措施</w:t>
            </w:r>
            <w:r>
              <w:rPr>
                <w:rFonts w:hint="eastAsia" w:ascii="宋体" w:hAnsi="宋体" w:eastAsia="宋体" w:cs="宋体"/>
                <w:color w:val="auto"/>
                <w:sz w:val="24"/>
                <w:szCs w:val="24"/>
                <w:highlight w:val="none"/>
                <w:lang w:val="en-US" w:eastAsia="zh-CN"/>
              </w:rPr>
              <w:t>（0-5分）</w:t>
            </w:r>
          </w:p>
        </w:tc>
        <w:tc>
          <w:tcPr>
            <w:tcW w:w="6092" w:type="dxa"/>
            <w:vAlign w:val="center"/>
          </w:tcPr>
          <w:p w14:paraId="4D1F7603">
            <w:pPr>
              <w:keepNext w:val="0"/>
              <w:keepLines w:val="0"/>
              <w:pageBreakBefore w:val="0"/>
              <w:widowControl/>
              <w:numPr>
                <w:ilvl w:val="0"/>
                <w:numId w:val="4"/>
              </w:numPr>
              <w:kinsoku w:val="0"/>
              <w:wordWrap/>
              <w:bidi w:val="0"/>
              <w:adjustRightInd w:val="0"/>
              <w:snapToGrid w:val="0"/>
              <w:spacing w:line="360" w:lineRule="auto"/>
              <w:ind w:left="0" w:leftChars="0" w:right="0" w:righ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服务方案中的突发应急措施</w:t>
            </w:r>
          </w:p>
          <w:p w14:paraId="1BF5B6D9">
            <w:pPr>
              <w:keepNext w:val="0"/>
              <w:keepLines w:val="0"/>
              <w:pageBreakBefore w:val="0"/>
              <w:widowControl/>
              <w:numPr>
                <w:ilvl w:val="0"/>
                <w:numId w:val="0"/>
              </w:numPr>
              <w:kinsoku w:val="0"/>
              <w:wordWrap/>
              <w:bidi w:val="0"/>
              <w:adjustRightInd w:val="0"/>
              <w:snapToGrid w:val="0"/>
              <w:spacing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kern w:val="2"/>
                <w:sz w:val="24"/>
                <w:szCs w:val="24"/>
                <w:highlight w:val="none"/>
                <w:lang w:val="en-US" w:eastAsia="zh-CN" w:bidi="ar-SA"/>
              </w:rPr>
              <w:t>服务方案全面、详尽、合理、有保障、完全满足项目要求的，得5分；方案不全面、或者不详尽的，得3分；方案不合理或者技术质量无保障的得1分；缺项的不得分。</w:t>
            </w:r>
          </w:p>
        </w:tc>
      </w:tr>
      <w:tr w14:paraId="7AC10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1260" w:type="dxa"/>
            <w:vMerge w:val="restart"/>
            <w:vAlign w:val="center"/>
          </w:tcPr>
          <w:p w14:paraId="77AF78D4">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商务部分</w:t>
            </w:r>
          </w:p>
          <w:p w14:paraId="6C450377">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分）</w:t>
            </w:r>
          </w:p>
        </w:tc>
        <w:tc>
          <w:tcPr>
            <w:tcW w:w="1887" w:type="dxa"/>
            <w:vAlign w:val="center"/>
          </w:tcPr>
          <w:p w14:paraId="4967D021">
            <w:pPr>
              <w:pStyle w:val="73"/>
              <w:keepNext w:val="0"/>
              <w:keepLines w:val="0"/>
              <w:pageBreakBefore w:val="0"/>
              <w:widowControl/>
              <w:kinsoku w:val="0"/>
              <w:wordWrap/>
              <w:bidi w:val="0"/>
              <w:adjustRightInd w:val="0"/>
              <w:snapToGrid w:val="0"/>
              <w:spacing w:line="360" w:lineRule="auto"/>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企业业绩</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8"/>
                <w:sz w:val="24"/>
                <w:szCs w:val="24"/>
                <w:highlight w:val="none"/>
                <w:lang w:val="en-US" w:eastAsia="zh-CN"/>
              </w:rPr>
              <w:t>6</w:t>
            </w:r>
            <w:r>
              <w:rPr>
                <w:rFonts w:hint="eastAsia" w:ascii="宋体" w:hAnsi="宋体" w:eastAsia="宋体" w:cs="宋体"/>
                <w:color w:val="auto"/>
                <w:spacing w:val="-8"/>
                <w:sz w:val="24"/>
                <w:szCs w:val="24"/>
                <w:highlight w:val="none"/>
              </w:rPr>
              <w:t>分）</w:t>
            </w:r>
          </w:p>
        </w:tc>
        <w:tc>
          <w:tcPr>
            <w:tcW w:w="6092" w:type="dxa"/>
            <w:vAlign w:val="center"/>
          </w:tcPr>
          <w:p w14:paraId="02149624">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供应商自20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年1月</w:t>
            </w:r>
            <w:r>
              <w:rPr>
                <w:rFonts w:hint="eastAsia" w:ascii="宋体" w:hAnsi="宋体" w:eastAsia="宋体" w:cs="宋体"/>
                <w:color w:val="auto"/>
                <w:sz w:val="24"/>
                <w:szCs w:val="24"/>
                <w:highlight w:val="none"/>
                <w:lang w:val="en-US" w:eastAsia="zh-CN"/>
              </w:rPr>
              <w:t>1日</w:t>
            </w:r>
            <w:r>
              <w:rPr>
                <w:rFonts w:hint="eastAsia" w:ascii="宋体" w:hAnsi="宋体" w:eastAsia="宋体" w:cs="宋体"/>
                <w:color w:val="auto"/>
                <w:sz w:val="24"/>
                <w:szCs w:val="24"/>
                <w:highlight w:val="none"/>
              </w:rPr>
              <w:t>以来承接过类似项目的，每个得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分，最多得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分（提供合同协议，以合同签订日期为准）。</w:t>
            </w:r>
          </w:p>
        </w:tc>
      </w:tr>
      <w:tr w14:paraId="104ED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1260" w:type="dxa"/>
            <w:vMerge w:val="continue"/>
            <w:vAlign w:val="center"/>
          </w:tcPr>
          <w:p w14:paraId="0ECEFA68">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p>
        </w:tc>
        <w:tc>
          <w:tcPr>
            <w:tcW w:w="1887" w:type="dxa"/>
            <w:vAlign w:val="center"/>
          </w:tcPr>
          <w:p w14:paraId="4D5A2521">
            <w:pPr>
              <w:pStyle w:val="73"/>
              <w:keepNext w:val="0"/>
              <w:keepLines w:val="0"/>
              <w:pageBreakBefore w:val="0"/>
              <w:widowControl/>
              <w:kinsoku w:val="0"/>
              <w:wordWrap/>
              <w:bidi w:val="0"/>
              <w:adjustRightInd w:val="0"/>
              <w:snapToGrid w:val="0"/>
              <w:spacing w:line="360" w:lineRule="auto"/>
              <w:ind w:left="0" w:leftChars="0" w:right="0" w:rightChars="0" w:firstLine="0" w:firstLineChars="0"/>
              <w:jc w:val="left"/>
              <w:rPr>
                <w:rFonts w:hint="eastAsia" w:ascii="宋体" w:hAnsi="宋体" w:eastAsia="宋体" w:cs="宋体"/>
                <w:color w:val="000000" w:themeColor="text1"/>
                <w:kern w:val="2"/>
                <w:sz w:val="21"/>
                <w:szCs w:val="21"/>
                <w:highlight w:val="none"/>
              </w:rPr>
            </w:pPr>
            <w:r>
              <w:rPr>
                <w:rFonts w:hint="eastAsia" w:ascii="宋体" w:hAnsi="宋体" w:eastAsia="宋体" w:cs="宋体"/>
                <w:color w:val="auto"/>
                <w:kern w:val="2"/>
                <w:sz w:val="24"/>
                <w:szCs w:val="24"/>
                <w:highlight w:val="none"/>
                <w:lang w:val="en-US" w:eastAsia="zh-CN" w:bidi="ar-SA"/>
              </w:rPr>
              <w:t>资源配置（5分）</w:t>
            </w:r>
          </w:p>
        </w:tc>
        <w:tc>
          <w:tcPr>
            <w:tcW w:w="6092" w:type="dxa"/>
            <w:vAlign w:val="center"/>
          </w:tcPr>
          <w:p w14:paraId="69F4E394">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供应商可投入使用的无人机每日作业能力应不低于4000亩得2分。（需提供植保无人机等飞行器相关作业能力证明，作业能力按照合格证或说明书提供的数据作为标准，合格证或说明书未做说明的需提供其他作业能力证明或承诺书。</w:t>
            </w:r>
          </w:p>
          <w:p w14:paraId="30A3767A">
            <w:pPr>
              <w:keepNext w:val="0"/>
              <w:keepLines w:val="0"/>
              <w:pageBreakBefore w:val="0"/>
              <w:widowControl/>
              <w:kinsoku w:val="0"/>
              <w:wordWrap/>
              <w:bidi w:val="0"/>
              <w:adjustRightInd w:val="0"/>
              <w:snapToGrid w:val="0"/>
              <w:spacing w:line="360" w:lineRule="auto"/>
              <w:ind w:left="0" w:leftChars="0" w:right="0" w:rightChars="0"/>
              <w:rPr>
                <w:rFonts w:hint="default" w:ascii="宋体" w:hAnsi="宋体" w:cs="宋体"/>
                <w:color w:val="000000" w:themeColor="text1"/>
                <w:kern w:val="2"/>
                <w:sz w:val="21"/>
                <w:szCs w:val="21"/>
                <w:highlight w:val="none"/>
                <w:lang w:val="en-US" w:eastAsia="zh-CN"/>
              </w:rPr>
            </w:pPr>
            <w:r>
              <w:rPr>
                <w:rFonts w:hint="eastAsia" w:ascii="宋体" w:hAnsi="宋体" w:eastAsia="宋体" w:cs="宋体"/>
                <w:color w:val="auto"/>
                <w:kern w:val="2"/>
                <w:sz w:val="24"/>
                <w:szCs w:val="24"/>
                <w:highlight w:val="none"/>
                <w:lang w:val="en-US" w:eastAsia="zh-CN" w:bidi="ar-SA"/>
              </w:rPr>
              <w:t>2、①自有无人机需提供购机发票；②生产企业需提供入库单，无人机检测报告；③是租赁的，需提供相关租赁合同④无人机对应操作人员需提供培训合格证（操作员或教员证）。3分，资料不全不得分。</w:t>
            </w:r>
          </w:p>
        </w:tc>
      </w:tr>
      <w:tr w14:paraId="5E4F4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1260" w:type="dxa"/>
            <w:vMerge w:val="continue"/>
            <w:vAlign w:val="center"/>
          </w:tcPr>
          <w:p w14:paraId="15855E30">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p>
        </w:tc>
        <w:tc>
          <w:tcPr>
            <w:tcW w:w="1887" w:type="dxa"/>
            <w:vAlign w:val="top"/>
          </w:tcPr>
          <w:p w14:paraId="0ABAB0F2">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售后服务承诺（</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rPr>
              <w:t>分）</w:t>
            </w:r>
          </w:p>
        </w:tc>
        <w:tc>
          <w:tcPr>
            <w:tcW w:w="6092" w:type="dxa"/>
            <w:vAlign w:val="top"/>
          </w:tcPr>
          <w:p w14:paraId="108F2F93">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提供的售后服务方案及承诺，人员配备、保障措施、应急措施等，方案详尽、完整、合理、可行得</w:t>
            </w:r>
            <w:r>
              <w:rPr>
                <w:rFonts w:hint="eastAsia" w:ascii="宋体" w:hAnsi="宋体" w:eastAsia="宋体" w:cs="宋体"/>
                <w:sz w:val="24"/>
                <w:szCs w:val="24"/>
                <w:highlight w:val="none"/>
                <w:lang w:val="en-US" w:eastAsia="zh-CN"/>
              </w:rPr>
              <w:t>6-9</w:t>
            </w:r>
            <w:r>
              <w:rPr>
                <w:rFonts w:hint="eastAsia" w:ascii="宋体" w:hAnsi="宋体" w:eastAsia="宋体" w:cs="宋体"/>
                <w:sz w:val="24"/>
                <w:szCs w:val="24"/>
                <w:highlight w:val="none"/>
              </w:rPr>
              <w:t>分。</w:t>
            </w:r>
          </w:p>
          <w:p w14:paraId="1DC3EF89">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提供的售后服务方案及承诺，人员配备、保障措施、应急措施等，方案简单、基本完整、合理、可行得</w:t>
            </w:r>
            <w:r>
              <w:rPr>
                <w:rFonts w:hint="eastAsia" w:ascii="宋体" w:hAnsi="宋体" w:eastAsia="宋体" w:cs="宋体"/>
                <w:sz w:val="24"/>
                <w:szCs w:val="24"/>
                <w:highlight w:val="none"/>
                <w:lang w:val="en-US" w:eastAsia="zh-CN"/>
              </w:rPr>
              <w:t>3-6</w:t>
            </w:r>
            <w:r>
              <w:rPr>
                <w:rFonts w:hint="eastAsia" w:ascii="宋体" w:hAnsi="宋体" w:eastAsia="宋体" w:cs="宋体"/>
                <w:sz w:val="24"/>
                <w:szCs w:val="24"/>
                <w:highlight w:val="none"/>
              </w:rPr>
              <w:t>分。</w:t>
            </w:r>
          </w:p>
          <w:p w14:paraId="1520542A">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提供的售后服务方案及承诺，人员配备、保障措施、应急措施等，方案差、合理、可行得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70DAF70C">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提供的售后服务方案及承诺，人员配备、保障措施、应急措施等，方案差、不合理、不可行得0分。</w:t>
            </w:r>
          </w:p>
        </w:tc>
      </w:tr>
      <w:tr w14:paraId="518F8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9239" w:type="dxa"/>
            <w:gridSpan w:val="3"/>
            <w:vAlign w:val="center"/>
          </w:tcPr>
          <w:p w14:paraId="1969CBF2">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备注：1、评标打分部分：评标打分部分仍按照100分制原则进行，涉及到资格审查、企业荣誉、人员业绩、企业业绩等计分部分时，以投标单位自行上传到投标文件中的相应内容为准。</w:t>
            </w:r>
          </w:p>
          <w:p w14:paraId="4128695C">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2、投标文件编制部分：在招标文件中要求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照投标文件格式进行投标文件编制，在投标文件编制时，应明确将投标单位企业基本情况、资质情况、人员情况、财务情况、业绩情况编入投标文件，便于进行资格审查及评标打分以投标文件业绩信息为准，可使用电子营业执照。</w:t>
            </w:r>
          </w:p>
          <w:p w14:paraId="231C18DB">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3、磋商文件中涉及到资格审查、企业荣誉、人员业绩、企业业绩等计分部分，以投标单位自行上传到投标文件中的相应内容为准.</w:t>
            </w:r>
          </w:p>
          <w:p w14:paraId="591EC5BE">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以上项目若有缺项的，该项为0分；不缺项的，不低于最低分。</w:t>
            </w:r>
          </w:p>
          <w:p w14:paraId="02830B7B">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供应商综合得分等于投标报价、技术部分、综合部分的汇总得分。</w:t>
            </w:r>
          </w:p>
          <w:p w14:paraId="771F5227">
            <w:pPr>
              <w:keepNext w:val="0"/>
              <w:keepLines w:val="0"/>
              <w:pageBreakBefore w:val="0"/>
              <w:widowControl/>
              <w:numPr>
                <w:ilvl w:val="0"/>
                <w:numId w:val="3"/>
              </w:numPr>
              <w:kinsoku w:val="0"/>
              <w:wordWrap/>
              <w:bidi w:val="0"/>
              <w:adjustRightInd w:val="0"/>
              <w:snapToGrid w:val="0"/>
              <w:spacing w:line="360" w:lineRule="auto"/>
              <w:ind w:left="0" w:leftChars="0" w:right="0" w:rightChars="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磋商小组对各供应商的得分进行汇总，计算过程中磋商小组个人分值按四舍五入保留三位小数，最终结果按四舍五入保留两位小数。以各磋商小组打分的算术平均值作为该供应商的最终得分</w:t>
            </w:r>
          </w:p>
        </w:tc>
      </w:tr>
    </w:tbl>
    <w:p w14:paraId="42EE498A">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firstLine="480"/>
        <w:jc w:val="both"/>
        <w:outlineLvl w:val="1"/>
        <w:rPr>
          <w:rFonts w:hint="eastAsia" w:ascii="宋体" w:hAnsi="宋体" w:eastAsia="宋体" w:cs="宋体"/>
          <w:b/>
          <w:snapToGrid w:val="0"/>
          <w:color w:val="000000"/>
          <w:sz w:val="24"/>
          <w:szCs w:val="24"/>
          <w:highlight w:val="none"/>
        </w:rPr>
      </w:pPr>
    </w:p>
    <w:p w14:paraId="7E881387">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firstLine="480"/>
        <w:jc w:val="both"/>
        <w:outlineLvl w:val="1"/>
        <w:rPr>
          <w:rFonts w:hint="eastAsia" w:ascii="宋体" w:hAnsi="宋体" w:eastAsia="宋体" w:cs="宋体"/>
          <w:snapToGrid w:val="0"/>
          <w:color w:val="000000"/>
          <w:sz w:val="24"/>
          <w:szCs w:val="24"/>
          <w:highlight w:val="none"/>
        </w:rPr>
      </w:pPr>
      <w:r>
        <w:rPr>
          <w:rFonts w:hint="eastAsia" w:ascii="宋体" w:hAnsi="宋体" w:eastAsia="宋体" w:cs="宋体"/>
          <w:b/>
          <w:snapToGrid w:val="0"/>
          <w:color w:val="000000"/>
          <w:sz w:val="24"/>
          <w:szCs w:val="24"/>
          <w:highlight w:val="none"/>
        </w:rPr>
        <w:t>1. 磋商文件的评审、比较和否决</w:t>
      </w:r>
    </w:p>
    <w:p w14:paraId="021ADCDE">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firstLine="480"/>
        <w:jc w:val="both"/>
        <w:rPr>
          <w:rFonts w:hint="eastAsia" w:ascii="宋体" w:hAnsi="宋体" w:eastAsia="宋体" w:cs="宋体"/>
          <w:snapToGrid w:val="0"/>
          <w:color w:val="000000"/>
          <w:sz w:val="24"/>
          <w:szCs w:val="24"/>
          <w:highlight w:val="none"/>
        </w:rPr>
      </w:pPr>
      <w:r>
        <w:rPr>
          <w:rFonts w:hint="eastAsia" w:ascii="宋体" w:hAnsi="宋体" w:eastAsia="宋体" w:cs="宋体"/>
          <w:b/>
          <w:snapToGrid w:val="0"/>
          <w:color w:val="000000"/>
          <w:sz w:val="24"/>
          <w:szCs w:val="24"/>
          <w:highlight w:val="none"/>
        </w:rPr>
        <w:t>1.1</w:t>
      </w:r>
      <w:r>
        <w:rPr>
          <w:rFonts w:hint="eastAsia" w:ascii="宋体" w:hAnsi="宋体" w:eastAsia="宋体" w:cs="宋体"/>
          <w:snapToGrid w:val="0"/>
          <w:color w:val="000000"/>
          <w:sz w:val="24"/>
          <w:szCs w:val="24"/>
          <w:highlight w:val="none"/>
          <w:lang w:eastAsia="zh-CN"/>
        </w:rPr>
        <w:t>磋商小组</w:t>
      </w:r>
      <w:r>
        <w:rPr>
          <w:rFonts w:hint="eastAsia" w:ascii="宋体" w:hAnsi="宋体" w:eastAsia="宋体" w:cs="宋体"/>
          <w:snapToGrid w:val="0"/>
          <w:color w:val="000000"/>
          <w:sz w:val="24"/>
          <w:szCs w:val="24"/>
          <w:highlight w:val="none"/>
        </w:rPr>
        <w:t>将按照竞争性磋商文件的规定，仅对在实质上响应竞争性磋商文件要求的磋商文件进行评估和比较。</w:t>
      </w:r>
    </w:p>
    <w:p w14:paraId="7FE09562">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firstLine="480"/>
        <w:jc w:val="both"/>
        <w:rPr>
          <w:rFonts w:hint="eastAsia" w:ascii="宋体" w:hAnsi="宋体" w:eastAsia="宋体" w:cs="宋体"/>
          <w:snapToGrid w:val="0"/>
          <w:color w:val="000000"/>
          <w:sz w:val="24"/>
          <w:szCs w:val="24"/>
          <w:highlight w:val="none"/>
        </w:rPr>
      </w:pPr>
      <w:r>
        <w:rPr>
          <w:rFonts w:hint="eastAsia" w:ascii="宋体" w:hAnsi="宋体" w:eastAsia="宋体" w:cs="宋体"/>
          <w:b/>
          <w:snapToGrid w:val="0"/>
          <w:color w:val="000000"/>
          <w:sz w:val="24"/>
          <w:szCs w:val="24"/>
          <w:highlight w:val="none"/>
        </w:rPr>
        <w:t>1.2</w:t>
      </w:r>
      <w:r>
        <w:rPr>
          <w:rFonts w:hint="eastAsia" w:ascii="宋体" w:hAnsi="宋体" w:eastAsia="宋体" w:cs="宋体"/>
          <w:snapToGrid w:val="0"/>
          <w:color w:val="000000"/>
          <w:sz w:val="24"/>
          <w:szCs w:val="24"/>
          <w:highlight w:val="none"/>
        </w:rPr>
        <w:t>根据相关法律法规及有关磋商文件规定，结合本项目具体情况，制定本次采购评标办法。并按照“公平、公正、科学、择优”的原则进行评标。采用百分制综合评估法进行评比。</w:t>
      </w:r>
    </w:p>
    <w:p w14:paraId="369F395D">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firstLine="480"/>
        <w:jc w:val="both"/>
        <w:rPr>
          <w:rFonts w:hint="eastAsia" w:ascii="宋体" w:hAnsi="宋体" w:eastAsia="宋体" w:cs="宋体"/>
          <w:snapToGrid w:val="0"/>
          <w:color w:val="000000"/>
          <w:sz w:val="24"/>
          <w:szCs w:val="24"/>
          <w:highlight w:val="none"/>
        </w:rPr>
      </w:pPr>
      <w:r>
        <w:rPr>
          <w:rFonts w:hint="eastAsia" w:ascii="宋体" w:hAnsi="宋体" w:eastAsia="宋体" w:cs="宋体"/>
          <w:b/>
          <w:snapToGrid w:val="0"/>
          <w:color w:val="000000"/>
          <w:sz w:val="24"/>
          <w:szCs w:val="24"/>
          <w:highlight w:val="none"/>
        </w:rPr>
        <w:t>1.3</w:t>
      </w:r>
      <w:r>
        <w:rPr>
          <w:rFonts w:hint="eastAsia" w:ascii="宋体" w:hAnsi="宋体" w:eastAsia="宋体" w:cs="宋体"/>
          <w:snapToGrid w:val="0"/>
          <w:color w:val="000000"/>
          <w:sz w:val="24"/>
          <w:szCs w:val="24"/>
          <w:highlight w:val="none"/>
        </w:rPr>
        <w:t>在评审过程中，</w:t>
      </w:r>
      <w:r>
        <w:rPr>
          <w:rFonts w:hint="eastAsia" w:ascii="宋体" w:hAnsi="宋体" w:eastAsia="宋体" w:cs="宋体"/>
          <w:snapToGrid w:val="0"/>
          <w:color w:val="000000"/>
          <w:sz w:val="24"/>
          <w:szCs w:val="24"/>
          <w:highlight w:val="none"/>
          <w:lang w:eastAsia="zh-CN"/>
        </w:rPr>
        <w:t>磋商小组</w:t>
      </w:r>
      <w:r>
        <w:rPr>
          <w:rFonts w:hint="eastAsia" w:ascii="宋体" w:hAnsi="宋体" w:eastAsia="宋体" w:cs="宋体"/>
          <w:snapToGrid w:val="0"/>
          <w:color w:val="000000"/>
          <w:sz w:val="24"/>
          <w:szCs w:val="24"/>
          <w:highlight w:val="none"/>
        </w:rPr>
        <w:t>可以以书面形式要求磋商供应商就磋商文件中含义不明确的内容进行书面说明并提供相关材料；</w:t>
      </w:r>
      <w:r>
        <w:rPr>
          <w:rFonts w:hint="eastAsia" w:ascii="宋体" w:hAnsi="宋体" w:eastAsia="宋体" w:cs="宋体"/>
          <w:snapToGrid w:val="0"/>
          <w:color w:val="000000"/>
          <w:spacing w:val="-12"/>
          <w:sz w:val="24"/>
          <w:szCs w:val="24"/>
          <w:highlight w:val="none"/>
        </w:rPr>
        <w:t>凡遇到竞争性磋商文件中无界定或界定不清、前后不一致使评委会成员</w:t>
      </w:r>
      <w:r>
        <w:rPr>
          <w:rFonts w:hint="eastAsia" w:ascii="宋体" w:hAnsi="宋体" w:eastAsia="宋体" w:cs="宋体"/>
          <w:snapToGrid w:val="0"/>
          <w:color w:val="000000"/>
          <w:sz w:val="24"/>
          <w:szCs w:val="24"/>
          <w:highlight w:val="none"/>
        </w:rPr>
        <w:t>意见</w:t>
      </w:r>
      <w:r>
        <w:rPr>
          <w:rFonts w:hint="eastAsia" w:ascii="宋体" w:hAnsi="宋体" w:eastAsia="宋体" w:cs="宋体"/>
          <w:snapToGrid w:val="0"/>
          <w:color w:val="000000"/>
          <w:spacing w:val="-12"/>
          <w:sz w:val="24"/>
          <w:szCs w:val="24"/>
          <w:highlight w:val="none"/>
        </w:rPr>
        <w:t>有分歧且又难于协商一致的问题，均由评委会予以表决，获半数以上同意的即为通过，未获半数同意的即为否决</w:t>
      </w:r>
      <w:r>
        <w:rPr>
          <w:rFonts w:hint="eastAsia" w:ascii="宋体" w:hAnsi="宋体" w:eastAsia="宋体" w:cs="宋体"/>
          <w:snapToGrid w:val="0"/>
          <w:color w:val="000000"/>
          <w:sz w:val="24"/>
          <w:szCs w:val="24"/>
          <w:highlight w:val="none"/>
        </w:rPr>
        <w:t>。</w:t>
      </w:r>
    </w:p>
    <w:p w14:paraId="2031BE25">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firstLine="480"/>
        <w:jc w:val="both"/>
        <w:rPr>
          <w:rFonts w:hint="eastAsia" w:ascii="宋体" w:hAnsi="宋体" w:eastAsia="宋体" w:cs="宋体"/>
          <w:snapToGrid w:val="0"/>
          <w:color w:val="000000"/>
          <w:sz w:val="24"/>
          <w:szCs w:val="24"/>
          <w:highlight w:val="none"/>
        </w:rPr>
      </w:pPr>
      <w:r>
        <w:rPr>
          <w:rFonts w:hint="eastAsia" w:ascii="宋体" w:hAnsi="宋体" w:eastAsia="宋体" w:cs="宋体"/>
          <w:b/>
          <w:snapToGrid w:val="0"/>
          <w:color w:val="000000"/>
          <w:sz w:val="24"/>
          <w:szCs w:val="24"/>
          <w:highlight w:val="none"/>
        </w:rPr>
        <w:t>1.4</w:t>
      </w:r>
      <w:r>
        <w:rPr>
          <w:rFonts w:hint="eastAsia" w:ascii="宋体" w:hAnsi="宋体" w:eastAsia="宋体" w:cs="宋体"/>
          <w:snapToGrid w:val="0"/>
          <w:color w:val="000000"/>
          <w:sz w:val="24"/>
          <w:szCs w:val="24"/>
          <w:highlight w:val="none"/>
        </w:rPr>
        <w:t>评标时，磋商报价是评标的重要依据，但不是唯一依据，采购人不承诺将合同授予报价最低或最高的磋商供应商。</w:t>
      </w:r>
    </w:p>
    <w:p w14:paraId="174A5810">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firstLine="480"/>
        <w:jc w:val="both"/>
        <w:rPr>
          <w:rFonts w:hint="eastAsia" w:ascii="宋体" w:hAnsi="宋体" w:eastAsia="宋体" w:cs="宋体"/>
          <w:snapToGrid w:val="0"/>
          <w:color w:val="000000"/>
          <w:sz w:val="24"/>
          <w:szCs w:val="24"/>
          <w:highlight w:val="none"/>
        </w:rPr>
      </w:pPr>
      <w:r>
        <w:rPr>
          <w:rFonts w:hint="eastAsia" w:ascii="宋体" w:hAnsi="宋体" w:eastAsia="宋体" w:cs="宋体"/>
          <w:b/>
          <w:snapToGrid w:val="0"/>
          <w:color w:val="000000"/>
          <w:sz w:val="24"/>
          <w:szCs w:val="24"/>
          <w:highlight w:val="none"/>
        </w:rPr>
        <w:t>1.5</w:t>
      </w:r>
      <w:r>
        <w:rPr>
          <w:rFonts w:hint="eastAsia" w:ascii="宋体" w:hAnsi="宋体" w:eastAsia="宋体" w:cs="宋体"/>
          <w:snapToGrid w:val="0"/>
          <w:color w:val="000000"/>
          <w:sz w:val="24"/>
          <w:szCs w:val="24"/>
          <w:highlight w:val="none"/>
          <w:lang w:eastAsia="zh-CN"/>
        </w:rPr>
        <w:t>磋商小组</w:t>
      </w:r>
      <w:r>
        <w:rPr>
          <w:rFonts w:hint="eastAsia" w:ascii="宋体" w:hAnsi="宋体" w:eastAsia="宋体" w:cs="宋体"/>
          <w:snapToGrid w:val="0"/>
          <w:color w:val="000000"/>
          <w:sz w:val="24"/>
          <w:szCs w:val="24"/>
          <w:highlight w:val="none"/>
        </w:rPr>
        <w:t>依据竞争性磋商文件中规定的评标标准和方法，对磋商文件进行评审和比较，向采购人提出书面评标报告，并推荐合格的中标候选人。采购人根据</w:t>
      </w:r>
      <w:r>
        <w:rPr>
          <w:rFonts w:hint="eastAsia" w:ascii="宋体" w:hAnsi="宋体" w:eastAsia="宋体" w:cs="宋体"/>
          <w:snapToGrid w:val="0"/>
          <w:color w:val="000000"/>
          <w:sz w:val="24"/>
          <w:szCs w:val="24"/>
          <w:highlight w:val="none"/>
          <w:lang w:eastAsia="zh-CN"/>
        </w:rPr>
        <w:t>磋商小组</w:t>
      </w:r>
      <w:r>
        <w:rPr>
          <w:rFonts w:hint="eastAsia" w:ascii="宋体" w:hAnsi="宋体" w:eastAsia="宋体" w:cs="宋体"/>
          <w:snapToGrid w:val="0"/>
          <w:color w:val="000000"/>
          <w:sz w:val="24"/>
          <w:szCs w:val="24"/>
          <w:highlight w:val="none"/>
        </w:rPr>
        <w:t>提出的书面评标报告和推荐的中标候选人按序确定中标人。</w:t>
      </w:r>
    </w:p>
    <w:p w14:paraId="6C691915">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firstLine="480"/>
        <w:jc w:val="both"/>
        <w:outlineLvl w:val="1"/>
        <w:rPr>
          <w:rFonts w:hint="eastAsia" w:ascii="宋体" w:hAnsi="宋体" w:eastAsia="宋体" w:cs="宋体"/>
          <w:snapToGrid w:val="0"/>
          <w:color w:val="000000"/>
          <w:sz w:val="24"/>
          <w:szCs w:val="24"/>
          <w:highlight w:val="none"/>
        </w:rPr>
      </w:pPr>
      <w:bookmarkStart w:id="42" w:name="_Toc4591"/>
      <w:r>
        <w:rPr>
          <w:rFonts w:hint="eastAsia" w:ascii="宋体" w:hAnsi="宋体" w:eastAsia="宋体" w:cs="宋体"/>
          <w:b/>
          <w:snapToGrid w:val="0"/>
          <w:color w:val="000000"/>
          <w:sz w:val="24"/>
          <w:szCs w:val="24"/>
          <w:highlight w:val="none"/>
        </w:rPr>
        <w:t>2. 评审程序</w:t>
      </w:r>
      <w:bookmarkEnd w:id="42"/>
    </w:p>
    <w:p w14:paraId="0D8D7706">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firstLine="480"/>
        <w:jc w:val="both"/>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rPr>
        <w:t>2.1 资格审查</w:t>
      </w:r>
    </w:p>
    <w:p w14:paraId="68C8FB5D">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firstLine="480"/>
        <w:jc w:val="both"/>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rPr>
        <w:t>本项目采用资格后审</w:t>
      </w:r>
    </w:p>
    <w:p w14:paraId="219A91B9">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firstLine="480"/>
        <w:jc w:val="both"/>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lang w:eastAsia="zh-CN"/>
        </w:rPr>
        <w:t>磋商小组</w:t>
      </w:r>
      <w:r>
        <w:rPr>
          <w:rFonts w:hint="eastAsia" w:ascii="宋体" w:hAnsi="宋体" w:eastAsia="宋体" w:cs="宋体"/>
          <w:snapToGrid w:val="0"/>
          <w:color w:val="000000"/>
          <w:sz w:val="24"/>
          <w:szCs w:val="24"/>
          <w:highlight w:val="none"/>
        </w:rPr>
        <w:t>按照竞争性磋商文件供应商资格要求，对磋商供应商的磋商文件进行初步评审，有一项不符合的，视为未通过初步审查，按废标处理，符合的进入下一评标程序。</w:t>
      </w:r>
    </w:p>
    <w:p w14:paraId="3DB24F15">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firstLine="472" w:firstLineChars="196"/>
        <w:outlineLvl w:val="1"/>
        <w:rPr>
          <w:rFonts w:hint="eastAsia" w:ascii="宋体" w:hAnsi="宋体" w:eastAsia="宋体" w:cs="宋体"/>
          <w:b/>
          <w:snapToGrid w:val="0"/>
          <w:color w:val="000000"/>
          <w:sz w:val="24"/>
          <w:szCs w:val="24"/>
          <w:highlight w:val="none"/>
        </w:rPr>
      </w:pPr>
      <w:bookmarkStart w:id="43" w:name="_Toc3412"/>
      <w:r>
        <w:rPr>
          <w:rFonts w:hint="eastAsia" w:ascii="宋体" w:hAnsi="宋体" w:eastAsia="宋体" w:cs="宋体"/>
          <w:b/>
          <w:snapToGrid w:val="0"/>
          <w:color w:val="000000"/>
          <w:sz w:val="24"/>
          <w:szCs w:val="24"/>
          <w:highlight w:val="none"/>
        </w:rPr>
        <w:t>3.评标具体方法和标准</w:t>
      </w:r>
      <w:bookmarkEnd w:id="43"/>
    </w:p>
    <w:p w14:paraId="0EED3D44">
      <w:pPr>
        <w:keepNext w:val="0"/>
        <w:keepLines w:val="0"/>
        <w:pageBreakBefore w:val="0"/>
        <w:widowControl/>
        <w:kinsoku w:val="0"/>
        <w:wordWrap/>
        <w:topLinePunct w:val="0"/>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lang w:eastAsia="zh-CN"/>
        </w:rPr>
        <w:t>磋商小组</w:t>
      </w:r>
      <w:r>
        <w:rPr>
          <w:rFonts w:hint="eastAsia" w:ascii="宋体" w:hAnsi="宋体" w:eastAsia="宋体" w:cs="宋体"/>
          <w:snapToGrid w:val="0"/>
          <w:color w:val="000000"/>
          <w:sz w:val="24"/>
          <w:szCs w:val="24"/>
          <w:highlight w:val="none"/>
        </w:rPr>
        <w:t>根据评标原则和办法对所有磋商文件进行集中审核，分别评价。</w:t>
      </w:r>
    </w:p>
    <w:p w14:paraId="2180E8BE">
      <w:pPr>
        <w:keepNext w:val="0"/>
        <w:keepLines w:val="0"/>
        <w:pageBreakBefore w:val="0"/>
        <w:widowControl/>
        <w:kinsoku w:val="0"/>
        <w:wordWrap/>
        <w:topLinePunct w:val="0"/>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投标报价有算术错误的，磋商小组按以下原则对投标报价进行修正，修正的价格经供应商书面确认后具有约束力。供应商不接受修正价格的，其投标作废标处理。</w:t>
      </w:r>
    </w:p>
    <w:p w14:paraId="4EDC428A">
      <w:pPr>
        <w:keepNext w:val="0"/>
        <w:keepLines w:val="0"/>
        <w:pageBreakBefore w:val="0"/>
        <w:widowControl/>
        <w:kinsoku w:val="0"/>
        <w:wordWrap/>
        <w:topLinePunct w:val="0"/>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投标文件</w:t>
      </w:r>
      <w:r>
        <w:rPr>
          <w:rFonts w:hint="eastAsia" w:ascii="宋体" w:hAnsi="宋体" w:eastAsia="宋体" w:cs="宋体"/>
          <w:color w:val="000000"/>
          <w:sz w:val="24"/>
          <w:szCs w:val="24"/>
          <w:highlight w:val="none"/>
        </w:rPr>
        <w:t>中的大写金额与小写金额不一致的，以大写金额为准；</w:t>
      </w:r>
    </w:p>
    <w:p w14:paraId="53D6B23B">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firstLine="480"/>
        <w:jc w:val="both"/>
        <w:rPr>
          <w:rFonts w:hint="eastAsia" w:ascii="宋体" w:hAnsi="宋体" w:eastAsia="宋体" w:cs="宋体"/>
          <w:b w:val="0"/>
          <w:bCs w:val="0"/>
          <w:color w:val="000000"/>
          <w:sz w:val="24"/>
          <w:szCs w:val="24"/>
          <w:highlight w:val="none"/>
        </w:rPr>
      </w:pPr>
      <w:r>
        <w:rPr>
          <w:rFonts w:hint="eastAsia" w:ascii="宋体" w:hAnsi="宋体" w:eastAsia="宋体" w:cs="宋体"/>
          <w:color w:val="000000"/>
          <w:sz w:val="24"/>
          <w:szCs w:val="24"/>
          <w:highlight w:val="none"/>
        </w:rPr>
        <w:t>(2）总价金额与依据单价计算</w:t>
      </w:r>
      <w:r>
        <w:rPr>
          <w:rFonts w:hint="eastAsia" w:ascii="宋体" w:hAnsi="宋体" w:eastAsia="宋体" w:cs="宋体"/>
          <w:b w:val="0"/>
          <w:bCs w:val="0"/>
          <w:color w:val="000000"/>
          <w:sz w:val="24"/>
          <w:szCs w:val="24"/>
          <w:highlight w:val="none"/>
        </w:rPr>
        <w:t>出的结果不一致的，以单价金额为准修正总价，但单价金额小数点有明显错误的除外。</w:t>
      </w:r>
    </w:p>
    <w:p w14:paraId="04C1E580">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firstLine="480"/>
        <w:jc w:val="both"/>
        <w:rPr>
          <w:rFonts w:hint="eastAsia" w:ascii="宋体" w:hAnsi="宋体" w:eastAsia="宋体" w:cs="宋体"/>
          <w:color w:val="000000"/>
          <w:sz w:val="24"/>
          <w:szCs w:val="24"/>
          <w:highlight w:val="none"/>
        </w:rPr>
      </w:pP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lang w:val="en-US" w:eastAsia="zh-CN"/>
        </w:rPr>
        <w:t>3</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snapToGrid w:val="0"/>
          <w:color w:val="000000"/>
          <w:sz w:val="24"/>
          <w:szCs w:val="24"/>
          <w:highlight w:val="none"/>
          <w:lang w:val="en-US" w:eastAsia="zh-CN"/>
        </w:rPr>
        <w:t>磋商小组</w:t>
      </w:r>
      <w:r>
        <w:rPr>
          <w:rFonts w:hint="eastAsia" w:ascii="宋体" w:hAnsi="宋体" w:eastAsia="宋体" w:cs="宋体"/>
          <w:b w:val="0"/>
          <w:bCs w:val="0"/>
          <w:snapToGrid w:val="0"/>
          <w:color w:val="000000"/>
          <w:sz w:val="24"/>
          <w:szCs w:val="24"/>
          <w:highlight w:val="none"/>
        </w:rPr>
        <w:t>否决投标时应审慎。因招标文件表述歧义或逻辑错误等原因，造成投标文件表述不一致的，不作为否决投标的因素，</w:t>
      </w:r>
      <w:r>
        <w:rPr>
          <w:rFonts w:hint="eastAsia" w:ascii="宋体" w:hAnsi="宋体" w:eastAsia="宋体" w:cs="宋体"/>
          <w:b w:val="0"/>
          <w:bCs w:val="0"/>
          <w:snapToGrid w:val="0"/>
          <w:color w:val="000000"/>
          <w:sz w:val="24"/>
          <w:szCs w:val="24"/>
          <w:highlight w:val="none"/>
          <w:lang w:eastAsia="zh-CN"/>
        </w:rPr>
        <w:t>供应商</w:t>
      </w:r>
      <w:r>
        <w:rPr>
          <w:rFonts w:hint="eastAsia" w:ascii="宋体" w:hAnsi="宋体" w:eastAsia="宋体" w:cs="宋体"/>
          <w:b w:val="0"/>
          <w:bCs w:val="0"/>
          <w:snapToGrid w:val="0"/>
          <w:color w:val="000000"/>
          <w:sz w:val="24"/>
          <w:szCs w:val="24"/>
          <w:highlight w:val="none"/>
        </w:rPr>
        <w:t>明显打字或排版错误且不影响实质内容的，</w:t>
      </w:r>
      <w:r>
        <w:rPr>
          <w:rFonts w:hint="eastAsia" w:ascii="宋体" w:hAnsi="宋体" w:eastAsia="宋体" w:cs="宋体"/>
          <w:b w:val="0"/>
          <w:bCs w:val="0"/>
          <w:snapToGrid w:val="0"/>
          <w:color w:val="000000"/>
          <w:sz w:val="24"/>
          <w:szCs w:val="24"/>
          <w:highlight w:val="none"/>
          <w:lang w:eastAsia="zh-CN"/>
        </w:rPr>
        <w:t>磋商小组</w:t>
      </w:r>
      <w:r>
        <w:rPr>
          <w:rFonts w:hint="eastAsia" w:ascii="宋体" w:hAnsi="宋体" w:eastAsia="宋体" w:cs="宋体"/>
          <w:b w:val="0"/>
          <w:bCs w:val="0"/>
          <w:snapToGrid w:val="0"/>
          <w:color w:val="000000"/>
          <w:sz w:val="24"/>
          <w:szCs w:val="24"/>
          <w:highlight w:val="none"/>
        </w:rPr>
        <w:t>可要求</w:t>
      </w:r>
      <w:r>
        <w:rPr>
          <w:rFonts w:hint="eastAsia" w:ascii="宋体" w:hAnsi="宋体" w:eastAsia="宋体" w:cs="宋体"/>
          <w:b w:val="0"/>
          <w:bCs w:val="0"/>
          <w:snapToGrid w:val="0"/>
          <w:color w:val="000000"/>
          <w:sz w:val="24"/>
          <w:szCs w:val="24"/>
          <w:highlight w:val="none"/>
          <w:lang w:eastAsia="zh-CN"/>
        </w:rPr>
        <w:t>供应商</w:t>
      </w:r>
      <w:r>
        <w:rPr>
          <w:rFonts w:hint="eastAsia" w:ascii="宋体" w:hAnsi="宋体" w:eastAsia="宋体" w:cs="宋体"/>
          <w:b w:val="0"/>
          <w:bCs w:val="0"/>
          <w:snapToGrid w:val="0"/>
          <w:color w:val="000000"/>
          <w:sz w:val="24"/>
          <w:szCs w:val="24"/>
          <w:highlight w:val="none"/>
        </w:rPr>
        <w:t>作出书面澄清、说明或补正，不予以否决投标。</w:t>
      </w:r>
    </w:p>
    <w:p w14:paraId="60F7EC2E">
      <w:pPr>
        <w:keepNext w:val="0"/>
        <w:keepLines w:val="0"/>
        <w:pageBreakBefore w:val="0"/>
        <w:widowControl/>
        <w:kinsoku w:val="0"/>
        <w:wordWrap/>
        <w:topLinePunct w:val="0"/>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snapToGrid w:val="0"/>
          <w:color w:val="000000"/>
          <w:sz w:val="24"/>
          <w:szCs w:val="24"/>
          <w:highlight w:val="none"/>
        </w:rPr>
      </w:pPr>
      <w:r>
        <w:rPr>
          <w:rFonts w:hint="eastAsia" w:ascii="宋体" w:hAnsi="宋体" w:eastAsia="宋体" w:cs="宋体"/>
          <w:color w:val="000000"/>
          <w:sz w:val="24"/>
          <w:szCs w:val="24"/>
          <w:highlight w:val="none"/>
        </w:rPr>
        <w:t>对通过初步评审的磋商文件，磋商小组按本规定的量化因素和分值进行打分，并计算出综合评估得分。每个供应商最终得分为各评委打分的算术平均值。</w:t>
      </w:r>
    </w:p>
    <w:p w14:paraId="311181B6">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Cs/>
          <w:snapToGrid w:val="0"/>
          <w:color w:val="000000"/>
          <w:sz w:val="24"/>
          <w:szCs w:val="24"/>
          <w:highlight w:val="none"/>
        </w:rPr>
      </w:pPr>
      <w:r>
        <w:rPr>
          <w:rFonts w:hint="eastAsia" w:ascii="宋体" w:hAnsi="宋体" w:eastAsia="宋体" w:cs="宋体"/>
          <w:b/>
          <w:snapToGrid w:val="0"/>
          <w:color w:val="000000"/>
          <w:sz w:val="24"/>
          <w:szCs w:val="24"/>
          <w:highlight w:val="none"/>
          <w:lang w:val="en-US" w:eastAsia="zh-CN"/>
        </w:rPr>
        <w:t>4、</w:t>
      </w:r>
      <w:r>
        <w:rPr>
          <w:rFonts w:hint="eastAsia" w:ascii="宋体" w:hAnsi="宋体" w:eastAsia="宋体" w:cs="宋体"/>
          <w:b/>
          <w:snapToGrid w:val="0"/>
          <w:color w:val="000000"/>
          <w:sz w:val="24"/>
          <w:szCs w:val="24"/>
          <w:highlight w:val="none"/>
        </w:rPr>
        <w:t>定标办法</w:t>
      </w:r>
    </w:p>
    <w:p w14:paraId="59B154BE">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Cs/>
          <w:snapToGrid w:val="0"/>
          <w:color w:val="000000"/>
          <w:sz w:val="24"/>
          <w:szCs w:val="24"/>
          <w:highlight w:val="none"/>
        </w:rPr>
      </w:pPr>
      <w:r>
        <w:rPr>
          <w:rFonts w:hint="eastAsia" w:ascii="宋体" w:hAnsi="宋体" w:eastAsia="宋体" w:cs="宋体"/>
          <w:bCs/>
          <w:snapToGrid w:val="0"/>
          <w:color w:val="000000"/>
          <w:sz w:val="24"/>
          <w:szCs w:val="24"/>
          <w:highlight w:val="none"/>
        </w:rPr>
        <w:t>1、供应商的排名按得分顺序从高到低排列；得分相同的，按响应报价由低到高顺序排列；得分且响应报价相同的，按技术指标优劣顺序排列。</w:t>
      </w:r>
    </w:p>
    <w:p w14:paraId="6EF76E95">
      <w:pPr>
        <w:keepNext w:val="0"/>
        <w:keepLines w:val="0"/>
        <w:pageBreakBefore w:val="0"/>
        <w:widowControl/>
        <w:kinsoku w:val="0"/>
        <w:wordWrap/>
        <w:overflowPunct/>
        <w:topLinePunct w:val="0"/>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Cs/>
          <w:snapToGrid w:val="0"/>
          <w:color w:val="000000"/>
          <w:sz w:val="24"/>
          <w:szCs w:val="24"/>
          <w:highlight w:val="none"/>
        </w:rPr>
      </w:pPr>
      <w:r>
        <w:rPr>
          <w:rFonts w:hint="eastAsia" w:ascii="宋体" w:hAnsi="宋体" w:eastAsia="宋体" w:cs="宋体"/>
          <w:bCs/>
          <w:snapToGrid w:val="0"/>
          <w:color w:val="000000"/>
          <w:sz w:val="24"/>
          <w:szCs w:val="24"/>
          <w:highlight w:val="none"/>
        </w:rPr>
        <w:t>2、评标委员会写出评标报告推荐3名成交候选人。</w:t>
      </w:r>
    </w:p>
    <w:p w14:paraId="759369D1">
      <w:pPr>
        <w:keepNext w:val="0"/>
        <w:keepLines w:val="0"/>
        <w:pageBreakBefore w:val="0"/>
        <w:widowControl/>
        <w:kinsoku w:val="0"/>
        <w:wordWrap/>
        <w:bidi w:val="0"/>
        <w:adjustRightInd w:val="0"/>
        <w:snapToGrid w:val="0"/>
        <w:spacing w:line="360" w:lineRule="auto"/>
        <w:ind w:left="0" w:leftChars="0" w:right="0" w:rightChars="0"/>
        <w:jc w:val="both"/>
        <w:rPr>
          <w:rFonts w:hint="eastAsia" w:ascii="宋体" w:hAnsi="宋体" w:eastAsia="宋体" w:cs="宋体"/>
          <w:b/>
          <w:bCs/>
          <w:color w:val="auto"/>
          <w:sz w:val="24"/>
          <w:szCs w:val="24"/>
          <w:highlight w:val="none"/>
        </w:rPr>
      </w:pPr>
    </w:p>
    <w:p w14:paraId="70A70321">
      <w:pPr>
        <w:pStyle w:val="11"/>
        <w:keepNext w:val="0"/>
        <w:keepLines w:val="0"/>
        <w:pageBreakBefore w:val="0"/>
        <w:widowControl/>
        <w:kinsoku w:val="0"/>
        <w:wordWrap/>
        <w:bidi w:val="0"/>
        <w:adjustRightInd w:val="0"/>
        <w:snapToGrid w:val="0"/>
        <w:spacing w:after="0"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p>
    <w:p w14:paraId="37E15EEE">
      <w:pPr>
        <w:keepNext w:val="0"/>
        <w:keepLines w:val="0"/>
        <w:pageBreakBefore w:val="0"/>
        <w:widowControl/>
        <w:kinsoku w:val="0"/>
        <w:wordWrap/>
        <w:bidi w:val="0"/>
        <w:adjustRightInd w:val="0"/>
        <w:snapToGrid w:val="0"/>
        <w:spacing w:line="360" w:lineRule="auto"/>
        <w:ind w:left="0" w:leftChars="0" w:right="0" w:rightChars="0"/>
        <w:jc w:val="center"/>
        <w:outlineLvl w:val="0"/>
        <w:rPr>
          <w:rFonts w:hint="eastAsia" w:ascii="宋体" w:hAnsi="宋体" w:eastAsia="宋体" w:cs="宋体"/>
          <w:b/>
          <w:bCs/>
          <w:color w:val="auto"/>
          <w:sz w:val="32"/>
          <w:szCs w:val="32"/>
          <w:highlight w:val="none"/>
        </w:rPr>
      </w:pPr>
      <w:bookmarkStart w:id="44" w:name="_Toc30035"/>
      <w:r>
        <w:rPr>
          <w:rFonts w:hint="eastAsia" w:ascii="宋体" w:hAnsi="宋体" w:eastAsia="宋体" w:cs="宋体"/>
          <w:b/>
          <w:bCs/>
          <w:color w:val="auto"/>
          <w:sz w:val="32"/>
          <w:szCs w:val="32"/>
          <w:highlight w:val="none"/>
        </w:rPr>
        <w:t>第四章   合同条款及各式</w:t>
      </w:r>
      <w:bookmarkEnd w:id="44"/>
    </w:p>
    <w:p w14:paraId="22B53C88">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注：本合同仅为合同的参考文本，合同签订双方可根据项目的具体要求进行修订。</w:t>
      </w:r>
    </w:p>
    <w:p w14:paraId="56322DCB">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p>
    <w:p w14:paraId="049D6688">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甲方（需方）：_________</w:t>
      </w:r>
    </w:p>
    <w:p w14:paraId="0FC46A01">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乙方（供方）：_________</w:t>
      </w:r>
    </w:p>
    <w:p w14:paraId="7D09E9C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经过双方友好协商，依据《中华人民共和国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》，双方同意签订以下合同条款，以便双方共同遵守、履行合同。</w:t>
      </w:r>
    </w:p>
    <w:p w14:paraId="0CE76D6C">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一、产品清单及付款方式</w:t>
      </w:r>
    </w:p>
    <w:p w14:paraId="7889022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1．产品清单及价格</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976"/>
        <w:gridCol w:w="2940"/>
        <w:gridCol w:w="976"/>
        <w:gridCol w:w="900"/>
        <w:gridCol w:w="1028"/>
      </w:tblGrid>
      <w:tr w14:paraId="154F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02" w:type="dxa"/>
            <w:vAlign w:val="center"/>
          </w:tcPr>
          <w:p w14:paraId="0EA70AF0">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76" w:type="dxa"/>
            <w:vAlign w:val="center"/>
          </w:tcPr>
          <w:p w14:paraId="1B109493">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2940" w:type="dxa"/>
            <w:vAlign w:val="center"/>
          </w:tcPr>
          <w:p w14:paraId="352E6AFD">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976" w:type="dxa"/>
            <w:vAlign w:val="center"/>
          </w:tcPr>
          <w:p w14:paraId="78C80901">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900" w:type="dxa"/>
            <w:vAlign w:val="center"/>
          </w:tcPr>
          <w:p w14:paraId="0886881D">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028" w:type="dxa"/>
            <w:vAlign w:val="center"/>
          </w:tcPr>
          <w:p w14:paraId="2FFB9B72">
            <w:pPr>
              <w:keepNext w:val="0"/>
              <w:keepLines w:val="0"/>
              <w:pageBreakBefore w:val="0"/>
              <w:widowControl/>
              <w:kinsoku w:val="0"/>
              <w:wordWrap/>
              <w:bidi w:val="0"/>
              <w:adjustRightInd w:val="0"/>
              <w:snapToGrid w:val="0"/>
              <w:spacing w:line="360" w:lineRule="auto"/>
              <w:ind w:left="0" w:leftChars="0" w:right="0" w:rightChars="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3D5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02" w:type="dxa"/>
            <w:vAlign w:val="center"/>
          </w:tcPr>
          <w:p w14:paraId="4A025560">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1976" w:type="dxa"/>
            <w:vAlign w:val="center"/>
          </w:tcPr>
          <w:p w14:paraId="77ED5765">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2940" w:type="dxa"/>
            <w:vAlign w:val="center"/>
          </w:tcPr>
          <w:p w14:paraId="41AEB282">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976" w:type="dxa"/>
            <w:vAlign w:val="center"/>
          </w:tcPr>
          <w:p w14:paraId="23AABB9A">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900" w:type="dxa"/>
            <w:vAlign w:val="center"/>
          </w:tcPr>
          <w:p w14:paraId="4175C3E7">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1028" w:type="dxa"/>
            <w:vAlign w:val="center"/>
          </w:tcPr>
          <w:p w14:paraId="5E6CBBC6">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r>
      <w:tr w14:paraId="46311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2" w:type="dxa"/>
            <w:vAlign w:val="center"/>
          </w:tcPr>
          <w:p w14:paraId="63376D12">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1976" w:type="dxa"/>
            <w:vAlign w:val="center"/>
          </w:tcPr>
          <w:p w14:paraId="22FE9AC1">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2940" w:type="dxa"/>
            <w:vAlign w:val="center"/>
          </w:tcPr>
          <w:p w14:paraId="5C7BE782">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976" w:type="dxa"/>
            <w:vAlign w:val="center"/>
          </w:tcPr>
          <w:p w14:paraId="20A71AC0">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900" w:type="dxa"/>
            <w:vAlign w:val="center"/>
          </w:tcPr>
          <w:p w14:paraId="3A80DE69">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1028" w:type="dxa"/>
            <w:vAlign w:val="center"/>
          </w:tcPr>
          <w:p w14:paraId="08892C12">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r>
      <w:tr w14:paraId="38C0D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2" w:type="dxa"/>
            <w:vAlign w:val="center"/>
          </w:tcPr>
          <w:p w14:paraId="23AB04D2">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1976" w:type="dxa"/>
            <w:vAlign w:val="center"/>
          </w:tcPr>
          <w:p w14:paraId="190B65AA">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2940" w:type="dxa"/>
            <w:vAlign w:val="center"/>
          </w:tcPr>
          <w:p w14:paraId="22FB3044">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976" w:type="dxa"/>
            <w:vAlign w:val="center"/>
          </w:tcPr>
          <w:p w14:paraId="2B5AB6C8">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900" w:type="dxa"/>
            <w:vAlign w:val="center"/>
          </w:tcPr>
          <w:p w14:paraId="1D83856D">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1028" w:type="dxa"/>
            <w:vAlign w:val="center"/>
          </w:tcPr>
          <w:p w14:paraId="6C938857">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r>
      <w:tr w14:paraId="10FD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2" w:type="dxa"/>
            <w:vAlign w:val="center"/>
          </w:tcPr>
          <w:p w14:paraId="1C36786F">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1976" w:type="dxa"/>
            <w:vAlign w:val="center"/>
          </w:tcPr>
          <w:p w14:paraId="085C9BBE">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2940" w:type="dxa"/>
            <w:vAlign w:val="center"/>
          </w:tcPr>
          <w:p w14:paraId="2F8F80EA">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976" w:type="dxa"/>
            <w:vAlign w:val="center"/>
          </w:tcPr>
          <w:p w14:paraId="2873E514">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900" w:type="dxa"/>
            <w:vAlign w:val="center"/>
          </w:tcPr>
          <w:p w14:paraId="28834C07">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1028" w:type="dxa"/>
            <w:vAlign w:val="center"/>
          </w:tcPr>
          <w:p w14:paraId="339D3F08">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r>
      <w:tr w14:paraId="3E5CD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2" w:type="dxa"/>
            <w:vAlign w:val="center"/>
          </w:tcPr>
          <w:p w14:paraId="26440DBD">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1976" w:type="dxa"/>
            <w:vAlign w:val="center"/>
          </w:tcPr>
          <w:p w14:paraId="2CFA65E4">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2940" w:type="dxa"/>
            <w:vAlign w:val="center"/>
          </w:tcPr>
          <w:p w14:paraId="6AFAF0D2">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976" w:type="dxa"/>
            <w:vAlign w:val="center"/>
          </w:tcPr>
          <w:p w14:paraId="728A4BBC">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900" w:type="dxa"/>
            <w:vAlign w:val="center"/>
          </w:tcPr>
          <w:p w14:paraId="18F3C87C">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c>
          <w:tcPr>
            <w:tcW w:w="1028" w:type="dxa"/>
            <w:vAlign w:val="center"/>
          </w:tcPr>
          <w:p w14:paraId="2ACAF410">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hint="eastAsia" w:ascii="宋体" w:hAnsi="宋体" w:eastAsia="宋体" w:cs="宋体"/>
                <w:color w:val="auto"/>
                <w:sz w:val="24"/>
                <w:szCs w:val="24"/>
                <w:highlight w:val="none"/>
              </w:rPr>
            </w:pPr>
          </w:p>
        </w:tc>
      </w:tr>
      <w:tr w14:paraId="2BB2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522" w:type="dxa"/>
            <w:gridSpan w:val="6"/>
            <w:vAlign w:val="center"/>
          </w:tcPr>
          <w:p w14:paraId="25594BD3">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中标总价（小写）：</w:t>
            </w:r>
          </w:p>
        </w:tc>
      </w:tr>
      <w:tr w14:paraId="5665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522" w:type="dxa"/>
            <w:gridSpan w:val="6"/>
            <w:vAlign w:val="center"/>
          </w:tcPr>
          <w:p w14:paraId="5E3EEC67">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中标总价（大写）：</w:t>
            </w:r>
          </w:p>
        </w:tc>
      </w:tr>
    </w:tbl>
    <w:p w14:paraId="3FC191C0">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2．付款方式</w:t>
      </w:r>
    </w:p>
    <w:p w14:paraId="7F1DDA81">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二、交货时间及地点</w:t>
      </w:r>
    </w:p>
    <w:p w14:paraId="03005817">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1．交货时间：_________（响应性文件承诺时间）。若延期交货，乙方每天应向甲方缴纳延期额的千分之一作为罚金。因不可抗拒力所导致的交货、服务及付款延迟等按照《中华人民共和国合同法》有关条文处理。</w:t>
      </w:r>
    </w:p>
    <w:p w14:paraId="579B0E57">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2．交货地点：——</w:t>
      </w:r>
    </w:p>
    <w:p w14:paraId="742B960C">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三、相关权利及义务</w:t>
      </w:r>
    </w:p>
    <w:p w14:paraId="2D063989">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1．甲方收到乙方设备后，乙方应在_________政府采购管理办公室、_________监察审计部门、_________集中采购机构的共同监督下及时验收，验收时可对不符合合同要求及评标样本的设备或产品拒绝接收；</w:t>
      </w:r>
    </w:p>
    <w:p w14:paraId="2D3ABEB8">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2．甲方有权监督乙方对所交付设备进行安装调试，并督导完成；</w:t>
      </w:r>
    </w:p>
    <w:p w14:paraId="266D29BF">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3．甲方有权监督乙方的售后服务，并对乙方的售后服务不符合合同要求时加以指出乃至追究合同责任；</w:t>
      </w:r>
    </w:p>
    <w:p w14:paraId="6F4244F5">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4．甲方在合同约定期限内履行付款责任；</w:t>
      </w:r>
    </w:p>
    <w:p w14:paraId="45B7DE4E">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5．甲方在乙方进行安装调试时应给予协助和协调各方关系，乙方应及时提出需要甲方协助和协调的内容，以便保证合同的正常履行；</w:t>
      </w:r>
    </w:p>
    <w:p w14:paraId="3299E195">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6．甲方对乙方的技术及商业机密予以保密；</w:t>
      </w:r>
    </w:p>
    <w:p w14:paraId="4EA358FA">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7．乙方有权按照合同，要求甲方支付相应款项；</w:t>
      </w:r>
    </w:p>
    <w:p w14:paraId="246FD85D">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8．乙方有权在实施安装调试时，提出合乎情理的协助要求；</w:t>
      </w:r>
    </w:p>
    <w:p w14:paraId="58A634FD">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9．双方指定联系人，所有保修过程均应由双方经手人签字记录。</w:t>
      </w:r>
    </w:p>
    <w:p w14:paraId="46802F87">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四、争议</w:t>
      </w:r>
    </w:p>
    <w:p w14:paraId="4DCC720F">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双方本着友好合作的态度，对合同履行过程中发生的违约行为进行及时的协商解决，如不能协商解决，可通过XX仲裁委员会仲裁解决。</w:t>
      </w:r>
    </w:p>
    <w:p w14:paraId="10CC444E">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五、其它</w:t>
      </w:r>
    </w:p>
    <w:p w14:paraId="7E4A16ED">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1．本合同一式四份，甲乙双方各执一份，政府采购管理办公室一份，集中采购机构一份；</w:t>
      </w:r>
    </w:p>
    <w:p w14:paraId="087793D4">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2．本合同自签订之日起生效；</w:t>
      </w:r>
    </w:p>
    <w:p w14:paraId="47620E13">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3．本项目的竞争性磋商文件、响应性文件、中标通知书是合同的附件，与合同具有同等的法律效力；</w:t>
      </w:r>
    </w:p>
    <w:p w14:paraId="70162532">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4．其它未尽事宜，由双方友好协商解决，并参照《中华人民共和国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》有关条款执行。</w:t>
      </w:r>
    </w:p>
    <w:p w14:paraId="587F8631">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甲方（盖章）：_________　　　　　乙方（盖章）：________</w:t>
      </w:r>
    </w:p>
    <w:p w14:paraId="13B0BE8E">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p>
    <w:p w14:paraId="082C325A">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法定代表人（签字）：_________　　法定代表人（签字）：</w:t>
      </w:r>
    </w:p>
    <w:p w14:paraId="227A69C1">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p>
    <w:p w14:paraId="4EA511F7">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_______年____月____日　　　______年____月____日</w:t>
      </w:r>
    </w:p>
    <w:p w14:paraId="7B98D35D">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bookmarkStart w:id="45" w:name="_Toc70237183"/>
      <w:bookmarkStart w:id="46" w:name="_Toc22552"/>
      <w:r>
        <w:rPr>
          <w:rFonts w:hint="eastAsia" w:ascii="宋体" w:hAnsi="宋体" w:eastAsia="宋体" w:cs="宋体"/>
          <w:color w:val="auto"/>
          <w:sz w:val="24"/>
          <w:szCs w:val="24"/>
          <w:highlight w:val="none"/>
        </w:rPr>
        <w:t>签订地点：_________　　　　　　签订地点：______</w:t>
      </w:r>
      <w:bookmarkEnd w:id="45"/>
      <w:bookmarkEnd w:id="46"/>
    </w:p>
    <w:p w14:paraId="270F51E7">
      <w:pPr>
        <w:pStyle w:val="16"/>
        <w:keepNext w:val="0"/>
        <w:keepLines w:val="0"/>
        <w:pageBreakBefore w:val="0"/>
        <w:widowControl/>
        <w:kinsoku w:val="0"/>
        <w:wordWrap/>
        <w:bidi w:val="0"/>
        <w:adjustRightInd w:val="0"/>
        <w:snapToGrid w:val="0"/>
        <w:spacing w:line="360" w:lineRule="auto"/>
        <w:ind w:left="0" w:leftChars="0" w:right="0" w:rightChars="0"/>
        <w:contextualSpacing/>
        <w:jc w:val="center"/>
        <w:rPr>
          <w:rFonts w:hint="eastAsia" w:ascii="宋体" w:hAnsi="宋体" w:eastAsia="宋体" w:cs="宋体"/>
          <w:b/>
          <w:bCs/>
          <w:color w:val="auto"/>
          <w:sz w:val="24"/>
          <w:szCs w:val="24"/>
          <w:highlight w:val="none"/>
        </w:rPr>
      </w:pPr>
    </w:p>
    <w:p w14:paraId="0335C88C">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1F554674">
      <w:pPr>
        <w:keepNext w:val="0"/>
        <w:keepLines w:val="0"/>
        <w:pageBreakBefore w:val="0"/>
        <w:widowControl/>
        <w:kinsoku w:val="0"/>
        <w:wordWrap/>
        <w:bidi w:val="0"/>
        <w:adjustRightInd w:val="0"/>
        <w:snapToGrid w:val="0"/>
        <w:spacing w:line="360" w:lineRule="auto"/>
        <w:ind w:left="0" w:leftChars="0" w:right="0" w:rightChars="0"/>
        <w:jc w:val="center"/>
        <w:outlineLvl w:val="0"/>
        <w:rPr>
          <w:rFonts w:hint="eastAsia" w:ascii="宋体" w:hAnsi="宋体" w:eastAsia="宋体" w:cs="宋体"/>
          <w:b/>
          <w:bCs/>
          <w:color w:val="auto"/>
          <w:sz w:val="32"/>
          <w:szCs w:val="32"/>
          <w:highlight w:val="none"/>
        </w:rPr>
      </w:pPr>
      <w:bookmarkStart w:id="47" w:name="_Toc19183"/>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 xml:space="preserve">章  </w:t>
      </w:r>
      <w:bookmarkEnd w:id="47"/>
      <w:r>
        <w:rPr>
          <w:rFonts w:hint="eastAsia" w:ascii="宋体" w:hAnsi="宋体" w:eastAsia="宋体" w:cs="宋体"/>
          <w:b/>
          <w:bCs/>
          <w:color w:val="auto"/>
          <w:sz w:val="32"/>
          <w:szCs w:val="32"/>
          <w:highlight w:val="none"/>
        </w:rPr>
        <w:t>采购</w:t>
      </w:r>
      <w:r>
        <w:rPr>
          <w:rFonts w:hint="eastAsia" w:ascii="宋体" w:hAnsi="宋体" w:eastAsia="宋体" w:cs="宋体"/>
          <w:b/>
          <w:bCs/>
          <w:color w:val="auto"/>
          <w:sz w:val="32"/>
          <w:szCs w:val="32"/>
          <w:highlight w:val="none"/>
          <w:lang w:val="en-US" w:eastAsia="zh-CN"/>
        </w:rPr>
        <w:t>内容及技术要求</w:t>
      </w:r>
    </w:p>
    <w:p w14:paraId="0863C368">
      <w:pPr>
        <w:keepNext w:val="0"/>
        <w:keepLines w:val="0"/>
        <w:pageBreakBefore w:val="0"/>
        <w:widowControl/>
        <w:kinsoku w:val="0"/>
        <w:wordWrap/>
        <w:bidi w:val="0"/>
        <w:adjustRightInd w:val="0"/>
        <w:snapToGrid w:val="0"/>
        <w:spacing w:line="360" w:lineRule="auto"/>
        <w:ind w:left="0" w:leftChars="0" w:right="0" w:rightChars="0" w:firstLine="482" w:firstLineChars="200"/>
        <w:rPr>
          <w:rFonts w:hint="eastAsia" w:ascii="宋体" w:hAnsi="宋体" w:eastAsia="宋体" w:cs="宋体"/>
          <w:b/>
          <w:bCs/>
          <w:sz w:val="24"/>
          <w:szCs w:val="24"/>
          <w:highlight w:val="none"/>
        </w:rPr>
      </w:pPr>
    </w:p>
    <w:tbl>
      <w:tblPr>
        <w:tblStyle w:val="28"/>
        <w:tblpPr w:leftFromText="180" w:rightFromText="180" w:vertAnchor="text" w:horzAnchor="page" w:tblpX="1343" w:tblpY="278"/>
        <w:tblOverlap w:val="never"/>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3574"/>
        <w:gridCol w:w="858"/>
        <w:gridCol w:w="1006"/>
        <w:gridCol w:w="1276"/>
        <w:gridCol w:w="1917"/>
      </w:tblGrid>
      <w:tr w14:paraId="2DC0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exact"/>
        </w:trPr>
        <w:tc>
          <w:tcPr>
            <w:tcW w:w="507" w:type="dxa"/>
            <w:tcBorders>
              <w:top w:val="single" w:color="auto" w:sz="4" w:space="0"/>
              <w:left w:val="single" w:color="auto" w:sz="4" w:space="0"/>
              <w:bottom w:val="single" w:color="auto" w:sz="4" w:space="0"/>
              <w:right w:val="single" w:color="auto" w:sz="4" w:space="0"/>
            </w:tcBorders>
            <w:noWrap w:val="0"/>
            <w:vAlign w:val="center"/>
          </w:tcPr>
          <w:p w14:paraId="49F0799E">
            <w:pPr>
              <w:pStyle w:val="79"/>
              <w:keepNext w:val="0"/>
              <w:keepLines w:val="0"/>
              <w:pageBreakBefore w:val="0"/>
              <w:widowControl/>
              <w:kinsoku w:val="0"/>
              <w:wordWrap/>
              <w:bidi w:val="0"/>
              <w:adjustRightInd w:val="0"/>
              <w:snapToGrid w:val="0"/>
              <w:spacing w:line="36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p>
        </w:tc>
        <w:tc>
          <w:tcPr>
            <w:tcW w:w="3574" w:type="dxa"/>
            <w:tcBorders>
              <w:top w:val="single" w:color="auto" w:sz="4" w:space="0"/>
              <w:left w:val="single" w:color="auto" w:sz="4" w:space="0"/>
              <w:bottom w:val="single" w:color="auto" w:sz="4" w:space="0"/>
              <w:right w:val="single" w:color="auto" w:sz="4" w:space="0"/>
            </w:tcBorders>
            <w:noWrap w:val="0"/>
            <w:vAlign w:val="center"/>
          </w:tcPr>
          <w:p w14:paraId="49830EEA">
            <w:pPr>
              <w:pStyle w:val="79"/>
              <w:keepNext w:val="0"/>
              <w:keepLines w:val="0"/>
              <w:pageBreakBefore w:val="0"/>
              <w:widowControl/>
              <w:kinsoku w:val="0"/>
              <w:wordWrap/>
              <w:bidi w:val="0"/>
              <w:adjustRightInd w:val="0"/>
              <w:snapToGrid w:val="0"/>
              <w:spacing w:line="36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采购内容</w:t>
            </w:r>
          </w:p>
        </w:tc>
        <w:tc>
          <w:tcPr>
            <w:tcW w:w="858" w:type="dxa"/>
            <w:tcBorders>
              <w:top w:val="single" w:color="auto" w:sz="4" w:space="0"/>
              <w:left w:val="single" w:color="auto" w:sz="4" w:space="0"/>
              <w:bottom w:val="single" w:color="auto" w:sz="4" w:space="0"/>
              <w:right w:val="single" w:color="auto" w:sz="4" w:space="0"/>
            </w:tcBorders>
            <w:noWrap w:val="0"/>
            <w:vAlign w:val="center"/>
          </w:tcPr>
          <w:p w14:paraId="7D74C8A5">
            <w:pPr>
              <w:pStyle w:val="79"/>
              <w:keepNext w:val="0"/>
              <w:keepLines w:val="0"/>
              <w:pageBreakBefore w:val="0"/>
              <w:widowControl/>
              <w:kinsoku w:val="0"/>
              <w:wordWrap/>
              <w:bidi w:val="0"/>
              <w:adjustRightInd w:val="0"/>
              <w:snapToGrid w:val="0"/>
              <w:spacing w:line="36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规格</w:t>
            </w:r>
          </w:p>
        </w:tc>
        <w:tc>
          <w:tcPr>
            <w:tcW w:w="1006" w:type="dxa"/>
            <w:tcBorders>
              <w:top w:val="single" w:color="auto" w:sz="4" w:space="0"/>
              <w:left w:val="single" w:color="auto" w:sz="4" w:space="0"/>
              <w:bottom w:val="single" w:color="auto" w:sz="4" w:space="0"/>
              <w:right w:val="single" w:color="auto" w:sz="4" w:space="0"/>
            </w:tcBorders>
            <w:noWrap w:val="0"/>
            <w:vAlign w:val="center"/>
          </w:tcPr>
          <w:p w14:paraId="7AEDB496">
            <w:pPr>
              <w:pStyle w:val="79"/>
              <w:keepNext w:val="0"/>
              <w:keepLines w:val="0"/>
              <w:pageBreakBefore w:val="0"/>
              <w:widowControl/>
              <w:kinsoku w:val="0"/>
              <w:wordWrap/>
              <w:bidi w:val="0"/>
              <w:adjustRightInd w:val="0"/>
              <w:snapToGrid w:val="0"/>
              <w:spacing w:line="36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采购数量</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11D4CF3">
            <w:pPr>
              <w:pStyle w:val="79"/>
              <w:keepNext w:val="0"/>
              <w:keepLines w:val="0"/>
              <w:pageBreakBefore w:val="0"/>
              <w:widowControl/>
              <w:kinsoku w:val="0"/>
              <w:wordWrap/>
              <w:bidi w:val="0"/>
              <w:adjustRightInd w:val="0"/>
              <w:snapToGrid w:val="0"/>
              <w:spacing w:line="36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小计</w:t>
            </w:r>
          </w:p>
          <w:p w14:paraId="04317020">
            <w:pPr>
              <w:pStyle w:val="79"/>
              <w:keepNext w:val="0"/>
              <w:keepLines w:val="0"/>
              <w:pageBreakBefore w:val="0"/>
              <w:widowControl/>
              <w:kinsoku w:val="0"/>
              <w:wordWrap/>
              <w:bidi w:val="0"/>
              <w:adjustRightInd w:val="0"/>
              <w:snapToGrid w:val="0"/>
              <w:spacing w:line="36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（万元）</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00003020">
            <w:pPr>
              <w:pStyle w:val="79"/>
              <w:keepNext w:val="0"/>
              <w:keepLines w:val="0"/>
              <w:pageBreakBefore w:val="0"/>
              <w:widowControl/>
              <w:kinsoku w:val="0"/>
              <w:wordWrap/>
              <w:bidi w:val="0"/>
              <w:adjustRightInd w:val="0"/>
              <w:snapToGrid w:val="0"/>
              <w:spacing w:line="36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w:t>
            </w:r>
          </w:p>
        </w:tc>
      </w:tr>
      <w:tr w14:paraId="674B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exact"/>
        </w:trPr>
        <w:tc>
          <w:tcPr>
            <w:tcW w:w="507" w:type="dxa"/>
            <w:vMerge w:val="restart"/>
            <w:tcBorders>
              <w:top w:val="single" w:color="auto" w:sz="4" w:space="0"/>
              <w:left w:val="single" w:color="auto" w:sz="4" w:space="0"/>
              <w:right w:val="single" w:color="auto" w:sz="4" w:space="0"/>
            </w:tcBorders>
            <w:noWrap w:val="0"/>
            <w:vAlign w:val="center"/>
          </w:tcPr>
          <w:p w14:paraId="52BB6B22">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第一标段</w:t>
            </w:r>
          </w:p>
        </w:tc>
        <w:tc>
          <w:tcPr>
            <w:tcW w:w="3574" w:type="dxa"/>
            <w:tcBorders>
              <w:top w:val="single" w:color="auto" w:sz="4" w:space="0"/>
              <w:left w:val="single" w:color="auto" w:sz="4" w:space="0"/>
              <w:bottom w:val="single" w:color="auto" w:sz="4" w:space="0"/>
              <w:right w:val="single" w:color="auto" w:sz="4" w:space="0"/>
            </w:tcBorders>
            <w:noWrap w:val="0"/>
            <w:vAlign w:val="center"/>
          </w:tcPr>
          <w:p w14:paraId="4B5CB7CC">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40%唑醚·戊唑醇悬浮剂</w:t>
            </w:r>
          </w:p>
        </w:tc>
        <w:tc>
          <w:tcPr>
            <w:tcW w:w="858" w:type="dxa"/>
            <w:tcBorders>
              <w:top w:val="single" w:color="auto" w:sz="4" w:space="0"/>
              <w:left w:val="single" w:color="auto" w:sz="4" w:space="0"/>
              <w:bottom w:val="single" w:color="auto" w:sz="4" w:space="0"/>
              <w:right w:val="single" w:color="auto" w:sz="4" w:space="0"/>
            </w:tcBorders>
            <w:noWrap w:val="0"/>
            <w:vAlign w:val="center"/>
          </w:tcPr>
          <w:p w14:paraId="2B7598AE">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20克/袋</w:t>
            </w:r>
          </w:p>
        </w:tc>
        <w:tc>
          <w:tcPr>
            <w:tcW w:w="1006" w:type="dxa"/>
            <w:tcBorders>
              <w:left w:val="single" w:color="auto" w:sz="4" w:space="0"/>
              <w:right w:val="single" w:color="auto" w:sz="4" w:space="0"/>
            </w:tcBorders>
            <w:noWrap w:val="0"/>
            <w:vAlign w:val="center"/>
          </w:tcPr>
          <w:p w14:paraId="449124D4">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2100公斤</w:t>
            </w:r>
          </w:p>
        </w:tc>
        <w:tc>
          <w:tcPr>
            <w:tcW w:w="1276" w:type="dxa"/>
            <w:vMerge w:val="restart"/>
            <w:tcBorders>
              <w:left w:val="single" w:color="auto" w:sz="4" w:space="0"/>
              <w:right w:val="single" w:color="auto" w:sz="4" w:space="0"/>
            </w:tcBorders>
            <w:noWrap w:val="0"/>
            <w:vAlign w:val="center"/>
          </w:tcPr>
          <w:p w14:paraId="3A9A8D84">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53.9</w:t>
            </w:r>
          </w:p>
        </w:tc>
        <w:tc>
          <w:tcPr>
            <w:tcW w:w="1917" w:type="dxa"/>
            <w:vMerge w:val="restart"/>
            <w:tcBorders>
              <w:left w:val="single" w:color="auto" w:sz="4" w:space="0"/>
              <w:right w:val="single" w:color="auto" w:sz="4" w:space="0"/>
            </w:tcBorders>
            <w:noWrap w:val="0"/>
            <w:vAlign w:val="center"/>
          </w:tcPr>
          <w:p w14:paraId="0808066A">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生产许可证或生产批准证、农药登记证、产品标准证“三证”齐全，生产日期在本年度内</w:t>
            </w:r>
            <w:r>
              <w:rPr>
                <w:rFonts w:hint="eastAsia" w:ascii="宋体" w:hAnsi="宋体" w:cs="宋体"/>
                <w:color w:val="auto"/>
                <w:kern w:val="2"/>
                <w:sz w:val="24"/>
                <w:szCs w:val="24"/>
                <w:highlight w:val="none"/>
                <w:lang w:val="en-US" w:eastAsia="zh-CN" w:bidi="ar-SA"/>
              </w:rPr>
              <w:t>，(登记对象必须包含玉米)</w:t>
            </w:r>
          </w:p>
        </w:tc>
      </w:tr>
      <w:tr w14:paraId="669F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exact"/>
        </w:trPr>
        <w:tc>
          <w:tcPr>
            <w:tcW w:w="507" w:type="dxa"/>
            <w:vMerge w:val="continue"/>
            <w:tcBorders>
              <w:left w:val="single" w:color="auto" w:sz="4" w:space="0"/>
              <w:right w:val="single" w:color="auto" w:sz="4" w:space="0"/>
            </w:tcBorders>
            <w:noWrap w:val="0"/>
            <w:vAlign w:val="center"/>
          </w:tcPr>
          <w:p w14:paraId="6BEA3D10">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p>
        </w:tc>
        <w:tc>
          <w:tcPr>
            <w:tcW w:w="3574" w:type="dxa"/>
            <w:tcBorders>
              <w:top w:val="single" w:color="auto" w:sz="4" w:space="0"/>
              <w:left w:val="single" w:color="auto" w:sz="4" w:space="0"/>
              <w:bottom w:val="single" w:color="auto" w:sz="4" w:space="0"/>
              <w:right w:val="single" w:color="auto" w:sz="4" w:space="0"/>
            </w:tcBorders>
            <w:noWrap w:val="0"/>
            <w:vAlign w:val="center"/>
          </w:tcPr>
          <w:p w14:paraId="10D3F2D5">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14%氯虫·高氯氟微囊悬浮-悬浮剂</w:t>
            </w:r>
          </w:p>
        </w:tc>
        <w:tc>
          <w:tcPr>
            <w:tcW w:w="858" w:type="dxa"/>
            <w:tcBorders>
              <w:top w:val="single" w:color="auto" w:sz="4" w:space="0"/>
              <w:left w:val="single" w:color="auto" w:sz="4" w:space="0"/>
              <w:bottom w:val="single" w:color="auto" w:sz="4" w:space="0"/>
              <w:right w:val="single" w:color="auto" w:sz="4" w:space="0"/>
            </w:tcBorders>
            <w:noWrap w:val="0"/>
            <w:vAlign w:val="center"/>
          </w:tcPr>
          <w:p w14:paraId="63F05A5B">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15克/袋</w:t>
            </w:r>
          </w:p>
        </w:tc>
        <w:tc>
          <w:tcPr>
            <w:tcW w:w="1006" w:type="dxa"/>
            <w:tcBorders>
              <w:left w:val="single" w:color="auto" w:sz="4" w:space="0"/>
              <w:right w:val="single" w:color="auto" w:sz="4" w:space="0"/>
            </w:tcBorders>
            <w:noWrap w:val="0"/>
            <w:vAlign w:val="center"/>
          </w:tcPr>
          <w:p w14:paraId="183DBB62">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1575公斤</w:t>
            </w:r>
          </w:p>
        </w:tc>
        <w:tc>
          <w:tcPr>
            <w:tcW w:w="1276" w:type="dxa"/>
            <w:vMerge w:val="continue"/>
            <w:tcBorders>
              <w:left w:val="single" w:color="auto" w:sz="4" w:space="0"/>
              <w:right w:val="single" w:color="auto" w:sz="4" w:space="0"/>
            </w:tcBorders>
            <w:noWrap w:val="0"/>
            <w:vAlign w:val="center"/>
          </w:tcPr>
          <w:p w14:paraId="065653C9">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p>
        </w:tc>
        <w:tc>
          <w:tcPr>
            <w:tcW w:w="1917" w:type="dxa"/>
            <w:vMerge w:val="continue"/>
            <w:tcBorders>
              <w:left w:val="single" w:color="auto" w:sz="4" w:space="0"/>
              <w:right w:val="single" w:color="auto" w:sz="4" w:space="0"/>
            </w:tcBorders>
            <w:noWrap w:val="0"/>
            <w:vAlign w:val="center"/>
          </w:tcPr>
          <w:p w14:paraId="51C9EB8D">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p>
        </w:tc>
      </w:tr>
      <w:tr w14:paraId="24966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exact"/>
        </w:trPr>
        <w:tc>
          <w:tcPr>
            <w:tcW w:w="507" w:type="dxa"/>
            <w:vMerge w:val="continue"/>
            <w:tcBorders>
              <w:left w:val="single" w:color="auto" w:sz="4" w:space="0"/>
              <w:bottom w:val="single" w:color="auto" w:sz="4" w:space="0"/>
              <w:right w:val="single" w:color="auto" w:sz="4" w:space="0"/>
            </w:tcBorders>
            <w:noWrap w:val="0"/>
            <w:vAlign w:val="center"/>
          </w:tcPr>
          <w:p w14:paraId="3A9EE5C4">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p>
        </w:tc>
        <w:tc>
          <w:tcPr>
            <w:tcW w:w="3574" w:type="dxa"/>
            <w:tcBorders>
              <w:top w:val="single" w:color="auto" w:sz="4" w:space="0"/>
              <w:left w:val="single" w:color="auto" w:sz="4" w:space="0"/>
              <w:bottom w:val="single" w:color="auto" w:sz="4" w:space="0"/>
              <w:right w:val="single" w:color="auto" w:sz="4" w:space="0"/>
            </w:tcBorders>
            <w:noWrap w:val="0"/>
            <w:vAlign w:val="center"/>
          </w:tcPr>
          <w:p w14:paraId="64A49130">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27%苯醚·咯·噻虫悬浮种衣剂</w:t>
            </w:r>
          </w:p>
        </w:tc>
        <w:tc>
          <w:tcPr>
            <w:tcW w:w="858" w:type="dxa"/>
            <w:tcBorders>
              <w:top w:val="single" w:color="auto" w:sz="4" w:space="0"/>
              <w:left w:val="single" w:color="auto" w:sz="4" w:space="0"/>
              <w:bottom w:val="single" w:color="auto" w:sz="4" w:space="0"/>
              <w:right w:val="single" w:color="auto" w:sz="4" w:space="0"/>
            </w:tcBorders>
            <w:noWrap w:val="0"/>
            <w:vAlign w:val="center"/>
          </w:tcPr>
          <w:p w14:paraId="6219050E">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30毫升/瓶</w:t>
            </w:r>
          </w:p>
        </w:tc>
        <w:tc>
          <w:tcPr>
            <w:tcW w:w="1006" w:type="dxa"/>
            <w:tcBorders>
              <w:left w:val="single" w:color="auto" w:sz="4" w:space="0"/>
              <w:right w:val="single" w:color="auto" w:sz="4" w:space="0"/>
            </w:tcBorders>
            <w:noWrap w:val="0"/>
            <w:vAlign w:val="center"/>
          </w:tcPr>
          <w:p w14:paraId="36FAA01D">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108升</w:t>
            </w:r>
          </w:p>
        </w:tc>
        <w:tc>
          <w:tcPr>
            <w:tcW w:w="1276" w:type="dxa"/>
            <w:vMerge w:val="continue"/>
            <w:tcBorders>
              <w:left w:val="single" w:color="auto" w:sz="4" w:space="0"/>
              <w:right w:val="single" w:color="auto" w:sz="4" w:space="0"/>
            </w:tcBorders>
            <w:noWrap w:val="0"/>
            <w:vAlign w:val="center"/>
          </w:tcPr>
          <w:p w14:paraId="6229ACE5">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p>
        </w:tc>
        <w:tc>
          <w:tcPr>
            <w:tcW w:w="1917" w:type="dxa"/>
            <w:vMerge w:val="continue"/>
            <w:tcBorders>
              <w:left w:val="single" w:color="auto" w:sz="4" w:space="0"/>
              <w:right w:val="single" w:color="auto" w:sz="4" w:space="0"/>
            </w:tcBorders>
            <w:noWrap w:val="0"/>
            <w:vAlign w:val="center"/>
          </w:tcPr>
          <w:p w14:paraId="60639527">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p>
        </w:tc>
      </w:tr>
      <w:tr w14:paraId="6387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exact"/>
        </w:trPr>
        <w:tc>
          <w:tcPr>
            <w:tcW w:w="507" w:type="dxa"/>
            <w:vMerge w:val="restart"/>
            <w:tcBorders>
              <w:top w:val="single" w:color="auto" w:sz="4" w:space="0"/>
              <w:left w:val="single" w:color="auto" w:sz="4" w:space="0"/>
              <w:right w:val="single" w:color="auto" w:sz="4" w:space="0"/>
            </w:tcBorders>
            <w:noWrap w:val="0"/>
            <w:vAlign w:val="center"/>
          </w:tcPr>
          <w:p w14:paraId="74978C75">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第二标段</w:t>
            </w:r>
          </w:p>
        </w:tc>
        <w:tc>
          <w:tcPr>
            <w:tcW w:w="3574" w:type="dxa"/>
            <w:tcBorders>
              <w:top w:val="single" w:color="auto" w:sz="4" w:space="0"/>
              <w:left w:val="single" w:color="auto" w:sz="4" w:space="0"/>
              <w:bottom w:val="single" w:color="auto" w:sz="4" w:space="0"/>
              <w:right w:val="single" w:color="auto" w:sz="4" w:space="0"/>
            </w:tcBorders>
            <w:noWrap w:val="0"/>
            <w:vAlign w:val="center"/>
          </w:tcPr>
          <w:p w14:paraId="21ED0675">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玉米生物防治（每亩使用无人机释放赤眼蜂4个点共1万头）</w:t>
            </w:r>
          </w:p>
        </w:tc>
        <w:tc>
          <w:tcPr>
            <w:tcW w:w="858" w:type="dxa"/>
            <w:tcBorders>
              <w:top w:val="single" w:color="auto" w:sz="4" w:space="0"/>
              <w:left w:val="single" w:color="auto" w:sz="4" w:space="0"/>
              <w:bottom w:val="single" w:color="auto" w:sz="4" w:space="0"/>
              <w:right w:val="single" w:color="auto" w:sz="4" w:space="0"/>
            </w:tcBorders>
            <w:noWrap w:val="0"/>
            <w:vAlign w:val="center"/>
          </w:tcPr>
          <w:p w14:paraId="6CE42463">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30元/亩</w:t>
            </w:r>
          </w:p>
        </w:tc>
        <w:tc>
          <w:tcPr>
            <w:tcW w:w="1006" w:type="dxa"/>
            <w:tcBorders>
              <w:left w:val="single" w:color="auto" w:sz="4" w:space="0"/>
              <w:right w:val="single" w:color="auto" w:sz="4" w:space="0"/>
            </w:tcBorders>
            <w:noWrap w:val="0"/>
            <w:vAlign w:val="center"/>
          </w:tcPr>
          <w:p w14:paraId="7150E3E7">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4000亩</w:t>
            </w:r>
          </w:p>
        </w:tc>
        <w:tc>
          <w:tcPr>
            <w:tcW w:w="1276" w:type="dxa"/>
            <w:vMerge w:val="restart"/>
            <w:tcBorders>
              <w:left w:val="single" w:color="auto" w:sz="4" w:space="0"/>
              <w:right w:val="single" w:color="auto" w:sz="4" w:space="0"/>
            </w:tcBorders>
            <w:noWrap w:val="0"/>
            <w:vAlign w:val="center"/>
          </w:tcPr>
          <w:p w14:paraId="6B6862DA">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22.1</w:t>
            </w:r>
          </w:p>
        </w:tc>
        <w:tc>
          <w:tcPr>
            <w:tcW w:w="1917" w:type="dxa"/>
            <w:tcBorders>
              <w:left w:val="single" w:color="auto" w:sz="4" w:space="0"/>
              <w:right w:val="single" w:color="auto" w:sz="4" w:space="0"/>
            </w:tcBorders>
            <w:noWrap w:val="0"/>
            <w:vAlign w:val="center"/>
          </w:tcPr>
          <w:p w14:paraId="6549C3F6">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p>
        </w:tc>
      </w:tr>
      <w:tr w14:paraId="2E4B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exact"/>
        </w:trPr>
        <w:tc>
          <w:tcPr>
            <w:tcW w:w="507" w:type="dxa"/>
            <w:vMerge w:val="continue"/>
            <w:tcBorders>
              <w:left w:val="single" w:color="auto" w:sz="4" w:space="0"/>
              <w:right w:val="single" w:color="auto" w:sz="4" w:space="0"/>
            </w:tcBorders>
            <w:noWrap w:val="0"/>
            <w:vAlign w:val="center"/>
          </w:tcPr>
          <w:p w14:paraId="5FF7C9C1">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p>
        </w:tc>
        <w:tc>
          <w:tcPr>
            <w:tcW w:w="3574" w:type="dxa"/>
            <w:tcBorders>
              <w:top w:val="single" w:color="auto" w:sz="4" w:space="0"/>
              <w:left w:val="single" w:color="auto" w:sz="4" w:space="0"/>
              <w:bottom w:val="single" w:color="auto" w:sz="4" w:space="0"/>
              <w:right w:val="single" w:color="auto" w:sz="4" w:space="0"/>
            </w:tcBorders>
            <w:noWrap w:val="0"/>
            <w:vAlign w:val="center"/>
          </w:tcPr>
          <w:p w14:paraId="437C3EBF">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农区蝗虫植保飞防服务费</w:t>
            </w:r>
          </w:p>
          <w:p w14:paraId="0DFAC12B">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（包含飞防服务费和飞防生物药剂）</w:t>
            </w:r>
          </w:p>
        </w:tc>
        <w:tc>
          <w:tcPr>
            <w:tcW w:w="858" w:type="dxa"/>
            <w:tcBorders>
              <w:top w:val="single" w:color="auto" w:sz="4" w:space="0"/>
              <w:left w:val="single" w:color="auto" w:sz="4" w:space="0"/>
              <w:bottom w:val="single" w:color="auto" w:sz="4" w:space="0"/>
              <w:right w:val="single" w:color="auto" w:sz="4" w:space="0"/>
            </w:tcBorders>
            <w:noWrap w:val="0"/>
            <w:vAlign w:val="center"/>
          </w:tcPr>
          <w:p w14:paraId="5A4A9BF6">
            <w:pPr>
              <w:pStyle w:val="79"/>
              <w:keepNext w:val="0"/>
              <w:keepLines w:val="0"/>
              <w:pageBreakBefore w:val="0"/>
              <w:widowControl/>
              <w:kinsoku w:val="0"/>
              <w:wordWrap/>
              <w:bidi w:val="0"/>
              <w:adjustRightInd w:val="0"/>
              <w:snapToGrid w:val="0"/>
              <w:spacing w:line="36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12元/亩</w:t>
            </w:r>
          </w:p>
        </w:tc>
        <w:tc>
          <w:tcPr>
            <w:tcW w:w="1006" w:type="dxa"/>
            <w:tcBorders>
              <w:top w:val="single" w:color="auto" w:sz="4" w:space="0"/>
              <w:left w:val="single" w:color="auto" w:sz="4" w:space="0"/>
              <w:bottom w:val="single" w:color="auto" w:sz="4" w:space="0"/>
              <w:right w:val="single" w:color="auto" w:sz="4" w:space="0"/>
            </w:tcBorders>
            <w:noWrap w:val="0"/>
            <w:vAlign w:val="center"/>
          </w:tcPr>
          <w:p w14:paraId="59522EB3">
            <w:pPr>
              <w:pStyle w:val="79"/>
              <w:keepNext w:val="0"/>
              <w:keepLines w:val="0"/>
              <w:pageBreakBefore w:val="0"/>
              <w:widowControl/>
              <w:kinsoku w:val="0"/>
              <w:wordWrap/>
              <w:bidi w:val="0"/>
              <w:adjustRightInd w:val="0"/>
              <w:snapToGrid w:val="0"/>
              <w:spacing w:line="36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5000亩</w:t>
            </w:r>
          </w:p>
        </w:tc>
        <w:tc>
          <w:tcPr>
            <w:tcW w:w="1276" w:type="dxa"/>
            <w:vMerge w:val="continue"/>
            <w:tcBorders>
              <w:left w:val="single" w:color="auto" w:sz="4" w:space="0"/>
              <w:right w:val="single" w:color="auto" w:sz="4" w:space="0"/>
            </w:tcBorders>
            <w:noWrap w:val="0"/>
            <w:vAlign w:val="center"/>
          </w:tcPr>
          <w:p w14:paraId="50E9433D">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p>
        </w:tc>
        <w:tc>
          <w:tcPr>
            <w:tcW w:w="1917" w:type="dxa"/>
            <w:tcBorders>
              <w:left w:val="single" w:color="auto" w:sz="4" w:space="0"/>
              <w:right w:val="single" w:color="auto" w:sz="4" w:space="0"/>
            </w:tcBorders>
            <w:noWrap w:val="0"/>
            <w:vAlign w:val="center"/>
          </w:tcPr>
          <w:p w14:paraId="102CF471">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使用专业植保无人机，按照行业技术规范操作。</w:t>
            </w:r>
          </w:p>
        </w:tc>
      </w:tr>
      <w:tr w14:paraId="2EF0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exact"/>
        </w:trPr>
        <w:tc>
          <w:tcPr>
            <w:tcW w:w="507" w:type="dxa"/>
            <w:vMerge w:val="continue"/>
            <w:tcBorders>
              <w:left w:val="single" w:color="auto" w:sz="4" w:space="0"/>
              <w:bottom w:val="single" w:color="auto" w:sz="4" w:space="0"/>
              <w:right w:val="single" w:color="auto" w:sz="4" w:space="0"/>
            </w:tcBorders>
            <w:noWrap w:val="0"/>
            <w:vAlign w:val="center"/>
          </w:tcPr>
          <w:p w14:paraId="2FFF3EBD">
            <w:pPr>
              <w:pStyle w:val="79"/>
              <w:keepNext w:val="0"/>
              <w:keepLines w:val="0"/>
              <w:pageBreakBefore w:val="0"/>
              <w:widowControl/>
              <w:kinsoku w:val="0"/>
              <w:wordWrap/>
              <w:bidi w:val="0"/>
              <w:adjustRightInd w:val="0"/>
              <w:snapToGrid w:val="0"/>
              <w:spacing w:line="360" w:lineRule="auto"/>
              <w:ind w:left="0" w:leftChars="0" w:right="0" w:rightChars="0" w:firstLine="0" w:firstLineChars="0"/>
              <w:jc w:val="both"/>
              <w:rPr>
                <w:rFonts w:hint="eastAsia" w:ascii="宋体" w:hAnsi="宋体" w:eastAsia="宋体" w:cs="宋体"/>
                <w:color w:val="auto"/>
                <w:kern w:val="2"/>
                <w:sz w:val="24"/>
                <w:szCs w:val="24"/>
                <w:highlight w:val="none"/>
                <w:lang w:val="en-US" w:eastAsia="zh-CN" w:bidi="ar-SA"/>
              </w:rPr>
            </w:pPr>
          </w:p>
        </w:tc>
        <w:tc>
          <w:tcPr>
            <w:tcW w:w="5438" w:type="dxa"/>
            <w:gridSpan w:val="3"/>
            <w:tcBorders>
              <w:top w:val="single" w:color="auto" w:sz="4" w:space="0"/>
              <w:left w:val="single" w:color="auto" w:sz="4" w:space="0"/>
              <w:bottom w:val="single" w:color="auto" w:sz="4" w:space="0"/>
              <w:right w:val="single" w:color="auto" w:sz="4" w:space="0"/>
            </w:tcBorders>
            <w:noWrap w:val="0"/>
            <w:vAlign w:val="center"/>
          </w:tcPr>
          <w:p w14:paraId="2EB1CE80">
            <w:pPr>
              <w:pStyle w:val="79"/>
              <w:keepNext w:val="0"/>
              <w:keepLines w:val="0"/>
              <w:pageBreakBefore w:val="0"/>
              <w:widowControl/>
              <w:kinsoku w:val="0"/>
              <w:wordWrap/>
              <w:bidi w:val="0"/>
              <w:adjustRightInd w:val="0"/>
              <w:snapToGrid w:val="0"/>
              <w:spacing w:line="360" w:lineRule="auto"/>
              <w:ind w:left="0" w:leftChars="0" w:right="0" w:righ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购买省级农作物病虫疫情智能化监测点仪器设备的升级改造和维护所需的材料和服务。硬件设备智能化升级，提升环境参数和病虫害识别的准确率；物联网与通信模块升级，田间监测点数据传输的稳定性，易耗品及日常维护保养，确保4个田间监测点正常运转。</w:t>
            </w:r>
          </w:p>
        </w:tc>
        <w:tc>
          <w:tcPr>
            <w:tcW w:w="1276" w:type="dxa"/>
            <w:vMerge w:val="continue"/>
            <w:tcBorders>
              <w:left w:val="single" w:color="auto" w:sz="4" w:space="0"/>
              <w:right w:val="single" w:color="auto" w:sz="4" w:space="0"/>
            </w:tcBorders>
            <w:noWrap w:val="0"/>
            <w:vAlign w:val="center"/>
          </w:tcPr>
          <w:p w14:paraId="3CC2D4D9">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p>
        </w:tc>
        <w:tc>
          <w:tcPr>
            <w:tcW w:w="1917" w:type="dxa"/>
            <w:tcBorders>
              <w:left w:val="single" w:color="auto" w:sz="4" w:space="0"/>
              <w:right w:val="single" w:color="auto" w:sz="4" w:space="0"/>
            </w:tcBorders>
            <w:noWrap w:val="0"/>
            <w:vAlign w:val="center"/>
          </w:tcPr>
          <w:p w14:paraId="00D71BA1">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p>
        </w:tc>
      </w:tr>
    </w:tbl>
    <w:p w14:paraId="7E939192">
      <w:pPr>
        <w:pStyle w:val="79"/>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二、农药供应商应当具备的条件</w:t>
      </w:r>
    </w:p>
    <w:p w14:paraId="0E2E779E">
      <w:pPr>
        <w:pStyle w:val="79"/>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（一）农药供货单位应为信誉高、产品质量好的生产企业或经销商、具有履行合同所必须的设备和专业能力。</w:t>
      </w:r>
    </w:p>
    <w:p w14:paraId="0AAA0F93">
      <w:pPr>
        <w:pStyle w:val="79"/>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（二）农药产品必须“三证”（ 生产许可证或生产批准证、农药登记证、产品标准证）齐全，生产日期在本年度内。</w:t>
      </w:r>
    </w:p>
    <w:p w14:paraId="6E81104D">
      <w:pPr>
        <w:pStyle w:val="79"/>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（三）中标单位签订合同后5日内供货完毕。</w:t>
      </w:r>
    </w:p>
    <w:p w14:paraId="4802EC48">
      <w:pPr>
        <w:pStyle w:val="79"/>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三、防治服务要求</w:t>
      </w:r>
    </w:p>
    <w:p w14:paraId="5F7F855C">
      <w:pPr>
        <w:pStyle w:val="79"/>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（一）时间安排：供应商按照采购人安排的时间，准时到达服务区域开展飞防服务。</w:t>
      </w:r>
    </w:p>
    <w:p w14:paraId="702F2A2B">
      <w:pPr>
        <w:pStyle w:val="79"/>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（二）防治对象：东亚飞蝗。</w:t>
      </w:r>
    </w:p>
    <w:p w14:paraId="7DBCA810">
      <w:pPr>
        <w:pStyle w:val="79"/>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（三）作业模式：按照相关农药使用规范，使用植保无人机对农区飞蝗，使用生物农药进行统防统治，严格按照药剂使用量规范操作。</w:t>
      </w:r>
    </w:p>
    <w:p w14:paraId="6F56BBF6">
      <w:pPr>
        <w:pStyle w:val="79"/>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（四）防治效果：保证防治效果达到90%以上。</w:t>
      </w:r>
    </w:p>
    <w:p w14:paraId="5EAA291D">
      <w:pPr>
        <w:pStyle w:val="79"/>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（五）登记造册：供应商在作业结束后需向采购人提供经乡镇行政村负责飞防人员签字确认的飞防面积清册、配药及飞防作业时显示时间地点的影像资料及飞行图。</w:t>
      </w:r>
    </w:p>
    <w:p w14:paraId="5F1E9455">
      <w:pPr>
        <w:pStyle w:val="79"/>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四、采购产品质量抽检要求</w:t>
      </w:r>
    </w:p>
    <w:p w14:paraId="54271527">
      <w:pPr>
        <w:pStyle w:val="79"/>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color w:val="auto"/>
          <w:kern w:val="2"/>
          <w:sz w:val="24"/>
          <w:szCs w:val="24"/>
          <w:highlight w:val="none"/>
          <w:lang w:val="en-US" w:eastAsia="zh-CN" w:bidi="ar-SA"/>
        </w:rPr>
        <w:sectPr>
          <w:footerReference r:id="rId6" w:type="default"/>
          <w:pgSz w:w="11906" w:h="16838"/>
          <w:pgMar w:top="1417" w:right="1417" w:bottom="1417" w:left="1417" w:header="851" w:footer="992" w:gutter="0"/>
          <w:pgNumType w:fmt="decimal" w:start="1"/>
          <w:cols w:space="0" w:num="1"/>
          <w:rtlGutter w:val="0"/>
          <w:docGrid w:type="lines" w:linePitch="333" w:charSpace="0"/>
        </w:sectPr>
      </w:pPr>
      <w:r>
        <w:rPr>
          <w:rFonts w:hint="eastAsia" w:ascii="宋体" w:hAnsi="宋体" w:eastAsia="宋体" w:cs="宋体"/>
          <w:color w:val="auto"/>
          <w:kern w:val="2"/>
          <w:sz w:val="24"/>
          <w:szCs w:val="24"/>
          <w:highlight w:val="none"/>
          <w:lang w:val="en-US" w:eastAsia="zh-CN" w:bidi="ar-SA"/>
        </w:rPr>
        <w:t>产品抽检程序。严格按照国家标准、行业标准或企业标准的要求对采购产品进行抽样。所抽取样品必须是具有本批次质量合格检验证明的产品。</w:t>
      </w:r>
    </w:p>
    <w:p w14:paraId="51572947">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bCs w:val="0"/>
          <w:color w:val="000000"/>
          <w:kern w:val="0"/>
          <w:sz w:val="24"/>
          <w:szCs w:val="24"/>
          <w:highlight w:val="none"/>
          <w:lang w:eastAsia="zh-CN"/>
        </w:rPr>
      </w:pPr>
      <w:r>
        <w:rPr>
          <w:rFonts w:hint="eastAsia" w:ascii="宋体" w:hAnsi="宋体" w:eastAsia="宋体" w:cs="宋体"/>
          <w:b/>
          <w:bCs w:val="0"/>
          <w:color w:val="000000"/>
          <w:kern w:val="0"/>
          <w:sz w:val="24"/>
          <w:szCs w:val="24"/>
          <w:highlight w:val="none"/>
        </w:rPr>
        <w:t>赤眼蜂</w:t>
      </w:r>
      <w:r>
        <w:rPr>
          <w:rFonts w:hint="eastAsia" w:ascii="宋体" w:hAnsi="宋体" w:eastAsia="宋体" w:cs="宋体"/>
          <w:b/>
          <w:bCs w:val="0"/>
          <w:color w:val="000000"/>
          <w:kern w:val="0"/>
          <w:sz w:val="24"/>
          <w:szCs w:val="24"/>
          <w:highlight w:val="none"/>
          <w:lang w:eastAsia="zh-CN"/>
        </w:rPr>
        <w:t>主要</w:t>
      </w:r>
      <w:r>
        <w:rPr>
          <w:rFonts w:hint="eastAsia" w:ascii="宋体" w:hAnsi="宋体" w:eastAsia="宋体" w:cs="宋体"/>
          <w:b/>
          <w:bCs w:val="0"/>
          <w:color w:val="000000"/>
          <w:kern w:val="0"/>
          <w:sz w:val="24"/>
          <w:szCs w:val="24"/>
          <w:highlight w:val="none"/>
        </w:rPr>
        <w:t>技术</w:t>
      </w:r>
      <w:r>
        <w:rPr>
          <w:rFonts w:hint="eastAsia" w:ascii="宋体" w:hAnsi="宋体" w:eastAsia="宋体" w:cs="宋体"/>
          <w:b/>
          <w:bCs w:val="0"/>
          <w:color w:val="000000"/>
          <w:kern w:val="0"/>
          <w:sz w:val="24"/>
          <w:szCs w:val="24"/>
          <w:highlight w:val="none"/>
          <w:lang w:eastAsia="zh-CN"/>
        </w:rPr>
        <w:t>参数</w:t>
      </w:r>
    </w:p>
    <w:p w14:paraId="33043BF6">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color w:val="000000"/>
          <w:kern w:val="0"/>
          <w:sz w:val="24"/>
          <w:szCs w:val="24"/>
          <w:highlight w:val="none"/>
          <w:lang w:eastAsia="zh-CN"/>
        </w:rPr>
      </w:pPr>
    </w:p>
    <w:p w14:paraId="2B9C840E">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宋体" w:hAnsi="宋体" w:eastAsia="宋体" w:cs="宋体"/>
          <w:b/>
          <w:bCs/>
          <w:color w:val="000000"/>
          <w:kern w:val="0"/>
          <w:sz w:val="24"/>
          <w:szCs w:val="24"/>
          <w:highlight w:val="none"/>
          <w:lang w:eastAsia="zh-CN"/>
        </w:rPr>
      </w:pPr>
      <w:r>
        <w:rPr>
          <w:rFonts w:hint="eastAsia" w:ascii="宋体" w:hAnsi="宋体" w:eastAsia="宋体" w:cs="宋体"/>
          <w:b/>
          <w:bCs/>
          <w:color w:val="000000"/>
          <w:kern w:val="0"/>
          <w:sz w:val="24"/>
          <w:szCs w:val="24"/>
          <w:highlight w:val="none"/>
          <w:lang w:eastAsia="zh-CN"/>
        </w:rPr>
        <w:t>一、赤眼蜂</w:t>
      </w:r>
      <w:r>
        <w:rPr>
          <w:rFonts w:hint="eastAsia" w:ascii="宋体" w:hAnsi="宋体" w:eastAsia="宋体" w:cs="宋体"/>
          <w:b/>
          <w:bCs/>
          <w:color w:val="000000"/>
          <w:kern w:val="0"/>
          <w:sz w:val="24"/>
          <w:szCs w:val="24"/>
          <w:highlight w:val="none"/>
        </w:rPr>
        <w:t>技术</w:t>
      </w:r>
      <w:r>
        <w:rPr>
          <w:rFonts w:hint="eastAsia" w:ascii="宋体" w:hAnsi="宋体" w:eastAsia="宋体" w:cs="宋体"/>
          <w:b/>
          <w:bCs/>
          <w:color w:val="000000"/>
          <w:kern w:val="0"/>
          <w:sz w:val="24"/>
          <w:szCs w:val="24"/>
          <w:highlight w:val="none"/>
          <w:lang w:eastAsia="zh-CN"/>
        </w:rPr>
        <w:t>参数</w:t>
      </w:r>
      <w:r>
        <w:rPr>
          <w:rFonts w:hint="eastAsia" w:ascii="宋体" w:hAnsi="宋体" w:eastAsia="宋体" w:cs="宋体"/>
          <w:b/>
          <w:bCs/>
          <w:color w:val="000000"/>
          <w:kern w:val="0"/>
          <w:sz w:val="24"/>
          <w:szCs w:val="24"/>
          <w:highlight w:val="none"/>
        </w:rPr>
        <w:t>：</w:t>
      </w:r>
    </w:p>
    <w:p w14:paraId="03C09B08">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rPr>
        <w:t>1． 蜂种：</w:t>
      </w:r>
      <w:r>
        <w:rPr>
          <w:rFonts w:hint="eastAsia" w:ascii="宋体" w:hAnsi="宋体" w:eastAsia="宋体" w:cs="宋体"/>
          <w:b w:val="0"/>
          <w:bCs w:val="0"/>
          <w:color w:val="000000"/>
          <w:kern w:val="0"/>
          <w:sz w:val="24"/>
          <w:szCs w:val="24"/>
          <w:highlight w:val="none"/>
          <w:lang w:eastAsia="zh-CN"/>
        </w:rPr>
        <w:t>玉米螟</w:t>
      </w:r>
      <w:r>
        <w:rPr>
          <w:rFonts w:hint="eastAsia" w:ascii="宋体" w:hAnsi="宋体" w:eastAsia="宋体" w:cs="宋体"/>
          <w:b w:val="0"/>
          <w:bCs w:val="0"/>
          <w:color w:val="000000"/>
          <w:kern w:val="0"/>
          <w:sz w:val="24"/>
          <w:szCs w:val="24"/>
          <w:highlight w:val="none"/>
        </w:rPr>
        <w:t>赤眼蜂</w:t>
      </w:r>
      <w:r>
        <w:rPr>
          <w:rFonts w:hint="eastAsia" w:ascii="宋体" w:hAnsi="宋体" w:eastAsia="宋体" w:cs="宋体"/>
          <w:b w:val="0"/>
          <w:bCs w:val="0"/>
          <w:color w:val="000000"/>
          <w:kern w:val="0"/>
          <w:sz w:val="24"/>
          <w:szCs w:val="24"/>
          <w:highlight w:val="none"/>
          <w:lang w:eastAsia="zh-CN"/>
        </w:rPr>
        <w:t>和螟黄赤眼蜂混合蜂种，比例为</w:t>
      </w:r>
      <w:r>
        <w:rPr>
          <w:rFonts w:hint="eastAsia" w:ascii="宋体" w:hAnsi="宋体" w:eastAsia="宋体" w:cs="宋体"/>
          <w:b w:val="0"/>
          <w:bCs w:val="0"/>
          <w:color w:val="000000"/>
          <w:kern w:val="0"/>
          <w:sz w:val="24"/>
          <w:szCs w:val="24"/>
          <w:highlight w:val="none"/>
          <w:lang w:val="en-US" w:eastAsia="zh-CN"/>
        </w:rPr>
        <w:t>1:1；</w:t>
      </w:r>
    </w:p>
    <w:p w14:paraId="284B8563">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rPr>
        <w:t>2． 中间寄主：</w:t>
      </w:r>
      <w:r>
        <w:rPr>
          <w:rFonts w:hint="eastAsia" w:ascii="宋体" w:hAnsi="宋体" w:eastAsia="宋体" w:cs="宋体"/>
          <w:b w:val="0"/>
          <w:bCs w:val="0"/>
          <w:color w:val="000000"/>
          <w:kern w:val="0"/>
          <w:sz w:val="24"/>
          <w:szCs w:val="24"/>
          <w:highlight w:val="none"/>
          <w:lang w:eastAsia="zh-CN"/>
        </w:rPr>
        <w:t>鳞翅目昆虫卵</w:t>
      </w:r>
      <w:r>
        <w:rPr>
          <w:rFonts w:hint="eastAsia" w:ascii="宋体" w:hAnsi="宋体" w:eastAsia="宋体" w:cs="宋体"/>
          <w:b w:val="0"/>
          <w:bCs w:val="0"/>
          <w:color w:val="000000"/>
          <w:kern w:val="0"/>
          <w:sz w:val="24"/>
          <w:szCs w:val="24"/>
          <w:highlight w:val="none"/>
        </w:rPr>
        <w:t>；</w:t>
      </w:r>
    </w:p>
    <w:p w14:paraId="495D3DBC">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3.  寄生率：≥</w:t>
      </w:r>
      <w:r>
        <w:rPr>
          <w:rFonts w:hint="eastAsia" w:ascii="宋体" w:hAnsi="宋体" w:eastAsia="宋体" w:cs="宋体"/>
          <w:b w:val="0"/>
          <w:bCs w:val="0"/>
          <w:color w:val="000000"/>
          <w:kern w:val="0"/>
          <w:sz w:val="24"/>
          <w:szCs w:val="24"/>
          <w:highlight w:val="none"/>
          <w:lang w:val="en-US" w:eastAsia="zh-CN"/>
        </w:rPr>
        <w:t>85</w:t>
      </w:r>
      <w:r>
        <w:rPr>
          <w:rFonts w:hint="eastAsia" w:ascii="宋体" w:hAnsi="宋体" w:eastAsia="宋体" w:cs="宋体"/>
          <w:b w:val="0"/>
          <w:bCs w:val="0"/>
          <w:color w:val="000000"/>
          <w:kern w:val="0"/>
          <w:sz w:val="24"/>
          <w:szCs w:val="24"/>
          <w:highlight w:val="none"/>
        </w:rPr>
        <w:t>%；</w:t>
      </w:r>
    </w:p>
    <w:p w14:paraId="3AD1AA55">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4.  雌蜂率：</w:t>
      </w:r>
      <w:r>
        <w:rPr>
          <w:rFonts w:hint="eastAsia" w:ascii="宋体" w:hAnsi="宋体" w:eastAsia="宋体" w:cs="宋体"/>
          <w:b w:val="0"/>
          <w:bCs w:val="0"/>
          <w:color w:val="000000"/>
          <w:kern w:val="0"/>
          <w:sz w:val="24"/>
          <w:szCs w:val="24"/>
          <w:highlight w:val="none"/>
        </w:rPr>
        <w:t>≥</w:t>
      </w:r>
      <w:r>
        <w:rPr>
          <w:rFonts w:hint="eastAsia" w:ascii="宋体" w:hAnsi="宋体" w:eastAsia="宋体" w:cs="宋体"/>
          <w:b w:val="0"/>
          <w:bCs w:val="0"/>
          <w:color w:val="000000"/>
          <w:kern w:val="0"/>
          <w:sz w:val="24"/>
          <w:szCs w:val="24"/>
          <w:highlight w:val="none"/>
          <w:lang w:val="en-US" w:eastAsia="zh-CN"/>
        </w:rPr>
        <w:t>75</w:t>
      </w:r>
      <w:r>
        <w:rPr>
          <w:rFonts w:hint="eastAsia" w:ascii="宋体" w:hAnsi="宋体" w:eastAsia="宋体" w:cs="宋体"/>
          <w:b w:val="0"/>
          <w:bCs w:val="0"/>
          <w:color w:val="000000"/>
          <w:kern w:val="0"/>
          <w:sz w:val="24"/>
          <w:szCs w:val="24"/>
          <w:highlight w:val="none"/>
        </w:rPr>
        <w:t>%</w:t>
      </w:r>
      <w:r>
        <w:rPr>
          <w:rFonts w:hint="eastAsia" w:ascii="宋体" w:hAnsi="宋体" w:eastAsia="宋体" w:cs="宋体"/>
          <w:b w:val="0"/>
          <w:bCs w:val="0"/>
          <w:color w:val="000000"/>
          <w:kern w:val="0"/>
          <w:sz w:val="24"/>
          <w:szCs w:val="24"/>
          <w:highlight w:val="none"/>
          <w:lang w:val="en-US" w:eastAsia="zh-CN"/>
        </w:rPr>
        <w:t>；</w:t>
      </w:r>
    </w:p>
    <w:p w14:paraId="23F9B25B">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val="en-US" w:eastAsia="zh-CN"/>
        </w:rPr>
        <w:t>5</w:t>
      </w:r>
      <w:r>
        <w:rPr>
          <w:rFonts w:hint="eastAsia" w:ascii="宋体" w:hAnsi="宋体" w:eastAsia="宋体" w:cs="宋体"/>
          <w:b w:val="0"/>
          <w:bCs w:val="0"/>
          <w:color w:val="000000"/>
          <w:kern w:val="0"/>
          <w:sz w:val="24"/>
          <w:szCs w:val="24"/>
          <w:highlight w:val="none"/>
        </w:rPr>
        <w:t>.  羽化率：≥</w:t>
      </w:r>
      <w:r>
        <w:rPr>
          <w:rFonts w:hint="eastAsia" w:ascii="宋体" w:hAnsi="宋体" w:eastAsia="宋体" w:cs="宋体"/>
          <w:b w:val="0"/>
          <w:bCs w:val="0"/>
          <w:color w:val="000000"/>
          <w:kern w:val="0"/>
          <w:sz w:val="24"/>
          <w:szCs w:val="24"/>
          <w:highlight w:val="none"/>
          <w:lang w:val="en-US" w:eastAsia="zh-CN"/>
        </w:rPr>
        <w:t>80</w:t>
      </w:r>
      <w:r>
        <w:rPr>
          <w:rFonts w:hint="eastAsia" w:ascii="宋体" w:hAnsi="宋体" w:eastAsia="宋体" w:cs="宋体"/>
          <w:b w:val="0"/>
          <w:bCs w:val="0"/>
          <w:color w:val="000000"/>
          <w:kern w:val="0"/>
          <w:sz w:val="24"/>
          <w:szCs w:val="24"/>
          <w:highlight w:val="none"/>
        </w:rPr>
        <w:t>%；</w:t>
      </w:r>
    </w:p>
    <w:p w14:paraId="18623888">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val="en-US" w:eastAsia="zh-CN"/>
        </w:rPr>
        <w:t>6</w:t>
      </w:r>
      <w:r>
        <w:rPr>
          <w:rFonts w:hint="eastAsia" w:ascii="宋体" w:hAnsi="宋体" w:eastAsia="宋体" w:cs="宋体"/>
          <w:b w:val="0"/>
          <w:bCs w:val="0"/>
          <w:color w:val="000000"/>
          <w:kern w:val="0"/>
          <w:sz w:val="24"/>
          <w:szCs w:val="24"/>
          <w:highlight w:val="none"/>
        </w:rPr>
        <w:t>.  弱蜂率：≤3% ；</w:t>
      </w:r>
    </w:p>
    <w:p w14:paraId="51700754">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lang w:val="en-US" w:eastAsia="zh-CN"/>
        </w:rPr>
        <w:t>7</w:t>
      </w:r>
      <w:r>
        <w:rPr>
          <w:rFonts w:hint="eastAsia" w:ascii="宋体" w:hAnsi="宋体" w:eastAsia="宋体" w:cs="宋体"/>
          <w:b w:val="0"/>
          <w:bCs w:val="0"/>
          <w:color w:val="000000"/>
          <w:kern w:val="0"/>
          <w:sz w:val="24"/>
          <w:szCs w:val="24"/>
          <w:highlight w:val="none"/>
        </w:rPr>
        <w:t>.  有效蜂量：≥</w:t>
      </w:r>
      <w:r>
        <w:rPr>
          <w:rFonts w:hint="eastAsia" w:ascii="宋体" w:hAnsi="宋体" w:eastAsia="宋体" w:cs="宋体"/>
          <w:b w:val="0"/>
          <w:bCs w:val="0"/>
          <w:color w:val="000000"/>
          <w:kern w:val="0"/>
          <w:sz w:val="24"/>
          <w:szCs w:val="24"/>
          <w:highlight w:val="none"/>
          <w:lang w:val="en-US" w:eastAsia="zh-CN"/>
        </w:rPr>
        <w:t>25</w:t>
      </w:r>
      <w:r>
        <w:rPr>
          <w:rFonts w:hint="eastAsia" w:ascii="宋体" w:hAnsi="宋体" w:eastAsia="宋体" w:cs="宋体"/>
          <w:b w:val="0"/>
          <w:bCs w:val="0"/>
          <w:color w:val="000000"/>
          <w:kern w:val="0"/>
          <w:sz w:val="24"/>
          <w:szCs w:val="24"/>
          <w:highlight w:val="none"/>
          <w:lang w:val="en-US"/>
        </w:rPr>
        <w:t>00</w:t>
      </w:r>
      <w:r>
        <w:rPr>
          <w:rFonts w:hint="eastAsia" w:ascii="宋体" w:hAnsi="宋体" w:eastAsia="宋体" w:cs="宋体"/>
          <w:b w:val="0"/>
          <w:bCs w:val="0"/>
          <w:color w:val="000000"/>
          <w:kern w:val="0"/>
          <w:sz w:val="24"/>
          <w:szCs w:val="24"/>
          <w:highlight w:val="none"/>
        </w:rPr>
        <w:t>头/</w:t>
      </w:r>
      <w:r>
        <w:rPr>
          <w:rFonts w:hint="eastAsia" w:ascii="宋体" w:hAnsi="宋体" w:eastAsia="宋体" w:cs="宋体"/>
          <w:b w:val="0"/>
          <w:bCs w:val="0"/>
          <w:color w:val="000000"/>
          <w:kern w:val="0"/>
          <w:sz w:val="24"/>
          <w:szCs w:val="24"/>
          <w:highlight w:val="none"/>
          <w:lang w:eastAsia="zh-CN"/>
        </w:rPr>
        <w:t>枚</w:t>
      </w:r>
      <w:r>
        <w:rPr>
          <w:rFonts w:hint="eastAsia" w:ascii="宋体" w:hAnsi="宋体" w:eastAsia="宋体" w:cs="宋体"/>
          <w:b w:val="0"/>
          <w:bCs w:val="0"/>
          <w:color w:val="000000"/>
          <w:kern w:val="0"/>
          <w:sz w:val="24"/>
          <w:szCs w:val="24"/>
          <w:highlight w:val="none"/>
        </w:rPr>
        <w:t>；</w:t>
      </w:r>
    </w:p>
    <w:p w14:paraId="6B2A5B2D">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val="en-US" w:eastAsia="zh-CN"/>
        </w:rPr>
        <w:t xml:space="preserve">8.  </w:t>
      </w:r>
      <w:r>
        <w:rPr>
          <w:rFonts w:hint="eastAsia" w:ascii="宋体" w:hAnsi="宋体" w:eastAsia="宋体" w:cs="宋体"/>
          <w:b w:val="0"/>
          <w:bCs w:val="0"/>
          <w:color w:val="000000"/>
          <w:kern w:val="0"/>
          <w:sz w:val="24"/>
          <w:szCs w:val="24"/>
          <w:highlight w:val="none"/>
        </w:rPr>
        <w:t>释放方式</w:t>
      </w:r>
      <w:r>
        <w:rPr>
          <w:rFonts w:hint="eastAsia" w:ascii="宋体" w:hAnsi="宋体" w:eastAsia="宋体" w:cs="宋体"/>
          <w:b w:val="0"/>
          <w:bCs w:val="0"/>
          <w:color w:val="000000"/>
          <w:kern w:val="0"/>
          <w:sz w:val="24"/>
          <w:szCs w:val="24"/>
          <w:highlight w:val="none"/>
          <w:lang w:eastAsia="zh-CN"/>
        </w:rPr>
        <w:t>：</w:t>
      </w:r>
      <w:r>
        <w:rPr>
          <w:rFonts w:hint="eastAsia" w:ascii="宋体" w:hAnsi="宋体" w:eastAsia="宋体" w:cs="宋体"/>
          <w:b w:val="0"/>
          <w:bCs w:val="0"/>
          <w:color w:val="000000"/>
          <w:kern w:val="0"/>
          <w:sz w:val="24"/>
          <w:szCs w:val="24"/>
          <w:highlight w:val="none"/>
        </w:rPr>
        <w:t>无人植保机投放</w:t>
      </w:r>
      <w:r>
        <w:rPr>
          <w:rFonts w:hint="eastAsia" w:ascii="宋体" w:hAnsi="宋体" w:eastAsia="宋体" w:cs="宋体"/>
          <w:b w:val="0"/>
          <w:bCs w:val="0"/>
          <w:color w:val="000000"/>
          <w:kern w:val="0"/>
          <w:sz w:val="24"/>
          <w:szCs w:val="24"/>
          <w:highlight w:val="none"/>
          <w:lang w:eastAsia="zh-CN"/>
        </w:rPr>
        <w:t>；</w:t>
      </w:r>
    </w:p>
    <w:p w14:paraId="0756B5C3">
      <w:pPr>
        <w:keepNext w:val="0"/>
        <w:keepLines w:val="0"/>
        <w:pageBreakBefore w:val="0"/>
        <w:widowControl/>
        <w:numPr>
          <w:ilvl w:val="0"/>
          <w:numId w:val="0"/>
        </w:numPr>
        <w:kinsoku w:val="0"/>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val="en-US" w:eastAsia="zh-CN"/>
        </w:rPr>
        <w:t>9.</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lang w:eastAsia="zh-CN"/>
        </w:rPr>
        <w:t>放蜂器材质降解要求：</w:t>
      </w:r>
      <w:r>
        <w:rPr>
          <w:rFonts w:hint="eastAsia" w:ascii="宋体" w:hAnsi="宋体" w:eastAsia="宋体" w:cs="宋体"/>
          <w:color w:val="000000"/>
          <w:kern w:val="0"/>
          <w:sz w:val="24"/>
          <w:szCs w:val="24"/>
          <w:highlight w:val="none"/>
          <w:lang w:val="en-US" w:eastAsia="zh-CN"/>
        </w:rPr>
        <w:t>生物基降解树脂</w:t>
      </w:r>
      <w:r>
        <w:rPr>
          <w:rFonts w:hint="eastAsia" w:ascii="宋体" w:hAnsi="宋体" w:eastAsia="宋体" w:cs="宋体"/>
          <w:color w:val="000000"/>
          <w:kern w:val="0"/>
          <w:sz w:val="24"/>
          <w:szCs w:val="24"/>
          <w:highlight w:val="none"/>
          <w:lang w:eastAsia="zh-CN"/>
        </w:rPr>
        <w:t>。</w:t>
      </w:r>
    </w:p>
    <w:p w14:paraId="783F86A3">
      <w:pPr>
        <w:keepNext w:val="0"/>
        <w:keepLines w:val="0"/>
        <w:pageBreakBefore w:val="0"/>
        <w:widowControl/>
        <w:numPr>
          <w:ilvl w:val="0"/>
          <w:numId w:val="0"/>
        </w:numPr>
        <w:kinsoku w:val="0"/>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宋体" w:hAnsi="宋体" w:eastAsia="宋体" w:cs="宋体"/>
          <w:b/>
          <w:bCs/>
          <w:color w:val="000000"/>
          <w:kern w:val="0"/>
          <w:sz w:val="24"/>
          <w:szCs w:val="24"/>
          <w:highlight w:val="none"/>
          <w:lang w:eastAsia="zh-CN"/>
        </w:rPr>
      </w:pPr>
      <w:r>
        <w:rPr>
          <w:rFonts w:hint="eastAsia" w:ascii="宋体" w:hAnsi="宋体" w:eastAsia="宋体" w:cs="宋体"/>
          <w:b/>
          <w:bCs/>
          <w:color w:val="000000"/>
          <w:kern w:val="0"/>
          <w:sz w:val="24"/>
          <w:szCs w:val="24"/>
          <w:highlight w:val="none"/>
          <w:lang w:eastAsia="zh-CN"/>
        </w:rPr>
        <w:t>二、放蜂器技术参数：</w:t>
      </w:r>
    </w:p>
    <w:p w14:paraId="3F10BCA3">
      <w:pPr>
        <w:pStyle w:val="108"/>
        <w:keepNext w:val="0"/>
        <w:keepLines w:val="0"/>
        <w:pageBreakBefore w:val="0"/>
        <w:widowControl/>
        <w:kinsoku w:val="0"/>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放蜂器为棕色空心球体，由上、下两个半球扣合而成。下半球底向上附一圆柱筒，装载</w:t>
      </w:r>
      <w:r>
        <w:rPr>
          <w:rFonts w:hint="eastAsia" w:ascii="宋体" w:hAnsi="宋体" w:eastAsia="宋体" w:cs="宋体"/>
          <w:b w:val="0"/>
          <w:bCs w:val="0"/>
          <w:color w:val="000000"/>
          <w:kern w:val="0"/>
          <w:sz w:val="24"/>
          <w:szCs w:val="24"/>
          <w:highlight w:val="none"/>
          <w:lang w:eastAsia="zh-CN"/>
        </w:rPr>
        <w:t>玉米螟</w:t>
      </w:r>
      <w:r>
        <w:rPr>
          <w:rFonts w:hint="eastAsia" w:ascii="宋体" w:hAnsi="宋体" w:eastAsia="宋体" w:cs="宋体"/>
          <w:b w:val="0"/>
          <w:bCs w:val="0"/>
          <w:color w:val="000000"/>
          <w:kern w:val="0"/>
          <w:sz w:val="24"/>
          <w:szCs w:val="24"/>
          <w:highlight w:val="none"/>
        </w:rPr>
        <w:t>赤眼蜂</w:t>
      </w:r>
      <w:r>
        <w:rPr>
          <w:rFonts w:hint="eastAsia" w:ascii="宋体" w:hAnsi="宋体" w:eastAsia="宋体" w:cs="宋体"/>
          <w:b w:val="0"/>
          <w:bCs w:val="0"/>
          <w:color w:val="000000"/>
          <w:kern w:val="0"/>
          <w:sz w:val="24"/>
          <w:szCs w:val="24"/>
          <w:highlight w:val="none"/>
          <w:lang w:eastAsia="zh-CN"/>
        </w:rPr>
        <w:t>和螟黄赤眼蜂混合蜂种</w:t>
      </w:r>
      <w:r>
        <w:rPr>
          <w:rFonts w:hint="eastAsia" w:ascii="宋体" w:hAnsi="宋体" w:eastAsia="宋体" w:cs="宋体"/>
          <w:sz w:val="24"/>
          <w:szCs w:val="24"/>
          <w:highlight w:val="none"/>
          <w:lang w:val="en-US" w:eastAsia="zh-CN"/>
        </w:rPr>
        <w:t>。放蜂器直径</w:t>
      </w:r>
      <w:r>
        <w:rPr>
          <w:rFonts w:hint="eastAsia" w:ascii="宋体" w:hAnsi="宋体" w:eastAsia="宋体" w:cs="宋体"/>
          <w:color w:val="auto"/>
          <w:sz w:val="24"/>
          <w:szCs w:val="24"/>
          <w:highlight w:val="none"/>
          <w:lang w:val="en-US" w:eastAsia="zh-CN"/>
        </w:rPr>
        <w:t>26mm±0.2mm，漂浮沿直径26.6mm±0.2mm。上半球厚度0.9mm±0.1mm，球体上均匀分布6个狭长状出蜂口，出蜂口长2.5mm±0.15mm，宽0.5mm±0.15mm。下半球四边厚度0.9mm±0.1mm，底部厚度4mm±1mm，筒直径13mm±0.1mm，高20mm±0.1mm。</w:t>
      </w:r>
    </w:p>
    <w:p w14:paraId="19F9F52E">
      <w:pPr>
        <w:keepNext w:val="0"/>
        <w:keepLines w:val="0"/>
        <w:pageBreakBefore w:val="0"/>
        <w:widowControl/>
        <w:numPr>
          <w:ilvl w:val="0"/>
          <w:numId w:val="0"/>
        </w:numPr>
        <w:kinsoku w:val="0"/>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宋体" w:hAnsi="宋体" w:eastAsia="宋体" w:cs="宋体"/>
          <w:b/>
          <w:bCs/>
          <w:color w:val="000000"/>
          <w:kern w:val="0"/>
          <w:sz w:val="24"/>
          <w:szCs w:val="24"/>
          <w:highlight w:val="none"/>
          <w:lang w:eastAsia="zh-CN"/>
        </w:rPr>
      </w:pPr>
      <w:r>
        <w:rPr>
          <w:rFonts w:hint="eastAsia" w:ascii="宋体" w:hAnsi="宋体" w:eastAsia="宋体" w:cs="宋体"/>
          <w:b/>
          <w:bCs/>
          <w:color w:val="000000"/>
          <w:kern w:val="0"/>
          <w:sz w:val="24"/>
          <w:szCs w:val="24"/>
          <w:highlight w:val="none"/>
          <w:lang w:eastAsia="zh-CN"/>
        </w:rPr>
        <w:t>三、服务项目</w:t>
      </w:r>
    </w:p>
    <w:p w14:paraId="1F1F3D9F">
      <w:pPr>
        <w:keepNext w:val="0"/>
        <w:keepLines w:val="0"/>
        <w:pageBreakBefore w:val="0"/>
        <w:widowControl/>
        <w:numPr>
          <w:ilvl w:val="0"/>
          <w:numId w:val="0"/>
        </w:numPr>
        <w:kinsoku w:val="0"/>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1、于</w:t>
      </w:r>
      <w:r>
        <w:rPr>
          <w:rFonts w:hint="eastAsia" w:ascii="宋体" w:hAnsi="宋体" w:eastAsia="宋体" w:cs="宋体"/>
          <w:color w:val="000000"/>
          <w:kern w:val="0"/>
          <w:sz w:val="24"/>
          <w:szCs w:val="24"/>
          <w:highlight w:val="none"/>
          <w:lang w:val="en-US" w:eastAsia="zh-CN"/>
        </w:rPr>
        <w:t>8</w:t>
      </w:r>
      <w:r>
        <w:rPr>
          <w:rFonts w:hint="eastAsia" w:ascii="宋体" w:hAnsi="宋体" w:eastAsia="宋体" w:cs="宋体"/>
          <w:color w:val="000000"/>
          <w:kern w:val="0"/>
          <w:sz w:val="24"/>
          <w:szCs w:val="24"/>
          <w:highlight w:val="none"/>
          <w:lang w:eastAsia="zh-CN"/>
        </w:rPr>
        <w:t>月</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lang w:eastAsia="zh-CN"/>
        </w:rPr>
        <w:t>5日前在预设放蜂地块设置不少于</w:t>
      </w:r>
      <w:r>
        <w:rPr>
          <w:rFonts w:hint="eastAsia" w:ascii="宋体" w:hAnsi="宋体" w:eastAsia="宋体" w:cs="宋体"/>
          <w:color w:val="000000"/>
          <w:kern w:val="0"/>
          <w:sz w:val="24"/>
          <w:szCs w:val="24"/>
          <w:highlight w:val="none"/>
          <w:lang w:val="en-US" w:eastAsia="zh-CN"/>
        </w:rPr>
        <w:t>15</w:t>
      </w:r>
      <w:r>
        <w:rPr>
          <w:rFonts w:hint="eastAsia" w:ascii="宋体" w:hAnsi="宋体" w:eastAsia="宋体" w:cs="宋体"/>
          <w:color w:val="000000"/>
          <w:kern w:val="0"/>
          <w:sz w:val="24"/>
          <w:szCs w:val="24"/>
          <w:highlight w:val="none"/>
          <w:lang w:eastAsia="zh-CN"/>
        </w:rPr>
        <w:t>个玉米螟成虫监测点，并派技术人员每天统计发生情况以掌握最佳放蜂时间。</w:t>
      </w:r>
    </w:p>
    <w:p w14:paraId="3B72D872">
      <w:pPr>
        <w:keepNext w:val="0"/>
        <w:keepLines w:val="0"/>
        <w:pageBreakBefore w:val="0"/>
        <w:widowControl/>
        <w:numPr>
          <w:ilvl w:val="0"/>
          <w:numId w:val="0"/>
        </w:numPr>
        <w:kinsoku w:val="0"/>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2、赤眼蜂释放采取无人植保机飞防作业模式，日作业量不少于3000亩次。</w:t>
      </w:r>
    </w:p>
    <w:p w14:paraId="79B1F099">
      <w:pPr>
        <w:keepNext w:val="0"/>
        <w:keepLines w:val="0"/>
        <w:pageBreakBefore w:val="0"/>
        <w:widowControl/>
        <w:numPr>
          <w:ilvl w:val="0"/>
          <w:numId w:val="0"/>
        </w:numPr>
        <w:kinsoku w:val="0"/>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3、放蜂后及时对放蜂地块出蜂率、寄生率等关键数据进行跟踪调查，并整理汇总提交到植保站。</w:t>
      </w:r>
    </w:p>
    <w:p w14:paraId="5B792247">
      <w:pPr>
        <w:keepNext w:val="0"/>
        <w:keepLines w:val="0"/>
        <w:pageBreakBefore w:val="0"/>
        <w:widowControl/>
        <w:numPr>
          <w:ilvl w:val="0"/>
          <w:numId w:val="0"/>
        </w:numPr>
        <w:kinsoku w:val="0"/>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宋体" w:hAnsi="宋体" w:eastAsia="宋体" w:cs="宋体"/>
          <w:color w:val="000000"/>
          <w:kern w:val="0"/>
          <w:sz w:val="28"/>
          <w:szCs w:val="28"/>
          <w:highlight w:val="none"/>
          <w:lang w:eastAsia="zh-CN"/>
        </w:rPr>
      </w:pPr>
    </w:p>
    <w:p w14:paraId="597835B7">
      <w:pPr>
        <w:keepNext w:val="0"/>
        <w:keepLines w:val="0"/>
        <w:pageBreakBefore w:val="0"/>
        <w:widowControl/>
        <w:numPr>
          <w:ilvl w:val="0"/>
          <w:numId w:val="0"/>
        </w:numPr>
        <w:kinsoku w:val="0"/>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宋体" w:hAnsi="宋体" w:eastAsia="宋体" w:cs="宋体"/>
          <w:color w:val="000000"/>
          <w:kern w:val="0"/>
          <w:sz w:val="28"/>
          <w:szCs w:val="28"/>
          <w:highlight w:val="none"/>
          <w:lang w:eastAsia="zh-CN"/>
        </w:rPr>
      </w:pPr>
    </w:p>
    <w:p w14:paraId="1604753D">
      <w:pPr>
        <w:keepNext w:val="0"/>
        <w:keepLines w:val="0"/>
        <w:pageBreakBefore w:val="0"/>
        <w:widowControl/>
        <w:numPr>
          <w:ilvl w:val="0"/>
          <w:numId w:val="0"/>
        </w:numPr>
        <w:kinsoku w:val="0"/>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宋体" w:hAnsi="宋体" w:eastAsia="宋体" w:cs="宋体"/>
          <w:color w:val="000000"/>
          <w:kern w:val="0"/>
          <w:sz w:val="28"/>
          <w:szCs w:val="28"/>
          <w:highlight w:val="none"/>
          <w:lang w:eastAsia="zh-CN"/>
        </w:rPr>
      </w:pPr>
    </w:p>
    <w:p w14:paraId="0419AD53">
      <w:pPr>
        <w:keepNext w:val="0"/>
        <w:keepLines w:val="0"/>
        <w:pageBreakBefore w:val="0"/>
        <w:widowControl/>
        <w:numPr>
          <w:ilvl w:val="0"/>
          <w:numId w:val="0"/>
        </w:numPr>
        <w:kinsoku w:val="0"/>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宋体" w:hAnsi="宋体" w:eastAsia="宋体" w:cs="宋体"/>
          <w:color w:val="000000"/>
          <w:kern w:val="0"/>
          <w:sz w:val="28"/>
          <w:szCs w:val="28"/>
          <w:highlight w:val="none"/>
          <w:lang w:eastAsia="zh-CN"/>
        </w:rPr>
      </w:pPr>
    </w:p>
    <w:p w14:paraId="4E8F1676">
      <w:pPr>
        <w:pStyle w:val="4"/>
        <w:keepNext w:val="0"/>
        <w:keepLines w:val="0"/>
        <w:pageBreakBefore w:val="0"/>
        <w:widowControl/>
        <w:kinsoku w:val="0"/>
        <w:wordWrap/>
        <w:bidi w:val="0"/>
        <w:adjustRightInd w:val="0"/>
        <w:snapToGrid w:val="0"/>
        <w:spacing w:before="0" w:line="360" w:lineRule="auto"/>
        <w:ind w:left="0" w:leftChars="0" w:right="0" w:rightChars="0"/>
        <w:outlineLvl w:val="9"/>
        <w:rPr>
          <w:color w:val="auto"/>
          <w:highlight w:val="none"/>
        </w:rPr>
      </w:pPr>
    </w:p>
    <w:p w14:paraId="6AFC05AE">
      <w:pPr>
        <w:keepNext w:val="0"/>
        <w:keepLines w:val="0"/>
        <w:pageBreakBefore w:val="0"/>
        <w:widowControl/>
        <w:kinsoku w:val="0"/>
        <w:wordWrap/>
        <w:bidi w:val="0"/>
        <w:adjustRightInd w:val="0"/>
        <w:snapToGrid w:val="0"/>
        <w:spacing w:line="360" w:lineRule="auto"/>
        <w:ind w:left="0" w:leftChars="0" w:right="0" w:rightChars="0"/>
        <w:jc w:val="center"/>
        <w:outlineLvl w:val="0"/>
        <w:rPr>
          <w:rFonts w:hint="eastAsia" w:ascii="宋体" w:hAnsi="宋体" w:eastAsia="宋体" w:cs="宋体"/>
          <w:b/>
          <w:bCs/>
          <w:color w:val="auto"/>
          <w:sz w:val="32"/>
          <w:szCs w:val="32"/>
          <w:highlight w:val="none"/>
        </w:rPr>
      </w:pPr>
      <w:bookmarkStart w:id="48" w:name="_Toc31215"/>
      <w:r>
        <w:rPr>
          <w:rFonts w:hint="eastAsia" w:ascii="宋体" w:hAnsi="宋体" w:eastAsia="宋体" w:cs="宋体"/>
          <w:b/>
          <w:bCs/>
          <w:color w:val="auto"/>
          <w:sz w:val="32"/>
          <w:szCs w:val="32"/>
          <w:highlight w:val="none"/>
        </w:rPr>
        <w:t xml:space="preserve">第六章  </w:t>
      </w:r>
      <w:r>
        <w:rPr>
          <w:rFonts w:hint="eastAsia" w:ascii="宋体" w:hAnsi="宋体" w:eastAsia="宋体" w:cs="宋体"/>
          <w:b/>
          <w:bCs/>
          <w:color w:val="auto"/>
          <w:sz w:val="32"/>
          <w:szCs w:val="32"/>
          <w:highlight w:val="none"/>
          <w:lang w:eastAsia="zh-CN"/>
        </w:rPr>
        <w:t>投标文件</w:t>
      </w:r>
      <w:r>
        <w:rPr>
          <w:rFonts w:hint="eastAsia" w:ascii="宋体" w:hAnsi="宋体" w:eastAsia="宋体" w:cs="宋体"/>
          <w:b/>
          <w:bCs/>
          <w:color w:val="auto"/>
          <w:sz w:val="32"/>
          <w:szCs w:val="32"/>
          <w:highlight w:val="none"/>
        </w:rPr>
        <w:t>格式</w:t>
      </w:r>
      <w:bookmarkEnd w:id="48"/>
    </w:p>
    <w:p w14:paraId="6B0D063D">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highlight w:val="none"/>
        </w:rPr>
      </w:pPr>
    </w:p>
    <w:p w14:paraId="5AAA20A0">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highlight w:val="none"/>
        </w:rPr>
      </w:pPr>
    </w:p>
    <w:p w14:paraId="1A9BBEED">
      <w:pPr>
        <w:keepNext w:val="0"/>
        <w:keepLines w:val="0"/>
        <w:pageBreakBefore w:val="0"/>
        <w:widowControl/>
        <w:kinsoku w:val="0"/>
        <w:wordWrap/>
        <w:bidi w:val="0"/>
        <w:adjustRightInd w:val="0"/>
        <w:snapToGrid w:val="0"/>
        <w:spacing w:line="360" w:lineRule="auto"/>
        <w:ind w:left="0" w:leftChars="0" w:right="0" w:rightChars="0"/>
        <w:jc w:val="center"/>
        <w:outlineLvl w:val="0"/>
        <w:rPr>
          <w:rFonts w:hint="default" w:ascii="宋体" w:hAnsi="宋体" w:eastAsia="宋体" w:cs="宋体"/>
          <w:b/>
          <w:bCs/>
          <w:color w:val="auto"/>
          <w:sz w:val="72"/>
          <w:szCs w:val="72"/>
          <w:highlight w:val="none"/>
          <w:lang w:val="en-US" w:eastAsia="zh-CN"/>
        </w:rPr>
      </w:pPr>
      <w:bookmarkStart w:id="49" w:name="_Toc28286"/>
      <w:bookmarkStart w:id="50" w:name="_Toc5605"/>
      <w:r>
        <w:rPr>
          <w:rFonts w:hint="eastAsia" w:ascii="宋体" w:hAnsi="宋体" w:eastAsia="宋体" w:cs="宋体"/>
          <w:b/>
          <w:bCs/>
          <w:color w:val="auto"/>
          <w:sz w:val="72"/>
          <w:szCs w:val="72"/>
          <w:highlight w:val="none"/>
        </w:rPr>
        <w:t>（项目名称）</w:t>
      </w:r>
      <w:bookmarkEnd w:id="49"/>
      <w:r>
        <w:rPr>
          <w:rFonts w:hint="eastAsia" w:ascii="宋体" w:hAnsi="宋体" w:cs="宋体"/>
          <w:b/>
          <w:bCs/>
          <w:color w:val="auto"/>
          <w:sz w:val="72"/>
          <w:szCs w:val="72"/>
          <w:highlight w:val="none"/>
          <w:lang w:eastAsia="zh-CN"/>
        </w:rPr>
        <w:t>、</w:t>
      </w:r>
      <w:r>
        <w:rPr>
          <w:rFonts w:hint="eastAsia" w:ascii="宋体" w:hAnsi="宋体" w:cs="宋体"/>
          <w:b/>
          <w:bCs/>
          <w:color w:val="auto"/>
          <w:sz w:val="72"/>
          <w:szCs w:val="72"/>
          <w:highlight w:val="none"/>
          <w:lang w:val="en-US" w:eastAsia="zh-CN"/>
        </w:rPr>
        <w:t>标段</w:t>
      </w:r>
      <w:bookmarkEnd w:id="50"/>
    </w:p>
    <w:p w14:paraId="7F02E5BE">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szCs w:val="24"/>
          <w:highlight w:val="none"/>
        </w:rPr>
      </w:pPr>
    </w:p>
    <w:p w14:paraId="0641BE3A">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szCs w:val="24"/>
          <w:highlight w:val="none"/>
        </w:rPr>
      </w:pPr>
    </w:p>
    <w:p w14:paraId="3A490400">
      <w:pPr>
        <w:keepNext w:val="0"/>
        <w:keepLines w:val="0"/>
        <w:pageBreakBefore w:val="0"/>
        <w:widowControl/>
        <w:kinsoku w:val="0"/>
        <w:wordWrap/>
        <w:bidi w:val="0"/>
        <w:adjustRightInd w:val="0"/>
        <w:snapToGrid w:val="0"/>
        <w:spacing w:line="360" w:lineRule="auto"/>
        <w:ind w:left="0" w:leftChars="0" w:right="0" w:rightChars="0"/>
        <w:jc w:val="center"/>
        <w:outlineLvl w:val="0"/>
        <w:rPr>
          <w:rFonts w:ascii="宋体" w:hAnsi="宋体" w:cs="宋体"/>
          <w:b/>
          <w:bCs/>
          <w:color w:val="auto"/>
          <w:sz w:val="72"/>
          <w:szCs w:val="72"/>
          <w:highlight w:val="none"/>
        </w:rPr>
      </w:pPr>
      <w:bookmarkStart w:id="51" w:name="_Toc17705"/>
      <w:bookmarkStart w:id="52" w:name="_Toc21316"/>
      <w:bookmarkStart w:id="53" w:name="_Toc24018"/>
      <w:r>
        <w:rPr>
          <w:rFonts w:hint="eastAsia" w:ascii="宋体" w:hAnsi="宋体" w:cs="宋体"/>
          <w:b/>
          <w:bCs/>
          <w:color w:val="auto"/>
          <w:sz w:val="72"/>
          <w:szCs w:val="72"/>
          <w:highlight w:val="none"/>
          <w:lang w:val="en-US" w:eastAsia="zh-CN"/>
        </w:rPr>
        <w:t>投 标</w:t>
      </w:r>
      <w:r>
        <w:rPr>
          <w:rFonts w:hint="eastAsia" w:ascii="宋体" w:hAnsi="宋体" w:cs="宋体"/>
          <w:b/>
          <w:bCs/>
          <w:color w:val="auto"/>
          <w:sz w:val="72"/>
          <w:szCs w:val="72"/>
          <w:highlight w:val="none"/>
        </w:rPr>
        <w:t xml:space="preserve"> 文 件</w:t>
      </w:r>
      <w:bookmarkEnd w:id="51"/>
      <w:bookmarkEnd w:id="52"/>
      <w:bookmarkEnd w:id="53"/>
    </w:p>
    <w:p w14:paraId="3890DFB7">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黑体"/>
          <w:b/>
          <w:color w:val="auto"/>
          <w:sz w:val="32"/>
          <w:szCs w:val="32"/>
          <w:highlight w:val="none"/>
        </w:rPr>
      </w:pPr>
      <w:r>
        <w:rPr>
          <w:rFonts w:hint="eastAsia" w:ascii="宋体" w:hAnsi="宋体" w:cs="黑体"/>
          <w:b/>
          <w:color w:val="auto"/>
          <w:sz w:val="32"/>
          <w:szCs w:val="32"/>
          <w:highlight w:val="none"/>
        </w:rPr>
        <w:t>（项目编号：</w:t>
      </w:r>
      <w:r>
        <w:rPr>
          <w:rFonts w:hint="eastAsia" w:ascii="宋体" w:hAnsi="宋体" w:cs="黑体"/>
          <w:b/>
          <w:color w:val="auto"/>
          <w:sz w:val="32"/>
          <w:szCs w:val="32"/>
          <w:highlight w:val="none"/>
          <w:lang w:val="en-US" w:eastAsia="zh-CN"/>
        </w:rPr>
        <w:t xml:space="preserve">    </w:t>
      </w:r>
      <w:r>
        <w:rPr>
          <w:rFonts w:hint="eastAsia" w:ascii="宋体" w:hAnsi="宋体" w:cs="黑体"/>
          <w:b/>
          <w:color w:val="auto"/>
          <w:sz w:val="32"/>
          <w:szCs w:val="32"/>
          <w:highlight w:val="none"/>
        </w:rPr>
        <w:t>）</w:t>
      </w:r>
    </w:p>
    <w:p w14:paraId="1A20A17F">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szCs w:val="24"/>
          <w:highlight w:val="none"/>
        </w:rPr>
      </w:pPr>
    </w:p>
    <w:p w14:paraId="576E9735">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szCs w:val="24"/>
          <w:highlight w:val="none"/>
        </w:rPr>
      </w:pPr>
    </w:p>
    <w:p w14:paraId="6DA091AB">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szCs w:val="24"/>
          <w:highlight w:val="none"/>
        </w:rPr>
      </w:pPr>
    </w:p>
    <w:p w14:paraId="68821705">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szCs w:val="24"/>
          <w:highlight w:val="none"/>
        </w:rPr>
      </w:pPr>
    </w:p>
    <w:p w14:paraId="3A51430E">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szCs w:val="24"/>
          <w:highlight w:val="none"/>
        </w:rPr>
      </w:pPr>
    </w:p>
    <w:p w14:paraId="74CA2788">
      <w:pPr>
        <w:pStyle w:val="17"/>
        <w:keepNext w:val="0"/>
        <w:keepLines w:val="0"/>
        <w:pageBreakBefore w:val="0"/>
        <w:widowControl/>
        <w:kinsoku w:val="0"/>
        <w:wordWrap/>
        <w:bidi w:val="0"/>
        <w:adjustRightInd w:val="0"/>
        <w:snapToGrid w:val="0"/>
        <w:spacing w:after="0" w:line="360" w:lineRule="auto"/>
        <w:ind w:left="0" w:leftChars="0" w:right="0" w:rightChars="0"/>
        <w:rPr>
          <w:color w:val="auto"/>
          <w:highlight w:val="none"/>
        </w:rPr>
      </w:pPr>
    </w:p>
    <w:p w14:paraId="27BFDDA5">
      <w:pPr>
        <w:keepNext w:val="0"/>
        <w:keepLines w:val="0"/>
        <w:pageBreakBefore w:val="0"/>
        <w:widowControl/>
        <w:kinsoku w:val="0"/>
        <w:wordWrap/>
        <w:bidi w:val="0"/>
        <w:adjustRightInd w:val="0"/>
        <w:snapToGrid w:val="0"/>
        <w:spacing w:line="360" w:lineRule="auto"/>
        <w:ind w:left="0" w:leftChars="0" w:right="0" w:rightChars="0" w:firstLine="1400" w:firstLineChars="500"/>
        <w:rPr>
          <w:rFonts w:hint="eastAsia" w:ascii="宋体" w:hAnsi="宋体"/>
          <w:color w:val="auto"/>
          <w:sz w:val="28"/>
          <w:szCs w:val="20"/>
          <w:highlight w:val="none"/>
        </w:rPr>
      </w:pPr>
      <w:bookmarkStart w:id="54" w:name="_Toc6470"/>
      <w:bookmarkEnd w:id="54"/>
      <w:bookmarkStart w:id="55" w:name="_Toc394651920"/>
      <w:bookmarkEnd w:id="55"/>
      <w:bookmarkStart w:id="56" w:name="_Toc144974856"/>
      <w:bookmarkEnd w:id="56"/>
      <w:bookmarkStart w:id="57" w:name="_Toc179632807"/>
      <w:bookmarkEnd w:id="57"/>
      <w:bookmarkStart w:id="58" w:name="_Toc152045787"/>
      <w:bookmarkEnd w:id="58"/>
      <w:bookmarkStart w:id="59" w:name="_Toc247085873"/>
      <w:bookmarkEnd w:id="59"/>
      <w:bookmarkStart w:id="60" w:name="_Toc246996355"/>
      <w:bookmarkEnd w:id="60"/>
      <w:bookmarkStart w:id="61" w:name="_Toc152042576"/>
      <w:bookmarkEnd w:id="61"/>
      <w:bookmarkStart w:id="62" w:name="_Toc528078065"/>
      <w:bookmarkStart w:id="63" w:name="_Toc246997098"/>
    </w:p>
    <w:p w14:paraId="53055284">
      <w:pPr>
        <w:keepNext w:val="0"/>
        <w:keepLines w:val="0"/>
        <w:pageBreakBefore w:val="0"/>
        <w:widowControl/>
        <w:kinsoku w:val="0"/>
        <w:wordWrap/>
        <w:bidi w:val="0"/>
        <w:adjustRightInd w:val="0"/>
        <w:snapToGrid w:val="0"/>
        <w:spacing w:line="360" w:lineRule="auto"/>
        <w:ind w:left="0" w:leftChars="0" w:right="0" w:rightChars="0" w:firstLine="1400" w:firstLineChars="500"/>
        <w:rPr>
          <w:rFonts w:hint="eastAsia" w:ascii="宋体" w:hAnsi="宋体"/>
          <w:color w:val="auto"/>
          <w:sz w:val="28"/>
          <w:szCs w:val="20"/>
          <w:highlight w:val="none"/>
        </w:rPr>
      </w:pPr>
    </w:p>
    <w:p w14:paraId="700A47E5">
      <w:pPr>
        <w:keepNext w:val="0"/>
        <w:keepLines w:val="0"/>
        <w:pageBreakBefore w:val="0"/>
        <w:widowControl/>
        <w:kinsoku w:val="0"/>
        <w:wordWrap/>
        <w:bidi w:val="0"/>
        <w:adjustRightInd w:val="0"/>
        <w:snapToGrid w:val="0"/>
        <w:spacing w:line="360" w:lineRule="auto"/>
        <w:ind w:left="0" w:leftChars="0" w:right="0" w:rightChars="0" w:firstLine="1400" w:firstLineChars="500"/>
        <w:rPr>
          <w:rFonts w:hint="eastAsia" w:ascii="宋体" w:hAnsi="宋体"/>
          <w:color w:val="auto"/>
          <w:sz w:val="28"/>
          <w:szCs w:val="20"/>
          <w:highlight w:val="none"/>
        </w:rPr>
      </w:pPr>
    </w:p>
    <w:p w14:paraId="1FBB8FEA">
      <w:pPr>
        <w:keepNext w:val="0"/>
        <w:keepLines w:val="0"/>
        <w:pageBreakBefore w:val="0"/>
        <w:widowControl/>
        <w:kinsoku w:val="0"/>
        <w:wordWrap/>
        <w:bidi w:val="0"/>
        <w:adjustRightInd w:val="0"/>
        <w:snapToGrid w:val="0"/>
        <w:spacing w:line="360" w:lineRule="auto"/>
        <w:ind w:left="0" w:leftChars="0" w:right="0" w:rightChars="0" w:firstLine="1400" w:firstLineChars="500"/>
        <w:rPr>
          <w:rFonts w:ascii="宋体" w:hAnsi="宋体"/>
          <w:color w:val="auto"/>
          <w:sz w:val="28"/>
          <w:szCs w:val="20"/>
          <w:highlight w:val="none"/>
        </w:rPr>
      </w:pPr>
      <w:r>
        <w:rPr>
          <w:rFonts w:hint="eastAsia" w:ascii="宋体" w:hAnsi="宋体"/>
          <w:color w:val="auto"/>
          <w:sz w:val="28"/>
          <w:szCs w:val="20"/>
          <w:highlight w:val="none"/>
          <w:lang w:val="en-US" w:eastAsia="zh-CN"/>
        </w:rPr>
        <w:t>供应商</w:t>
      </w:r>
      <w:r>
        <w:rPr>
          <w:rFonts w:hint="eastAsia" w:ascii="宋体" w:hAnsi="宋体"/>
          <w:color w:val="auto"/>
          <w:sz w:val="28"/>
          <w:szCs w:val="20"/>
          <w:highlight w:val="none"/>
        </w:rPr>
        <w:t>：</w:t>
      </w:r>
      <w:r>
        <w:rPr>
          <w:rFonts w:hint="eastAsia" w:ascii="宋体" w:hAnsi="宋体" w:cs="宋体"/>
          <w:color w:val="auto"/>
          <w:sz w:val="28"/>
          <w:szCs w:val="20"/>
          <w:highlight w:val="none"/>
          <w:u w:val="single"/>
        </w:rPr>
        <w:t xml:space="preserve">                     </w:t>
      </w:r>
      <w:r>
        <w:rPr>
          <w:rFonts w:hint="eastAsia" w:ascii="宋体" w:hAnsi="宋体"/>
          <w:color w:val="auto"/>
          <w:sz w:val="28"/>
          <w:szCs w:val="20"/>
          <w:highlight w:val="none"/>
        </w:rPr>
        <w:t>（电子签章）</w:t>
      </w:r>
    </w:p>
    <w:p w14:paraId="553942E1">
      <w:pPr>
        <w:keepNext w:val="0"/>
        <w:keepLines w:val="0"/>
        <w:pageBreakBefore w:val="0"/>
        <w:widowControl/>
        <w:kinsoku w:val="0"/>
        <w:wordWrap/>
        <w:bidi w:val="0"/>
        <w:adjustRightInd w:val="0"/>
        <w:snapToGrid w:val="0"/>
        <w:spacing w:line="360" w:lineRule="auto"/>
        <w:ind w:left="0" w:leftChars="0" w:right="0" w:rightChars="0" w:firstLine="1400" w:firstLineChars="500"/>
        <w:jc w:val="left"/>
        <w:rPr>
          <w:rFonts w:ascii="宋体" w:hAnsi="宋体"/>
          <w:color w:val="auto"/>
          <w:sz w:val="28"/>
          <w:szCs w:val="20"/>
          <w:highlight w:val="none"/>
        </w:rPr>
      </w:pPr>
      <w:r>
        <w:rPr>
          <w:rFonts w:hint="eastAsia" w:ascii="宋体" w:hAnsi="宋体"/>
          <w:color w:val="auto"/>
          <w:sz w:val="28"/>
          <w:szCs w:val="20"/>
          <w:highlight w:val="none"/>
        </w:rPr>
        <w:t>法定代表人：</w:t>
      </w:r>
      <w:r>
        <w:rPr>
          <w:rFonts w:hint="eastAsia" w:ascii="宋体" w:hAnsi="宋体" w:cs="宋体"/>
          <w:color w:val="auto"/>
          <w:sz w:val="28"/>
          <w:szCs w:val="20"/>
          <w:highlight w:val="none"/>
          <w:u w:val="single"/>
        </w:rPr>
        <w:t xml:space="preserve">                     </w:t>
      </w:r>
      <w:r>
        <w:rPr>
          <w:rFonts w:hint="eastAsia" w:ascii="宋体" w:hAnsi="宋体"/>
          <w:color w:val="auto"/>
          <w:sz w:val="28"/>
          <w:szCs w:val="20"/>
          <w:highlight w:val="none"/>
        </w:rPr>
        <w:t>（电子签章）</w:t>
      </w:r>
    </w:p>
    <w:p w14:paraId="3AAD6816">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olor w:val="auto"/>
          <w:sz w:val="28"/>
          <w:szCs w:val="20"/>
          <w:highlight w:val="none"/>
        </w:rPr>
      </w:pPr>
      <w:r>
        <w:rPr>
          <w:rFonts w:hint="eastAsia" w:ascii="宋体" w:hAnsi="宋体"/>
          <w:color w:val="auto"/>
          <w:sz w:val="28"/>
          <w:szCs w:val="20"/>
          <w:highlight w:val="none"/>
          <w:u w:val="single"/>
        </w:rPr>
        <w:t xml:space="preserve">         </w:t>
      </w:r>
      <w:r>
        <w:rPr>
          <w:rFonts w:hint="eastAsia" w:ascii="宋体" w:hAnsi="宋体"/>
          <w:color w:val="auto"/>
          <w:sz w:val="28"/>
          <w:szCs w:val="20"/>
          <w:highlight w:val="none"/>
        </w:rPr>
        <w:t>年</w:t>
      </w:r>
      <w:r>
        <w:rPr>
          <w:rFonts w:hint="eastAsia" w:ascii="宋体" w:hAnsi="宋体"/>
          <w:color w:val="auto"/>
          <w:sz w:val="28"/>
          <w:szCs w:val="20"/>
          <w:highlight w:val="none"/>
          <w:u w:val="single"/>
        </w:rPr>
        <w:t xml:space="preserve">    </w:t>
      </w:r>
      <w:r>
        <w:rPr>
          <w:rFonts w:hint="eastAsia" w:ascii="宋体" w:hAnsi="宋体"/>
          <w:color w:val="auto"/>
          <w:sz w:val="28"/>
          <w:szCs w:val="20"/>
          <w:highlight w:val="none"/>
        </w:rPr>
        <w:t>月</w:t>
      </w:r>
      <w:r>
        <w:rPr>
          <w:rFonts w:hint="eastAsia" w:ascii="宋体" w:hAnsi="宋体"/>
          <w:color w:val="auto"/>
          <w:sz w:val="28"/>
          <w:szCs w:val="20"/>
          <w:highlight w:val="none"/>
          <w:u w:val="single"/>
        </w:rPr>
        <w:t xml:space="preserve">    </w:t>
      </w:r>
      <w:r>
        <w:rPr>
          <w:rFonts w:hint="eastAsia" w:ascii="宋体" w:hAnsi="宋体"/>
          <w:color w:val="auto"/>
          <w:sz w:val="28"/>
          <w:szCs w:val="20"/>
          <w:highlight w:val="none"/>
        </w:rPr>
        <w:t>日</w:t>
      </w:r>
    </w:p>
    <w:p w14:paraId="7A69393F">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color w:val="auto"/>
          <w:sz w:val="36"/>
          <w:szCs w:val="36"/>
          <w:highlight w:val="none"/>
        </w:rPr>
      </w:pPr>
      <w:r>
        <w:rPr>
          <w:rFonts w:hint="eastAsia" w:ascii="宋体" w:hAnsi="宋体" w:cs="宋体"/>
          <w:color w:val="auto"/>
          <w:sz w:val="36"/>
          <w:szCs w:val="36"/>
          <w:highlight w:val="none"/>
        </w:rPr>
        <w:br w:type="page"/>
      </w:r>
      <w:r>
        <w:rPr>
          <w:rFonts w:hint="eastAsia" w:ascii="宋体" w:hAnsi="宋体" w:cs="宋体"/>
          <w:color w:val="auto"/>
          <w:sz w:val="36"/>
          <w:szCs w:val="36"/>
          <w:highlight w:val="none"/>
        </w:rPr>
        <w:t>目   录</w:t>
      </w:r>
      <w:bookmarkEnd w:id="62"/>
      <w:bookmarkEnd w:id="63"/>
    </w:p>
    <w:p w14:paraId="6418CBDA">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color w:val="auto"/>
          <w:sz w:val="30"/>
          <w:szCs w:val="30"/>
          <w:highlight w:val="none"/>
        </w:rPr>
      </w:pPr>
      <w:r>
        <w:rPr>
          <w:rFonts w:hint="eastAsia" w:ascii="宋体" w:hAnsi="宋体" w:cs="宋体"/>
          <w:color w:val="auto"/>
          <w:sz w:val="30"/>
          <w:szCs w:val="30"/>
          <w:highlight w:val="none"/>
        </w:rPr>
        <w:t>（自拟）</w:t>
      </w:r>
    </w:p>
    <w:p w14:paraId="7FDFCDBD">
      <w:pPr>
        <w:keepNext w:val="0"/>
        <w:keepLines w:val="0"/>
        <w:pageBreakBefore w:val="0"/>
        <w:widowControl/>
        <w:kinsoku w:val="0"/>
        <w:wordWrap/>
        <w:bidi w:val="0"/>
        <w:adjustRightInd w:val="0"/>
        <w:snapToGrid w:val="0"/>
        <w:spacing w:line="360" w:lineRule="auto"/>
        <w:ind w:left="0" w:leftChars="0" w:right="0" w:rightChars="0" w:firstLine="820" w:firstLineChars="342"/>
        <w:rPr>
          <w:rFonts w:ascii="宋体" w:hAnsi="宋体" w:cs="宋体"/>
          <w:color w:val="auto"/>
          <w:highlight w:val="none"/>
        </w:rPr>
      </w:pPr>
    </w:p>
    <w:p w14:paraId="0BFEA04F">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highlight w:val="none"/>
        </w:rPr>
      </w:pPr>
    </w:p>
    <w:p w14:paraId="2E9F13A5">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highlight w:val="none"/>
        </w:rPr>
      </w:pPr>
    </w:p>
    <w:p w14:paraId="4484A58B">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highlight w:val="none"/>
        </w:rPr>
      </w:pPr>
    </w:p>
    <w:p w14:paraId="7A0547E0">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highlight w:val="none"/>
        </w:rPr>
      </w:pPr>
    </w:p>
    <w:p w14:paraId="5BF8875C">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highlight w:val="none"/>
        </w:rPr>
      </w:pPr>
    </w:p>
    <w:p w14:paraId="71FD0727">
      <w:pPr>
        <w:pStyle w:val="4"/>
        <w:keepNext w:val="0"/>
        <w:keepLines w:val="0"/>
        <w:pageBreakBefore w:val="0"/>
        <w:widowControl/>
        <w:kinsoku w:val="0"/>
        <w:wordWrap/>
        <w:bidi w:val="0"/>
        <w:adjustRightInd w:val="0"/>
        <w:snapToGrid w:val="0"/>
        <w:spacing w:before="0" w:line="360" w:lineRule="auto"/>
        <w:ind w:left="0" w:leftChars="0" w:right="0" w:rightChars="0"/>
        <w:jc w:val="center"/>
        <w:rPr>
          <w:rFonts w:ascii="宋体" w:hAnsi="宋体" w:eastAsia="宋体" w:cs="宋体"/>
          <w:b w:val="0"/>
          <w:bCs w:val="0"/>
          <w:color w:val="auto"/>
          <w:highlight w:val="none"/>
        </w:rPr>
      </w:pPr>
      <w:bookmarkStart w:id="64" w:name="_Toc27687"/>
      <w:bookmarkEnd w:id="64"/>
      <w:bookmarkStart w:id="65" w:name="_Toc528078066"/>
      <w:bookmarkStart w:id="66" w:name="_Toc394651921"/>
      <w:r>
        <w:rPr>
          <w:rFonts w:hint="eastAsia" w:ascii="宋体" w:hAnsi="宋体" w:eastAsia="宋体" w:cs="宋体"/>
          <w:b w:val="0"/>
          <w:bCs w:val="0"/>
          <w:color w:val="auto"/>
          <w:highlight w:val="none"/>
        </w:rPr>
        <w:br w:type="page"/>
      </w:r>
      <w:bookmarkEnd w:id="65"/>
      <w:bookmarkEnd w:id="66"/>
      <w:bookmarkStart w:id="67" w:name="_Toc70237184"/>
      <w:bookmarkStart w:id="68" w:name="_Toc23721"/>
      <w:r>
        <w:rPr>
          <w:rFonts w:hint="eastAsia" w:ascii="宋体" w:hAnsi="宋体" w:eastAsia="宋体" w:cs="宋体"/>
          <w:b w:val="0"/>
          <w:bCs w:val="0"/>
          <w:color w:val="auto"/>
          <w:highlight w:val="none"/>
        </w:rPr>
        <w:t>一、磋商响应书及第一轮报价表</w:t>
      </w:r>
      <w:bookmarkEnd w:id="67"/>
      <w:bookmarkEnd w:id="68"/>
    </w:p>
    <w:p w14:paraId="6D011751">
      <w:pPr>
        <w:keepNext w:val="0"/>
        <w:keepLines w:val="0"/>
        <w:pageBreakBefore w:val="0"/>
        <w:widowControl/>
        <w:kinsoku w:val="0"/>
        <w:wordWrap/>
        <w:bidi w:val="0"/>
        <w:adjustRightInd w:val="0"/>
        <w:snapToGrid w:val="0"/>
        <w:spacing w:line="360" w:lineRule="auto"/>
        <w:ind w:left="0" w:leftChars="0" w:right="0" w:rightChars="0"/>
        <w:jc w:val="center"/>
        <w:outlineLvl w:val="2"/>
        <w:rPr>
          <w:rFonts w:ascii="宋体" w:hAnsi="宋体" w:cs="宋体"/>
          <w:color w:val="auto"/>
          <w:sz w:val="28"/>
          <w:szCs w:val="28"/>
          <w:highlight w:val="none"/>
          <w:u w:val="single"/>
        </w:rPr>
      </w:pPr>
      <w:bookmarkStart w:id="69" w:name="_Toc19389"/>
      <w:bookmarkEnd w:id="69"/>
      <w:bookmarkStart w:id="70" w:name="_Toc246996357"/>
      <w:bookmarkEnd w:id="70"/>
      <w:bookmarkStart w:id="71" w:name="_Toc247085875"/>
      <w:bookmarkEnd w:id="71"/>
      <w:bookmarkStart w:id="72" w:name="_Toc394651922"/>
      <w:bookmarkEnd w:id="72"/>
      <w:bookmarkStart w:id="73" w:name="_Toc152042578"/>
      <w:bookmarkEnd w:id="73"/>
      <w:bookmarkStart w:id="74" w:name="_Toc144974858"/>
      <w:bookmarkEnd w:id="74"/>
      <w:bookmarkStart w:id="75" w:name="_Toc179632809"/>
      <w:bookmarkEnd w:id="75"/>
      <w:bookmarkStart w:id="76" w:name="_Toc246997100"/>
      <w:bookmarkEnd w:id="76"/>
      <w:bookmarkStart w:id="77" w:name="_Toc152045789"/>
      <w:bookmarkEnd w:id="77"/>
      <w:bookmarkStart w:id="78" w:name="_Toc528078067"/>
      <w:bookmarkStart w:id="79" w:name="_Toc70237185"/>
      <w:r>
        <w:rPr>
          <w:rFonts w:hint="eastAsia" w:ascii="宋体" w:hAnsi="宋体" w:cs="宋体"/>
          <w:color w:val="auto"/>
          <w:sz w:val="32"/>
          <w:szCs w:val="32"/>
          <w:highlight w:val="none"/>
        </w:rPr>
        <w:t>（一）</w:t>
      </w:r>
      <w:bookmarkEnd w:id="78"/>
      <w:r>
        <w:rPr>
          <w:rFonts w:hint="eastAsia" w:ascii="宋体" w:hAnsi="宋体" w:cs="宋体"/>
          <w:color w:val="auto"/>
          <w:sz w:val="32"/>
          <w:szCs w:val="32"/>
          <w:highlight w:val="none"/>
        </w:rPr>
        <w:t>磋商响应书</w:t>
      </w:r>
      <w:bookmarkEnd w:id="79"/>
    </w:p>
    <w:p w14:paraId="0317C3CE">
      <w:pPr>
        <w:keepNext w:val="0"/>
        <w:keepLines w:val="0"/>
        <w:pageBreakBefore w:val="0"/>
        <w:widowControl/>
        <w:kinsoku w:val="0"/>
        <w:wordWrap/>
        <w:bidi w:val="0"/>
        <w:adjustRightInd w:val="0"/>
        <w:snapToGrid w:val="0"/>
        <w:spacing w:line="360" w:lineRule="auto"/>
        <w:ind w:left="0" w:leftChars="0" w:right="0" w:rightChars="0" w:firstLine="480" w:firstLineChars="200"/>
        <w:outlineLvl w:val="0"/>
        <w:rPr>
          <w:rFonts w:ascii="宋体" w:hAnsi="宋体" w:cs="宋体"/>
          <w:color w:val="auto"/>
          <w:szCs w:val="24"/>
          <w:highlight w:val="none"/>
          <w:u w:val="single"/>
        </w:rPr>
      </w:pPr>
      <w:bookmarkStart w:id="80" w:name="_Toc70237186"/>
      <w:bookmarkStart w:id="81" w:name="_Toc11920"/>
      <w:bookmarkStart w:id="82" w:name="_Toc23604"/>
      <w:bookmarkStart w:id="83" w:name="_Toc8092"/>
      <w:r>
        <w:rPr>
          <w:rFonts w:hint="eastAsia" w:ascii="宋体" w:hAnsi="宋体" w:cs="宋体"/>
          <w:color w:val="auto"/>
          <w:szCs w:val="24"/>
          <w:highlight w:val="none"/>
        </w:rPr>
        <w:t>致:</w:t>
      </w:r>
      <w:r>
        <w:rPr>
          <w:rFonts w:hint="eastAsia" w:ascii="宋体" w:hAnsi="宋体" w:cs="宋体"/>
          <w:color w:val="auto"/>
          <w:szCs w:val="24"/>
          <w:highlight w:val="none"/>
          <w:u w:val="single"/>
        </w:rPr>
        <w:t xml:space="preserve">                （采购人）</w:t>
      </w:r>
      <w:bookmarkEnd w:id="80"/>
      <w:bookmarkEnd w:id="81"/>
      <w:bookmarkEnd w:id="82"/>
      <w:bookmarkEnd w:id="83"/>
    </w:p>
    <w:p w14:paraId="576D50AD">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我方收到了</w:t>
      </w:r>
      <w:r>
        <w:rPr>
          <w:rFonts w:hint="eastAsia" w:ascii="宋体" w:hAnsi="宋体" w:cs="宋体"/>
          <w:b/>
          <w:bCs/>
          <w:color w:val="auto"/>
          <w:sz w:val="24"/>
          <w:szCs w:val="20"/>
          <w:highlight w:val="none"/>
          <w:u w:val="single"/>
        </w:rPr>
        <w:t>（项目名称）</w:t>
      </w:r>
      <w:r>
        <w:rPr>
          <w:rFonts w:hint="eastAsia" w:ascii="宋体" w:hAnsi="宋体" w:cs="宋体"/>
          <w:b/>
          <w:bCs/>
          <w:color w:val="auto"/>
          <w:sz w:val="24"/>
          <w:szCs w:val="20"/>
          <w:highlight w:val="none"/>
          <w:u w:val="single"/>
          <w:lang w:eastAsia="zh-CN"/>
        </w:rPr>
        <w:t>、</w:t>
      </w:r>
      <w:r>
        <w:rPr>
          <w:rFonts w:hint="eastAsia" w:ascii="宋体" w:hAnsi="宋体" w:cs="宋体"/>
          <w:b/>
          <w:bCs/>
          <w:color w:val="auto"/>
          <w:sz w:val="24"/>
          <w:szCs w:val="20"/>
          <w:highlight w:val="none"/>
          <w:u w:val="single"/>
        </w:rPr>
        <w:t>（</w:t>
      </w:r>
      <w:r>
        <w:rPr>
          <w:rFonts w:hint="eastAsia" w:ascii="宋体" w:hAnsi="宋体" w:cs="宋体"/>
          <w:b/>
          <w:bCs/>
          <w:color w:val="auto"/>
          <w:sz w:val="24"/>
          <w:szCs w:val="20"/>
          <w:highlight w:val="none"/>
          <w:u w:val="single"/>
          <w:lang w:val="en-US" w:eastAsia="zh-CN"/>
        </w:rPr>
        <w:t>所投</w:t>
      </w:r>
      <w:r>
        <w:rPr>
          <w:rFonts w:hint="eastAsia" w:ascii="宋体" w:hAnsi="宋体" w:cs="宋体"/>
          <w:b/>
          <w:bCs/>
          <w:color w:val="auto"/>
          <w:sz w:val="24"/>
          <w:szCs w:val="20"/>
          <w:highlight w:val="none"/>
          <w:u w:val="single"/>
        </w:rPr>
        <w:t>标段）</w:t>
      </w:r>
      <w:r>
        <w:rPr>
          <w:rFonts w:hint="eastAsia" w:ascii="宋体" w:hAnsi="宋体" w:cs="宋体"/>
          <w:color w:val="auto"/>
          <w:sz w:val="24"/>
          <w:szCs w:val="20"/>
          <w:highlight w:val="none"/>
        </w:rPr>
        <w:t>的招标文件，经详细研究决定参加该项目投标活动，郑重声明以下诸点并负法律责任：</w:t>
      </w:r>
    </w:p>
    <w:p w14:paraId="6A96CF57">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(1)我方愿意以人民币（大写）：</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；（小写）¥</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的投标总报价完成本项目</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标段相关的所有工作，并严格按照合同约定，供货、交付本项目全部内容，并在合同约定的期限内完成合同规定的全部内容。</w:t>
      </w:r>
    </w:p>
    <w:p w14:paraId="762416B0">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szCs w:val="20"/>
          <w:highlight w:val="none"/>
        </w:rPr>
        <w:t>(2)如果我方中标，我方保证交货</w:t>
      </w:r>
      <w:r>
        <w:rPr>
          <w:rFonts w:hint="eastAsia" w:ascii="宋体" w:hAnsi="宋体" w:cs="宋体"/>
          <w:color w:val="auto"/>
          <w:sz w:val="24"/>
          <w:szCs w:val="20"/>
          <w:highlight w:val="none"/>
          <w:lang w:val="en-US" w:eastAsia="zh-CN"/>
        </w:rPr>
        <w:t>服务</w:t>
      </w:r>
      <w:r>
        <w:rPr>
          <w:rFonts w:hint="eastAsia" w:ascii="宋体" w:hAnsi="宋体" w:cs="宋体"/>
          <w:color w:val="auto"/>
          <w:sz w:val="24"/>
          <w:szCs w:val="20"/>
          <w:highlight w:val="none"/>
        </w:rPr>
        <w:t xml:space="preserve">期： </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szCs w:val="20"/>
          <w:highlight w:val="none"/>
        </w:rPr>
        <w:t>，质量达到：</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 xml:space="preserve"> ，质保期：</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。我方同意按招标文件中的规定，本投标文件的有效期自投标文件递交截止之日起</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日历天。</w:t>
      </w:r>
    </w:p>
    <w:p w14:paraId="75F1DCD3">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olor w:val="auto"/>
          <w:sz w:val="24"/>
          <w:szCs w:val="20"/>
          <w:highlight w:val="none"/>
        </w:rPr>
      </w:pPr>
      <w:r>
        <w:rPr>
          <w:rFonts w:hint="eastAsia" w:ascii="宋体" w:hAnsi="宋体" w:cs="宋体"/>
          <w:color w:val="auto"/>
          <w:sz w:val="24"/>
          <w:szCs w:val="20"/>
          <w:highlight w:val="none"/>
        </w:rPr>
        <w:t>(3)</w:t>
      </w:r>
      <w:r>
        <w:rPr>
          <w:rFonts w:hint="eastAsia" w:ascii="宋体" w:hAnsi="宋体"/>
          <w:color w:val="auto"/>
          <w:sz w:val="24"/>
          <w:szCs w:val="20"/>
          <w:highlight w:val="none"/>
        </w:rPr>
        <w:t>我方愿提供招标文件中要求的所有文件资料。</w:t>
      </w:r>
    </w:p>
    <w:p w14:paraId="11B33143">
      <w:pPr>
        <w:keepNext w:val="0"/>
        <w:keepLines w:val="0"/>
        <w:pageBreakBefore w:val="0"/>
        <w:widowControl/>
        <w:kinsoku w:val="0"/>
        <w:wordWrap/>
        <w:bidi w:val="0"/>
        <w:adjustRightInd w:val="0"/>
        <w:snapToGrid w:val="0"/>
        <w:spacing w:line="360" w:lineRule="auto"/>
        <w:ind w:left="0" w:leftChars="0" w:right="0" w:rightChars="0" w:firstLine="477" w:firstLineChars="199"/>
        <w:rPr>
          <w:rFonts w:ascii="宋体" w:hAnsi="宋体"/>
          <w:color w:val="auto"/>
          <w:sz w:val="24"/>
          <w:szCs w:val="20"/>
          <w:highlight w:val="none"/>
        </w:rPr>
      </w:pPr>
      <w:r>
        <w:rPr>
          <w:rFonts w:hint="eastAsia" w:ascii="宋体" w:hAnsi="宋体" w:cs="宋体"/>
          <w:color w:val="auto"/>
          <w:sz w:val="24"/>
          <w:szCs w:val="20"/>
          <w:highlight w:val="none"/>
        </w:rPr>
        <w:t>(4)</w:t>
      </w:r>
      <w:r>
        <w:rPr>
          <w:rFonts w:hint="eastAsia" w:ascii="宋体" w:hAnsi="宋体"/>
          <w:color w:val="auto"/>
          <w:sz w:val="24"/>
          <w:szCs w:val="20"/>
          <w:highlight w:val="none"/>
        </w:rPr>
        <w:t>我方已经详细审核了全部招标文件，包括修改、补充的文件（如果有），我方完全理解并同意放弃对这方面有不明及误解的权利。</w:t>
      </w:r>
    </w:p>
    <w:p w14:paraId="5CEDFE3F">
      <w:pPr>
        <w:keepNext w:val="0"/>
        <w:keepLines w:val="0"/>
        <w:pageBreakBefore w:val="0"/>
        <w:widowControl/>
        <w:kinsoku w:val="0"/>
        <w:wordWrap/>
        <w:bidi w:val="0"/>
        <w:adjustRightInd w:val="0"/>
        <w:snapToGrid w:val="0"/>
        <w:spacing w:line="360" w:lineRule="auto"/>
        <w:ind w:left="0" w:leftChars="0" w:right="0" w:rightChars="0" w:firstLine="480"/>
        <w:rPr>
          <w:rFonts w:ascii="宋体" w:hAnsi="宋体"/>
          <w:color w:val="auto"/>
          <w:sz w:val="24"/>
          <w:szCs w:val="20"/>
          <w:highlight w:val="none"/>
        </w:rPr>
      </w:pPr>
      <w:r>
        <w:rPr>
          <w:rFonts w:hint="eastAsia" w:ascii="宋体" w:hAnsi="宋体" w:cs="宋体"/>
          <w:color w:val="auto"/>
          <w:sz w:val="24"/>
          <w:szCs w:val="20"/>
          <w:highlight w:val="none"/>
        </w:rPr>
        <w:t>(5)</w:t>
      </w:r>
      <w:r>
        <w:rPr>
          <w:rFonts w:hint="eastAsia" w:ascii="宋体" w:hAnsi="宋体"/>
          <w:color w:val="auto"/>
          <w:sz w:val="24"/>
          <w:szCs w:val="20"/>
          <w:highlight w:val="none"/>
        </w:rPr>
        <w:t>我们愿按《中华人民共和国民法典》履行自己的全部责任。</w:t>
      </w:r>
    </w:p>
    <w:p w14:paraId="506EA9F9">
      <w:pPr>
        <w:keepNext w:val="0"/>
        <w:keepLines w:val="0"/>
        <w:pageBreakBefore w:val="0"/>
        <w:widowControl/>
        <w:kinsoku w:val="0"/>
        <w:wordWrap/>
        <w:bidi w:val="0"/>
        <w:adjustRightInd w:val="0"/>
        <w:snapToGrid w:val="0"/>
        <w:spacing w:line="360" w:lineRule="auto"/>
        <w:ind w:left="0" w:leftChars="0" w:right="0" w:rightChars="0" w:firstLine="480"/>
        <w:rPr>
          <w:rFonts w:ascii="宋体" w:hAnsi="宋体"/>
          <w:color w:val="auto"/>
          <w:sz w:val="24"/>
          <w:szCs w:val="20"/>
          <w:highlight w:val="none"/>
        </w:rPr>
      </w:pPr>
      <w:r>
        <w:rPr>
          <w:rFonts w:hint="eastAsia" w:ascii="宋体" w:hAnsi="宋体" w:cs="宋体"/>
          <w:color w:val="auto"/>
          <w:sz w:val="24"/>
          <w:szCs w:val="20"/>
          <w:highlight w:val="none"/>
        </w:rPr>
        <w:t>(6)</w:t>
      </w:r>
      <w:r>
        <w:rPr>
          <w:rFonts w:hint="eastAsia" w:ascii="宋体" w:hAnsi="宋体"/>
          <w:color w:val="auto"/>
          <w:sz w:val="24"/>
          <w:szCs w:val="20"/>
          <w:highlight w:val="none"/>
        </w:rPr>
        <w:t>如果我单位中标，我单位保证按照招标文件（含补充文件）的规定，向招标代理机构缴纳招标代理机构服务费。</w:t>
      </w:r>
    </w:p>
    <w:p w14:paraId="39930654">
      <w:pPr>
        <w:keepNext w:val="0"/>
        <w:keepLines w:val="0"/>
        <w:pageBreakBefore w:val="0"/>
        <w:widowControl/>
        <w:kinsoku w:val="0"/>
        <w:wordWrap/>
        <w:bidi w:val="0"/>
        <w:adjustRightInd w:val="0"/>
        <w:snapToGrid w:val="0"/>
        <w:spacing w:line="360" w:lineRule="auto"/>
        <w:ind w:left="0" w:leftChars="0" w:right="0" w:rightChars="0" w:firstLine="480"/>
        <w:rPr>
          <w:rFonts w:ascii="宋体" w:hAnsi="宋体"/>
          <w:color w:val="auto"/>
          <w:sz w:val="24"/>
          <w:szCs w:val="20"/>
          <w:highlight w:val="none"/>
        </w:rPr>
      </w:pPr>
      <w:r>
        <w:rPr>
          <w:rFonts w:hint="eastAsia" w:ascii="宋体" w:hAnsi="宋体" w:cs="宋体"/>
          <w:color w:val="auto"/>
          <w:sz w:val="24"/>
          <w:szCs w:val="20"/>
          <w:highlight w:val="none"/>
        </w:rPr>
        <w:t>(7)</w:t>
      </w:r>
      <w:r>
        <w:rPr>
          <w:rFonts w:hint="eastAsia" w:ascii="宋体" w:hAnsi="宋体"/>
          <w:color w:val="auto"/>
          <w:sz w:val="24"/>
          <w:szCs w:val="20"/>
          <w:highlight w:val="none"/>
        </w:rPr>
        <w:t>我方在此声明，所递交的投标文件及有关资料内容完整、真实和准确。</w:t>
      </w:r>
    </w:p>
    <w:p w14:paraId="42A18C0F">
      <w:pPr>
        <w:keepNext w:val="0"/>
        <w:keepLines w:val="0"/>
        <w:pageBreakBefore w:val="0"/>
        <w:widowControl/>
        <w:kinsoku w:val="0"/>
        <w:wordWrap/>
        <w:bidi w:val="0"/>
        <w:adjustRightInd w:val="0"/>
        <w:snapToGrid w:val="0"/>
        <w:spacing w:line="360" w:lineRule="auto"/>
        <w:ind w:left="0" w:leftChars="0" w:right="0" w:rightChars="0" w:firstLine="480" w:firstLineChars="200"/>
        <w:rPr>
          <w:rFonts w:hint="eastAsia" w:ascii="宋体" w:hAnsi="宋体"/>
          <w:color w:val="auto"/>
          <w:sz w:val="24"/>
          <w:szCs w:val="20"/>
          <w:highlight w:val="none"/>
        </w:rPr>
      </w:pPr>
      <w:r>
        <w:rPr>
          <w:rFonts w:hint="eastAsia" w:ascii="宋体" w:hAnsi="宋体" w:cs="宋体"/>
          <w:color w:val="auto"/>
          <w:sz w:val="24"/>
          <w:szCs w:val="20"/>
          <w:highlight w:val="none"/>
        </w:rPr>
        <w:t>(8)</w:t>
      </w:r>
      <w:r>
        <w:rPr>
          <w:rFonts w:hint="eastAsia" w:ascii="宋体" w:hAnsi="宋体"/>
          <w:color w:val="auto"/>
          <w:sz w:val="24"/>
          <w:szCs w:val="20"/>
          <w:highlight w:val="none"/>
        </w:rPr>
        <w:t>与本投标有关的正式通讯地址：</w:t>
      </w:r>
    </w:p>
    <w:p w14:paraId="26A2D508">
      <w:pPr>
        <w:keepNext w:val="0"/>
        <w:keepLines w:val="0"/>
        <w:pageBreakBefore w:val="0"/>
        <w:widowControl/>
        <w:kinsoku w:val="0"/>
        <w:wordWrap/>
        <w:bidi w:val="0"/>
        <w:adjustRightInd w:val="0"/>
        <w:snapToGrid w:val="0"/>
        <w:spacing w:line="360" w:lineRule="auto"/>
        <w:ind w:left="0" w:leftChars="0" w:right="0" w:rightChars="0" w:firstLine="360" w:firstLineChars="150"/>
        <w:rPr>
          <w:rFonts w:ascii="宋体" w:hAnsi="宋体" w:cs="宋体"/>
          <w:color w:val="auto"/>
          <w:sz w:val="24"/>
          <w:szCs w:val="20"/>
          <w:highlight w:val="none"/>
        </w:rPr>
      </w:pPr>
      <w:r>
        <w:rPr>
          <w:rFonts w:hint="eastAsia" w:ascii="宋体" w:hAnsi="宋体" w:cs="宋体"/>
          <w:color w:val="auto"/>
          <w:sz w:val="24"/>
          <w:szCs w:val="20"/>
          <w:highlight w:val="none"/>
        </w:rPr>
        <w:t xml:space="preserve">（9）本项目的联系人 </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，联系电话：</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 xml:space="preserve">。   </w:t>
      </w:r>
    </w:p>
    <w:p w14:paraId="1B98074F">
      <w:pPr>
        <w:keepNext w:val="0"/>
        <w:keepLines w:val="0"/>
        <w:pageBreakBefore w:val="0"/>
        <w:widowControl/>
        <w:kinsoku w:val="0"/>
        <w:wordWrap/>
        <w:bidi w:val="0"/>
        <w:adjustRightInd w:val="0"/>
        <w:snapToGrid w:val="0"/>
        <w:spacing w:line="360" w:lineRule="auto"/>
        <w:ind w:left="0" w:leftChars="0" w:right="0" w:rightChars="0"/>
        <w:jc w:val="left"/>
        <w:rPr>
          <w:rFonts w:ascii="宋体" w:hAnsi="宋体" w:cs="宋体"/>
          <w:color w:val="auto"/>
          <w:sz w:val="24"/>
          <w:szCs w:val="20"/>
          <w:highlight w:val="none"/>
          <w:u w:val="single"/>
        </w:rPr>
      </w:pPr>
      <w:r>
        <w:rPr>
          <w:rFonts w:hint="eastAsia" w:ascii="宋体" w:hAnsi="宋体" w:cs="宋体"/>
          <w:color w:val="auto"/>
          <w:sz w:val="24"/>
          <w:szCs w:val="20"/>
          <w:highlight w:val="none"/>
          <w:lang w:eastAsia="zh-CN"/>
        </w:rPr>
        <w:t>供应商</w:t>
      </w:r>
      <w:r>
        <w:rPr>
          <w:rFonts w:hint="eastAsia" w:ascii="宋体" w:hAnsi="宋体" w:cs="宋体"/>
          <w:color w:val="auto"/>
          <w:sz w:val="24"/>
          <w:szCs w:val="20"/>
          <w:highlight w:val="none"/>
        </w:rPr>
        <w:t>（电子签章）：</w:t>
      </w:r>
      <w:r>
        <w:rPr>
          <w:rFonts w:hint="eastAsia" w:ascii="宋体" w:hAnsi="宋体" w:cs="宋体"/>
          <w:color w:val="auto"/>
          <w:sz w:val="24"/>
          <w:szCs w:val="20"/>
          <w:highlight w:val="none"/>
          <w:u w:val="single"/>
        </w:rPr>
        <w:t xml:space="preserve">                            </w:t>
      </w:r>
    </w:p>
    <w:p w14:paraId="3EE85666">
      <w:pPr>
        <w:keepNext w:val="0"/>
        <w:keepLines w:val="0"/>
        <w:pageBreakBefore w:val="0"/>
        <w:widowControl/>
        <w:kinsoku w:val="0"/>
        <w:wordWrap/>
        <w:bidi w:val="0"/>
        <w:adjustRightInd w:val="0"/>
        <w:snapToGrid w:val="0"/>
        <w:spacing w:line="360" w:lineRule="auto"/>
        <w:ind w:right="0" w:rightChars="0"/>
        <w:jc w:val="left"/>
        <w:rPr>
          <w:rFonts w:ascii="宋体" w:hAnsi="宋体" w:cs="宋体"/>
          <w:color w:val="auto"/>
          <w:sz w:val="24"/>
          <w:szCs w:val="20"/>
          <w:highlight w:val="none"/>
          <w:u w:val="single"/>
        </w:rPr>
      </w:pPr>
      <w:r>
        <w:rPr>
          <w:rFonts w:hint="eastAsia" w:ascii="宋体" w:hAnsi="宋体" w:cs="宋体"/>
          <w:color w:val="auto"/>
          <w:sz w:val="24"/>
          <w:szCs w:val="20"/>
          <w:highlight w:val="none"/>
        </w:rPr>
        <w:t>法定代表人（电子签章）：</w:t>
      </w:r>
      <w:r>
        <w:rPr>
          <w:rFonts w:hint="eastAsia" w:ascii="宋体" w:hAnsi="宋体" w:cs="宋体"/>
          <w:color w:val="auto"/>
          <w:sz w:val="24"/>
          <w:szCs w:val="20"/>
          <w:highlight w:val="none"/>
          <w:u w:val="single"/>
        </w:rPr>
        <w:t xml:space="preserve">                      </w:t>
      </w:r>
    </w:p>
    <w:p w14:paraId="75F42DAE">
      <w:pPr>
        <w:keepNext w:val="0"/>
        <w:keepLines w:val="0"/>
        <w:pageBreakBefore w:val="0"/>
        <w:widowControl/>
        <w:kinsoku w:val="0"/>
        <w:wordWrap/>
        <w:bidi w:val="0"/>
        <w:adjustRightInd w:val="0"/>
        <w:snapToGrid w:val="0"/>
        <w:spacing w:line="360" w:lineRule="auto"/>
        <w:ind w:right="0" w:rightChars="0"/>
        <w:jc w:val="left"/>
        <w:rPr>
          <w:rFonts w:ascii="宋体" w:hAnsi="宋体" w:cs="宋体"/>
          <w:color w:val="auto"/>
          <w:sz w:val="24"/>
          <w:szCs w:val="20"/>
          <w:highlight w:val="none"/>
          <w:u w:val="single"/>
        </w:rPr>
      </w:pPr>
      <w:r>
        <w:rPr>
          <w:rFonts w:hint="eastAsia" w:ascii="宋体" w:hAnsi="宋体" w:cs="宋体"/>
          <w:color w:val="auto"/>
          <w:sz w:val="24"/>
          <w:szCs w:val="20"/>
          <w:highlight w:val="none"/>
        </w:rPr>
        <w:t>地    址：</w:t>
      </w:r>
      <w:r>
        <w:rPr>
          <w:rFonts w:hint="eastAsia" w:ascii="宋体" w:hAnsi="宋体" w:cs="宋体"/>
          <w:color w:val="auto"/>
          <w:sz w:val="24"/>
          <w:szCs w:val="20"/>
          <w:highlight w:val="none"/>
          <w:u w:val="single"/>
        </w:rPr>
        <w:t xml:space="preserve">                                    </w:t>
      </w:r>
    </w:p>
    <w:p w14:paraId="46192B8B">
      <w:pPr>
        <w:keepNext w:val="0"/>
        <w:keepLines w:val="0"/>
        <w:pageBreakBefore w:val="0"/>
        <w:widowControl/>
        <w:kinsoku w:val="0"/>
        <w:wordWrap/>
        <w:bidi w:val="0"/>
        <w:adjustRightInd w:val="0"/>
        <w:snapToGrid w:val="0"/>
        <w:spacing w:line="360" w:lineRule="auto"/>
        <w:ind w:right="0" w:rightChars="0"/>
        <w:jc w:val="left"/>
        <w:rPr>
          <w:rFonts w:ascii="宋体" w:hAnsi="宋体" w:cs="宋体"/>
          <w:color w:val="auto"/>
          <w:sz w:val="24"/>
          <w:szCs w:val="20"/>
          <w:highlight w:val="none"/>
          <w:u w:val="single"/>
        </w:rPr>
      </w:pPr>
      <w:r>
        <w:rPr>
          <w:rFonts w:hint="eastAsia" w:ascii="宋体" w:hAnsi="宋体" w:cs="宋体"/>
          <w:color w:val="auto"/>
          <w:sz w:val="24"/>
          <w:szCs w:val="20"/>
          <w:highlight w:val="none"/>
        </w:rPr>
        <w:t>邮    编：</w:t>
      </w:r>
      <w:r>
        <w:rPr>
          <w:rFonts w:hint="eastAsia" w:ascii="宋体" w:hAnsi="宋体" w:cs="宋体"/>
          <w:color w:val="auto"/>
          <w:sz w:val="24"/>
          <w:szCs w:val="20"/>
          <w:highlight w:val="none"/>
          <w:u w:val="single"/>
        </w:rPr>
        <w:t xml:space="preserve">                                    </w:t>
      </w:r>
    </w:p>
    <w:p w14:paraId="18D2967F">
      <w:pPr>
        <w:keepNext w:val="0"/>
        <w:keepLines w:val="0"/>
        <w:pageBreakBefore w:val="0"/>
        <w:widowControl/>
        <w:kinsoku w:val="0"/>
        <w:wordWrap/>
        <w:bidi w:val="0"/>
        <w:adjustRightInd w:val="0"/>
        <w:snapToGrid w:val="0"/>
        <w:spacing w:line="360" w:lineRule="auto"/>
        <w:ind w:left="0" w:leftChars="0" w:right="0" w:rightChars="0"/>
        <w:jc w:val="left"/>
        <w:rPr>
          <w:rFonts w:hint="eastAsia" w:ascii="宋体" w:hAnsi="宋体" w:eastAsia="宋体"/>
          <w:color w:val="000000" w:themeColor="text1"/>
          <w:sz w:val="24"/>
          <w:highlight w:val="none"/>
          <w:lang w:eastAsia="zh-CN"/>
        </w:rPr>
      </w:pPr>
      <w:r>
        <w:rPr>
          <w:rFonts w:hint="eastAsia" w:ascii="宋体" w:hAnsi="宋体" w:cs="宋体"/>
          <w:color w:val="auto"/>
          <w:sz w:val="24"/>
          <w:szCs w:val="20"/>
          <w:highlight w:val="none"/>
        </w:rPr>
        <w:t>电    话：</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000000" w:themeColor="text1"/>
          <w:sz w:val="24"/>
          <w:szCs w:val="20"/>
          <w:highlight w:val="none"/>
          <w:lang w:eastAsia="zh-CN"/>
        </w:rPr>
        <w:t>（填写可以联系到的电话，方便二次报价通知）</w:t>
      </w:r>
    </w:p>
    <w:p w14:paraId="72F59989">
      <w:pPr>
        <w:keepNext w:val="0"/>
        <w:keepLines w:val="0"/>
        <w:pageBreakBefore w:val="0"/>
        <w:widowControl/>
        <w:kinsoku w:val="0"/>
        <w:wordWrap/>
        <w:bidi w:val="0"/>
        <w:adjustRightInd w:val="0"/>
        <w:snapToGrid w:val="0"/>
        <w:spacing w:line="360" w:lineRule="auto"/>
        <w:ind w:right="0" w:rightChars="0"/>
        <w:jc w:val="left"/>
        <w:rPr>
          <w:rFonts w:ascii="宋体" w:hAnsi="宋体" w:cs="宋体"/>
          <w:color w:val="auto"/>
          <w:sz w:val="24"/>
          <w:szCs w:val="20"/>
          <w:highlight w:val="none"/>
        </w:rPr>
      </w:pP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年</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月</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日</w:t>
      </w:r>
    </w:p>
    <w:p w14:paraId="24A2225C">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kern w:val="0"/>
          <w:szCs w:val="24"/>
          <w:highlight w:val="none"/>
        </w:rPr>
      </w:pPr>
    </w:p>
    <w:p w14:paraId="2511035B">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color w:val="auto"/>
          <w:szCs w:val="24"/>
          <w:highlight w:val="none"/>
        </w:rPr>
      </w:pPr>
      <w:r>
        <w:rPr>
          <w:rFonts w:hint="eastAsia" w:ascii="宋体" w:hAnsi="宋体" w:cs="宋体"/>
          <w:color w:val="auto"/>
          <w:szCs w:val="24"/>
          <w:highlight w:val="none"/>
        </w:rPr>
        <w:br w:type="page"/>
      </w:r>
      <w:bookmarkStart w:id="84" w:name="_Toc528078068"/>
      <w:r>
        <w:rPr>
          <w:rFonts w:hint="eastAsia" w:ascii="宋体" w:hAnsi="宋体" w:cs="宋体"/>
          <w:color w:val="auto"/>
          <w:szCs w:val="24"/>
          <w:highlight w:val="none"/>
        </w:rPr>
        <w:t>（二）第一轮报价表</w:t>
      </w:r>
    </w:p>
    <w:tbl>
      <w:tblPr>
        <w:tblStyle w:val="28"/>
        <w:tblW w:w="95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57"/>
        <w:gridCol w:w="7219"/>
      </w:tblGrid>
      <w:tr w14:paraId="551E4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2357" w:type="dxa"/>
            <w:tcBorders>
              <w:top w:val="single" w:color="auto" w:sz="4" w:space="0"/>
              <w:left w:val="single" w:color="auto" w:sz="4" w:space="0"/>
              <w:bottom w:val="single" w:color="auto" w:sz="4" w:space="0"/>
              <w:right w:val="single" w:color="auto" w:sz="4" w:space="0"/>
            </w:tcBorders>
            <w:vAlign w:val="center"/>
          </w:tcPr>
          <w:p w14:paraId="60893F3C">
            <w:pPr>
              <w:keepNext w:val="0"/>
              <w:keepLines w:val="0"/>
              <w:pageBreakBefore w:val="0"/>
              <w:widowControl/>
              <w:kinsoku w:val="0"/>
              <w:wordWrap/>
              <w:bidi w:val="0"/>
              <w:adjustRightInd w:val="0"/>
              <w:snapToGrid w:val="0"/>
              <w:spacing w:line="360" w:lineRule="auto"/>
              <w:ind w:left="0" w:leftChars="0" w:right="0" w:rightChars="0"/>
              <w:contextualSpacing/>
              <w:jc w:val="center"/>
              <w:rPr>
                <w:rFonts w:ascii="宋体" w:hAnsi="宋体" w:cs="宋体"/>
                <w:color w:val="auto"/>
                <w:szCs w:val="24"/>
                <w:highlight w:val="none"/>
              </w:rPr>
            </w:pPr>
            <w:r>
              <w:rPr>
                <w:rFonts w:hint="eastAsia" w:ascii="宋体" w:hAnsi="宋体" w:cs="宋体"/>
                <w:color w:val="auto"/>
                <w:szCs w:val="24"/>
                <w:highlight w:val="none"/>
              </w:rPr>
              <w:t>项目名称</w:t>
            </w:r>
          </w:p>
        </w:tc>
        <w:tc>
          <w:tcPr>
            <w:tcW w:w="7219" w:type="dxa"/>
            <w:tcBorders>
              <w:top w:val="single" w:color="auto" w:sz="4" w:space="0"/>
              <w:left w:val="nil"/>
              <w:bottom w:val="single" w:color="auto" w:sz="4" w:space="0"/>
              <w:right w:val="single" w:color="auto" w:sz="4" w:space="0"/>
            </w:tcBorders>
            <w:vAlign w:val="center"/>
          </w:tcPr>
          <w:p w14:paraId="5EBB0620">
            <w:pPr>
              <w:keepNext w:val="0"/>
              <w:keepLines w:val="0"/>
              <w:pageBreakBefore w:val="0"/>
              <w:widowControl/>
              <w:kinsoku w:val="0"/>
              <w:wordWrap/>
              <w:bidi w:val="0"/>
              <w:adjustRightInd w:val="0"/>
              <w:snapToGrid w:val="0"/>
              <w:spacing w:line="360" w:lineRule="auto"/>
              <w:ind w:left="0" w:leftChars="0" w:right="0" w:rightChars="0" w:firstLine="820" w:firstLineChars="342"/>
              <w:contextualSpacing/>
              <w:rPr>
                <w:rFonts w:ascii="宋体" w:hAnsi="宋体" w:cs="宋体"/>
                <w:color w:val="auto"/>
                <w:szCs w:val="24"/>
                <w:highlight w:val="none"/>
              </w:rPr>
            </w:pPr>
          </w:p>
        </w:tc>
      </w:tr>
      <w:tr w14:paraId="096A2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2357" w:type="dxa"/>
            <w:tcBorders>
              <w:top w:val="single" w:color="auto" w:sz="4" w:space="0"/>
              <w:left w:val="single" w:color="auto" w:sz="4" w:space="0"/>
              <w:bottom w:val="single" w:color="auto" w:sz="4" w:space="0"/>
              <w:right w:val="single" w:color="auto" w:sz="4" w:space="0"/>
            </w:tcBorders>
            <w:vAlign w:val="center"/>
          </w:tcPr>
          <w:p w14:paraId="7A6D5751">
            <w:pPr>
              <w:keepNext w:val="0"/>
              <w:keepLines w:val="0"/>
              <w:pageBreakBefore w:val="0"/>
              <w:widowControl/>
              <w:kinsoku w:val="0"/>
              <w:wordWrap/>
              <w:bidi w:val="0"/>
              <w:adjustRightInd w:val="0"/>
              <w:snapToGrid w:val="0"/>
              <w:spacing w:line="360" w:lineRule="auto"/>
              <w:ind w:left="0" w:leftChars="0" w:right="0" w:rightChars="0"/>
              <w:contextualSpacing/>
              <w:jc w:val="center"/>
              <w:rPr>
                <w:rFonts w:ascii="宋体" w:hAnsi="宋体" w:cs="宋体"/>
                <w:color w:val="auto"/>
                <w:szCs w:val="24"/>
                <w:highlight w:val="none"/>
              </w:rPr>
            </w:pPr>
            <w:r>
              <w:rPr>
                <w:rFonts w:hint="eastAsia" w:ascii="宋体" w:hAnsi="宋体" w:cs="宋体"/>
                <w:color w:val="auto"/>
                <w:szCs w:val="24"/>
                <w:highlight w:val="none"/>
              </w:rPr>
              <w:t>标段</w:t>
            </w:r>
          </w:p>
        </w:tc>
        <w:tc>
          <w:tcPr>
            <w:tcW w:w="7219" w:type="dxa"/>
            <w:tcBorders>
              <w:top w:val="single" w:color="auto" w:sz="4" w:space="0"/>
              <w:left w:val="nil"/>
              <w:bottom w:val="single" w:color="auto" w:sz="4" w:space="0"/>
              <w:right w:val="single" w:color="auto" w:sz="4" w:space="0"/>
            </w:tcBorders>
            <w:vAlign w:val="center"/>
          </w:tcPr>
          <w:p w14:paraId="6771D355">
            <w:pPr>
              <w:keepNext w:val="0"/>
              <w:keepLines w:val="0"/>
              <w:pageBreakBefore w:val="0"/>
              <w:widowControl/>
              <w:kinsoku w:val="0"/>
              <w:wordWrap/>
              <w:bidi w:val="0"/>
              <w:adjustRightInd w:val="0"/>
              <w:snapToGrid w:val="0"/>
              <w:spacing w:line="360" w:lineRule="auto"/>
              <w:ind w:left="0" w:leftChars="0" w:right="0" w:rightChars="0" w:firstLine="820" w:firstLineChars="342"/>
              <w:contextualSpacing/>
              <w:rPr>
                <w:rFonts w:ascii="宋体" w:hAnsi="宋体" w:cs="宋体"/>
                <w:color w:val="auto"/>
                <w:szCs w:val="24"/>
                <w:highlight w:val="none"/>
              </w:rPr>
            </w:pPr>
          </w:p>
        </w:tc>
      </w:tr>
      <w:tr w14:paraId="12213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2357" w:type="dxa"/>
            <w:tcBorders>
              <w:top w:val="single" w:color="auto" w:sz="4" w:space="0"/>
              <w:left w:val="single" w:color="auto" w:sz="4" w:space="0"/>
              <w:bottom w:val="single" w:color="auto" w:sz="4" w:space="0"/>
              <w:right w:val="single" w:color="auto" w:sz="4" w:space="0"/>
            </w:tcBorders>
            <w:vAlign w:val="center"/>
          </w:tcPr>
          <w:p w14:paraId="4A27EAC4">
            <w:pPr>
              <w:keepNext w:val="0"/>
              <w:keepLines w:val="0"/>
              <w:pageBreakBefore w:val="0"/>
              <w:widowControl/>
              <w:kinsoku w:val="0"/>
              <w:wordWrap/>
              <w:bidi w:val="0"/>
              <w:adjustRightInd w:val="0"/>
              <w:snapToGrid w:val="0"/>
              <w:spacing w:line="360" w:lineRule="auto"/>
              <w:ind w:left="0" w:leftChars="0" w:right="0" w:rightChars="0"/>
              <w:contextualSpacing/>
              <w:jc w:val="center"/>
              <w:rPr>
                <w:rFonts w:ascii="宋体" w:hAnsi="宋体" w:cs="宋体"/>
                <w:color w:val="auto"/>
                <w:szCs w:val="24"/>
                <w:highlight w:val="none"/>
              </w:rPr>
            </w:pPr>
            <w:r>
              <w:rPr>
                <w:rFonts w:hint="eastAsia" w:ascii="宋体" w:hAnsi="宋体" w:cs="宋体"/>
                <w:color w:val="auto"/>
                <w:szCs w:val="24"/>
                <w:highlight w:val="none"/>
              </w:rPr>
              <w:t>供应商名称</w:t>
            </w:r>
          </w:p>
        </w:tc>
        <w:tc>
          <w:tcPr>
            <w:tcW w:w="7219" w:type="dxa"/>
            <w:tcBorders>
              <w:top w:val="single" w:color="auto" w:sz="4" w:space="0"/>
              <w:left w:val="nil"/>
              <w:bottom w:val="single" w:color="auto" w:sz="4" w:space="0"/>
              <w:right w:val="single" w:color="auto" w:sz="4" w:space="0"/>
            </w:tcBorders>
            <w:vAlign w:val="center"/>
          </w:tcPr>
          <w:p w14:paraId="413D6EA0">
            <w:pPr>
              <w:keepNext w:val="0"/>
              <w:keepLines w:val="0"/>
              <w:pageBreakBefore w:val="0"/>
              <w:widowControl/>
              <w:kinsoku w:val="0"/>
              <w:wordWrap/>
              <w:bidi w:val="0"/>
              <w:adjustRightInd w:val="0"/>
              <w:snapToGrid w:val="0"/>
              <w:spacing w:line="360" w:lineRule="auto"/>
              <w:ind w:left="0" w:leftChars="0" w:right="0" w:rightChars="0" w:firstLine="820" w:firstLineChars="342"/>
              <w:contextualSpacing/>
              <w:rPr>
                <w:rFonts w:ascii="宋体" w:hAnsi="宋体" w:cs="宋体"/>
                <w:color w:val="auto"/>
                <w:szCs w:val="24"/>
                <w:highlight w:val="none"/>
              </w:rPr>
            </w:pPr>
          </w:p>
        </w:tc>
      </w:tr>
      <w:tr w14:paraId="7D65D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357" w:type="dxa"/>
            <w:tcBorders>
              <w:top w:val="single" w:color="auto" w:sz="4" w:space="0"/>
              <w:left w:val="single" w:color="auto" w:sz="4" w:space="0"/>
              <w:bottom w:val="nil"/>
              <w:right w:val="single" w:color="auto" w:sz="4" w:space="0"/>
            </w:tcBorders>
            <w:vAlign w:val="center"/>
          </w:tcPr>
          <w:p w14:paraId="162DEF19">
            <w:pPr>
              <w:keepNext w:val="0"/>
              <w:keepLines w:val="0"/>
              <w:pageBreakBefore w:val="0"/>
              <w:widowControl/>
              <w:kinsoku w:val="0"/>
              <w:wordWrap/>
              <w:bidi w:val="0"/>
              <w:adjustRightInd w:val="0"/>
              <w:snapToGrid w:val="0"/>
              <w:spacing w:line="360" w:lineRule="auto"/>
              <w:ind w:left="0" w:leftChars="0" w:right="0" w:rightChars="0"/>
              <w:contextualSpacing/>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采购内容</w:t>
            </w:r>
          </w:p>
        </w:tc>
        <w:tc>
          <w:tcPr>
            <w:tcW w:w="7219" w:type="dxa"/>
            <w:tcBorders>
              <w:top w:val="single" w:color="auto" w:sz="4" w:space="0"/>
              <w:left w:val="nil"/>
              <w:bottom w:val="single" w:color="auto" w:sz="4" w:space="0"/>
              <w:right w:val="single" w:color="auto" w:sz="4" w:space="0"/>
            </w:tcBorders>
            <w:vAlign w:val="center"/>
          </w:tcPr>
          <w:p w14:paraId="75E10A33">
            <w:pPr>
              <w:keepNext w:val="0"/>
              <w:keepLines w:val="0"/>
              <w:pageBreakBefore w:val="0"/>
              <w:widowControl/>
              <w:kinsoku w:val="0"/>
              <w:wordWrap/>
              <w:bidi w:val="0"/>
              <w:adjustRightInd w:val="0"/>
              <w:snapToGrid w:val="0"/>
              <w:spacing w:line="360" w:lineRule="auto"/>
              <w:ind w:left="0" w:leftChars="0" w:right="0" w:rightChars="0" w:firstLine="820" w:firstLineChars="342"/>
              <w:contextualSpacing/>
              <w:rPr>
                <w:rFonts w:hint="eastAsia" w:ascii="宋体" w:hAnsi="宋体" w:cs="宋体"/>
                <w:color w:val="auto"/>
                <w:szCs w:val="24"/>
                <w:highlight w:val="none"/>
              </w:rPr>
            </w:pPr>
          </w:p>
        </w:tc>
      </w:tr>
      <w:tr w14:paraId="074D2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357" w:type="dxa"/>
            <w:tcBorders>
              <w:top w:val="single" w:color="auto" w:sz="4" w:space="0"/>
              <w:left w:val="single" w:color="auto" w:sz="4" w:space="0"/>
              <w:bottom w:val="nil"/>
              <w:right w:val="single" w:color="auto" w:sz="4" w:space="0"/>
            </w:tcBorders>
            <w:vAlign w:val="center"/>
          </w:tcPr>
          <w:p w14:paraId="507CDEB2">
            <w:pPr>
              <w:keepNext w:val="0"/>
              <w:keepLines w:val="0"/>
              <w:pageBreakBefore w:val="0"/>
              <w:widowControl/>
              <w:kinsoku w:val="0"/>
              <w:wordWrap/>
              <w:bidi w:val="0"/>
              <w:adjustRightInd w:val="0"/>
              <w:snapToGrid w:val="0"/>
              <w:spacing w:line="360" w:lineRule="auto"/>
              <w:ind w:left="0" w:leftChars="0" w:right="0" w:rightChars="0"/>
              <w:contextualSpacing/>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磋商报价</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元</w:t>
            </w:r>
            <w:r>
              <w:rPr>
                <w:rFonts w:hint="eastAsia" w:ascii="宋体" w:hAnsi="宋体" w:cs="宋体"/>
                <w:color w:val="auto"/>
                <w:szCs w:val="24"/>
                <w:highlight w:val="none"/>
                <w:lang w:eastAsia="zh-CN"/>
              </w:rPr>
              <w:t>）</w:t>
            </w:r>
          </w:p>
          <w:p w14:paraId="3A816FB0">
            <w:pPr>
              <w:keepNext w:val="0"/>
              <w:keepLines w:val="0"/>
              <w:pageBreakBefore w:val="0"/>
              <w:widowControl/>
              <w:kinsoku w:val="0"/>
              <w:wordWrap/>
              <w:bidi w:val="0"/>
              <w:adjustRightInd w:val="0"/>
              <w:snapToGrid w:val="0"/>
              <w:spacing w:line="360" w:lineRule="auto"/>
              <w:ind w:left="0" w:leftChars="0" w:right="0" w:rightChars="0"/>
              <w:contextualSpacing/>
              <w:jc w:val="center"/>
              <w:rPr>
                <w:color w:val="auto"/>
                <w:highlight w:val="none"/>
              </w:rPr>
            </w:pPr>
            <w:r>
              <w:rPr>
                <w:rFonts w:hint="eastAsia" w:ascii="宋体" w:hAnsi="宋体" w:eastAsia="宋体" w:cs="宋体"/>
                <w:color w:val="auto"/>
                <w:szCs w:val="24"/>
                <w:highlight w:val="none"/>
              </w:rPr>
              <w:t>（供应商应在此填列第一次报价，但以供应商最后一次的投标报价为成交价）</w:t>
            </w:r>
          </w:p>
        </w:tc>
        <w:tc>
          <w:tcPr>
            <w:tcW w:w="7219" w:type="dxa"/>
            <w:tcBorders>
              <w:top w:val="single" w:color="auto" w:sz="4" w:space="0"/>
              <w:left w:val="nil"/>
              <w:bottom w:val="single" w:color="auto" w:sz="4" w:space="0"/>
              <w:right w:val="single" w:color="auto" w:sz="4" w:space="0"/>
            </w:tcBorders>
            <w:vAlign w:val="center"/>
          </w:tcPr>
          <w:p w14:paraId="6D382A6C">
            <w:pPr>
              <w:keepNext w:val="0"/>
              <w:keepLines w:val="0"/>
              <w:pageBreakBefore w:val="0"/>
              <w:widowControl/>
              <w:kinsoku w:val="0"/>
              <w:wordWrap/>
              <w:bidi w:val="0"/>
              <w:adjustRightInd w:val="0"/>
              <w:snapToGrid w:val="0"/>
              <w:spacing w:line="360" w:lineRule="auto"/>
              <w:ind w:left="0" w:leftChars="0" w:right="0" w:rightChars="0" w:firstLine="820" w:firstLineChars="342"/>
              <w:contextualSpacing/>
              <w:rPr>
                <w:rFonts w:hint="eastAsia" w:ascii="宋体" w:hAnsi="宋体" w:cs="宋体"/>
                <w:color w:val="auto"/>
                <w:szCs w:val="24"/>
                <w:highlight w:val="none"/>
              </w:rPr>
            </w:pPr>
            <w:r>
              <w:rPr>
                <w:rFonts w:hint="eastAsia" w:ascii="宋体" w:hAnsi="宋体" w:cs="宋体"/>
                <w:color w:val="auto"/>
                <w:szCs w:val="24"/>
                <w:highlight w:val="none"/>
              </w:rPr>
              <w:t>（大写）     ，</w:t>
            </w:r>
          </w:p>
          <w:p w14:paraId="0630C98F">
            <w:pPr>
              <w:keepNext w:val="0"/>
              <w:keepLines w:val="0"/>
              <w:pageBreakBefore w:val="0"/>
              <w:widowControl/>
              <w:kinsoku w:val="0"/>
              <w:wordWrap/>
              <w:bidi w:val="0"/>
              <w:adjustRightInd w:val="0"/>
              <w:snapToGrid w:val="0"/>
              <w:spacing w:line="360" w:lineRule="auto"/>
              <w:ind w:left="0" w:leftChars="0" w:right="0" w:rightChars="0" w:firstLine="820" w:firstLineChars="342"/>
              <w:contextualSpacing/>
              <w:rPr>
                <w:rFonts w:ascii="宋体" w:hAnsi="宋体" w:cs="宋体"/>
                <w:color w:val="auto"/>
                <w:szCs w:val="24"/>
                <w:highlight w:val="none"/>
              </w:rPr>
            </w:pPr>
            <w:r>
              <w:rPr>
                <w:rFonts w:hint="eastAsia" w:ascii="宋体" w:hAnsi="宋体" w:cs="宋体"/>
                <w:color w:val="auto"/>
                <w:szCs w:val="24"/>
                <w:highlight w:val="none"/>
              </w:rPr>
              <w:t>（小写）    元</w:t>
            </w:r>
          </w:p>
        </w:tc>
      </w:tr>
      <w:tr w14:paraId="3E2C7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357" w:type="dxa"/>
            <w:tcBorders>
              <w:top w:val="single" w:color="auto" w:sz="4" w:space="0"/>
              <w:left w:val="single" w:color="auto" w:sz="4" w:space="0"/>
              <w:bottom w:val="nil"/>
              <w:right w:val="single" w:color="auto" w:sz="4" w:space="0"/>
            </w:tcBorders>
            <w:vAlign w:val="center"/>
          </w:tcPr>
          <w:p w14:paraId="01CC794B">
            <w:pPr>
              <w:keepNext w:val="0"/>
              <w:keepLines w:val="0"/>
              <w:pageBreakBefore w:val="0"/>
              <w:widowControl/>
              <w:kinsoku w:val="0"/>
              <w:wordWrap/>
              <w:bidi w:val="0"/>
              <w:adjustRightInd w:val="0"/>
              <w:snapToGrid w:val="0"/>
              <w:spacing w:line="360" w:lineRule="auto"/>
              <w:ind w:left="0" w:leftChars="0" w:right="0" w:rightChars="0"/>
              <w:contextualSpacing/>
              <w:rPr>
                <w:rFonts w:ascii="宋体" w:hAnsi="宋体" w:cs="宋体"/>
                <w:color w:val="auto"/>
                <w:szCs w:val="24"/>
                <w:highlight w:val="none"/>
              </w:rPr>
            </w:pPr>
            <w:r>
              <w:rPr>
                <w:rFonts w:hint="eastAsia" w:ascii="宋体" w:hAnsi="宋体" w:cs="宋体"/>
                <w:color w:val="auto"/>
                <w:szCs w:val="24"/>
                <w:highlight w:val="none"/>
                <w:lang w:val="en-US" w:eastAsia="zh-CN"/>
              </w:rPr>
              <w:t>供货服务</w:t>
            </w:r>
            <w:r>
              <w:rPr>
                <w:rFonts w:hint="eastAsia" w:ascii="宋体" w:hAnsi="宋体" w:cs="宋体"/>
                <w:color w:val="auto"/>
                <w:szCs w:val="24"/>
                <w:highlight w:val="none"/>
              </w:rPr>
              <w:t>期</w:t>
            </w:r>
          </w:p>
        </w:tc>
        <w:tc>
          <w:tcPr>
            <w:tcW w:w="7219" w:type="dxa"/>
            <w:tcBorders>
              <w:top w:val="single" w:color="auto" w:sz="4" w:space="0"/>
              <w:left w:val="nil"/>
              <w:bottom w:val="single" w:color="auto" w:sz="4" w:space="0"/>
              <w:right w:val="single" w:color="auto" w:sz="4" w:space="0"/>
            </w:tcBorders>
            <w:vAlign w:val="center"/>
          </w:tcPr>
          <w:p w14:paraId="7212336C">
            <w:pPr>
              <w:keepNext w:val="0"/>
              <w:keepLines w:val="0"/>
              <w:pageBreakBefore w:val="0"/>
              <w:widowControl/>
              <w:kinsoku w:val="0"/>
              <w:wordWrap/>
              <w:bidi w:val="0"/>
              <w:adjustRightInd w:val="0"/>
              <w:snapToGrid w:val="0"/>
              <w:spacing w:line="360" w:lineRule="auto"/>
              <w:ind w:left="0" w:leftChars="0" w:right="0" w:rightChars="0"/>
              <w:contextualSpacing/>
              <w:rPr>
                <w:rFonts w:ascii="宋体" w:hAnsi="宋体" w:cs="宋体"/>
                <w:color w:val="auto"/>
                <w:szCs w:val="24"/>
                <w:highlight w:val="none"/>
              </w:rPr>
            </w:pPr>
          </w:p>
        </w:tc>
      </w:tr>
      <w:tr w14:paraId="3010C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2" w:hRule="atLeast"/>
        </w:trPr>
        <w:tc>
          <w:tcPr>
            <w:tcW w:w="2357" w:type="dxa"/>
            <w:tcBorders>
              <w:top w:val="single" w:color="auto" w:sz="4" w:space="0"/>
              <w:left w:val="single" w:color="auto" w:sz="4" w:space="0"/>
              <w:bottom w:val="single" w:color="auto" w:sz="4" w:space="0"/>
              <w:right w:val="single" w:color="auto" w:sz="4" w:space="0"/>
            </w:tcBorders>
            <w:vAlign w:val="center"/>
          </w:tcPr>
          <w:p w14:paraId="26DC1030">
            <w:pPr>
              <w:keepNext w:val="0"/>
              <w:keepLines w:val="0"/>
              <w:pageBreakBefore w:val="0"/>
              <w:widowControl/>
              <w:kinsoku w:val="0"/>
              <w:wordWrap/>
              <w:bidi w:val="0"/>
              <w:adjustRightInd w:val="0"/>
              <w:snapToGrid w:val="0"/>
              <w:spacing w:line="360" w:lineRule="auto"/>
              <w:ind w:left="0" w:leftChars="0" w:right="0" w:rightChars="0"/>
              <w:contextualSpacing/>
              <w:rPr>
                <w:rFonts w:ascii="宋体" w:hAnsi="宋体" w:cs="宋体"/>
                <w:color w:val="auto"/>
                <w:szCs w:val="24"/>
                <w:highlight w:val="none"/>
              </w:rPr>
            </w:pPr>
            <w:r>
              <w:rPr>
                <w:rFonts w:hint="eastAsia" w:ascii="宋体" w:hAnsi="宋体" w:cs="宋体"/>
                <w:color w:val="auto"/>
                <w:szCs w:val="24"/>
                <w:highlight w:val="none"/>
              </w:rPr>
              <w:t>质量要求</w:t>
            </w:r>
          </w:p>
        </w:tc>
        <w:tc>
          <w:tcPr>
            <w:tcW w:w="7219" w:type="dxa"/>
            <w:tcBorders>
              <w:top w:val="single" w:color="auto" w:sz="4" w:space="0"/>
              <w:left w:val="nil"/>
              <w:bottom w:val="single" w:color="auto" w:sz="4" w:space="0"/>
              <w:right w:val="single" w:color="auto" w:sz="4" w:space="0"/>
            </w:tcBorders>
            <w:vAlign w:val="center"/>
          </w:tcPr>
          <w:p w14:paraId="64B1B129">
            <w:pPr>
              <w:keepNext w:val="0"/>
              <w:keepLines w:val="0"/>
              <w:pageBreakBefore w:val="0"/>
              <w:widowControl/>
              <w:kinsoku w:val="0"/>
              <w:wordWrap/>
              <w:bidi w:val="0"/>
              <w:adjustRightInd w:val="0"/>
              <w:snapToGrid w:val="0"/>
              <w:spacing w:line="360" w:lineRule="auto"/>
              <w:ind w:left="0" w:leftChars="0" w:right="0" w:rightChars="0" w:firstLine="820" w:firstLineChars="342"/>
              <w:contextualSpacing/>
              <w:rPr>
                <w:rFonts w:ascii="宋体" w:hAnsi="宋体" w:cs="宋体"/>
                <w:color w:val="auto"/>
                <w:szCs w:val="24"/>
                <w:highlight w:val="none"/>
              </w:rPr>
            </w:pPr>
          </w:p>
        </w:tc>
      </w:tr>
      <w:tr w14:paraId="00A7C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2" w:hRule="atLeast"/>
        </w:trPr>
        <w:tc>
          <w:tcPr>
            <w:tcW w:w="2357" w:type="dxa"/>
            <w:tcBorders>
              <w:top w:val="single" w:color="auto" w:sz="4" w:space="0"/>
              <w:left w:val="single" w:color="auto" w:sz="4" w:space="0"/>
              <w:bottom w:val="single" w:color="auto" w:sz="4" w:space="0"/>
              <w:right w:val="single" w:color="auto" w:sz="4" w:space="0"/>
            </w:tcBorders>
            <w:vAlign w:val="center"/>
          </w:tcPr>
          <w:p w14:paraId="1207EF95">
            <w:pPr>
              <w:keepNext w:val="0"/>
              <w:keepLines w:val="0"/>
              <w:pageBreakBefore w:val="0"/>
              <w:widowControl/>
              <w:kinsoku w:val="0"/>
              <w:wordWrap/>
              <w:bidi w:val="0"/>
              <w:adjustRightInd w:val="0"/>
              <w:snapToGrid w:val="0"/>
              <w:spacing w:line="360" w:lineRule="auto"/>
              <w:ind w:left="0" w:leftChars="0" w:right="0" w:rightChars="0"/>
              <w:contextualSpacing/>
              <w:rPr>
                <w:rFonts w:ascii="宋体" w:hAnsi="宋体" w:cs="宋体"/>
                <w:color w:val="auto"/>
                <w:szCs w:val="24"/>
                <w:highlight w:val="none"/>
              </w:rPr>
            </w:pPr>
            <w:r>
              <w:rPr>
                <w:rFonts w:hint="eastAsia" w:ascii="宋体" w:hAnsi="宋体" w:cs="宋体"/>
                <w:color w:val="auto"/>
                <w:szCs w:val="24"/>
                <w:highlight w:val="none"/>
              </w:rPr>
              <w:t>磋商有效期</w:t>
            </w:r>
          </w:p>
        </w:tc>
        <w:tc>
          <w:tcPr>
            <w:tcW w:w="7219" w:type="dxa"/>
            <w:tcBorders>
              <w:top w:val="single" w:color="auto" w:sz="4" w:space="0"/>
              <w:left w:val="nil"/>
              <w:bottom w:val="single" w:color="auto" w:sz="4" w:space="0"/>
              <w:right w:val="single" w:color="auto" w:sz="4" w:space="0"/>
            </w:tcBorders>
            <w:vAlign w:val="center"/>
          </w:tcPr>
          <w:p w14:paraId="6EDE38D6">
            <w:pPr>
              <w:keepNext w:val="0"/>
              <w:keepLines w:val="0"/>
              <w:pageBreakBefore w:val="0"/>
              <w:widowControl/>
              <w:kinsoku w:val="0"/>
              <w:wordWrap/>
              <w:bidi w:val="0"/>
              <w:adjustRightInd w:val="0"/>
              <w:snapToGrid w:val="0"/>
              <w:spacing w:line="360" w:lineRule="auto"/>
              <w:ind w:left="0" w:leftChars="0" w:right="0" w:rightChars="0" w:firstLine="820" w:firstLineChars="342"/>
              <w:contextualSpacing/>
              <w:rPr>
                <w:rFonts w:ascii="宋体" w:hAnsi="宋体" w:cs="宋体"/>
                <w:color w:val="auto"/>
                <w:szCs w:val="24"/>
                <w:highlight w:val="none"/>
              </w:rPr>
            </w:pPr>
          </w:p>
        </w:tc>
      </w:tr>
      <w:tr w14:paraId="494A0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2" w:hRule="atLeast"/>
        </w:trPr>
        <w:tc>
          <w:tcPr>
            <w:tcW w:w="2357" w:type="dxa"/>
            <w:tcBorders>
              <w:top w:val="single" w:color="auto" w:sz="4" w:space="0"/>
              <w:left w:val="single" w:color="auto" w:sz="4" w:space="0"/>
              <w:bottom w:val="single" w:color="auto" w:sz="4" w:space="0"/>
              <w:right w:val="single" w:color="auto" w:sz="4" w:space="0"/>
            </w:tcBorders>
            <w:vAlign w:val="center"/>
          </w:tcPr>
          <w:p w14:paraId="6228AF8F">
            <w:pPr>
              <w:keepNext w:val="0"/>
              <w:keepLines w:val="0"/>
              <w:pageBreakBefore w:val="0"/>
              <w:widowControl/>
              <w:kinsoku w:val="0"/>
              <w:wordWrap/>
              <w:bidi w:val="0"/>
              <w:adjustRightInd w:val="0"/>
              <w:snapToGrid w:val="0"/>
              <w:spacing w:line="360" w:lineRule="auto"/>
              <w:ind w:left="0" w:leftChars="0" w:right="0" w:rightChars="0"/>
              <w:contextualSpacing/>
              <w:rPr>
                <w:rFonts w:hint="eastAsia" w:ascii="宋体" w:hAnsi="宋体" w:cs="宋体"/>
                <w:color w:val="auto"/>
                <w:szCs w:val="24"/>
                <w:highlight w:val="none"/>
              </w:rPr>
            </w:pPr>
            <w:r>
              <w:rPr>
                <w:rFonts w:hint="eastAsia" w:ascii="宋体" w:hAnsi="宋体" w:cs="宋体"/>
                <w:color w:val="auto"/>
                <w:szCs w:val="24"/>
                <w:highlight w:val="none"/>
              </w:rPr>
              <w:t>项目负责人及联系方式</w:t>
            </w:r>
          </w:p>
        </w:tc>
        <w:tc>
          <w:tcPr>
            <w:tcW w:w="7219" w:type="dxa"/>
            <w:tcBorders>
              <w:top w:val="single" w:color="auto" w:sz="4" w:space="0"/>
              <w:left w:val="nil"/>
              <w:bottom w:val="single" w:color="auto" w:sz="4" w:space="0"/>
              <w:right w:val="single" w:color="auto" w:sz="4" w:space="0"/>
            </w:tcBorders>
            <w:vAlign w:val="center"/>
          </w:tcPr>
          <w:p w14:paraId="531FABD4">
            <w:pPr>
              <w:keepNext w:val="0"/>
              <w:keepLines w:val="0"/>
              <w:pageBreakBefore w:val="0"/>
              <w:widowControl/>
              <w:kinsoku w:val="0"/>
              <w:wordWrap/>
              <w:bidi w:val="0"/>
              <w:adjustRightInd w:val="0"/>
              <w:snapToGrid w:val="0"/>
              <w:spacing w:line="360" w:lineRule="auto"/>
              <w:ind w:left="0" w:leftChars="0" w:right="0" w:rightChars="0" w:firstLine="820" w:firstLineChars="342"/>
              <w:contextualSpacing/>
              <w:rPr>
                <w:rFonts w:ascii="宋体" w:hAnsi="宋体" w:cs="宋体"/>
                <w:color w:val="auto"/>
                <w:szCs w:val="24"/>
                <w:highlight w:val="none"/>
              </w:rPr>
            </w:pPr>
          </w:p>
        </w:tc>
      </w:tr>
      <w:tr w14:paraId="04CE4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9576" w:type="dxa"/>
            <w:gridSpan w:val="2"/>
            <w:tcBorders>
              <w:top w:val="single" w:color="auto" w:sz="4" w:space="0"/>
              <w:left w:val="single" w:color="auto" w:sz="4" w:space="0"/>
              <w:bottom w:val="single" w:color="auto" w:sz="4" w:space="0"/>
              <w:right w:val="single" w:color="auto" w:sz="4" w:space="0"/>
            </w:tcBorders>
          </w:tcPr>
          <w:p w14:paraId="6AB36209">
            <w:pPr>
              <w:keepNext w:val="0"/>
              <w:keepLines w:val="0"/>
              <w:pageBreakBefore w:val="0"/>
              <w:widowControl/>
              <w:kinsoku w:val="0"/>
              <w:wordWrap/>
              <w:bidi w:val="0"/>
              <w:adjustRightInd w:val="0"/>
              <w:snapToGrid w:val="0"/>
              <w:spacing w:line="360" w:lineRule="auto"/>
              <w:ind w:left="0" w:leftChars="0" w:right="0" w:rightChars="0" w:firstLine="820" w:firstLineChars="342"/>
              <w:contextualSpacing/>
              <w:rPr>
                <w:rFonts w:ascii="宋体" w:hAnsi="宋体" w:cs="宋体"/>
                <w:color w:val="auto"/>
                <w:szCs w:val="24"/>
                <w:highlight w:val="none"/>
              </w:rPr>
            </w:pPr>
            <w:r>
              <w:rPr>
                <w:rFonts w:hint="eastAsia" w:ascii="宋体" w:hAnsi="宋体" w:cs="宋体"/>
                <w:color w:val="auto"/>
                <w:szCs w:val="24"/>
                <w:highlight w:val="none"/>
              </w:rPr>
              <w:t>补充（如有）</w:t>
            </w:r>
          </w:p>
        </w:tc>
      </w:tr>
    </w:tbl>
    <w:p w14:paraId="548A7CE0">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color w:val="auto"/>
          <w:sz w:val="24"/>
          <w:szCs w:val="20"/>
          <w:highlight w:val="none"/>
          <w:lang w:eastAsia="zh-CN"/>
        </w:rPr>
      </w:pPr>
    </w:p>
    <w:p w14:paraId="3A698F67">
      <w:pPr>
        <w:keepNext w:val="0"/>
        <w:keepLines w:val="0"/>
        <w:pageBreakBefore w:val="0"/>
        <w:widowControl/>
        <w:kinsoku w:val="0"/>
        <w:wordWrap/>
        <w:bidi w:val="0"/>
        <w:adjustRightInd w:val="0"/>
        <w:snapToGrid w:val="0"/>
        <w:spacing w:line="360" w:lineRule="auto"/>
        <w:ind w:left="0" w:leftChars="0" w:right="0" w:rightChars="0"/>
        <w:rPr>
          <w:rFonts w:ascii="宋体" w:hAnsi="宋体"/>
          <w:color w:val="auto"/>
          <w:sz w:val="24"/>
          <w:szCs w:val="20"/>
          <w:highlight w:val="none"/>
        </w:rPr>
      </w:pPr>
      <w:r>
        <w:rPr>
          <w:rFonts w:hint="eastAsia" w:ascii="宋体" w:hAnsi="宋体"/>
          <w:color w:val="auto"/>
          <w:sz w:val="24"/>
          <w:szCs w:val="20"/>
          <w:highlight w:val="none"/>
          <w:lang w:eastAsia="zh-CN"/>
        </w:rPr>
        <w:t>供应商</w:t>
      </w:r>
      <w:r>
        <w:rPr>
          <w:rFonts w:hint="eastAsia" w:ascii="宋体" w:hAnsi="宋体"/>
          <w:color w:val="auto"/>
          <w:sz w:val="24"/>
          <w:szCs w:val="20"/>
          <w:highlight w:val="none"/>
        </w:rPr>
        <w:t>（</w:t>
      </w:r>
      <w:r>
        <w:rPr>
          <w:rFonts w:hint="eastAsia" w:ascii="宋体" w:hAnsi="宋体" w:cs="宋体"/>
          <w:color w:val="auto"/>
          <w:sz w:val="24"/>
          <w:szCs w:val="20"/>
          <w:highlight w:val="none"/>
        </w:rPr>
        <w:t>电子签章</w:t>
      </w:r>
      <w:r>
        <w:rPr>
          <w:rFonts w:hint="eastAsia" w:ascii="宋体" w:hAnsi="宋体"/>
          <w:color w:val="auto"/>
          <w:sz w:val="24"/>
          <w:szCs w:val="20"/>
          <w:highlight w:val="none"/>
        </w:rPr>
        <w:t>）：</w:t>
      </w:r>
      <w:r>
        <w:rPr>
          <w:rFonts w:hint="eastAsia" w:ascii="宋体" w:hAnsi="宋体"/>
          <w:color w:val="auto"/>
          <w:sz w:val="24"/>
          <w:szCs w:val="20"/>
          <w:highlight w:val="none"/>
          <w:u w:val="single"/>
        </w:rPr>
        <w:t xml:space="preserve">                        </w:t>
      </w:r>
    </w:p>
    <w:p w14:paraId="0A30CBA9">
      <w:pPr>
        <w:keepNext w:val="0"/>
        <w:keepLines w:val="0"/>
        <w:pageBreakBefore w:val="0"/>
        <w:widowControl/>
        <w:kinsoku w:val="0"/>
        <w:wordWrap/>
        <w:bidi w:val="0"/>
        <w:adjustRightInd w:val="0"/>
        <w:snapToGrid w:val="0"/>
        <w:spacing w:line="360" w:lineRule="auto"/>
        <w:ind w:left="0" w:leftChars="0" w:right="0" w:rightChars="0"/>
        <w:rPr>
          <w:rFonts w:ascii="宋体" w:hAnsi="宋体"/>
          <w:color w:val="auto"/>
          <w:sz w:val="24"/>
          <w:szCs w:val="20"/>
          <w:highlight w:val="none"/>
          <w:u w:val="single"/>
        </w:rPr>
      </w:pPr>
      <w:r>
        <w:rPr>
          <w:rFonts w:hint="eastAsia" w:ascii="宋体" w:hAnsi="宋体"/>
          <w:color w:val="auto"/>
          <w:sz w:val="24"/>
          <w:szCs w:val="20"/>
          <w:highlight w:val="none"/>
        </w:rPr>
        <w:t>法定代表人（</w:t>
      </w:r>
      <w:r>
        <w:rPr>
          <w:rFonts w:hint="eastAsia" w:ascii="宋体" w:hAnsi="宋体" w:cs="宋体"/>
          <w:color w:val="auto"/>
          <w:sz w:val="24"/>
          <w:szCs w:val="20"/>
          <w:highlight w:val="none"/>
        </w:rPr>
        <w:t>电子签章</w:t>
      </w:r>
      <w:r>
        <w:rPr>
          <w:rFonts w:hint="eastAsia" w:ascii="宋体" w:hAnsi="宋体"/>
          <w:color w:val="auto"/>
          <w:sz w:val="24"/>
          <w:szCs w:val="20"/>
          <w:highlight w:val="none"/>
        </w:rPr>
        <w:t>）：</w:t>
      </w:r>
      <w:r>
        <w:rPr>
          <w:rFonts w:hint="eastAsia" w:ascii="宋体" w:hAnsi="宋体"/>
          <w:color w:val="auto"/>
          <w:sz w:val="24"/>
          <w:szCs w:val="20"/>
          <w:highlight w:val="none"/>
          <w:u w:val="single"/>
        </w:rPr>
        <w:t xml:space="preserve">                    </w:t>
      </w:r>
    </w:p>
    <w:p w14:paraId="4A0C9052">
      <w:pPr>
        <w:keepNext w:val="0"/>
        <w:keepLines w:val="0"/>
        <w:pageBreakBefore w:val="0"/>
        <w:widowControl/>
        <w:kinsoku w:val="0"/>
        <w:wordWrap/>
        <w:bidi w:val="0"/>
        <w:adjustRightInd w:val="0"/>
        <w:snapToGrid w:val="0"/>
        <w:spacing w:line="360" w:lineRule="auto"/>
        <w:ind w:left="0" w:leftChars="0" w:right="0" w:rightChars="0"/>
        <w:rPr>
          <w:rFonts w:ascii="宋体" w:hAnsi="宋体" w:cs="黑体"/>
          <w:color w:val="auto"/>
          <w:sz w:val="30"/>
          <w:szCs w:val="30"/>
          <w:highlight w:val="none"/>
        </w:rPr>
      </w:pPr>
      <w:r>
        <w:rPr>
          <w:rFonts w:hint="eastAsia" w:ascii="宋体" w:hAnsi="宋体"/>
          <w:color w:val="auto"/>
          <w:sz w:val="24"/>
          <w:szCs w:val="20"/>
          <w:highlight w:val="none"/>
        </w:rPr>
        <w:t>日期：</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年</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月</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日</w:t>
      </w:r>
    </w:p>
    <w:p w14:paraId="2ED174F5">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highlight w:val="none"/>
        </w:rPr>
      </w:pPr>
      <w:r>
        <w:rPr>
          <w:rFonts w:hint="eastAsia" w:ascii="宋体" w:hAnsi="宋体" w:cs="宋体"/>
          <w:color w:val="auto"/>
          <w:highlight w:val="none"/>
        </w:rPr>
        <w:br w:type="page"/>
      </w:r>
    </w:p>
    <w:p w14:paraId="3B62F94C">
      <w:pPr>
        <w:pStyle w:val="4"/>
        <w:keepNext w:val="0"/>
        <w:keepLines w:val="0"/>
        <w:pageBreakBefore w:val="0"/>
        <w:widowControl/>
        <w:kinsoku w:val="0"/>
        <w:wordWrap/>
        <w:bidi w:val="0"/>
        <w:adjustRightInd w:val="0"/>
        <w:snapToGrid w:val="0"/>
        <w:spacing w:before="0" w:line="360" w:lineRule="auto"/>
        <w:ind w:left="0" w:leftChars="0" w:right="0" w:rightChars="0"/>
        <w:jc w:val="center"/>
        <w:rPr>
          <w:rFonts w:ascii="宋体" w:hAnsi="宋体" w:eastAsia="宋体" w:cs="宋体"/>
          <w:b w:val="0"/>
          <w:bCs w:val="0"/>
          <w:color w:val="auto"/>
          <w:highlight w:val="none"/>
        </w:rPr>
      </w:pPr>
      <w:bookmarkStart w:id="85" w:name="_Toc21231"/>
      <w:bookmarkStart w:id="86" w:name="_Toc70237199"/>
      <w:r>
        <w:rPr>
          <w:rFonts w:hint="eastAsia" w:ascii="宋体" w:hAnsi="宋体" w:eastAsia="宋体" w:cs="宋体"/>
          <w:b w:val="0"/>
          <w:bCs w:val="0"/>
          <w:color w:val="auto"/>
          <w:highlight w:val="none"/>
        </w:rPr>
        <w:t>二、法定代表人身份证明</w:t>
      </w:r>
      <w:bookmarkEnd w:id="84"/>
      <w:bookmarkEnd w:id="85"/>
      <w:bookmarkEnd w:id="86"/>
    </w:p>
    <w:p w14:paraId="0BD23AA4">
      <w:pPr>
        <w:keepNext w:val="0"/>
        <w:keepLines w:val="0"/>
        <w:pageBreakBefore w:val="0"/>
        <w:widowControl/>
        <w:tabs>
          <w:tab w:val="left" w:pos="4785"/>
        </w:tabs>
        <w:kinsoku w:val="0"/>
        <w:wordWrap/>
        <w:autoSpaceDE w:val="0"/>
        <w:autoSpaceDN w:val="0"/>
        <w:bidi w:val="0"/>
        <w:adjustRightInd w:val="0"/>
        <w:snapToGrid w:val="0"/>
        <w:spacing w:line="360" w:lineRule="auto"/>
        <w:ind w:left="0" w:leftChars="0" w:right="0" w:rightChars="0" w:firstLine="480" w:firstLineChars="200"/>
        <w:jc w:val="left"/>
        <w:rPr>
          <w:rFonts w:ascii="宋体" w:hAnsi="宋体"/>
          <w:color w:val="auto"/>
          <w:kern w:val="0"/>
          <w:sz w:val="24"/>
          <w:szCs w:val="20"/>
          <w:highlight w:val="none"/>
        </w:rPr>
      </w:pPr>
      <w:r>
        <w:rPr>
          <w:rFonts w:hint="eastAsia" w:ascii="宋体" w:hAnsi="宋体"/>
          <w:color w:val="auto"/>
          <w:kern w:val="0"/>
          <w:sz w:val="24"/>
          <w:szCs w:val="20"/>
          <w:highlight w:val="none"/>
          <w:lang w:eastAsia="zh-CN"/>
        </w:rPr>
        <w:t>供应商</w:t>
      </w:r>
      <w:r>
        <w:rPr>
          <w:rFonts w:hint="eastAsia" w:ascii="宋体" w:hAnsi="宋体"/>
          <w:color w:val="auto"/>
          <w:kern w:val="0"/>
          <w:sz w:val="24"/>
          <w:szCs w:val="20"/>
          <w:highlight w:val="none"/>
        </w:rPr>
        <w:t>名称：</w:t>
      </w:r>
      <w:r>
        <w:rPr>
          <w:rFonts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p>
    <w:p w14:paraId="73BAE82E">
      <w:pPr>
        <w:keepNext w:val="0"/>
        <w:keepLines w:val="0"/>
        <w:pageBreakBefore w:val="0"/>
        <w:widowControl/>
        <w:tabs>
          <w:tab w:val="left" w:pos="4785"/>
        </w:tabs>
        <w:kinsoku w:val="0"/>
        <w:wordWrap/>
        <w:autoSpaceDE w:val="0"/>
        <w:autoSpaceDN w:val="0"/>
        <w:bidi w:val="0"/>
        <w:adjustRightInd w:val="0"/>
        <w:snapToGrid w:val="0"/>
        <w:spacing w:line="360" w:lineRule="auto"/>
        <w:ind w:left="0" w:leftChars="0" w:right="0" w:rightChars="0" w:firstLine="480" w:firstLineChars="200"/>
        <w:jc w:val="left"/>
        <w:rPr>
          <w:rFonts w:ascii="宋体" w:hAnsi="宋体"/>
          <w:color w:val="auto"/>
          <w:kern w:val="0"/>
          <w:sz w:val="24"/>
          <w:szCs w:val="20"/>
          <w:highlight w:val="none"/>
        </w:rPr>
      </w:pPr>
      <w:r>
        <w:rPr>
          <w:rFonts w:hint="eastAsia" w:ascii="宋体" w:hAnsi="宋体"/>
          <w:color w:val="auto"/>
          <w:kern w:val="0"/>
          <w:sz w:val="24"/>
          <w:szCs w:val="20"/>
          <w:highlight w:val="none"/>
        </w:rPr>
        <w:t>单位性质：</w:t>
      </w:r>
      <w:r>
        <w:rPr>
          <w:rFonts w:ascii="宋体" w:hAnsi="宋体"/>
          <w:color w:val="auto"/>
          <w:kern w:val="0"/>
          <w:sz w:val="24"/>
          <w:szCs w:val="20"/>
          <w:highlight w:val="none"/>
          <w:u w:val="single"/>
        </w:rPr>
        <w:t xml:space="preserve"> </w:t>
      </w:r>
      <w:r>
        <w:rPr>
          <w:rFonts w:hint="eastAsia"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p>
    <w:p w14:paraId="61E2B66A">
      <w:pPr>
        <w:keepNext w:val="0"/>
        <w:keepLines w:val="0"/>
        <w:pageBreakBefore w:val="0"/>
        <w:widowControl/>
        <w:tabs>
          <w:tab w:val="left" w:pos="4785"/>
        </w:tabs>
        <w:kinsoku w:val="0"/>
        <w:wordWrap/>
        <w:autoSpaceDE w:val="0"/>
        <w:autoSpaceDN w:val="0"/>
        <w:bidi w:val="0"/>
        <w:adjustRightInd w:val="0"/>
        <w:snapToGrid w:val="0"/>
        <w:spacing w:line="360" w:lineRule="auto"/>
        <w:ind w:left="0" w:leftChars="0" w:right="0" w:rightChars="0" w:firstLine="480" w:firstLineChars="200"/>
        <w:jc w:val="left"/>
        <w:rPr>
          <w:rFonts w:ascii="宋体" w:hAnsi="宋体"/>
          <w:color w:val="auto"/>
          <w:kern w:val="0"/>
          <w:sz w:val="24"/>
          <w:szCs w:val="20"/>
          <w:highlight w:val="none"/>
        </w:rPr>
      </w:pPr>
      <w:r>
        <w:rPr>
          <w:rFonts w:hint="eastAsia" w:ascii="宋体" w:hAnsi="宋体"/>
          <w:color w:val="auto"/>
          <w:kern w:val="0"/>
          <w:sz w:val="24"/>
          <w:szCs w:val="20"/>
          <w:highlight w:val="none"/>
        </w:rPr>
        <w:t>地    址：</w:t>
      </w:r>
      <w:r>
        <w:rPr>
          <w:rFonts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p>
    <w:p w14:paraId="699BFFF5">
      <w:pPr>
        <w:keepNext w:val="0"/>
        <w:keepLines w:val="0"/>
        <w:pageBreakBefore w:val="0"/>
        <w:widowControl/>
        <w:tabs>
          <w:tab w:val="left" w:pos="2460"/>
          <w:tab w:val="left" w:pos="3160"/>
          <w:tab w:val="left" w:pos="4200"/>
        </w:tabs>
        <w:kinsoku w:val="0"/>
        <w:wordWrap/>
        <w:autoSpaceDE w:val="0"/>
        <w:autoSpaceDN w:val="0"/>
        <w:bidi w:val="0"/>
        <w:adjustRightInd w:val="0"/>
        <w:snapToGrid w:val="0"/>
        <w:spacing w:line="360" w:lineRule="auto"/>
        <w:ind w:left="0" w:leftChars="0" w:right="0" w:rightChars="0" w:firstLine="480" w:firstLineChars="200"/>
        <w:jc w:val="left"/>
        <w:rPr>
          <w:rFonts w:ascii="宋体" w:hAnsi="宋体"/>
          <w:color w:val="auto"/>
          <w:kern w:val="0"/>
          <w:sz w:val="24"/>
          <w:szCs w:val="20"/>
          <w:highlight w:val="none"/>
        </w:rPr>
      </w:pPr>
      <w:r>
        <w:rPr>
          <w:rFonts w:hint="eastAsia" w:ascii="宋体" w:hAnsi="宋体"/>
          <w:color w:val="auto"/>
          <w:kern w:val="0"/>
          <w:sz w:val="24"/>
          <w:szCs w:val="20"/>
          <w:highlight w:val="none"/>
        </w:rPr>
        <w:t>成立时间：</w:t>
      </w:r>
      <w:r>
        <w:rPr>
          <w:rFonts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r>
        <w:rPr>
          <w:rFonts w:ascii="宋体" w:hAnsi="宋体"/>
          <w:color w:val="auto"/>
          <w:kern w:val="0"/>
          <w:sz w:val="24"/>
          <w:szCs w:val="20"/>
          <w:highlight w:val="none"/>
        </w:rPr>
        <w:t xml:space="preserve"> </w:t>
      </w:r>
      <w:r>
        <w:rPr>
          <w:rFonts w:hint="eastAsia" w:ascii="宋体" w:hAnsi="宋体"/>
          <w:color w:val="auto"/>
          <w:kern w:val="0"/>
          <w:sz w:val="24"/>
          <w:szCs w:val="20"/>
          <w:highlight w:val="none"/>
        </w:rPr>
        <w:t>年</w:t>
      </w:r>
      <w:r>
        <w:rPr>
          <w:rFonts w:ascii="宋体" w:hAnsi="宋体"/>
          <w:color w:val="auto"/>
          <w:kern w:val="0"/>
          <w:sz w:val="24"/>
          <w:szCs w:val="20"/>
          <w:highlight w:val="none"/>
          <w:u w:val="single"/>
        </w:rPr>
        <w:t xml:space="preserve"> </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月</w:t>
      </w:r>
      <w:r>
        <w:rPr>
          <w:rFonts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日</w:t>
      </w:r>
    </w:p>
    <w:p w14:paraId="08F190D4">
      <w:pPr>
        <w:keepNext w:val="0"/>
        <w:keepLines w:val="0"/>
        <w:pageBreakBefore w:val="0"/>
        <w:widowControl/>
        <w:tabs>
          <w:tab w:val="left" w:pos="4785"/>
        </w:tabs>
        <w:kinsoku w:val="0"/>
        <w:wordWrap/>
        <w:autoSpaceDE w:val="0"/>
        <w:autoSpaceDN w:val="0"/>
        <w:bidi w:val="0"/>
        <w:adjustRightInd w:val="0"/>
        <w:snapToGrid w:val="0"/>
        <w:spacing w:line="360" w:lineRule="auto"/>
        <w:ind w:left="0" w:leftChars="0" w:right="0" w:rightChars="0" w:firstLine="480" w:firstLineChars="200"/>
        <w:jc w:val="left"/>
        <w:rPr>
          <w:rFonts w:ascii="宋体" w:hAnsi="宋体"/>
          <w:color w:val="auto"/>
          <w:kern w:val="0"/>
          <w:sz w:val="24"/>
          <w:szCs w:val="20"/>
          <w:highlight w:val="none"/>
        </w:rPr>
      </w:pPr>
      <w:r>
        <w:rPr>
          <w:rFonts w:hint="eastAsia" w:ascii="宋体" w:hAnsi="宋体"/>
          <w:color w:val="auto"/>
          <w:kern w:val="0"/>
          <w:sz w:val="24"/>
          <w:szCs w:val="20"/>
          <w:highlight w:val="none"/>
        </w:rPr>
        <w:t>经营期限：</w:t>
      </w:r>
      <w:r>
        <w:rPr>
          <w:rFonts w:ascii="宋体" w:hAnsi="宋体"/>
          <w:color w:val="auto"/>
          <w:kern w:val="0"/>
          <w:sz w:val="24"/>
          <w:szCs w:val="20"/>
          <w:highlight w:val="none"/>
          <w:u w:val="single"/>
        </w:rPr>
        <w:t xml:space="preserve"> </w:t>
      </w:r>
      <w:r>
        <w:rPr>
          <w:rFonts w:hint="eastAsia"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p>
    <w:p w14:paraId="1CE588C2">
      <w:pPr>
        <w:keepNext w:val="0"/>
        <w:keepLines w:val="0"/>
        <w:pageBreakBefore w:val="0"/>
        <w:widowControl/>
        <w:tabs>
          <w:tab w:val="left" w:pos="1580"/>
          <w:tab w:val="left" w:pos="3615"/>
          <w:tab w:val="left" w:pos="4840"/>
          <w:tab w:val="left" w:pos="6300"/>
        </w:tabs>
        <w:kinsoku w:val="0"/>
        <w:wordWrap/>
        <w:autoSpaceDE w:val="0"/>
        <w:autoSpaceDN w:val="0"/>
        <w:bidi w:val="0"/>
        <w:adjustRightInd w:val="0"/>
        <w:snapToGrid w:val="0"/>
        <w:spacing w:line="360" w:lineRule="auto"/>
        <w:ind w:left="0" w:leftChars="0" w:right="0" w:rightChars="0" w:firstLine="480" w:firstLineChars="200"/>
        <w:jc w:val="left"/>
        <w:rPr>
          <w:rFonts w:ascii="宋体" w:hAnsi="宋体"/>
          <w:color w:val="auto"/>
          <w:kern w:val="0"/>
          <w:sz w:val="24"/>
          <w:szCs w:val="20"/>
          <w:highlight w:val="none"/>
          <w:u w:val="single"/>
        </w:rPr>
      </w:pPr>
      <w:r>
        <w:rPr>
          <w:rFonts w:hint="eastAsia" w:ascii="宋体" w:hAnsi="宋体"/>
          <w:color w:val="auto"/>
          <w:kern w:val="0"/>
          <w:sz w:val="24"/>
          <w:szCs w:val="20"/>
          <w:highlight w:val="none"/>
        </w:rPr>
        <w:t>姓    名：</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性别：</w:t>
      </w:r>
      <w:r>
        <w:rPr>
          <w:rFonts w:hint="eastAsia" w:ascii="宋体" w:hAnsi="宋体"/>
          <w:color w:val="auto"/>
          <w:kern w:val="0"/>
          <w:sz w:val="24"/>
          <w:szCs w:val="20"/>
          <w:highlight w:val="none"/>
          <w:u w:val="single"/>
        </w:rPr>
        <w:t xml:space="preserve">          </w:t>
      </w:r>
      <w:r>
        <w:rPr>
          <w:rFonts w:ascii="宋体" w:hAnsi="宋体"/>
          <w:color w:val="auto"/>
          <w:kern w:val="0"/>
          <w:sz w:val="24"/>
          <w:szCs w:val="20"/>
          <w:highlight w:val="none"/>
        </w:rPr>
        <w:t xml:space="preserve"> </w:t>
      </w:r>
      <w:r>
        <w:rPr>
          <w:rFonts w:hint="eastAsia" w:ascii="宋体" w:hAnsi="宋体"/>
          <w:color w:val="auto"/>
          <w:kern w:val="0"/>
          <w:sz w:val="24"/>
          <w:szCs w:val="20"/>
          <w:highlight w:val="none"/>
        </w:rPr>
        <w:t>年龄：</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职务：</w:t>
      </w:r>
      <w:r>
        <w:rPr>
          <w:rFonts w:hint="eastAsia" w:ascii="宋体" w:hAnsi="宋体"/>
          <w:color w:val="auto"/>
          <w:kern w:val="0"/>
          <w:sz w:val="24"/>
          <w:szCs w:val="20"/>
          <w:highlight w:val="none"/>
          <w:u w:val="single"/>
        </w:rPr>
        <w:t xml:space="preserve">          </w:t>
      </w:r>
    </w:p>
    <w:p w14:paraId="4A7D6FF4">
      <w:pPr>
        <w:keepNext w:val="0"/>
        <w:keepLines w:val="0"/>
        <w:pageBreakBefore w:val="0"/>
        <w:widowControl/>
        <w:tabs>
          <w:tab w:val="left" w:pos="4080"/>
        </w:tabs>
        <w:kinsoku w:val="0"/>
        <w:wordWrap/>
        <w:autoSpaceDE w:val="0"/>
        <w:autoSpaceDN w:val="0"/>
        <w:bidi w:val="0"/>
        <w:adjustRightInd w:val="0"/>
        <w:snapToGrid w:val="0"/>
        <w:spacing w:line="360" w:lineRule="auto"/>
        <w:ind w:left="0" w:leftChars="0" w:right="0" w:rightChars="0" w:firstLine="480" w:firstLineChars="200"/>
        <w:jc w:val="left"/>
        <w:rPr>
          <w:rFonts w:ascii="宋体" w:hAnsi="宋体"/>
          <w:color w:val="auto"/>
          <w:kern w:val="0"/>
          <w:sz w:val="24"/>
          <w:szCs w:val="20"/>
          <w:highlight w:val="none"/>
        </w:rPr>
      </w:pPr>
      <w:r>
        <w:rPr>
          <w:rFonts w:hint="eastAsia" w:ascii="宋体" w:hAnsi="宋体"/>
          <w:color w:val="auto"/>
          <w:kern w:val="0"/>
          <w:sz w:val="24"/>
          <w:szCs w:val="20"/>
          <w:highlight w:val="none"/>
        </w:rPr>
        <w:t>系</w:t>
      </w:r>
      <w:r>
        <w:rPr>
          <w:rFonts w:ascii="宋体" w:hAnsi="宋体"/>
          <w:color w:val="auto"/>
          <w:kern w:val="0"/>
          <w:sz w:val="24"/>
          <w:szCs w:val="20"/>
          <w:highlight w:val="none"/>
          <w:u w:val="single"/>
        </w:rPr>
        <w:t xml:space="preserve"> </w:t>
      </w:r>
      <w:r>
        <w:rPr>
          <w:rFonts w:hint="eastAsia"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r>
        <w:rPr>
          <w:rFonts w:hint="eastAsia" w:ascii="宋体" w:hAnsi="宋体"/>
          <w:color w:val="auto"/>
          <w:kern w:val="0"/>
          <w:sz w:val="24"/>
          <w:szCs w:val="20"/>
          <w:highlight w:val="none"/>
        </w:rPr>
        <w:t>（</w:t>
      </w:r>
      <w:r>
        <w:rPr>
          <w:rFonts w:hint="eastAsia" w:ascii="宋体" w:hAnsi="宋体"/>
          <w:color w:val="auto"/>
          <w:kern w:val="0"/>
          <w:sz w:val="24"/>
          <w:szCs w:val="20"/>
          <w:highlight w:val="none"/>
          <w:lang w:eastAsia="zh-CN"/>
        </w:rPr>
        <w:t>供应商</w:t>
      </w:r>
      <w:r>
        <w:rPr>
          <w:rFonts w:hint="eastAsia" w:ascii="宋体" w:hAnsi="宋体"/>
          <w:color w:val="auto"/>
          <w:kern w:val="0"/>
          <w:sz w:val="24"/>
          <w:szCs w:val="20"/>
          <w:highlight w:val="none"/>
        </w:rPr>
        <w:t>名称）的法定代表人。</w:t>
      </w:r>
    </w:p>
    <w:p w14:paraId="018BE952">
      <w:pPr>
        <w:keepNext w:val="0"/>
        <w:keepLines w:val="0"/>
        <w:pageBreakBefore w:val="0"/>
        <w:widowControl/>
        <w:kinsoku w:val="0"/>
        <w:wordWrap/>
        <w:autoSpaceDE w:val="0"/>
        <w:autoSpaceDN w:val="0"/>
        <w:bidi w:val="0"/>
        <w:adjustRightInd w:val="0"/>
        <w:snapToGrid w:val="0"/>
        <w:spacing w:line="360" w:lineRule="auto"/>
        <w:ind w:left="0" w:leftChars="0" w:right="0" w:rightChars="0"/>
        <w:jc w:val="left"/>
        <w:rPr>
          <w:rFonts w:ascii="宋体" w:hAnsi="宋体"/>
          <w:color w:val="auto"/>
          <w:kern w:val="0"/>
          <w:sz w:val="24"/>
          <w:szCs w:val="20"/>
          <w:highlight w:val="none"/>
        </w:rPr>
      </w:pPr>
      <w:r>
        <w:rPr>
          <w:rFonts w:hint="eastAsia" w:ascii="宋体" w:hAnsi="宋体"/>
          <w:color w:val="auto"/>
          <w:kern w:val="0"/>
          <w:sz w:val="24"/>
          <w:szCs w:val="20"/>
          <w:highlight w:val="none"/>
        </w:rPr>
        <w:t>特此证明。</w:t>
      </w:r>
    </w:p>
    <w:p w14:paraId="35C4DECD">
      <w:pPr>
        <w:keepNext w:val="0"/>
        <w:keepLines w:val="0"/>
        <w:pageBreakBefore w:val="0"/>
        <w:widowControl/>
        <w:kinsoku w:val="0"/>
        <w:wordWrap/>
        <w:autoSpaceDE w:val="0"/>
        <w:bidi w:val="0"/>
        <w:adjustRightInd w:val="0"/>
        <w:snapToGrid w:val="0"/>
        <w:spacing w:line="360" w:lineRule="auto"/>
        <w:ind w:left="0" w:leftChars="0" w:right="0" w:rightChars="0"/>
        <w:rPr>
          <w:rFonts w:ascii="宋体" w:hAnsi="宋体" w:cs="宋体"/>
          <w:color w:val="auto"/>
          <w:highlight w:val="none"/>
        </w:rPr>
      </w:pPr>
    </w:p>
    <w:p w14:paraId="60B52DF0">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jc w:val="left"/>
        <w:rPr>
          <w:rFonts w:ascii="宋体" w:hAnsi="宋体"/>
          <w:color w:val="auto"/>
          <w:kern w:val="0"/>
          <w:sz w:val="24"/>
          <w:highlight w:val="none"/>
          <w:u w:val="single"/>
        </w:rPr>
      </w:pP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（电子签章）：</w:t>
      </w:r>
      <w:r>
        <w:rPr>
          <w:rFonts w:hint="eastAsia" w:ascii="宋体" w:hAnsi="宋体"/>
          <w:color w:val="auto"/>
          <w:kern w:val="0"/>
          <w:sz w:val="24"/>
          <w:highlight w:val="none"/>
          <w:u w:val="single"/>
        </w:rPr>
        <w:t xml:space="preserve">                   </w:t>
      </w:r>
      <w:bookmarkStart w:id="87" w:name="_Toc293488489"/>
      <w:bookmarkStart w:id="88" w:name="_Toc294108317"/>
      <w:bookmarkStart w:id="89" w:name="_Toc367827776"/>
      <w:bookmarkStart w:id="90" w:name="_Toc293488381"/>
    </w:p>
    <w:bookmarkEnd w:id="87"/>
    <w:bookmarkEnd w:id="88"/>
    <w:bookmarkEnd w:id="89"/>
    <w:bookmarkEnd w:id="90"/>
    <w:p w14:paraId="39012AC7">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jc w:val="left"/>
        <w:rPr>
          <w:rFonts w:ascii="宋体" w:hAnsi="宋体"/>
          <w:color w:val="auto"/>
          <w:kern w:val="0"/>
          <w:sz w:val="24"/>
          <w:highlight w:val="none"/>
        </w:rPr>
      </w:pPr>
      <w:r>
        <w:rPr>
          <w:rFonts w:hint="eastAsia" w:ascii="宋体" w:hAnsi="宋体"/>
          <w:color w:val="auto"/>
          <w:kern w:val="0"/>
          <w:sz w:val="24"/>
          <w:highlight w:val="none"/>
        </w:rPr>
        <w:t>日期：</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年</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月</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日</w:t>
      </w:r>
    </w:p>
    <w:p w14:paraId="64224BC1">
      <w:pPr>
        <w:pStyle w:val="4"/>
        <w:keepNext w:val="0"/>
        <w:keepLines w:val="0"/>
        <w:pageBreakBefore w:val="0"/>
        <w:widowControl/>
        <w:kinsoku w:val="0"/>
        <w:wordWrap/>
        <w:bidi w:val="0"/>
        <w:adjustRightInd w:val="0"/>
        <w:snapToGrid w:val="0"/>
        <w:spacing w:before="0" w:line="360" w:lineRule="auto"/>
        <w:ind w:left="0" w:leftChars="0" w:right="0" w:rightChars="0"/>
        <w:jc w:val="center"/>
        <w:outlineLvl w:val="9"/>
        <w:rPr>
          <w:rFonts w:hint="eastAsia" w:ascii="宋体" w:hAnsi="宋体" w:eastAsia="宋体" w:cs="宋体"/>
          <w:b w:val="0"/>
          <w:bCs w:val="0"/>
          <w:color w:val="auto"/>
          <w:highlight w:val="none"/>
        </w:rPr>
      </w:pPr>
    </w:p>
    <w:tbl>
      <w:tblPr>
        <w:tblStyle w:val="28"/>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961"/>
        <w:gridCol w:w="4961"/>
      </w:tblGrid>
      <w:tr w14:paraId="39659BE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66" w:hRule="atLeast"/>
          <w:jc w:val="center"/>
        </w:trPr>
        <w:tc>
          <w:tcPr>
            <w:tcW w:w="4961" w:type="dxa"/>
            <w:noWrap w:val="0"/>
            <w:vAlign w:val="center"/>
          </w:tcPr>
          <w:p w14:paraId="347ECA0F">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color w:val="auto"/>
                <w:sz w:val="24"/>
                <w:szCs w:val="20"/>
                <w:highlight w:val="none"/>
              </w:rPr>
            </w:pPr>
            <w:r>
              <w:rPr>
                <w:rFonts w:hint="eastAsia" w:ascii="宋体" w:hAnsi="宋体"/>
                <w:color w:val="auto"/>
                <w:spacing w:val="8"/>
                <w:sz w:val="24"/>
                <w:szCs w:val="20"/>
                <w:highlight w:val="none"/>
              </w:rPr>
              <w:t>法定代表人身份证扫描件（正面）</w:t>
            </w:r>
          </w:p>
          <w:p w14:paraId="65941F17">
            <w:pPr>
              <w:keepNext w:val="0"/>
              <w:keepLines w:val="0"/>
              <w:pageBreakBefore w:val="0"/>
              <w:widowControl/>
              <w:kinsoku w:val="0"/>
              <w:wordWrap/>
              <w:autoSpaceDE w:val="0"/>
              <w:autoSpaceDN w:val="0"/>
              <w:bidi w:val="0"/>
              <w:adjustRightInd w:val="0"/>
              <w:snapToGrid w:val="0"/>
              <w:spacing w:line="360" w:lineRule="auto"/>
              <w:ind w:left="0" w:leftChars="0" w:right="0" w:rightChars="0"/>
              <w:jc w:val="center"/>
              <w:rPr>
                <w:rFonts w:ascii="宋体" w:hAnsi="宋体" w:cs="宋体"/>
                <w:color w:val="auto"/>
                <w:kern w:val="0"/>
                <w:sz w:val="24"/>
                <w:szCs w:val="20"/>
                <w:highlight w:val="none"/>
              </w:rPr>
            </w:pPr>
          </w:p>
        </w:tc>
        <w:tc>
          <w:tcPr>
            <w:tcW w:w="4961" w:type="dxa"/>
            <w:noWrap w:val="0"/>
            <w:vAlign w:val="center"/>
          </w:tcPr>
          <w:p w14:paraId="15E9F33C">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color w:val="auto"/>
                <w:sz w:val="24"/>
                <w:szCs w:val="20"/>
                <w:highlight w:val="none"/>
              </w:rPr>
            </w:pPr>
            <w:r>
              <w:rPr>
                <w:rFonts w:hint="eastAsia" w:ascii="宋体" w:hAnsi="宋体"/>
                <w:color w:val="auto"/>
                <w:spacing w:val="8"/>
                <w:sz w:val="24"/>
                <w:szCs w:val="20"/>
                <w:highlight w:val="none"/>
              </w:rPr>
              <w:t>法定代表人身份证扫描件（反面）</w:t>
            </w:r>
          </w:p>
          <w:p w14:paraId="454D5BD9">
            <w:pPr>
              <w:keepNext w:val="0"/>
              <w:keepLines w:val="0"/>
              <w:pageBreakBefore w:val="0"/>
              <w:widowControl/>
              <w:kinsoku w:val="0"/>
              <w:wordWrap/>
              <w:autoSpaceDE w:val="0"/>
              <w:autoSpaceDN w:val="0"/>
              <w:bidi w:val="0"/>
              <w:adjustRightInd w:val="0"/>
              <w:snapToGrid w:val="0"/>
              <w:spacing w:line="360" w:lineRule="auto"/>
              <w:ind w:left="0" w:leftChars="0" w:right="0" w:rightChars="0"/>
              <w:jc w:val="center"/>
              <w:rPr>
                <w:rFonts w:ascii="宋体" w:hAnsi="宋体" w:cs="宋体"/>
                <w:color w:val="auto"/>
                <w:kern w:val="0"/>
                <w:sz w:val="24"/>
                <w:szCs w:val="20"/>
                <w:highlight w:val="none"/>
              </w:rPr>
            </w:pPr>
          </w:p>
        </w:tc>
      </w:tr>
    </w:tbl>
    <w:p w14:paraId="4945255D">
      <w:pPr>
        <w:pStyle w:val="4"/>
        <w:keepNext w:val="0"/>
        <w:keepLines w:val="0"/>
        <w:pageBreakBefore w:val="0"/>
        <w:widowControl/>
        <w:kinsoku w:val="0"/>
        <w:wordWrap/>
        <w:bidi w:val="0"/>
        <w:adjustRightInd w:val="0"/>
        <w:snapToGrid w:val="0"/>
        <w:spacing w:before="0" w:line="360" w:lineRule="auto"/>
        <w:ind w:left="0" w:leftChars="0" w:right="0" w:rightChars="0"/>
        <w:jc w:val="center"/>
        <w:rPr>
          <w:rFonts w:ascii="宋体" w:hAnsi="宋体" w:eastAsia="宋体" w:cs="宋体"/>
          <w:b w:val="0"/>
          <w:bCs w:val="0"/>
          <w:color w:val="auto"/>
          <w:highlight w:val="none"/>
        </w:rPr>
      </w:pPr>
      <w:r>
        <w:rPr>
          <w:rFonts w:hint="eastAsia" w:ascii="宋体" w:hAnsi="宋体" w:eastAsia="宋体" w:cs="宋体"/>
          <w:b w:val="0"/>
          <w:bCs w:val="0"/>
          <w:color w:val="auto"/>
          <w:highlight w:val="none"/>
        </w:rPr>
        <w:br w:type="page"/>
      </w:r>
      <w:bookmarkStart w:id="91" w:name="_Toc22779"/>
      <w:bookmarkStart w:id="92" w:name="_Toc70237200"/>
      <w:bookmarkStart w:id="93" w:name="_Toc528078069"/>
      <w:r>
        <w:rPr>
          <w:rFonts w:hint="eastAsia" w:ascii="宋体" w:hAnsi="宋体" w:eastAsia="宋体" w:cs="宋体"/>
          <w:b w:val="0"/>
          <w:bCs w:val="0"/>
          <w:color w:val="auto"/>
          <w:highlight w:val="none"/>
        </w:rPr>
        <w:t>三、授权委托书</w:t>
      </w:r>
      <w:bookmarkEnd w:id="91"/>
      <w:bookmarkEnd w:id="92"/>
      <w:bookmarkEnd w:id="93"/>
    </w:p>
    <w:p w14:paraId="39F22C6E">
      <w:pPr>
        <w:keepNext w:val="0"/>
        <w:keepLines w:val="0"/>
        <w:pageBreakBefore w:val="0"/>
        <w:widowControl/>
        <w:tabs>
          <w:tab w:val="left" w:pos="2040"/>
          <w:tab w:val="left" w:pos="4785"/>
          <w:tab w:val="left" w:pos="4815"/>
          <w:tab w:val="left" w:pos="8000"/>
        </w:tabs>
        <w:kinsoku w:val="0"/>
        <w:wordWrap/>
        <w:autoSpaceDE w:val="0"/>
        <w:autoSpaceDN w:val="0"/>
        <w:bidi w:val="0"/>
        <w:adjustRightInd w:val="0"/>
        <w:snapToGrid w:val="0"/>
        <w:spacing w:line="360" w:lineRule="auto"/>
        <w:ind w:left="0" w:leftChars="0" w:right="0" w:rightChars="0" w:firstLine="420"/>
        <w:rPr>
          <w:rFonts w:ascii="宋体" w:hAnsi="宋体"/>
          <w:color w:val="auto"/>
          <w:kern w:val="0"/>
          <w:sz w:val="24"/>
          <w:szCs w:val="20"/>
          <w:highlight w:val="none"/>
        </w:rPr>
      </w:pPr>
      <w:r>
        <w:rPr>
          <w:rFonts w:hint="eastAsia" w:ascii="宋体" w:hAnsi="宋体"/>
          <w:color w:val="auto"/>
          <w:kern w:val="0"/>
          <w:sz w:val="24"/>
          <w:szCs w:val="20"/>
          <w:highlight w:val="none"/>
        </w:rPr>
        <w:t>本人</w:t>
      </w:r>
      <w:r>
        <w:rPr>
          <w:rFonts w:ascii="宋体" w:hAnsi="宋体"/>
          <w:color w:val="auto"/>
          <w:kern w:val="0"/>
          <w:sz w:val="24"/>
          <w:szCs w:val="20"/>
          <w:highlight w:val="none"/>
          <w:u w:val="single"/>
        </w:rPr>
        <w:t xml:space="preserve"> </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（姓名）系</w:t>
      </w:r>
      <w:r>
        <w:rPr>
          <w:rFonts w:ascii="宋体" w:hAnsi="宋体"/>
          <w:color w:val="auto"/>
          <w:kern w:val="0"/>
          <w:sz w:val="24"/>
          <w:szCs w:val="20"/>
          <w:highlight w:val="none"/>
          <w:u w:val="single"/>
        </w:rPr>
        <w:t xml:space="preserve"> </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w:t>
      </w:r>
      <w:r>
        <w:rPr>
          <w:rFonts w:hint="eastAsia" w:ascii="宋体" w:hAnsi="宋体"/>
          <w:color w:val="auto"/>
          <w:kern w:val="0"/>
          <w:sz w:val="24"/>
          <w:szCs w:val="20"/>
          <w:highlight w:val="none"/>
          <w:lang w:eastAsia="zh-CN"/>
        </w:rPr>
        <w:t>供应商</w:t>
      </w:r>
      <w:r>
        <w:rPr>
          <w:rFonts w:hint="eastAsia" w:ascii="宋体" w:hAnsi="宋体"/>
          <w:color w:val="auto"/>
          <w:kern w:val="0"/>
          <w:sz w:val="24"/>
          <w:szCs w:val="20"/>
          <w:highlight w:val="none"/>
        </w:rPr>
        <w:t>名称）的法定代表人，现委托</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（姓名）为我方代理人。代理人根据授权，以我方名义签署、澄清、说明、补正、递交、撤回、</w:t>
      </w:r>
      <w:r>
        <w:rPr>
          <w:rFonts w:ascii="宋体" w:hAnsi="宋体"/>
          <w:color w:val="auto"/>
          <w:kern w:val="0"/>
          <w:sz w:val="24"/>
          <w:szCs w:val="20"/>
          <w:highlight w:val="none"/>
        </w:rPr>
        <w:t xml:space="preserve"> </w:t>
      </w:r>
      <w:r>
        <w:rPr>
          <w:rFonts w:hint="eastAsia" w:ascii="宋体" w:hAnsi="宋体"/>
          <w:color w:val="auto"/>
          <w:kern w:val="0"/>
          <w:sz w:val="24"/>
          <w:szCs w:val="20"/>
          <w:highlight w:val="none"/>
        </w:rPr>
        <w:t>修改</w:t>
      </w:r>
      <w:r>
        <w:rPr>
          <w:rFonts w:hint="eastAsia" w:ascii="宋体" w:hAnsi="宋体"/>
          <w:color w:val="auto"/>
          <w:kern w:val="0"/>
          <w:sz w:val="24"/>
          <w:szCs w:val="20"/>
          <w:highlight w:val="none"/>
          <w:u w:val="single"/>
        </w:rPr>
        <w:t xml:space="preserve">   （项目名称+标段）  </w:t>
      </w:r>
      <w:r>
        <w:rPr>
          <w:rFonts w:hint="eastAsia" w:ascii="宋体" w:hAnsi="宋体"/>
          <w:color w:val="auto"/>
          <w:kern w:val="0"/>
          <w:sz w:val="24"/>
          <w:szCs w:val="20"/>
          <w:highlight w:val="none"/>
        </w:rPr>
        <w:t>投标文件、签订合同和处理有关事宜，其法律后果由我方承担。</w:t>
      </w:r>
    </w:p>
    <w:p w14:paraId="30607E1F">
      <w:pPr>
        <w:keepNext w:val="0"/>
        <w:keepLines w:val="0"/>
        <w:pageBreakBefore w:val="0"/>
        <w:widowControl/>
        <w:tabs>
          <w:tab w:val="left" w:pos="2940"/>
        </w:tabs>
        <w:kinsoku w:val="0"/>
        <w:wordWrap/>
        <w:autoSpaceDE w:val="0"/>
        <w:autoSpaceDN w:val="0"/>
        <w:bidi w:val="0"/>
        <w:adjustRightInd w:val="0"/>
        <w:snapToGrid w:val="0"/>
        <w:spacing w:line="360" w:lineRule="auto"/>
        <w:ind w:left="0" w:leftChars="0" w:right="0" w:rightChars="0" w:firstLine="1"/>
        <w:jc w:val="left"/>
        <w:rPr>
          <w:rFonts w:ascii="宋体" w:hAnsi="宋体"/>
          <w:color w:val="auto"/>
          <w:kern w:val="0"/>
          <w:sz w:val="24"/>
          <w:szCs w:val="20"/>
          <w:highlight w:val="none"/>
        </w:rPr>
      </w:pPr>
      <w:r>
        <w:rPr>
          <w:rFonts w:hint="eastAsia" w:ascii="宋体" w:hAnsi="宋体"/>
          <w:color w:val="auto"/>
          <w:kern w:val="0"/>
          <w:sz w:val="24"/>
          <w:szCs w:val="20"/>
          <w:highlight w:val="none"/>
        </w:rPr>
        <w:t>代理人无转委托权。</w:t>
      </w:r>
      <w:r>
        <w:rPr>
          <w:rFonts w:ascii="宋体" w:hAnsi="宋体"/>
          <w:color w:val="auto"/>
          <w:kern w:val="0"/>
          <w:sz w:val="24"/>
          <w:szCs w:val="20"/>
          <w:highlight w:val="none"/>
        </w:rPr>
        <w:t xml:space="preserve"> </w:t>
      </w:r>
    </w:p>
    <w:p w14:paraId="5349450D">
      <w:pPr>
        <w:keepNext w:val="0"/>
        <w:keepLines w:val="0"/>
        <w:pageBreakBefore w:val="0"/>
        <w:widowControl/>
        <w:tabs>
          <w:tab w:val="left" w:pos="2040"/>
          <w:tab w:val="left" w:pos="4785"/>
          <w:tab w:val="left" w:pos="4815"/>
          <w:tab w:val="left" w:pos="8000"/>
        </w:tabs>
        <w:kinsoku w:val="0"/>
        <w:wordWrap/>
        <w:autoSpaceDE w:val="0"/>
        <w:autoSpaceDN w:val="0"/>
        <w:bidi w:val="0"/>
        <w:adjustRightInd w:val="0"/>
        <w:snapToGrid w:val="0"/>
        <w:spacing w:line="360" w:lineRule="auto"/>
        <w:ind w:left="0" w:leftChars="0" w:right="0" w:rightChars="0" w:firstLine="420"/>
        <w:rPr>
          <w:rFonts w:ascii="宋体" w:hAnsi="宋体"/>
          <w:color w:val="auto"/>
          <w:kern w:val="0"/>
          <w:sz w:val="24"/>
          <w:szCs w:val="20"/>
          <w:highlight w:val="none"/>
        </w:rPr>
      </w:pPr>
      <w:r>
        <w:rPr>
          <w:rFonts w:hint="eastAsia" w:ascii="宋体" w:hAnsi="宋体"/>
          <w:color w:val="auto"/>
          <w:kern w:val="0"/>
          <w:sz w:val="24"/>
          <w:szCs w:val="20"/>
          <w:highlight w:val="none"/>
        </w:rPr>
        <w:t>附：法定代表人及委托代理人有效身份证复印件</w:t>
      </w:r>
    </w:p>
    <w:p w14:paraId="2A0F0954">
      <w:pPr>
        <w:keepNext w:val="0"/>
        <w:keepLines w:val="0"/>
        <w:pageBreakBefore w:val="0"/>
        <w:widowControl/>
        <w:tabs>
          <w:tab w:val="left" w:pos="2040"/>
          <w:tab w:val="left" w:pos="4785"/>
          <w:tab w:val="left" w:pos="4815"/>
          <w:tab w:val="left" w:pos="8000"/>
        </w:tabs>
        <w:kinsoku w:val="0"/>
        <w:wordWrap/>
        <w:autoSpaceDE w:val="0"/>
        <w:autoSpaceDN w:val="0"/>
        <w:bidi w:val="0"/>
        <w:adjustRightInd w:val="0"/>
        <w:snapToGrid w:val="0"/>
        <w:spacing w:line="360" w:lineRule="auto"/>
        <w:ind w:left="0" w:leftChars="0" w:right="0" w:rightChars="0" w:firstLine="420"/>
        <w:rPr>
          <w:rFonts w:ascii="宋体" w:hAnsi="宋体"/>
          <w:color w:val="auto"/>
          <w:kern w:val="0"/>
          <w:sz w:val="24"/>
          <w:szCs w:val="20"/>
          <w:highlight w:val="none"/>
        </w:rPr>
      </w:pPr>
    </w:p>
    <w:p w14:paraId="545D0009">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lang w:eastAsia="zh-CN"/>
        </w:rPr>
        <w:t>供应商</w:t>
      </w:r>
      <w:r>
        <w:rPr>
          <w:rFonts w:hint="eastAsia" w:ascii="宋体" w:hAnsi="宋体" w:cs="宋体"/>
          <w:color w:val="auto"/>
          <w:kern w:val="0"/>
          <w:sz w:val="24"/>
          <w:szCs w:val="20"/>
          <w:highlight w:val="none"/>
        </w:rPr>
        <w:t>(</w:t>
      </w:r>
      <w:r>
        <w:rPr>
          <w:rFonts w:hint="eastAsia" w:ascii="宋体" w:hAnsi="宋体" w:cs="宋体"/>
          <w:color w:val="auto"/>
          <w:sz w:val="24"/>
          <w:szCs w:val="20"/>
          <w:highlight w:val="none"/>
        </w:rPr>
        <w:t>电子签章</w:t>
      </w:r>
      <w:r>
        <w:rPr>
          <w:rFonts w:hint="eastAsia" w:ascii="宋体" w:hAnsi="宋体" w:cs="宋体"/>
          <w:color w:val="auto"/>
          <w:kern w:val="0"/>
          <w:sz w:val="24"/>
          <w:szCs w:val="20"/>
          <w:highlight w:val="none"/>
        </w:rPr>
        <w:t>)：</w:t>
      </w:r>
      <w:r>
        <w:rPr>
          <w:rFonts w:hint="eastAsia" w:ascii="宋体" w:hAnsi="宋体" w:cs="宋体"/>
          <w:color w:val="auto"/>
          <w:kern w:val="0"/>
          <w:sz w:val="24"/>
          <w:szCs w:val="20"/>
          <w:highlight w:val="none"/>
          <w:u w:val="single"/>
        </w:rPr>
        <w:t xml:space="preserve">                              </w:t>
      </w:r>
    </w:p>
    <w:p w14:paraId="56F1447B">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jc w:val="left"/>
        <w:rPr>
          <w:rFonts w:hint="eastAsia" w:ascii="宋体" w:hAnsi="宋体" w:cs="宋体"/>
          <w:color w:val="auto"/>
          <w:kern w:val="0"/>
          <w:sz w:val="24"/>
          <w:szCs w:val="20"/>
          <w:highlight w:val="none"/>
          <w:u w:val="single"/>
        </w:rPr>
      </w:pPr>
      <w:r>
        <w:rPr>
          <w:rFonts w:hint="eastAsia" w:ascii="宋体" w:hAnsi="宋体" w:cs="宋体"/>
          <w:color w:val="auto"/>
          <w:kern w:val="0"/>
          <w:sz w:val="24"/>
          <w:szCs w:val="20"/>
          <w:highlight w:val="none"/>
        </w:rPr>
        <w:t>法定代表人(</w:t>
      </w:r>
      <w:r>
        <w:rPr>
          <w:rFonts w:hint="eastAsia" w:ascii="宋体" w:hAnsi="宋体" w:cs="宋体"/>
          <w:color w:val="auto"/>
          <w:sz w:val="24"/>
          <w:szCs w:val="20"/>
          <w:highlight w:val="none"/>
        </w:rPr>
        <w:t>电子签章</w:t>
      </w:r>
      <w:r>
        <w:rPr>
          <w:rFonts w:hint="eastAsia" w:ascii="宋体" w:hAnsi="宋体" w:cs="宋体"/>
          <w:color w:val="auto"/>
          <w:kern w:val="0"/>
          <w:sz w:val="24"/>
          <w:szCs w:val="20"/>
          <w:highlight w:val="none"/>
        </w:rPr>
        <w:t>)：</w:t>
      </w:r>
      <w:r>
        <w:rPr>
          <w:rFonts w:hint="eastAsia" w:ascii="宋体" w:hAnsi="宋体" w:cs="宋体"/>
          <w:color w:val="auto"/>
          <w:kern w:val="0"/>
          <w:sz w:val="24"/>
          <w:szCs w:val="20"/>
          <w:highlight w:val="none"/>
          <w:u w:val="single"/>
        </w:rPr>
        <w:t xml:space="preserve">                          </w:t>
      </w:r>
    </w:p>
    <w:p w14:paraId="7100BADA">
      <w:pPr>
        <w:pStyle w:val="4"/>
        <w:keepNext w:val="0"/>
        <w:keepLines w:val="0"/>
        <w:pageBreakBefore w:val="0"/>
        <w:widowControl/>
        <w:kinsoku w:val="0"/>
        <w:wordWrap/>
        <w:bidi w:val="0"/>
        <w:adjustRightInd w:val="0"/>
        <w:snapToGrid w:val="0"/>
        <w:spacing w:before="0" w:line="360" w:lineRule="auto"/>
        <w:ind w:left="0" w:leftChars="0" w:right="0" w:rightChars="0" w:firstLine="480" w:firstLineChars="200"/>
        <w:rPr>
          <w:rFonts w:hint="eastAsia" w:ascii="宋体" w:hAnsi="宋体" w:eastAsia="宋体" w:cs="宋体"/>
          <w:b w:val="0"/>
          <w:bCs w:val="0"/>
          <w:color w:val="auto"/>
          <w:kern w:val="0"/>
          <w:sz w:val="24"/>
          <w:szCs w:val="20"/>
          <w:highlight w:val="none"/>
          <w:lang w:val="en-US" w:eastAsia="zh-CN" w:bidi="ar-SA"/>
        </w:rPr>
      </w:pPr>
      <w:r>
        <w:rPr>
          <w:rFonts w:hint="eastAsia" w:ascii="宋体" w:hAnsi="宋体" w:eastAsia="宋体" w:cs="宋体"/>
          <w:b w:val="0"/>
          <w:bCs w:val="0"/>
          <w:color w:val="auto"/>
          <w:kern w:val="0"/>
          <w:sz w:val="24"/>
          <w:szCs w:val="20"/>
          <w:highlight w:val="none"/>
          <w:lang w:val="en-US" w:eastAsia="zh-CN" w:bidi="ar-SA"/>
        </w:rPr>
        <w:t>联系方式：</w:t>
      </w:r>
      <w:r>
        <w:rPr>
          <w:rFonts w:hint="eastAsia" w:ascii="宋体" w:hAnsi="宋体" w:cs="宋体"/>
          <w:color w:val="auto"/>
          <w:kern w:val="0"/>
          <w:sz w:val="24"/>
          <w:szCs w:val="20"/>
          <w:highlight w:val="none"/>
          <w:u w:val="single"/>
        </w:rPr>
        <w:t xml:space="preserve">                          </w:t>
      </w:r>
    </w:p>
    <w:p w14:paraId="7303733D">
      <w:pPr>
        <w:keepNext w:val="0"/>
        <w:keepLines w:val="0"/>
        <w:pageBreakBefore w:val="0"/>
        <w:widowControl/>
        <w:kinsoku w:val="0"/>
        <w:wordWrap/>
        <w:autoSpaceDE w:val="0"/>
        <w:autoSpaceDN w:val="0"/>
        <w:bidi w:val="0"/>
        <w:adjustRightInd w:val="0"/>
        <w:snapToGrid w:val="0"/>
        <w:spacing w:line="360" w:lineRule="auto"/>
        <w:ind w:left="0" w:leftChars="0" w:right="0" w:rightChars="0"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日期：</w:t>
      </w:r>
      <w:r>
        <w:rPr>
          <w:rFonts w:hint="eastAsia"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rPr>
        <w:t>日</w:t>
      </w:r>
    </w:p>
    <w:p w14:paraId="395B3F07">
      <w:pPr>
        <w:keepNext w:val="0"/>
        <w:keepLines w:val="0"/>
        <w:pageBreakBefore w:val="0"/>
        <w:widowControl/>
        <w:kinsoku w:val="0"/>
        <w:wordWrap/>
        <w:autoSpaceDE w:val="0"/>
        <w:bidi w:val="0"/>
        <w:adjustRightInd w:val="0"/>
        <w:snapToGrid w:val="0"/>
        <w:spacing w:line="360" w:lineRule="auto"/>
        <w:ind w:left="0" w:leftChars="0" w:right="0" w:rightChars="0" w:firstLine="4080" w:firstLineChars="1700"/>
        <w:rPr>
          <w:rFonts w:ascii="宋体" w:hAnsi="宋体" w:cs="宋体"/>
          <w:color w:val="auto"/>
          <w:highlight w:val="none"/>
        </w:rPr>
      </w:pPr>
    </w:p>
    <w:tbl>
      <w:tblPr>
        <w:tblStyle w:val="28"/>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796"/>
        <w:gridCol w:w="4796"/>
      </w:tblGrid>
      <w:tr w14:paraId="624C03E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19" w:hRule="atLeast"/>
          <w:jc w:val="center"/>
        </w:trPr>
        <w:tc>
          <w:tcPr>
            <w:tcW w:w="4796" w:type="dxa"/>
            <w:noWrap w:val="0"/>
            <w:vAlign w:val="center"/>
          </w:tcPr>
          <w:p w14:paraId="5282BCE1">
            <w:pPr>
              <w:keepNext w:val="0"/>
              <w:keepLines w:val="0"/>
              <w:pageBreakBefore w:val="0"/>
              <w:widowControl/>
              <w:kinsoku w:val="0"/>
              <w:wordWrap/>
              <w:autoSpaceDE w:val="0"/>
              <w:autoSpaceDN w:val="0"/>
              <w:bidi w:val="0"/>
              <w:adjustRightInd w:val="0"/>
              <w:snapToGrid w:val="0"/>
              <w:spacing w:line="360" w:lineRule="auto"/>
              <w:ind w:left="0" w:leftChars="0" w:right="0" w:rightChars="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法定代表人身份证</w:t>
            </w:r>
            <w:r>
              <w:rPr>
                <w:rFonts w:hint="eastAsia" w:ascii="宋体" w:hAnsi="宋体"/>
                <w:color w:val="auto"/>
                <w:spacing w:val="8"/>
                <w:sz w:val="24"/>
                <w:szCs w:val="20"/>
                <w:highlight w:val="none"/>
              </w:rPr>
              <w:t>扫描件（正面）</w:t>
            </w:r>
          </w:p>
          <w:p w14:paraId="54859F4B">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sz w:val="24"/>
                <w:szCs w:val="20"/>
                <w:highlight w:val="none"/>
              </w:rPr>
            </w:pPr>
          </w:p>
        </w:tc>
        <w:tc>
          <w:tcPr>
            <w:tcW w:w="4796" w:type="dxa"/>
            <w:noWrap w:val="0"/>
            <w:vAlign w:val="center"/>
          </w:tcPr>
          <w:p w14:paraId="6E51B2F6">
            <w:pPr>
              <w:keepNext w:val="0"/>
              <w:keepLines w:val="0"/>
              <w:pageBreakBefore w:val="0"/>
              <w:widowControl/>
              <w:kinsoku w:val="0"/>
              <w:wordWrap/>
              <w:autoSpaceDE w:val="0"/>
              <w:autoSpaceDN w:val="0"/>
              <w:bidi w:val="0"/>
              <w:adjustRightInd w:val="0"/>
              <w:snapToGrid w:val="0"/>
              <w:spacing w:line="360" w:lineRule="auto"/>
              <w:ind w:left="0" w:leftChars="0" w:right="0" w:rightChars="0"/>
              <w:jc w:val="center"/>
              <w:rPr>
                <w:rFonts w:ascii="宋体" w:hAnsi="宋体" w:cs="宋体"/>
                <w:color w:val="auto"/>
                <w:kern w:val="0"/>
                <w:sz w:val="24"/>
                <w:szCs w:val="20"/>
                <w:highlight w:val="none"/>
              </w:rPr>
            </w:pPr>
            <w:r>
              <w:rPr>
                <w:rFonts w:hint="eastAsia" w:ascii="宋体" w:hAnsi="宋体" w:cs="宋体"/>
                <w:color w:val="auto"/>
                <w:kern w:val="0"/>
                <w:sz w:val="24"/>
                <w:szCs w:val="20"/>
                <w:highlight w:val="none"/>
              </w:rPr>
              <w:t>法定代表人身份证</w:t>
            </w:r>
            <w:r>
              <w:rPr>
                <w:rFonts w:hint="eastAsia" w:ascii="宋体" w:hAnsi="宋体"/>
                <w:color w:val="auto"/>
                <w:spacing w:val="8"/>
                <w:sz w:val="24"/>
                <w:szCs w:val="20"/>
                <w:highlight w:val="none"/>
              </w:rPr>
              <w:t>扫描件（反面）</w:t>
            </w:r>
          </w:p>
          <w:p w14:paraId="2696C97E">
            <w:pPr>
              <w:keepNext w:val="0"/>
              <w:keepLines w:val="0"/>
              <w:pageBreakBefore w:val="0"/>
              <w:widowControl/>
              <w:kinsoku w:val="0"/>
              <w:wordWrap/>
              <w:autoSpaceDE w:val="0"/>
              <w:autoSpaceDN w:val="0"/>
              <w:bidi w:val="0"/>
              <w:adjustRightInd w:val="0"/>
              <w:snapToGrid w:val="0"/>
              <w:spacing w:line="360" w:lineRule="auto"/>
              <w:ind w:left="0" w:leftChars="0" w:right="0" w:rightChars="0"/>
              <w:jc w:val="left"/>
              <w:rPr>
                <w:rFonts w:ascii="宋体" w:hAnsi="宋体" w:cs="宋体"/>
                <w:color w:val="auto"/>
                <w:kern w:val="0"/>
                <w:sz w:val="24"/>
                <w:szCs w:val="20"/>
                <w:highlight w:val="none"/>
              </w:rPr>
            </w:pPr>
          </w:p>
        </w:tc>
      </w:tr>
    </w:tbl>
    <w:p w14:paraId="514778BC">
      <w:pPr>
        <w:keepNext w:val="0"/>
        <w:keepLines w:val="0"/>
        <w:pageBreakBefore w:val="0"/>
        <w:widowControl/>
        <w:kinsoku w:val="0"/>
        <w:wordWrap/>
        <w:bidi w:val="0"/>
        <w:adjustRightInd w:val="0"/>
        <w:snapToGrid w:val="0"/>
        <w:spacing w:line="360" w:lineRule="auto"/>
        <w:ind w:left="0" w:leftChars="0" w:right="0" w:rightChars="0"/>
        <w:rPr>
          <w:vanish/>
          <w:color w:val="auto"/>
          <w:highlight w:val="none"/>
        </w:rPr>
      </w:pPr>
    </w:p>
    <w:tbl>
      <w:tblPr>
        <w:tblStyle w:val="28"/>
        <w:tblpPr w:leftFromText="180" w:rightFromText="180" w:vertAnchor="text" w:horzAnchor="margin" w:tblpY="258"/>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781"/>
        <w:gridCol w:w="4781"/>
      </w:tblGrid>
      <w:tr w14:paraId="1D5F5EA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48" w:hRule="atLeast"/>
        </w:trPr>
        <w:tc>
          <w:tcPr>
            <w:tcW w:w="4781" w:type="dxa"/>
            <w:noWrap w:val="0"/>
            <w:vAlign w:val="center"/>
          </w:tcPr>
          <w:p w14:paraId="510C9EE6">
            <w:pPr>
              <w:keepNext w:val="0"/>
              <w:keepLines w:val="0"/>
              <w:pageBreakBefore w:val="0"/>
              <w:widowControl/>
              <w:kinsoku w:val="0"/>
              <w:wordWrap/>
              <w:autoSpaceDE w:val="0"/>
              <w:autoSpaceDN w:val="0"/>
              <w:bidi w:val="0"/>
              <w:adjustRightInd w:val="0"/>
              <w:snapToGrid w:val="0"/>
              <w:spacing w:line="360" w:lineRule="auto"/>
              <w:ind w:left="0" w:leftChars="0" w:right="0" w:rightChars="0"/>
              <w:jc w:val="center"/>
              <w:rPr>
                <w:rFonts w:ascii="宋体" w:hAnsi="宋体"/>
                <w:color w:val="auto"/>
                <w:spacing w:val="8"/>
                <w:sz w:val="24"/>
                <w:szCs w:val="20"/>
                <w:highlight w:val="none"/>
              </w:rPr>
            </w:pPr>
            <w:r>
              <w:rPr>
                <w:rFonts w:hint="eastAsia" w:ascii="宋体" w:hAnsi="宋体"/>
                <w:color w:val="auto"/>
                <w:spacing w:val="8"/>
                <w:sz w:val="24"/>
                <w:szCs w:val="20"/>
                <w:highlight w:val="none"/>
              </w:rPr>
              <w:t>被授权委托人身份证扫描件（正面）</w:t>
            </w:r>
          </w:p>
          <w:p w14:paraId="3D750F5A">
            <w:pPr>
              <w:keepNext w:val="0"/>
              <w:keepLines w:val="0"/>
              <w:pageBreakBefore w:val="0"/>
              <w:widowControl/>
              <w:kinsoku w:val="0"/>
              <w:wordWrap/>
              <w:autoSpaceDE w:val="0"/>
              <w:autoSpaceDN w:val="0"/>
              <w:bidi w:val="0"/>
              <w:adjustRightInd w:val="0"/>
              <w:snapToGrid w:val="0"/>
              <w:spacing w:line="360" w:lineRule="auto"/>
              <w:ind w:left="0" w:leftChars="0" w:right="0" w:rightChars="0"/>
              <w:jc w:val="center"/>
              <w:rPr>
                <w:rFonts w:ascii="宋体" w:hAnsi="宋体" w:cs="宋体"/>
                <w:color w:val="auto"/>
                <w:kern w:val="0"/>
                <w:sz w:val="24"/>
                <w:szCs w:val="20"/>
                <w:highlight w:val="none"/>
              </w:rPr>
            </w:pPr>
          </w:p>
        </w:tc>
        <w:tc>
          <w:tcPr>
            <w:tcW w:w="4781" w:type="dxa"/>
            <w:noWrap w:val="0"/>
            <w:vAlign w:val="center"/>
          </w:tcPr>
          <w:p w14:paraId="44989315">
            <w:pPr>
              <w:keepNext w:val="0"/>
              <w:keepLines w:val="0"/>
              <w:pageBreakBefore w:val="0"/>
              <w:widowControl/>
              <w:kinsoku w:val="0"/>
              <w:wordWrap/>
              <w:autoSpaceDE w:val="0"/>
              <w:autoSpaceDN w:val="0"/>
              <w:bidi w:val="0"/>
              <w:adjustRightInd w:val="0"/>
              <w:snapToGrid w:val="0"/>
              <w:spacing w:line="360" w:lineRule="auto"/>
              <w:ind w:left="0" w:leftChars="0" w:right="0" w:rightChars="0"/>
              <w:jc w:val="center"/>
              <w:rPr>
                <w:rFonts w:ascii="宋体" w:hAnsi="宋体"/>
                <w:color w:val="auto"/>
                <w:spacing w:val="8"/>
                <w:sz w:val="24"/>
                <w:szCs w:val="20"/>
                <w:highlight w:val="none"/>
              </w:rPr>
            </w:pPr>
            <w:r>
              <w:rPr>
                <w:rFonts w:hint="eastAsia" w:ascii="宋体" w:hAnsi="宋体"/>
                <w:color w:val="auto"/>
                <w:spacing w:val="8"/>
                <w:sz w:val="24"/>
                <w:szCs w:val="20"/>
                <w:highlight w:val="none"/>
              </w:rPr>
              <w:t>被授权委托人身份证扫描件（反面）</w:t>
            </w:r>
          </w:p>
          <w:p w14:paraId="57B3B3F4">
            <w:pPr>
              <w:keepNext w:val="0"/>
              <w:keepLines w:val="0"/>
              <w:pageBreakBefore w:val="0"/>
              <w:widowControl/>
              <w:kinsoku w:val="0"/>
              <w:wordWrap/>
              <w:autoSpaceDE w:val="0"/>
              <w:autoSpaceDN w:val="0"/>
              <w:bidi w:val="0"/>
              <w:adjustRightInd w:val="0"/>
              <w:snapToGrid w:val="0"/>
              <w:spacing w:line="360" w:lineRule="auto"/>
              <w:ind w:left="0" w:leftChars="0" w:right="0" w:rightChars="0"/>
              <w:jc w:val="center"/>
              <w:rPr>
                <w:rFonts w:ascii="宋体" w:hAnsi="宋体" w:cs="宋体"/>
                <w:color w:val="auto"/>
                <w:kern w:val="0"/>
                <w:sz w:val="24"/>
                <w:szCs w:val="20"/>
                <w:highlight w:val="none"/>
              </w:rPr>
            </w:pPr>
          </w:p>
        </w:tc>
      </w:tr>
    </w:tbl>
    <w:p w14:paraId="2C017F4D">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highlight w:val="none"/>
        </w:rPr>
      </w:pPr>
    </w:p>
    <w:p w14:paraId="26DE34F2">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sz w:val="32"/>
          <w:szCs w:val="32"/>
          <w:highlight w:val="none"/>
        </w:rPr>
      </w:pPr>
      <w:bookmarkStart w:id="94" w:name="_Toc15296"/>
      <w:r>
        <w:rPr>
          <w:rFonts w:hint="eastAsia" w:ascii="宋体" w:hAnsi="宋体" w:cs="宋体"/>
          <w:color w:val="auto"/>
          <w:sz w:val="32"/>
          <w:szCs w:val="32"/>
          <w:highlight w:val="none"/>
        </w:rPr>
        <w:br w:type="page"/>
      </w:r>
    </w:p>
    <w:p w14:paraId="69FEB241">
      <w:pPr>
        <w:pStyle w:val="8"/>
        <w:keepNext w:val="0"/>
        <w:keepLines w:val="0"/>
        <w:pageBreakBefore w:val="0"/>
        <w:widowControl/>
        <w:numPr>
          <w:ilvl w:val="0"/>
          <w:numId w:val="5"/>
        </w:numPr>
        <w:kinsoku w:val="0"/>
        <w:wordWrap/>
        <w:bidi w:val="0"/>
        <w:adjustRightInd w:val="0"/>
        <w:snapToGrid w:val="0"/>
        <w:spacing w:before="0" w:line="360" w:lineRule="auto"/>
        <w:ind w:left="0" w:leftChars="0" w:right="0" w:rightChars="0"/>
        <w:jc w:val="center"/>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投标报价明细表</w:t>
      </w:r>
    </w:p>
    <w:p w14:paraId="3AF1496F">
      <w:pPr>
        <w:keepNext w:val="0"/>
        <w:keepLines w:val="0"/>
        <w:pageBreakBefore w:val="0"/>
        <w:widowControl/>
        <w:numPr>
          <w:ilvl w:val="0"/>
          <w:numId w:val="0"/>
        </w:numPr>
        <w:kinsoku w:val="0"/>
        <w:wordWrap/>
        <w:bidi w:val="0"/>
        <w:adjustRightInd w:val="0"/>
        <w:snapToGrid w:val="0"/>
        <w:spacing w:line="360" w:lineRule="auto"/>
        <w:ind w:left="0" w:leftChars="0" w:right="0" w:rightChars="0"/>
        <w:rPr>
          <w:rFonts w:hint="eastAsia" w:ascii="宋体" w:hAnsi="宋体"/>
          <w:b/>
          <w:bCs/>
          <w:color w:val="000000" w:themeColor="text1"/>
          <w:kern w:val="44"/>
          <w:sz w:val="28"/>
          <w:highlight w:val="none"/>
          <w:lang w:eastAsia="zh-CN"/>
        </w:rPr>
      </w:pPr>
      <w:r>
        <w:rPr>
          <w:rFonts w:hint="eastAsia" w:ascii="宋体" w:hAnsi="宋体"/>
          <w:b/>
          <w:bCs/>
          <w:color w:val="000000" w:themeColor="text1"/>
          <w:kern w:val="44"/>
          <w:sz w:val="28"/>
          <w:highlight w:val="none"/>
          <w:lang w:val="en-US" w:eastAsia="zh-CN"/>
        </w:rPr>
        <w:t>一标段</w:t>
      </w:r>
      <w:r>
        <w:rPr>
          <w:rFonts w:hint="eastAsia" w:ascii="宋体" w:hAnsi="宋体"/>
          <w:b/>
          <w:bCs/>
          <w:color w:val="000000" w:themeColor="text1"/>
          <w:kern w:val="44"/>
          <w:sz w:val="28"/>
          <w:highlight w:val="none"/>
          <w:lang w:eastAsia="zh-CN"/>
        </w:rPr>
        <w:t>分项报价</w:t>
      </w:r>
      <w:r>
        <w:rPr>
          <w:rFonts w:hint="eastAsia" w:ascii="宋体" w:hAnsi="宋体"/>
          <w:b/>
          <w:bCs/>
          <w:color w:val="000000" w:themeColor="text1"/>
          <w:kern w:val="44"/>
          <w:sz w:val="28"/>
          <w:highlight w:val="none"/>
          <w:lang w:val="en-US" w:eastAsia="zh-CN"/>
        </w:rPr>
        <w:t>明细</w:t>
      </w:r>
      <w:r>
        <w:rPr>
          <w:rFonts w:hint="eastAsia" w:ascii="宋体" w:hAnsi="宋体"/>
          <w:b/>
          <w:bCs/>
          <w:color w:val="000000" w:themeColor="text1"/>
          <w:kern w:val="44"/>
          <w:sz w:val="28"/>
          <w:highlight w:val="none"/>
          <w:lang w:eastAsia="zh-CN"/>
        </w:rPr>
        <w:t>表</w:t>
      </w:r>
    </w:p>
    <w:tbl>
      <w:tblPr>
        <w:tblStyle w:val="98"/>
        <w:tblpPr w:leftFromText="180" w:rightFromText="180" w:vertAnchor="text" w:horzAnchor="page" w:tblpX="1607" w:tblpY="109"/>
        <w:tblOverlap w:val="never"/>
        <w:tblW w:w="93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3"/>
        <w:gridCol w:w="1450"/>
        <w:gridCol w:w="1550"/>
        <w:gridCol w:w="1000"/>
        <w:gridCol w:w="983"/>
        <w:gridCol w:w="833"/>
        <w:gridCol w:w="1333"/>
        <w:gridCol w:w="1168"/>
      </w:tblGrid>
      <w:tr w14:paraId="0663F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3" w:hRule="atLeast"/>
        </w:trPr>
        <w:tc>
          <w:tcPr>
            <w:tcW w:w="1023" w:type="dxa"/>
            <w:vAlign w:val="center"/>
          </w:tcPr>
          <w:p w14:paraId="5118A5EE">
            <w:pPr>
              <w:pStyle w:val="97"/>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货物名称</w:t>
            </w:r>
          </w:p>
        </w:tc>
        <w:tc>
          <w:tcPr>
            <w:tcW w:w="1450" w:type="dxa"/>
            <w:vAlign w:val="center"/>
          </w:tcPr>
          <w:p w14:paraId="78C6DBE8">
            <w:pPr>
              <w:pStyle w:val="97"/>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品牌</w:t>
            </w:r>
          </w:p>
        </w:tc>
        <w:tc>
          <w:tcPr>
            <w:tcW w:w="1550" w:type="dxa"/>
            <w:vAlign w:val="center"/>
          </w:tcPr>
          <w:p w14:paraId="5D391C3D">
            <w:pPr>
              <w:pStyle w:val="97"/>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规格要求</w:t>
            </w:r>
          </w:p>
        </w:tc>
        <w:tc>
          <w:tcPr>
            <w:tcW w:w="1000" w:type="dxa"/>
            <w:vAlign w:val="center"/>
          </w:tcPr>
          <w:p w14:paraId="7EE2E8C4">
            <w:pPr>
              <w:pStyle w:val="97"/>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数量</w:t>
            </w:r>
          </w:p>
        </w:tc>
        <w:tc>
          <w:tcPr>
            <w:tcW w:w="983" w:type="dxa"/>
            <w:vAlign w:val="center"/>
          </w:tcPr>
          <w:p w14:paraId="776D6832">
            <w:pPr>
              <w:pStyle w:val="97"/>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单价</w:t>
            </w:r>
          </w:p>
        </w:tc>
        <w:tc>
          <w:tcPr>
            <w:tcW w:w="833" w:type="dxa"/>
            <w:tcBorders>
              <w:right w:val="single" w:color="auto" w:sz="4" w:space="0"/>
            </w:tcBorders>
            <w:vAlign w:val="center"/>
          </w:tcPr>
          <w:p w14:paraId="4356FEF0">
            <w:pPr>
              <w:pStyle w:val="97"/>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生产</w:t>
            </w:r>
          </w:p>
          <w:p w14:paraId="6E4EEA0D">
            <w:pPr>
              <w:pStyle w:val="97"/>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厂家</w:t>
            </w:r>
          </w:p>
        </w:tc>
        <w:tc>
          <w:tcPr>
            <w:tcW w:w="1333" w:type="dxa"/>
            <w:tcBorders>
              <w:left w:val="single" w:color="auto" w:sz="4" w:space="0"/>
            </w:tcBorders>
            <w:vAlign w:val="center"/>
          </w:tcPr>
          <w:p w14:paraId="012790AC">
            <w:pPr>
              <w:pStyle w:val="97"/>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企业类型（</w:t>
            </w:r>
          </w:p>
          <w:p w14:paraId="3D910A7B">
            <w:pPr>
              <w:pStyle w:val="97"/>
              <w:keepNext w:val="0"/>
              <w:keepLines w:val="0"/>
              <w:pageBreakBefore w:val="0"/>
              <w:widowControl/>
              <w:kinsoku w:val="0"/>
              <w:wordWrap/>
              <w:bidi w:val="0"/>
              <w:adjustRightInd w:val="0"/>
              <w:snapToGrid w:val="0"/>
              <w:spacing w:line="360" w:lineRule="auto"/>
              <w:ind w:left="0" w:leftChars="0" w:right="0" w:rightChars="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中/小/微企业）</w:t>
            </w:r>
          </w:p>
        </w:tc>
        <w:tc>
          <w:tcPr>
            <w:tcW w:w="1168" w:type="dxa"/>
            <w:vAlign w:val="center"/>
          </w:tcPr>
          <w:p w14:paraId="5A2A0A45">
            <w:pPr>
              <w:pStyle w:val="97"/>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合价（元）</w:t>
            </w:r>
          </w:p>
        </w:tc>
      </w:tr>
      <w:tr w14:paraId="02025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023" w:type="dxa"/>
            <w:vAlign w:val="center"/>
          </w:tcPr>
          <w:p w14:paraId="05A2327D">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color w:val="000000" w:themeColor="text1"/>
                <w:sz w:val="20"/>
                <w:szCs w:val="18"/>
                <w:highlight w:val="none"/>
              </w:rPr>
            </w:pPr>
            <w:r>
              <w:rPr>
                <w:rFonts w:hint="eastAsia" w:ascii="宋体" w:hAnsi="宋体" w:eastAsia="宋体" w:cs="宋体"/>
                <w:sz w:val="24"/>
                <w:szCs w:val="24"/>
                <w:highlight w:val="none"/>
                <w:lang w:val="en-US" w:eastAsia="zh-CN"/>
              </w:rPr>
              <w:t>40%唑醚·戊唑醇悬浮剂</w:t>
            </w:r>
          </w:p>
        </w:tc>
        <w:tc>
          <w:tcPr>
            <w:tcW w:w="1450" w:type="dxa"/>
          </w:tcPr>
          <w:p w14:paraId="47297DE9">
            <w:pPr>
              <w:pStyle w:val="97"/>
              <w:keepNext w:val="0"/>
              <w:keepLines w:val="0"/>
              <w:pageBreakBefore w:val="0"/>
              <w:widowControl/>
              <w:kinsoku w:val="0"/>
              <w:wordWrap/>
              <w:bidi w:val="0"/>
              <w:adjustRightInd w:val="0"/>
              <w:snapToGrid w:val="0"/>
              <w:spacing w:line="360" w:lineRule="auto"/>
              <w:ind w:left="0" w:leftChars="0" w:right="0" w:rightChars="0"/>
              <w:jc w:val="center"/>
              <w:rPr>
                <w:color w:val="000000" w:themeColor="text1"/>
                <w:sz w:val="20"/>
                <w:szCs w:val="18"/>
                <w:highlight w:val="none"/>
              </w:rPr>
            </w:pPr>
          </w:p>
        </w:tc>
        <w:tc>
          <w:tcPr>
            <w:tcW w:w="1550" w:type="dxa"/>
            <w:vAlign w:val="center"/>
          </w:tcPr>
          <w:p w14:paraId="7DB80468">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color w:val="000000" w:themeColor="text1"/>
                <w:sz w:val="20"/>
                <w:szCs w:val="18"/>
                <w:highlight w:val="none"/>
              </w:rPr>
            </w:pPr>
          </w:p>
        </w:tc>
        <w:tc>
          <w:tcPr>
            <w:tcW w:w="1000" w:type="dxa"/>
            <w:vAlign w:val="center"/>
          </w:tcPr>
          <w:p w14:paraId="4793923D">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color w:val="000000" w:themeColor="text1"/>
                <w:sz w:val="20"/>
                <w:szCs w:val="18"/>
                <w:highlight w:val="none"/>
              </w:rPr>
            </w:pPr>
            <w:r>
              <w:rPr>
                <w:rFonts w:hint="eastAsia" w:ascii="宋体" w:hAnsi="宋体" w:eastAsia="宋体" w:cs="宋体"/>
                <w:sz w:val="24"/>
                <w:szCs w:val="24"/>
                <w:highlight w:val="none"/>
                <w:lang w:val="en-US" w:eastAsia="zh-CN"/>
              </w:rPr>
              <w:t>2100公斤</w:t>
            </w:r>
          </w:p>
        </w:tc>
        <w:tc>
          <w:tcPr>
            <w:tcW w:w="983" w:type="dxa"/>
            <w:vAlign w:val="center"/>
          </w:tcPr>
          <w:p w14:paraId="53D7FE69">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color w:val="000000" w:themeColor="text1"/>
                <w:sz w:val="20"/>
                <w:szCs w:val="18"/>
                <w:highlight w:val="none"/>
              </w:rPr>
            </w:pPr>
          </w:p>
        </w:tc>
        <w:tc>
          <w:tcPr>
            <w:tcW w:w="833" w:type="dxa"/>
            <w:tcBorders>
              <w:right w:val="single" w:color="auto" w:sz="4" w:space="0"/>
            </w:tcBorders>
          </w:tcPr>
          <w:p w14:paraId="4B087565">
            <w:pPr>
              <w:pStyle w:val="97"/>
              <w:keepNext w:val="0"/>
              <w:keepLines w:val="0"/>
              <w:pageBreakBefore w:val="0"/>
              <w:widowControl/>
              <w:kinsoku w:val="0"/>
              <w:wordWrap/>
              <w:bidi w:val="0"/>
              <w:adjustRightInd w:val="0"/>
              <w:snapToGrid w:val="0"/>
              <w:spacing w:line="360" w:lineRule="auto"/>
              <w:ind w:left="0" w:leftChars="0" w:right="0" w:rightChars="0"/>
              <w:jc w:val="center"/>
              <w:rPr>
                <w:color w:val="000000" w:themeColor="text1"/>
                <w:sz w:val="20"/>
                <w:szCs w:val="18"/>
                <w:highlight w:val="none"/>
              </w:rPr>
            </w:pPr>
          </w:p>
        </w:tc>
        <w:tc>
          <w:tcPr>
            <w:tcW w:w="1333" w:type="dxa"/>
            <w:tcBorders>
              <w:left w:val="single" w:color="auto" w:sz="4" w:space="0"/>
            </w:tcBorders>
          </w:tcPr>
          <w:p w14:paraId="0DEC2073">
            <w:pPr>
              <w:pStyle w:val="97"/>
              <w:keepNext w:val="0"/>
              <w:keepLines w:val="0"/>
              <w:pageBreakBefore w:val="0"/>
              <w:widowControl/>
              <w:kinsoku w:val="0"/>
              <w:wordWrap/>
              <w:bidi w:val="0"/>
              <w:adjustRightInd w:val="0"/>
              <w:snapToGrid w:val="0"/>
              <w:spacing w:line="360" w:lineRule="auto"/>
              <w:ind w:left="0" w:leftChars="0" w:right="0" w:rightChars="0"/>
              <w:jc w:val="center"/>
              <w:rPr>
                <w:color w:val="000000" w:themeColor="text1"/>
                <w:sz w:val="20"/>
                <w:szCs w:val="18"/>
                <w:highlight w:val="none"/>
              </w:rPr>
            </w:pPr>
          </w:p>
        </w:tc>
        <w:tc>
          <w:tcPr>
            <w:tcW w:w="1168" w:type="dxa"/>
          </w:tcPr>
          <w:p w14:paraId="2C510318">
            <w:pPr>
              <w:pStyle w:val="97"/>
              <w:keepNext w:val="0"/>
              <w:keepLines w:val="0"/>
              <w:pageBreakBefore w:val="0"/>
              <w:widowControl/>
              <w:kinsoku w:val="0"/>
              <w:wordWrap/>
              <w:bidi w:val="0"/>
              <w:adjustRightInd w:val="0"/>
              <w:snapToGrid w:val="0"/>
              <w:spacing w:line="360" w:lineRule="auto"/>
              <w:ind w:left="0" w:leftChars="0" w:right="0" w:rightChars="0"/>
              <w:jc w:val="center"/>
              <w:rPr>
                <w:rFonts w:hint="eastAsia"/>
                <w:color w:val="000000" w:themeColor="text1"/>
                <w:sz w:val="20"/>
                <w:szCs w:val="18"/>
                <w:highlight w:val="none"/>
                <w:lang w:val="en-US" w:eastAsia="zh-CN"/>
              </w:rPr>
            </w:pPr>
          </w:p>
        </w:tc>
      </w:tr>
      <w:tr w14:paraId="1531E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023" w:type="dxa"/>
            <w:vAlign w:val="center"/>
          </w:tcPr>
          <w:p w14:paraId="3939853B">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color w:val="000000" w:themeColor="text1"/>
                <w:sz w:val="18"/>
                <w:szCs w:val="18"/>
                <w:highlight w:val="none"/>
              </w:rPr>
            </w:pPr>
            <w:r>
              <w:rPr>
                <w:rFonts w:hint="eastAsia" w:ascii="宋体" w:hAnsi="宋体" w:eastAsia="宋体" w:cs="宋体"/>
                <w:sz w:val="24"/>
                <w:szCs w:val="24"/>
                <w:highlight w:val="none"/>
                <w:lang w:val="en-US" w:eastAsia="zh-CN"/>
              </w:rPr>
              <w:t>14%氯虫·高氯氟微囊悬浮</w:t>
            </w:r>
            <w:r>
              <w:rPr>
                <w:rFonts w:hint="eastAsia" w:ascii="宋体" w:hAnsi="宋体" w:eastAsia="宋体" w:cs="宋体"/>
                <w:sz w:val="24"/>
                <w:szCs w:val="24"/>
                <w:highlight w:val="none"/>
                <w:lang w:eastAsia="zh-CN"/>
              </w:rPr>
              <w:t>-悬浮</w:t>
            </w:r>
            <w:r>
              <w:rPr>
                <w:rFonts w:hint="eastAsia" w:ascii="宋体" w:hAnsi="宋体" w:eastAsia="宋体" w:cs="宋体"/>
                <w:sz w:val="24"/>
                <w:szCs w:val="24"/>
                <w:highlight w:val="none"/>
                <w:lang w:val="en-US" w:eastAsia="zh-CN"/>
              </w:rPr>
              <w:t>剂</w:t>
            </w:r>
          </w:p>
        </w:tc>
        <w:tc>
          <w:tcPr>
            <w:tcW w:w="1450" w:type="dxa"/>
          </w:tcPr>
          <w:p w14:paraId="009ED463">
            <w:pPr>
              <w:pStyle w:val="97"/>
              <w:keepNext w:val="0"/>
              <w:keepLines w:val="0"/>
              <w:pageBreakBefore w:val="0"/>
              <w:widowControl/>
              <w:kinsoku w:val="0"/>
              <w:wordWrap/>
              <w:bidi w:val="0"/>
              <w:adjustRightInd w:val="0"/>
              <w:snapToGrid w:val="0"/>
              <w:spacing w:line="360" w:lineRule="auto"/>
              <w:ind w:left="0" w:leftChars="0" w:right="0" w:rightChars="0"/>
              <w:rPr>
                <w:color w:val="000000" w:themeColor="text1"/>
                <w:sz w:val="18"/>
                <w:szCs w:val="18"/>
                <w:highlight w:val="none"/>
              </w:rPr>
            </w:pPr>
          </w:p>
        </w:tc>
        <w:tc>
          <w:tcPr>
            <w:tcW w:w="1550" w:type="dxa"/>
            <w:vAlign w:val="center"/>
          </w:tcPr>
          <w:p w14:paraId="02490995">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color w:val="000000" w:themeColor="text1"/>
                <w:sz w:val="18"/>
                <w:szCs w:val="18"/>
                <w:highlight w:val="none"/>
              </w:rPr>
            </w:pPr>
          </w:p>
        </w:tc>
        <w:tc>
          <w:tcPr>
            <w:tcW w:w="1000" w:type="dxa"/>
            <w:vAlign w:val="center"/>
          </w:tcPr>
          <w:p w14:paraId="00F79E22">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color w:val="000000" w:themeColor="text1"/>
                <w:sz w:val="18"/>
                <w:szCs w:val="18"/>
                <w:highlight w:val="none"/>
              </w:rPr>
            </w:pPr>
            <w:r>
              <w:rPr>
                <w:rFonts w:hint="eastAsia" w:ascii="宋体" w:hAnsi="宋体" w:eastAsia="宋体" w:cs="宋体"/>
                <w:sz w:val="24"/>
                <w:szCs w:val="24"/>
                <w:highlight w:val="none"/>
                <w:lang w:val="en-US" w:eastAsia="zh-CN"/>
              </w:rPr>
              <w:t>1575公斤</w:t>
            </w:r>
          </w:p>
        </w:tc>
        <w:tc>
          <w:tcPr>
            <w:tcW w:w="983" w:type="dxa"/>
            <w:vAlign w:val="center"/>
          </w:tcPr>
          <w:p w14:paraId="3829814D">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color w:val="000000" w:themeColor="text1"/>
                <w:sz w:val="18"/>
                <w:szCs w:val="18"/>
                <w:highlight w:val="none"/>
              </w:rPr>
            </w:pPr>
          </w:p>
        </w:tc>
        <w:tc>
          <w:tcPr>
            <w:tcW w:w="833" w:type="dxa"/>
            <w:tcBorders>
              <w:right w:val="single" w:color="auto" w:sz="4" w:space="0"/>
            </w:tcBorders>
          </w:tcPr>
          <w:p w14:paraId="387D34F1">
            <w:pPr>
              <w:pStyle w:val="97"/>
              <w:keepNext w:val="0"/>
              <w:keepLines w:val="0"/>
              <w:pageBreakBefore w:val="0"/>
              <w:widowControl/>
              <w:kinsoku w:val="0"/>
              <w:wordWrap/>
              <w:bidi w:val="0"/>
              <w:adjustRightInd w:val="0"/>
              <w:snapToGrid w:val="0"/>
              <w:spacing w:line="360" w:lineRule="auto"/>
              <w:ind w:left="0" w:leftChars="0" w:right="0" w:rightChars="0"/>
              <w:rPr>
                <w:color w:val="000000" w:themeColor="text1"/>
                <w:sz w:val="18"/>
                <w:szCs w:val="18"/>
                <w:highlight w:val="none"/>
              </w:rPr>
            </w:pPr>
          </w:p>
        </w:tc>
        <w:tc>
          <w:tcPr>
            <w:tcW w:w="1333" w:type="dxa"/>
            <w:tcBorders>
              <w:left w:val="single" w:color="auto" w:sz="4" w:space="0"/>
            </w:tcBorders>
          </w:tcPr>
          <w:p w14:paraId="7012DEF8">
            <w:pPr>
              <w:pStyle w:val="97"/>
              <w:keepNext w:val="0"/>
              <w:keepLines w:val="0"/>
              <w:pageBreakBefore w:val="0"/>
              <w:widowControl/>
              <w:kinsoku w:val="0"/>
              <w:wordWrap/>
              <w:bidi w:val="0"/>
              <w:adjustRightInd w:val="0"/>
              <w:snapToGrid w:val="0"/>
              <w:spacing w:line="360" w:lineRule="auto"/>
              <w:ind w:left="0" w:leftChars="0" w:right="0" w:rightChars="0"/>
              <w:rPr>
                <w:color w:val="000000" w:themeColor="text1"/>
                <w:sz w:val="18"/>
                <w:szCs w:val="18"/>
                <w:highlight w:val="none"/>
              </w:rPr>
            </w:pPr>
          </w:p>
        </w:tc>
        <w:tc>
          <w:tcPr>
            <w:tcW w:w="1168" w:type="dxa"/>
          </w:tcPr>
          <w:p w14:paraId="2E30CB88">
            <w:pPr>
              <w:pStyle w:val="97"/>
              <w:keepNext w:val="0"/>
              <w:keepLines w:val="0"/>
              <w:pageBreakBefore w:val="0"/>
              <w:widowControl/>
              <w:kinsoku w:val="0"/>
              <w:wordWrap/>
              <w:bidi w:val="0"/>
              <w:adjustRightInd w:val="0"/>
              <w:snapToGrid w:val="0"/>
              <w:spacing w:line="360" w:lineRule="auto"/>
              <w:ind w:left="0" w:leftChars="0" w:right="0" w:rightChars="0"/>
              <w:rPr>
                <w:color w:val="000000" w:themeColor="text1"/>
                <w:sz w:val="18"/>
                <w:szCs w:val="18"/>
                <w:highlight w:val="none"/>
              </w:rPr>
            </w:pPr>
          </w:p>
        </w:tc>
      </w:tr>
      <w:tr w14:paraId="5B14F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023" w:type="dxa"/>
            <w:vAlign w:val="center"/>
          </w:tcPr>
          <w:p w14:paraId="2296C9DB">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color w:val="000000" w:themeColor="text1"/>
                <w:sz w:val="18"/>
                <w:szCs w:val="18"/>
                <w:highlight w:val="none"/>
              </w:rPr>
            </w:pPr>
            <w:r>
              <w:rPr>
                <w:rFonts w:hint="eastAsia" w:ascii="宋体" w:hAnsi="宋体" w:eastAsia="宋体" w:cs="宋体"/>
                <w:sz w:val="24"/>
                <w:szCs w:val="24"/>
                <w:highlight w:val="none"/>
                <w:lang w:val="en-US" w:eastAsia="zh-CN"/>
              </w:rPr>
              <w:t>27%苯醚·咯·噻虫悬浮种衣剂</w:t>
            </w:r>
          </w:p>
        </w:tc>
        <w:tc>
          <w:tcPr>
            <w:tcW w:w="1450" w:type="dxa"/>
          </w:tcPr>
          <w:p w14:paraId="52FC413D">
            <w:pPr>
              <w:pStyle w:val="97"/>
              <w:keepNext w:val="0"/>
              <w:keepLines w:val="0"/>
              <w:pageBreakBefore w:val="0"/>
              <w:widowControl/>
              <w:kinsoku w:val="0"/>
              <w:wordWrap/>
              <w:bidi w:val="0"/>
              <w:adjustRightInd w:val="0"/>
              <w:snapToGrid w:val="0"/>
              <w:spacing w:line="360" w:lineRule="auto"/>
              <w:ind w:left="0" w:leftChars="0" w:right="0" w:rightChars="0"/>
              <w:rPr>
                <w:color w:val="000000" w:themeColor="text1"/>
                <w:sz w:val="18"/>
                <w:szCs w:val="18"/>
                <w:highlight w:val="none"/>
              </w:rPr>
            </w:pPr>
          </w:p>
        </w:tc>
        <w:tc>
          <w:tcPr>
            <w:tcW w:w="1550" w:type="dxa"/>
            <w:vAlign w:val="center"/>
          </w:tcPr>
          <w:p w14:paraId="2FD525E6">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color w:val="000000" w:themeColor="text1"/>
                <w:sz w:val="18"/>
                <w:szCs w:val="18"/>
                <w:highlight w:val="none"/>
              </w:rPr>
            </w:pPr>
          </w:p>
        </w:tc>
        <w:tc>
          <w:tcPr>
            <w:tcW w:w="1000" w:type="dxa"/>
            <w:vAlign w:val="center"/>
          </w:tcPr>
          <w:p w14:paraId="5F7730CD">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color w:val="000000" w:themeColor="text1"/>
                <w:sz w:val="18"/>
                <w:szCs w:val="18"/>
                <w:highlight w:val="none"/>
              </w:rPr>
            </w:pPr>
            <w:r>
              <w:rPr>
                <w:rFonts w:hint="eastAsia" w:ascii="宋体" w:hAnsi="宋体" w:eastAsia="宋体" w:cs="宋体"/>
                <w:sz w:val="24"/>
                <w:szCs w:val="24"/>
                <w:highlight w:val="none"/>
                <w:lang w:val="en-US" w:eastAsia="zh-CN"/>
              </w:rPr>
              <w:t>108升</w:t>
            </w:r>
          </w:p>
        </w:tc>
        <w:tc>
          <w:tcPr>
            <w:tcW w:w="983" w:type="dxa"/>
          </w:tcPr>
          <w:p w14:paraId="44D6E306">
            <w:pPr>
              <w:pStyle w:val="97"/>
              <w:keepNext w:val="0"/>
              <w:keepLines w:val="0"/>
              <w:pageBreakBefore w:val="0"/>
              <w:widowControl/>
              <w:kinsoku w:val="0"/>
              <w:wordWrap/>
              <w:bidi w:val="0"/>
              <w:adjustRightInd w:val="0"/>
              <w:snapToGrid w:val="0"/>
              <w:spacing w:line="360" w:lineRule="auto"/>
              <w:ind w:left="0" w:leftChars="0" w:right="0" w:rightChars="0"/>
              <w:rPr>
                <w:color w:val="000000" w:themeColor="text1"/>
                <w:sz w:val="18"/>
                <w:szCs w:val="18"/>
                <w:highlight w:val="none"/>
              </w:rPr>
            </w:pPr>
          </w:p>
        </w:tc>
        <w:tc>
          <w:tcPr>
            <w:tcW w:w="833" w:type="dxa"/>
            <w:tcBorders>
              <w:right w:val="single" w:color="auto" w:sz="4" w:space="0"/>
            </w:tcBorders>
          </w:tcPr>
          <w:p w14:paraId="74EA3011">
            <w:pPr>
              <w:pStyle w:val="97"/>
              <w:keepNext w:val="0"/>
              <w:keepLines w:val="0"/>
              <w:pageBreakBefore w:val="0"/>
              <w:widowControl/>
              <w:kinsoku w:val="0"/>
              <w:wordWrap/>
              <w:bidi w:val="0"/>
              <w:adjustRightInd w:val="0"/>
              <w:snapToGrid w:val="0"/>
              <w:spacing w:line="360" w:lineRule="auto"/>
              <w:ind w:left="0" w:leftChars="0" w:right="0" w:rightChars="0"/>
              <w:rPr>
                <w:color w:val="000000" w:themeColor="text1"/>
                <w:sz w:val="18"/>
                <w:szCs w:val="18"/>
                <w:highlight w:val="none"/>
              </w:rPr>
            </w:pPr>
          </w:p>
        </w:tc>
        <w:tc>
          <w:tcPr>
            <w:tcW w:w="1333" w:type="dxa"/>
            <w:tcBorders>
              <w:left w:val="single" w:color="auto" w:sz="4" w:space="0"/>
            </w:tcBorders>
          </w:tcPr>
          <w:p w14:paraId="5F4050C4">
            <w:pPr>
              <w:pStyle w:val="97"/>
              <w:keepNext w:val="0"/>
              <w:keepLines w:val="0"/>
              <w:pageBreakBefore w:val="0"/>
              <w:widowControl/>
              <w:kinsoku w:val="0"/>
              <w:wordWrap/>
              <w:bidi w:val="0"/>
              <w:adjustRightInd w:val="0"/>
              <w:snapToGrid w:val="0"/>
              <w:spacing w:line="360" w:lineRule="auto"/>
              <w:ind w:left="0" w:leftChars="0" w:right="0" w:rightChars="0"/>
              <w:rPr>
                <w:color w:val="000000" w:themeColor="text1"/>
                <w:sz w:val="18"/>
                <w:szCs w:val="18"/>
                <w:highlight w:val="none"/>
              </w:rPr>
            </w:pPr>
          </w:p>
        </w:tc>
        <w:tc>
          <w:tcPr>
            <w:tcW w:w="1168" w:type="dxa"/>
          </w:tcPr>
          <w:p w14:paraId="7D50A561">
            <w:pPr>
              <w:pStyle w:val="97"/>
              <w:keepNext w:val="0"/>
              <w:keepLines w:val="0"/>
              <w:pageBreakBefore w:val="0"/>
              <w:widowControl/>
              <w:kinsoku w:val="0"/>
              <w:wordWrap/>
              <w:bidi w:val="0"/>
              <w:adjustRightInd w:val="0"/>
              <w:snapToGrid w:val="0"/>
              <w:spacing w:line="360" w:lineRule="auto"/>
              <w:ind w:left="0" w:leftChars="0" w:right="0" w:rightChars="0"/>
              <w:rPr>
                <w:color w:val="000000" w:themeColor="text1"/>
                <w:sz w:val="18"/>
                <w:szCs w:val="18"/>
                <w:highlight w:val="none"/>
              </w:rPr>
            </w:pPr>
          </w:p>
        </w:tc>
      </w:tr>
      <w:tr w14:paraId="7B534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2473" w:type="dxa"/>
            <w:gridSpan w:val="2"/>
            <w:vAlign w:val="center"/>
          </w:tcPr>
          <w:p w14:paraId="4E573832">
            <w:pPr>
              <w:pStyle w:val="97"/>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总计</w:t>
            </w:r>
          </w:p>
        </w:tc>
        <w:tc>
          <w:tcPr>
            <w:tcW w:w="6867" w:type="dxa"/>
            <w:gridSpan w:val="6"/>
          </w:tcPr>
          <w:p w14:paraId="7032D554">
            <w:pPr>
              <w:pStyle w:val="97"/>
              <w:keepNext w:val="0"/>
              <w:keepLines w:val="0"/>
              <w:pageBreakBefore w:val="0"/>
              <w:widowControl/>
              <w:kinsoku w:val="0"/>
              <w:wordWrap/>
              <w:bidi w:val="0"/>
              <w:adjustRightInd w:val="0"/>
              <w:snapToGrid w:val="0"/>
              <w:spacing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大写：</w:t>
            </w:r>
          </w:p>
          <w:p w14:paraId="1B425A9D">
            <w:pPr>
              <w:pStyle w:val="97"/>
              <w:keepNext w:val="0"/>
              <w:keepLines w:val="0"/>
              <w:pageBreakBefore w:val="0"/>
              <w:widowControl/>
              <w:kinsoku w:val="0"/>
              <w:wordWrap/>
              <w:bidi w:val="0"/>
              <w:adjustRightInd w:val="0"/>
              <w:snapToGrid w:val="0"/>
              <w:spacing w:line="360" w:lineRule="auto"/>
              <w:ind w:left="0" w:leftChars="0" w:right="0" w:rightChars="0"/>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小写：</w:t>
            </w:r>
          </w:p>
        </w:tc>
      </w:tr>
    </w:tbl>
    <w:p w14:paraId="7D1CD195">
      <w:pPr>
        <w:keepNext w:val="0"/>
        <w:keepLines w:val="0"/>
        <w:pageBreakBefore w:val="0"/>
        <w:widowControl/>
        <w:kinsoku w:val="0"/>
        <w:wordWrap/>
        <w:bidi w:val="0"/>
        <w:adjustRightInd w:val="0"/>
        <w:snapToGrid w:val="0"/>
        <w:spacing w:line="360" w:lineRule="auto"/>
        <w:ind w:left="0" w:leftChars="0" w:right="0" w:rightChars="0" w:firstLine="480" w:firstLineChars="200"/>
        <w:jc w:val="center"/>
        <w:rPr>
          <w:rFonts w:ascii="宋体" w:hAnsi="宋体"/>
          <w:color w:val="000000" w:themeColor="text1"/>
          <w:highlight w:val="none"/>
        </w:rPr>
      </w:pPr>
    </w:p>
    <w:p w14:paraId="2C7EDAB9">
      <w:pPr>
        <w:keepNext w:val="0"/>
        <w:keepLines w:val="0"/>
        <w:pageBreakBefore w:val="0"/>
        <w:widowControl/>
        <w:kinsoku w:val="0"/>
        <w:wordWrap/>
        <w:bidi w:val="0"/>
        <w:adjustRightInd w:val="0"/>
        <w:snapToGrid w:val="0"/>
        <w:spacing w:line="360" w:lineRule="auto"/>
        <w:ind w:left="0" w:leftChars="0" w:right="0" w:rightChars="0"/>
        <w:rPr>
          <w:rFonts w:ascii="宋体" w:hAnsi="宋体"/>
          <w:bCs/>
          <w:color w:val="auto"/>
          <w:sz w:val="24"/>
          <w:szCs w:val="24"/>
          <w:highlight w:val="none"/>
        </w:rPr>
      </w:pPr>
      <w:r>
        <w:rPr>
          <w:rFonts w:hint="eastAsia" w:ascii="宋体" w:hAnsi="宋体" w:cs="宋体"/>
          <w:color w:val="auto"/>
          <w:kern w:val="0"/>
          <w:sz w:val="24"/>
          <w:szCs w:val="20"/>
          <w:highlight w:val="none"/>
        </w:rPr>
        <w:t>说明：1.</w:t>
      </w:r>
      <w:r>
        <w:rPr>
          <w:rFonts w:hint="eastAsia" w:ascii="宋体" w:hAnsi="宋体"/>
          <w:bCs/>
          <w:color w:val="auto"/>
          <w:sz w:val="24"/>
          <w:szCs w:val="24"/>
          <w:highlight w:val="none"/>
        </w:rPr>
        <w:t xml:space="preserve"> 分项报价合计金额应与投标报价表一致。</w:t>
      </w:r>
    </w:p>
    <w:p w14:paraId="37C245E2">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kern w:val="0"/>
          <w:sz w:val="24"/>
          <w:szCs w:val="20"/>
          <w:highlight w:val="none"/>
        </w:rPr>
      </w:pPr>
      <w:r>
        <w:rPr>
          <w:rFonts w:hint="eastAsia" w:ascii="宋体" w:hAnsi="宋体" w:cs="宋体"/>
          <w:color w:val="auto"/>
          <w:kern w:val="0"/>
          <w:sz w:val="24"/>
          <w:szCs w:val="20"/>
          <w:highlight w:val="none"/>
        </w:rPr>
        <w:t xml:space="preserve">      </w:t>
      </w:r>
      <w:r>
        <w:rPr>
          <w:rFonts w:hint="eastAsia" w:ascii="宋体" w:hAnsi="宋体" w:cs="宋体"/>
          <w:color w:val="auto"/>
          <w:kern w:val="0"/>
          <w:sz w:val="24"/>
          <w:szCs w:val="20"/>
          <w:highlight w:val="none"/>
          <w:lang w:val="en-US" w:eastAsia="zh-CN"/>
        </w:rPr>
        <w:t>2</w:t>
      </w:r>
      <w:r>
        <w:rPr>
          <w:rFonts w:hint="eastAsia" w:ascii="宋体" w:hAnsi="宋体" w:cs="宋体"/>
          <w:color w:val="auto"/>
          <w:kern w:val="0"/>
          <w:sz w:val="24"/>
          <w:szCs w:val="20"/>
          <w:highlight w:val="none"/>
        </w:rPr>
        <w:t>.</w:t>
      </w:r>
      <w:r>
        <w:rPr>
          <w:rFonts w:hint="eastAsia" w:ascii="宋体" w:hAnsi="宋体" w:cs="宋体"/>
          <w:color w:val="auto"/>
          <w:sz w:val="24"/>
          <w:szCs w:val="24"/>
          <w:highlight w:val="none"/>
        </w:rPr>
        <w:t xml:space="preserve"> 投标报价中包含此项目相关的所有费用。</w:t>
      </w:r>
    </w:p>
    <w:p w14:paraId="4801735A">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kern w:val="0"/>
          <w:sz w:val="24"/>
          <w:szCs w:val="20"/>
          <w:highlight w:val="none"/>
        </w:rPr>
      </w:pPr>
      <w:r>
        <w:rPr>
          <w:rFonts w:hint="eastAsia" w:ascii="宋体" w:hAnsi="宋体" w:cs="宋体"/>
          <w:color w:val="auto"/>
          <w:kern w:val="0"/>
          <w:sz w:val="24"/>
          <w:szCs w:val="20"/>
          <w:highlight w:val="none"/>
          <w:lang w:eastAsia="zh-CN"/>
        </w:rPr>
        <w:t>供应商</w:t>
      </w:r>
      <w:r>
        <w:rPr>
          <w:rFonts w:ascii="宋体" w:hAnsi="宋体" w:cs="宋体"/>
          <w:color w:val="auto"/>
          <w:kern w:val="0"/>
          <w:sz w:val="24"/>
          <w:szCs w:val="20"/>
          <w:highlight w:val="none"/>
        </w:rPr>
        <w:t>（</w:t>
      </w:r>
      <w:r>
        <w:rPr>
          <w:rFonts w:hint="eastAsia" w:ascii="宋体" w:hAnsi="宋体" w:cs="宋体"/>
          <w:color w:val="auto"/>
          <w:kern w:val="0"/>
          <w:sz w:val="24"/>
          <w:szCs w:val="20"/>
          <w:highlight w:val="none"/>
        </w:rPr>
        <w:t>电子签章</w:t>
      </w:r>
      <w:r>
        <w:rPr>
          <w:rFonts w:ascii="宋体" w:hAnsi="宋体" w:cs="宋体"/>
          <w:color w:val="auto"/>
          <w:kern w:val="0"/>
          <w:sz w:val="24"/>
          <w:szCs w:val="20"/>
          <w:highlight w:val="none"/>
        </w:rPr>
        <w:t>）：</w:t>
      </w:r>
      <w:r>
        <w:rPr>
          <w:rFonts w:ascii="宋体" w:hAnsi="宋体" w:cs="宋体"/>
          <w:color w:val="auto"/>
          <w:kern w:val="0"/>
          <w:sz w:val="24"/>
          <w:szCs w:val="20"/>
          <w:highlight w:val="none"/>
          <w:u w:val="single"/>
        </w:rPr>
        <w:t xml:space="preserve">                      </w:t>
      </w:r>
    </w:p>
    <w:p w14:paraId="609D3CC3">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kern w:val="0"/>
          <w:sz w:val="24"/>
          <w:szCs w:val="20"/>
          <w:highlight w:val="none"/>
          <w:u w:val="single"/>
        </w:rPr>
      </w:pPr>
      <w:r>
        <w:rPr>
          <w:rFonts w:ascii="宋体" w:hAnsi="宋体" w:cs="宋体"/>
          <w:color w:val="auto"/>
          <w:kern w:val="0"/>
          <w:sz w:val="24"/>
          <w:szCs w:val="20"/>
          <w:highlight w:val="none"/>
        </w:rPr>
        <w:t>法定代表人（</w:t>
      </w:r>
      <w:r>
        <w:rPr>
          <w:rFonts w:hint="eastAsia" w:ascii="宋体" w:hAnsi="宋体" w:cs="宋体"/>
          <w:color w:val="auto"/>
          <w:kern w:val="0"/>
          <w:sz w:val="24"/>
          <w:szCs w:val="20"/>
          <w:highlight w:val="none"/>
        </w:rPr>
        <w:t>电子签章</w:t>
      </w:r>
      <w:r>
        <w:rPr>
          <w:rFonts w:ascii="宋体" w:hAnsi="宋体" w:cs="宋体"/>
          <w:color w:val="auto"/>
          <w:kern w:val="0"/>
          <w:sz w:val="24"/>
          <w:szCs w:val="20"/>
          <w:highlight w:val="none"/>
        </w:rPr>
        <w:t>）：</w:t>
      </w:r>
      <w:r>
        <w:rPr>
          <w:rFonts w:hint="eastAsia" w:ascii="宋体" w:hAnsi="宋体" w:cs="宋体"/>
          <w:color w:val="auto"/>
          <w:kern w:val="0"/>
          <w:sz w:val="24"/>
          <w:szCs w:val="20"/>
          <w:highlight w:val="none"/>
          <w:u w:val="single"/>
        </w:rPr>
        <w:t xml:space="preserve">                  </w:t>
      </w:r>
    </w:p>
    <w:p w14:paraId="31E3CCB4">
      <w:pPr>
        <w:pStyle w:val="11"/>
        <w:keepNext w:val="0"/>
        <w:keepLines w:val="0"/>
        <w:pageBreakBefore w:val="0"/>
        <w:widowControl/>
        <w:tabs>
          <w:tab w:val="left" w:pos="6021"/>
          <w:tab w:val="left" w:pos="6652"/>
          <w:tab w:val="left" w:pos="7281"/>
        </w:tabs>
        <w:kinsoku w:val="0"/>
        <w:wordWrap/>
        <w:bidi w:val="0"/>
        <w:adjustRightInd w:val="0"/>
        <w:snapToGrid w:val="0"/>
        <w:spacing w:after="0" w:line="360" w:lineRule="auto"/>
        <w:ind w:left="0" w:leftChars="0" w:right="0" w:rightChars="0"/>
        <w:jc w:val="both"/>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日期：</w:t>
      </w:r>
      <w:r>
        <w:rPr>
          <w:rFonts w:hint="eastAsia" w:ascii="宋体" w:hAnsi="宋体" w:cs="宋体"/>
          <w:color w:val="auto"/>
          <w:kern w:val="0"/>
          <w:sz w:val="24"/>
          <w:szCs w:val="20"/>
          <w:highlight w:val="none"/>
          <w:u w:val="single"/>
        </w:rPr>
        <w:t xml:space="preserve">         </w:t>
      </w:r>
      <w:r>
        <w:rPr>
          <w:rFonts w:ascii="宋体" w:hAnsi="宋体" w:cs="宋体"/>
          <w:color w:val="auto"/>
          <w:kern w:val="0"/>
          <w:sz w:val="24"/>
          <w:szCs w:val="20"/>
          <w:highlight w:val="none"/>
        </w:rPr>
        <w:t>年</w:t>
      </w:r>
      <w:r>
        <w:rPr>
          <w:rFonts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u w:val="single"/>
        </w:rPr>
        <w:t xml:space="preserve">   </w:t>
      </w:r>
      <w:r>
        <w:rPr>
          <w:rFonts w:ascii="宋体" w:hAnsi="宋体" w:cs="宋体"/>
          <w:color w:val="auto"/>
          <w:kern w:val="0"/>
          <w:sz w:val="24"/>
          <w:szCs w:val="20"/>
          <w:highlight w:val="none"/>
          <w:u w:val="single"/>
        </w:rPr>
        <w:t xml:space="preserve">  </w:t>
      </w:r>
      <w:r>
        <w:rPr>
          <w:rFonts w:ascii="宋体" w:hAnsi="宋体" w:cs="宋体"/>
          <w:color w:val="auto"/>
          <w:kern w:val="0"/>
          <w:sz w:val="24"/>
          <w:szCs w:val="20"/>
          <w:highlight w:val="none"/>
        </w:rPr>
        <w:t>月</w:t>
      </w:r>
      <w:r>
        <w:rPr>
          <w:rFonts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u w:val="single"/>
        </w:rPr>
        <w:t xml:space="preserve">    </w:t>
      </w:r>
      <w:r>
        <w:rPr>
          <w:rFonts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rPr>
        <w:t>日</w:t>
      </w:r>
    </w:p>
    <w:p w14:paraId="213A2F43">
      <w:pPr>
        <w:keepNext w:val="0"/>
        <w:keepLines w:val="0"/>
        <w:pageBreakBefore w:val="0"/>
        <w:widowControl/>
        <w:numPr>
          <w:ilvl w:val="0"/>
          <w:numId w:val="0"/>
        </w:numPr>
        <w:kinsoku w:val="0"/>
        <w:wordWrap/>
        <w:bidi w:val="0"/>
        <w:adjustRightInd w:val="0"/>
        <w:snapToGrid w:val="0"/>
        <w:spacing w:line="360" w:lineRule="auto"/>
        <w:ind w:left="0" w:leftChars="0" w:right="0" w:rightChars="0"/>
        <w:rPr>
          <w:rFonts w:hint="eastAsia" w:ascii="宋体" w:hAnsi="宋体"/>
          <w:b/>
          <w:bCs/>
          <w:color w:val="000000" w:themeColor="text1"/>
          <w:kern w:val="44"/>
          <w:sz w:val="28"/>
          <w:highlight w:val="none"/>
          <w:lang w:val="en-US" w:eastAsia="zh-CN"/>
        </w:rPr>
      </w:pPr>
      <w:bookmarkStart w:id="95" w:name="_Toc31642"/>
      <w:r>
        <w:rPr>
          <w:rFonts w:hint="eastAsia" w:ascii="宋体" w:hAnsi="宋体"/>
          <w:b/>
          <w:bCs/>
          <w:color w:val="auto"/>
          <w:sz w:val="30"/>
          <w:szCs w:val="30"/>
          <w:highlight w:val="none"/>
          <w:lang w:val="en-US" w:eastAsia="zh-CN"/>
        </w:rPr>
        <w:br w:type="page"/>
      </w:r>
      <w:r>
        <w:rPr>
          <w:rFonts w:hint="eastAsia" w:ascii="宋体" w:hAnsi="宋体"/>
          <w:b/>
          <w:bCs/>
          <w:color w:val="000000" w:themeColor="text1"/>
          <w:kern w:val="44"/>
          <w:sz w:val="28"/>
          <w:highlight w:val="none"/>
          <w:lang w:val="en-US" w:eastAsia="zh-CN"/>
        </w:rPr>
        <w:t>二标段分项报价明细表</w:t>
      </w:r>
    </w:p>
    <w:tbl>
      <w:tblPr>
        <w:tblStyle w:val="98"/>
        <w:tblpPr w:leftFromText="180" w:rightFromText="180" w:vertAnchor="text" w:horzAnchor="page" w:tblpX="1607" w:tblpY="109"/>
        <w:tblOverlap w:val="never"/>
        <w:tblW w:w="498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245"/>
        <w:gridCol w:w="1370"/>
        <w:gridCol w:w="565"/>
        <w:gridCol w:w="843"/>
        <w:gridCol w:w="843"/>
        <w:gridCol w:w="1180"/>
      </w:tblGrid>
      <w:tr w14:paraId="356E0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2346" w:type="pct"/>
            <w:vAlign w:val="center"/>
          </w:tcPr>
          <w:p w14:paraId="3AD5C6B3">
            <w:pPr>
              <w:pStyle w:val="97"/>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货物名称</w:t>
            </w:r>
          </w:p>
        </w:tc>
        <w:tc>
          <w:tcPr>
            <w:tcW w:w="757" w:type="pct"/>
            <w:vAlign w:val="center"/>
          </w:tcPr>
          <w:p w14:paraId="728F3E9D">
            <w:pPr>
              <w:pStyle w:val="97"/>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规格要求</w:t>
            </w:r>
          </w:p>
        </w:tc>
        <w:tc>
          <w:tcPr>
            <w:tcW w:w="312" w:type="pct"/>
            <w:vAlign w:val="center"/>
          </w:tcPr>
          <w:p w14:paraId="4BF1AA5C">
            <w:pPr>
              <w:pStyle w:val="97"/>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数量</w:t>
            </w:r>
          </w:p>
        </w:tc>
        <w:tc>
          <w:tcPr>
            <w:tcW w:w="466" w:type="pct"/>
            <w:vAlign w:val="center"/>
          </w:tcPr>
          <w:p w14:paraId="038036F4">
            <w:pPr>
              <w:pStyle w:val="97"/>
              <w:keepNext w:val="0"/>
              <w:keepLines w:val="0"/>
              <w:pageBreakBefore w:val="0"/>
              <w:widowControl/>
              <w:kinsoku w:val="0"/>
              <w:wordWrap/>
              <w:bidi w:val="0"/>
              <w:adjustRightInd w:val="0"/>
              <w:snapToGrid w:val="0"/>
              <w:spacing w:line="360" w:lineRule="auto"/>
              <w:ind w:left="0" w:leftChars="0" w:right="0" w:rightChars="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单价（元）</w:t>
            </w:r>
          </w:p>
        </w:tc>
        <w:tc>
          <w:tcPr>
            <w:tcW w:w="466" w:type="pct"/>
            <w:vAlign w:val="center"/>
          </w:tcPr>
          <w:p w14:paraId="1E47F1FB">
            <w:pPr>
              <w:pStyle w:val="97"/>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合价（元）</w:t>
            </w:r>
          </w:p>
        </w:tc>
        <w:tc>
          <w:tcPr>
            <w:tcW w:w="650" w:type="pct"/>
            <w:vAlign w:val="center"/>
          </w:tcPr>
          <w:p w14:paraId="5247CF1D">
            <w:pPr>
              <w:pStyle w:val="97"/>
              <w:keepNext w:val="0"/>
              <w:keepLines w:val="0"/>
              <w:pageBreakBefore w:val="0"/>
              <w:widowControl/>
              <w:kinsoku w:val="0"/>
              <w:wordWrap/>
              <w:bidi w:val="0"/>
              <w:adjustRightInd w:val="0"/>
              <w:snapToGrid w:val="0"/>
              <w:spacing w:line="360" w:lineRule="auto"/>
              <w:ind w:left="0" w:leftChars="0" w:right="0" w:rightChars="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备注</w:t>
            </w:r>
          </w:p>
        </w:tc>
      </w:tr>
      <w:tr w14:paraId="0384E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 w:hRule="atLeast"/>
        </w:trPr>
        <w:tc>
          <w:tcPr>
            <w:tcW w:w="2346" w:type="pct"/>
            <w:vAlign w:val="center"/>
          </w:tcPr>
          <w:p w14:paraId="71890BA5">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color w:val="000000" w:themeColor="text1"/>
                <w:sz w:val="20"/>
                <w:szCs w:val="18"/>
                <w:highlight w:val="none"/>
              </w:rPr>
            </w:pPr>
            <w:r>
              <w:rPr>
                <w:rFonts w:hint="eastAsia" w:ascii="宋体" w:hAnsi="宋体" w:eastAsia="宋体" w:cs="宋体"/>
                <w:sz w:val="24"/>
                <w:szCs w:val="24"/>
                <w:highlight w:val="none"/>
                <w:lang w:val="en-US" w:eastAsia="zh-CN"/>
              </w:rPr>
              <w:t>玉米生物防治（每亩使用无人机释放赤眼蜂4个点共1万头）</w:t>
            </w:r>
          </w:p>
        </w:tc>
        <w:tc>
          <w:tcPr>
            <w:tcW w:w="757" w:type="pct"/>
            <w:vAlign w:val="center"/>
          </w:tcPr>
          <w:p w14:paraId="03FD8DA1">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rFonts w:hint="default" w:ascii="宋体" w:hAnsi="宋体" w:eastAsia="宋体" w:cs="宋体"/>
                <w:sz w:val="24"/>
                <w:szCs w:val="24"/>
                <w:highlight w:val="none"/>
                <w:lang w:val="en-US" w:eastAsia="zh-CN"/>
              </w:rPr>
            </w:pPr>
          </w:p>
        </w:tc>
        <w:tc>
          <w:tcPr>
            <w:tcW w:w="312" w:type="pct"/>
            <w:vAlign w:val="center"/>
          </w:tcPr>
          <w:p w14:paraId="53BD419D">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color w:val="000000" w:themeColor="text1"/>
                <w:sz w:val="20"/>
                <w:szCs w:val="18"/>
                <w:highlight w:val="none"/>
              </w:rPr>
            </w:pPr>
            <w:r>
              <w:rPr>
                <w:rFonts w:hint="eastAsia" w:ascii="宋体" w:hAnsi="宋体" w:eastAsia="宋体" w:cs="宋体"/>
                <w:sz w:val="24"/>
                <w:szCs w:val="24"/>
                <w:highlight w:val="none"/>
                <w:lang w:val="en-US" w:eastAsia="zh-CN"/>
              </w:rPr>
              <w:t>4000亩</w:t>
            </w:r>
          </w:p>
        </w:tc>
        <w:tc>
          <w:tcPr>
            <w:tcW w:w="466" w:type="pct"/>
            <w:vAlign w:val="center"/>
          </w:tcPr>
          <w:p w14:paraId="4E054C44">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color w:val="000000" w:themeColor="text1"/>
                <w:sz w:val="20"/>
                <w:szCs w:val="18"/>
                <w:highlight w:val="none"/>
              </w:rPr>
            </w:pPr>
          </w:p>
        </w:tc>
        <w:tc>
          <w:tcPr>
            <w:tcW w:w="466" w:type="pct"/>
          </w:tcPr>
          <w:p w14:paraId="57D66B5A">
            <w:pPr>
              <w:pStyle w:val="97"/>
              <w:keepNext w:val="0"/>
              <w:keepLines w:val="0"/>
              <w:pageBreakBefore w:val="0"/>
              <w:widowControl/>
              <w:kinsoku w:val="0"/>
              <w:wordWrap/>
              <w:bidi w:val="0"/>
              <w:adjustRightInd w:val="0"/>
              <w:snapToGrid w:val="0"/>
              <w:spacing w:line="360" w:lineRule="auto"/>
              <w:ind w:left="0" w:leftChars="0" w:right="0" w:rightChars="0"/>
              <w:jc w:val="center"/>
              <w:rPr>
                <w:rFonts w:hint="eastAsia"/>
                <w:color w:val="000000" w:themeColor="text1"/>
                <w:sz w:val="20"/>
                <w:szCs w:val="18"/>
                <w:highlight w:val="none"/>
                <w:lang w:val="en-US" w:eastAsia="zh-CN"/>
              </w:rPr>
            </w:pPr>
          </w:p>
        </w:tc>
        <w:tc>
          <w:tcPr>
            <w:tcW w:w="650" w:type="pct"/>
          </w:tcPr>
          <w:p w14:paraId="2C1F973C">
            <w:pPr>
              <w:pStyle w:val="97"/>
              <w:keepNext w:val="0"/>
              <w:keepLines w:val="0"/>
              <w:pageBreakBefore w:val="0"/>
              <w:widowControl/>
              <w:kinsoku w:val="0"/>
              <w:wordWrap/>
              <w:bidi w:val="0"/>
              <w:adjustRightInd w:val="0"/>
              <w:snapToGrid w:val="0"/>
              <w:spacing w:line="360" w:lineRule="auto"/>
              <w:ind w:left="0" w:leftChars="0" w:right="0" w:rightChars="0"/>
              <w:jc w:val="center"/>
              <w:rPr>
                <w:rFonts w:hint="default"/>
                <w:color w:val="000000" w:themeColor="text1"/>
                <w:sz w:val="20"/>
                <w:szCs w:val="18"/>
                <w:highlight w:val="none"/>
                <w:lang w:val="en-US" w:eastAsia="zh-CN"/>
              </w:rPr>
            </w:pPr>
            <w:r>
              <w:rPr>
                <w:rFonts w:hint="eastAsia"/>
                <w:color w:val="000000" w:themeColor="text1"/>
                <w:sz w:val="20"/>
                <w:szCs w:val="18"/>
                <w:highlight w:val="none"/>
                <w:lang w:val="en-US" w:eastAsia="zh-CN"/>
              </w:rPr>
              <w:t>规格要求详见赤眼蜂主要技术参数</w:t>
            </w:r>
          </w:p>
        </w:tc>
      </w:tr>
      <w:tr w14:paraId="1DCF9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1" w:hRule="atLeast"/>
        </w:trPr>
        <w:tc>
          <w:tcPr>
            <w:tcW w:w="2346" w:type="pct"/>
            <w:vAlign w:val="center"/>
          </w:tcPr>
          <w:p w14:paraId="443E00EC">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农区蝗虫植保飞防服务费</w:t>
            </w:r>
          </w:p>
          <w:p w14:paraId="0AD93BB1">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color w:val="000000" w:themeColor="text1"/>
                <w:sz w:val="18"/>
                <w:szCs w:val="18"/>
                <w:highlight w:val="none"/>
              </w:rPr>
            </w:pPr>
            <w:r>
              <w:rPr>
                <w:rFonts w:hint="eastAsia" w:ascii="宋体" w:hAnsi="宋体" w:eastAsia="宋体" w:cs="宋体"/>
                <w:sz w:val="24"/>
                <w:szCs w:val="24"/>
                <w:highlight w:val="none"/>
                <w:lang w:val="en-US" w:eastAsia="zh-CN"/>
              </w:rPr>
              <w:t>（包含飞防服务费和飞防生物药剂）</w:t>
            </w:r>
          </w:p>
        </w:tc>
        <w:tc>
          <w:tcPr>
            <w:tcW w:w="757" w:type="pct"/>
            <w:vAlign w:val="center"/>
          </w:tcPr>
          <w:p w14:paraId="564CECAE">
            <w:pPr>
              <w:pStyle w:val="79"/>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sz w:val="24"/>
                <w:szCs w:val="24"/>
                <w:highlight w:val="none"/>
                <w:lang w:val="en-US" w:eastAsia="zh-CN"/>
              </w:rPr>
            </w:pPr>
          </w:p>
        </w:tc>
        <w:tc>
          <w:tcPr>
            <w:tcW w:w="312" w:type="pct"/>
            <w:vAlign w:val="center"/>
          </w:tcPr>
          <w:p w14:paraId="3F9A7D7C">
            <w:pPr>
              <w:pStyle w:val="79"/>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0" w:firstLineChars="0"/>
              <w:jc w:val="center"/>
              <w:textAlignment w:val="auto"/>
              <w:rPr>
                <w:color w:val="000000" w:themeColor="text1"/>
                <w:sz w:val="18"/>
                <w:szCs w:val="18"/>
                <w:highlight w:val="none"/>
              </w:rPr>
            </w:pPr>
            <w:r>
              <w:rPr>
                <w:rFonts w:hint="eastAsia" w:ascii="宋体" w:hAnsi="宋体" w:eastAsia="宋体" w:cs="宋体"/>
                <w:sz w:val="24"/>
                <w:szCs w:val="24"/>
                <w:highlight w:val="none"/>
                <w:lang w:val="en-US" w:eastAsia="zh-CN"/>
              </w:rPr>
              <w:t>5000亩</w:t>
            </w:r>
          </w:p>
        </w:tc>
        <w:tc>
          <w:tcPr>
            <w:tcW w:w="466" w:type="pct"/>
            <w:vAlign w:val="center"/>
          </w:tcPr>
          <w:p w14:paraId="5030B03B">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color w:val="000000" w:themeColor="text1"/>
                <w:sz w:val="18"/>
                <w:szCs w:val="18"/>
                <w:highlight w:val="none"/>
              </w:rPr>
            </w:pPr>
          </w:p>
        </w:tc>
        <w:tc>
          <w:tcPr>
            <w:tcW w:w="466" w:type="pct"/>
          </w:tcPr>
          <w:p w14:paraId="7EC3D721">
            <w:pPr>
              <w:pStyle w:val="97"/>
              <w:keepNext w:val="0"/>
              <w:keepLines w:val="0"/>
              <w:pageBreakBefore w:val="0"/>
              <w:widowControl/>
              <w:kinsoku w:val="0"/>
              <w:wordWrap/>
              <w:bidi w:val="0"/>
              <w:adjustRightInd w:val="0"/>
              <w:snapToGrid w:val="0"/>
              <w:spacing w:line="360" w:lineRule="auto"/>
              <w:ind w:left="0" w:leftChars="0" w:right="0" w:rightChars="0"/>
              <w:rPr>
                <w:color w:val="000000" w:themeColor="text1"/>
                <w:sz w:val="18"/>
                <w:szCs w:val="18"/>
                <w:highlight w:val="none"/>
              </w:rPr>
            </w:pPr>
          </w:p>
        </w:tc>
        <w:tc>
          <w:tcPr>
            <w:tcW w:w="650" w:type="pct"/>
          </w:tcPr>
          <w:p w14:paraId="7F68C1A6">
            <w:pPr>
              <w:pStyle w:val="97"/>
              <w:keepNext w:val="0"/>
              <w:keepLines w:val="0"/>
              <w:pageBreakBefore w:val="0"/>
              <w:widowControl/>
              <w:kinsoku w:val="0"/>
              <w:wordWrap/>
              <w:bidi w:val="0"/>
              <w:adjustRightInd w:val="0"/>
              <w:snapToGrid w:val="0"/>
              <w:spacing w:line="360" w:lineRule="auto"/>
              <w:ind w:left="0" w:leftChars="0" w:right="0" w:rightChars="0"/>
              <w:rPr>
                <w:color w:val="000000" w:themeColor="text1"/>
                <w:sz w:val="18"/>
                <w:szCs w:val="18"/>
                <w:highlight w:val="none"/>
              </w:rPr>
            </w:pPr>
          </w:p>
        </w:tc>
      </w:tr>
      <w:tr w14:paraId="5379B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4" w:hRule="atLeast"/>
        </w:trPr>
        <w:tc>
          <w:tcPr>
            <w:tcW w:w="2346" w:type="pct"/>
          </w:tcPr>
          <w:p w14:paraId="0636EEFB">
            <w:pPr>
              <w:pStyle w:val="97"/>
              <w:keepNext w:val="0"/>
              <w:keepLines w:val="0"/>
              <w:pageBreakBefore w:val="0"/>
              <w:widowControl/>
              <w:kinsoku w:val="0"/>
              <w:wordWrap/>
              <w:bidi w:val="0"/>
              <w:adjustRightInd w:val="0"/>
              <w:snapToGrid w:val="0"/>
              <w:spacing w:line="360" w:lineRule="auto"/>
              <w:ind w:left="0" w:leftChars="0" w:right="0" w:rightChars="0"/>
              <w:rPr>
                <w:color w:val="000000" w:themeColor="text1"/>
                <w:sz w:val="18"/>
                <w:szCs w:val="18"/>
                <w:highlight w:val="none"/>
              </w:rPr>
            </w:pPr>
            <w:r>
              <w:rPr>
                <w:rFonts w:hint="eastAsia" w:ascii="宋体" w:hAnsi="宋体" w:eastAsia="宋体" w:cs="宋体"/>
                <w:sz w:val="24"/>
                <w:szCs w:val="24"/>
                <w:highlight w:val="none"/>
                <w:lang w:val="en-US" w:eastAsia="zh-CN"/>
              </w:rPr>
              <w:t>购买省级农作物病虫疫情智能化监测点仪器设备的升级改造和维护所需的材料和服务。硬件设备智能化升级，提升环境参数和病虫害识别的准确率；物联网与通信模块升级，田间监测点数据传输的稳定性，易耗品及日常维护保养，确保4个田间监测点正常运转。</w:t>
            </w:r>
          </w:p>
        </w:tc>
        <w:tc>
          <w:tcPr>
            <w:tcW w:w="757" w:type="pct"/>
            <w:vAlign w:val="center"/>
          </w:tcPr>
          <w:p w14:paraId="0370767D">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rFonts w:hint="default"/>
                <w:color w:val="000000" w:themeColor="text1"/>
                <w:sz w:val="18"/>
                <w:szCs w:val="18"/>
                <w:highlight w:val="none"/>
                <w:lang w:val="en-US" w:eastAsia="zh-CN"/>
              </w:rPr>
            </w:pPr>
            <w:r>
              <w:rPr>
                <w:rFonts w:hint="eastAsia"/>
                <w:color w:val="000000" w:themeColor="text1"/>
                <w:sz w:val="18"/>
                <w:szCs w:val="18"/>
                <w:highlight w:val="none"/>
                <w:lang w:val="en-US" w:eastAsia="zh-CN"/>
              </w:rPr>
              <w:t>/</w:t>
            </w:r>
          </w:p>
        </w:tc>
        <w:tc>
          <w:tcPr>
            <w:tcW w:w="312" w:type="pct"/>
            <w:vAlign w:val="center"/>
          </w:tcPr>
          <w:p w14:paraId="78DA9295">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rFonts w:hint="default" w:eastAsia="宋体"/>
                <w:color w:val="000000" w:themeColor="text1"/>
                <w:sz w:val="18"/>
                <w:szCs w:val="18"/>
                <w:highlight w:val="none"/>
                <w:lang w:val="en-US" w:eastAsia="zh-CN"/>
              </w:rPr>
            </w:pPr>
            <w:r>
              <w:rPr>
                <w:rFonts w:hint="eastAsia"/>
                <w:color w:val="000000" w:themeColor="text1"/>
                <w:sz w:val="18"/>
                <w:szCs w:val="18"/>
                <w:highlight w:val="none"/>
                <w:lang w:val="en-US" w:eastAsia="zh-CN"/>
              </w:rPr>
              <w:t>/</w:t>
            </w:r>
          </w:p>
        </w:tc>
        <w:tc>
          <w:tcPr>
            <w:tcW w:w="466" w:type="pct"/>
            <w:vAlign w:val="center"/>
          </w:tcPr>
          <w:p w14:paraId="3A21E3EA">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color w:val="000000" w:themeColor="text1"/>
                <w:sz w:val="18"/>
                <w:szCs w:val="18"/>
                <w:highlight w:val="none"/>
              </w:rPr>
            </w:pPr>
          </w:p>
        </w:tc>
        <w:tc>
          <w:tcPr>
            <w:tcW w:w="466" w:type="pct"/>
          </w:tcPr>
          <w:p w14:paraId="70AC0068">
            <w:pPr>
              <w:pStyle w:val="97"/>
              <w:keepNext w:val="0"/>
              <w:keepLines w:val="0"/>
              <w:pageBreakBefore w:val="0"/>
              <w:widowControl/>
              <w:kinsoku w:val="0"/>
              <w:wordWrap/>
              <w:bidi w:val="0"/>
              <w:adjustRightInd w:val="0"/>
              <w:snapToGrid w:val="0"/>
              <w:spacing w:line="360" w:lineRule="auto"/>
              <w:ind w:left="0" w:leftChars="0" w:right="0" w:rightChars="0"/>
              <w:rPr>
                <w:color w:val="000000" w:themeColor="text1"/>
                <w:sz w:val="18"/>
                <w:szCs w:val="18"/>
                <w:highlight w:val="none"/>
              </w:rPr>
            </w:pPr>
          </w:p>
        </w:tc>
        <w:tc>
          <w:tcPr>
            <w:tcW w:w="650" w:type="pct"/>
          </w:tcPr>
          <w:p w14:paraId="57C3031F">
            <w:pPr>
              <w:pStyle w:val="97"/>
              <w:keepNext w:val="0"/>
              <w:keepLines w:val="0"/>
              <w:pageBreakBefore w:val="0"/>
              <w:widowControl/>
              <w:kinsoku w:val="0"/>
              <w:wordWrap/>
              <w:bidi w:val="0"/>
              <w:adjustRightInd w:val="0"/>
              <w:snapToGrid w:val="0"/>
              <w:spacing w:line="360" w:lineRule="auto"/>
              <w:ind w:left="0" w:leftChars="0" w:right="0" w:rightChars="0"/>
              <w:rPr>
                <w:color w:val="000000" w:themeColor="text1"/>
                <w:sz w:val="18"/>
                <w:szCs w:val="18"/>
                <w:highlight w:val="none"/>
              </w:rPr>
            </w:pPr>
          </w:p>
        </w:tc>
      </w:tr>
      <w:tr w14:paraId="25D0D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2346" w:type="pct"/>
            <w:vAlign w:val="center"/>
          </w:tcPr>
          <w:p w14:paraId="334F9BA7">
            <w:pPr>
              <w:pStyle w:val="97"/>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总计</w:t>
            </w:r>
          </w:p>
        </w:tc>
        <w:tc>
          <w:tcPr>
            <w:tcW w:w="2653" w:type="pct"/>
            <w:gridSpan w:val="5"/>
            <w:vAlign w:val="center"/>
          </w:tcPr>
          <w:p w14:paraId="641EB2A1">
            <w:pPr>
              <w:pStyle w:val="97"/>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大写：</w:t>
            </w:r>
          </w:p>
          <w:p w14:paraId="4D85131A">
            <w:pPr>
              <w:pStyle w:val="97"/>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小写：</w:t>
            </w:r>
          </w:p>
        </w:tc>
      </w:tr>
    </w:tbl>
    <w:p w14:paraId="4373206B">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b/>
          <w:bCs/>
          <w:color w:val="auto"/>
          <w:sz w:val="30"/>
          <w:szCs w:val="30"/>
          <w:highlight w:val="none"/>
          <w:lang w:val="en-US" w:eastAsia="zh-CN"/>
        </w:rPr>
      </w:pPr>
    </w:p>
    <w:p w14:paraId="1F3E86A8">
      <w:pPr>
        <w:keepNext w:val="0"/>
        <w:keepLines w:val="0"/>
        <w:pageBreakBefore w:val="0"/>
        <w:widowControl/>
        <w:kinsoku w:val="0"/>
        <w:wordWrap/>
        <w:bidi w:val="0"/>
        <w:adjustRightInd w:val="0"/>
        <w:snapToGrid w:val="0"/>
        <w:spacing w:line="360" w:lineRule="auto"/>
        <w:ind w:left="0" w:leftChars="0" w:right="0" w:rightChars="0"/>
        <w:rPr>
          <w:rFonts w:ascii="宋体" w:hAnsi="宋体"/>
          <w:bCs/>
          <w:color w:val="auto"/>
          <w:sz w:val="24"/>
          <w:szCs w:val="24"/>
          <w:highlight w:val="none"/>
        </w:rPr>
      </w:pPr>
      <w:r>
        <w:rPr>
          <w:rFonts w:hint="eastAsia" w:ascii="宋体" w:hAnsi="宋体" w:cs="宋体"/>
          <w:color w:val="auto"/>
          <w:kern w:val="0"/>
          <w:sz w:val="24"/>
          <w:szCs w:val="20"/>
          <w:highlight w:val="none"/>
        </w:rPr>
        <w:t>说明：1.</w:t>
      </w:r>
      <w:r>
        <w:rPr>
          <w:rFonts w:hint="eastAsia" w:ascii="宋体" w:hAnsi="宋体"/>
          <w:bCs/>
          <w:color w:val="auto"/>
          <w:sz w:val="24"/>
          <w:szCs w:val="24"/>
          <w:highlight w:val="none"/>
        </w:rPr>
        <w:t xml:space="preserve"> 分项报价合计金额应与投标报价表一致。</w:t>
      </w:r>
    </w:p>
    <w:p w14:paraId="7C9FF9E2">
      <w:pPr>
        <w:keepNext w:val="0"/>
        <w:keepLines w:val="0"/>
        <w:pageBreakBefore w:val="0"/>
        <w:widowControl/>
        <w:numPr>
          <w:ilvl w:val="0"/>
          <w:numId w:val="6"/>
        </w:numPr>
        <w:kinsoku w:val="0"/>
        <w:wordWrap/>
        <w:bidi w:val="0"/>
        <w:adjustRightInd w:val="0"/>
        <w:snapToGrid w:val="0"/>
        <w:spacing w:line="360" w:lineRule="auto"/>
        <w:ind w:left="0" w:leftChars="0" w:right="0" w:righ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投标报价中包含此项目相关的所有费用。</w:t>
      </w:r>
    </w:p>
    <w:p w14:paraId="1CEBE651">
      <w:pPr>
        <w:keepNext w:val="0"/>
        <w:keepLines w:val="0"/>
        <w:pageBreakBefore w:val="0"/>
        <w:widowControl/>
        <w:numPr>
          <w:ilvl w:val="0"/>
          <w:numId w:val="6"/>
        </w:numPr>
        <w:kinsoku w:val="0"/>
        <w:wordWrap/>
        <w:bidi w:val="0"/>
        <w:adjustRightInd w:val="0"/>
        <w:snapToGrid w:val="0"/>
        <w:spacing w:line="360" w:lineRule="auto"/>
        <w:ind w:left="0" w:leftChars="0" w:right="0" w:rightChars="0" w:firstLine="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后附赤眼蜂主要技术参数及相关证明资料。</w:t>
      </w:r>
    </w:p>
    <w:p w14:paraId="26170CE5">
      <w:pPr>
        <w:keepNext w:val="0"/>
        <w:keepLines w:val="0"/>
        <w:pageBreakBefore w:val="0"/>
        <w:widowControl/>
        <w:numPr>
          <w:ilvl w:val="0"/>
          <w:numId w:val="0"/>
        </w:numPr>
        <w:kinsoku w:val="0"/>
        <w:wordWrap/>
        <w:bidi w:val="0"/>
        <w:adjustRightInd w:val="0"/>
        <w:snapToGrid w:val="0"/>
        <w:spacing w:line="360" w:lineRule="auto"/>
        <w:ind w:left="0" w:leftChars="0" w:right="0" w:rightChars="0"/>
        <w:rPr>
          <w:rFonts w:hint="eastAsia" w:ascii="宋体" w:hAnsi="宋体" w:cs="宋体"/>
          <w:color w:val="auto"/>
          <w:sz w:val="24"/>
          <w:szCs w:val="24"/>
          <w:highlight w:val="none"/>
        </w:rPr>
      </w:pPr>
    </w:p>
    <w:p w14:paraId="3A94108F">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kern w:val="0"/>
          <w:sz w:val="24"/>
          <w:szCs w:val="20"/>
          <w:highlight w:val="none"/>
        </w:rPr>
      </w:pPr>
      <w:r>
        <w:rPr>
          <w:rFonts w:hint="eastAsia" w:ascii="宋体" w:hAnsi="宋体" w:cs="宋体"/>
          <w:color w:val="auto"/>
          <w:kern w:val="0"/>
          <w:sz w:val="24"/>
          <w:szCs w:val="20"/>
          <w:highlight w:val="none"/>
          <w:lang w:eastAsia="zh-CN"/>
        </w:rPr>
        <w:t>供应商</w:t>
      </w:r>
      <w:r>
        <w:rPr>
          <w:rFonts w:ascii="宋体" w:hAnsi="宋体" w:cs="宋体"/>
          <w:color w:val="auto"/>
          <w:kern w:val="0"/>
          <w:sz w:val="24"/>
          <w:szCs w:val="20"/>
          <w:highlight w:val="none"/>
        </w:rPr>
        <w:t>（</w:t>
      </w:r>
      <w:r>
        <w:rPr>
          <w:rFonts w:hint="eastAsia" w:ascii="宋体" w:hAnsi="宋体" w:cs="宋体"/>
          <w:color w:val="auto"/>
          <w:kern w:val="0"/>
          <w:sz w:val="24"/>
          <w:szCs w:val="20"/>
          <w:highlight w:val="none"/>
        </w:rPr>
        <w:t>电子签章</w:t>
      </w:r>
      <w:r>
        <w:rPr>
          <w:rFonts w:ascii="宋体" w:hAnsi="宋体" w:cs="宋体"/>
          <w:color w:val="auto"/>
          <w:kern w:val="0"/>
          <w:sz w:val="24"/>
          <w:szCs w:val="20"/>
          <w:highlight w:val="none"/>
        </w:rPr>
        <w:t>）：</w:t>
      </w:r>
      <w:r>
        <w:rPr>
          <w:rFonts w:ascii="宋体" w:hAnsi="宋体" w:cs="宋体"/>
          <w:color w:val="auto"/>
          <w:kern w:val="0"/>
          <w:sz w:val="24"/>
          <w:szCs w:val="20"/>
          <w:highlight w:val="none"/>
          <w:u w:val="single"/>
        </w:rPr>
        <w:t xml:space="preserve">                      </w:t>
      </w:r>
    </w:p>
    <w:p w14:paraId="2D7FAC2D">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kern w:val="0"/>
          <w:sz w:val="24"/>
          <w:szCs w:val="20"/>
          <w:highlight w:val="none"/>
          <w:u w:val="single"/>
        </w:rPr>
      </w:pPr>
      <w:r>
        <w:rPr>
          <w:rFonts w:ascii="宋体" w:hAnsi="宋体" w:cs="宋体"/>
          <w:color w:val="auto"/>
          <w:kern w:val="0"/>
          <w:sz w:val="24"/>
          <w:szCs w:val="20"/>
          <w:highlight w:val="none"/>
        </w:rPr>
        <w:t>法定代表人（</w:t>
      </w:r>
      <w:r>
        <w:rPr>
          <w:rFonts w:hint="eastAsia" w:ascii="宋体" w:hAnsi="宋体" w:cs="宋体"/>
          <w:color w:val="auto"/>
          <w:kern w:val="0"/>
          <w:sz w:val="24"/>
          <w:szCs w:val="20"/>
          <w:highlight w:val="none"/>
        </w:rPr>
        <w:t>电子签章</w:t>
      </w:r>
      <w:r>
        <w:rPr>
          <w:rFonts w:ascii="宋体" w:hAnsi="宋体" w:cs="宋体"/>
          <w:color w:val="auto"/>
          <w:kern w:val="0"/>
          <w:sz w:val="24"/>
          <w:szCs w:val="20"/>
          <w:highlight w:val="none"/>
        </w:rPr>
        <w:t>）：</w:t>
      </w:r>
      <w:r>
        <w:rPr>
          <w:rFonts w:hint="eastAsia" w:ascii="宋体" w:hAnsi="宋体" w:cs="宋体"/>
          <w:color w:val="auto"/>
          <w:kern w:val="0"/>
          <w:sz w:val="24"/>
          <w:szCs w:val="20"/>
          <w:highlight w:val="none"/>
          <w:u w:val="single"/>
        </w:rPr>
        <w:t xml:space="preserve">                  </w:t>
      </w:r>
    </w:p>
    <w:p w14:paraId="48EAC3BD">
      <w:pPr>
        <w:pStyle w:val="11"/>
        <w:keepNext w:val="0"/>
        <w:keepLines w:val="0"/>
        <w:pageBreakBefore w:val="0"/>
        <w:widowControl/>
        <w:tabs>
          <w:tab w:val="left" w:pos="6021"/>
          <w:tab w:val="left" w:pos="6652"/>
          <w:tab w:val="left" w:pos="7281"/>
        </w:tabs>
        <w:kinsoku w:val="0"/>
        <w:wordWrap/>
        <w:bidi w:val="0"/>
        <w:adjustRightInd w:val="0"/>
        <w:snapToGrid w:val="0"/>
        <w:spacing w:after="0" w:line="360" w:lineRule="auto"/>
        <w:ind w:left="0" w:leftChars="0" w:right="0" w:rightChars="0"/>
        <w:jc w:val="both"/>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日期：</w:t>
      </w:r>
      <w:r>
        <w:rPr>
          <w:rFonts w:hint="eastAsia" w:ascii="宋体" w:hAnsi="宋体" w:cs="宋体"/>
          <w:color w:val="auto"/>
          <w:kern w:val="0"/>
          <w:sz w:val="24"/>
          <w:szCs w:val="20"/>
          <w:highlight w:val="none"/>
          <w:u w:val="single"/>
        </w:rPr>
        <w:t xml:space="preserve">         </w:t>
      </w:r>
      <w:r>
        <w:rPr>
          <w:rFonts w:ascii="宋体" w:hAnsi="宋体" w:cs="宋体"/>
          <w:color w:val="auto"/>
          <w:kern w:val="0"/>
          <w:sz w:val="24"/>
          <w:szCs w:val="20"/>
          <w:highlight w:val="none"/>
        </w:rPr>
        <w:t>年</w:t>
      </w:r>
      <w:r>
        <w:rPr>
          <w:rFonts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u w:val="single"/>
        </w:rPr>
        <w:t xml:space="preserve">   </w:t>
      </w:r>
      <w:r>
        <w:rPr>
          <w:rFonts w:ascii="宋体" w:hAnsi="宋体" w:cs="宋体"/>
          <w:color w:val="auto"/>
          <w:kern w:val="0"/>
          <w:sz w:val="24"/>
          <w:szCs w:val="20"/>
          <w:highlight w:val="none"/>
          <w:u w:val="single"/>
        </w:rPr>
        <w:t xml:space="preserve">  </w:t>
      </w:r>
      <w:r>
        <w:rPr>
          <w:rFonts w:ascii="宋体" w:hAnsi="宋体" w:cs="宋体"/>
          <w:color w:val="auto"/>
          <w:kern w:val="0"/>
          <w:sz w:val="24"/>
          <w:szCs w:val="20"/>
          <w:highlight w:val="none"/>
        </w:rPr>
        <w:t>月</w:t>
      </w:r>
      <w:r>
        <w:rPr>
          <w:rFonts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u w:val="single"/>
        </w:rPr>
        <w:t xml:space="preserve">    </w:t>
      </w:r>
      <w:r>
        <w:rPr>
          <w:rFonts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rPr>
        <w:t>日</w:t>
      </w:r>
    </w:p>
    <w:p w14:paraId="2D3BE796">
      <w:pPr>
        <w:keepNext w:val="0"/>
        <w:keepLines w:val="0"/>
        <w:pageBreakBefore w:val="0"/>
        <w:widowControl/>
        <w:numPr>
          <w:ilvl w:val="0"/>
          <w:numId w:val="5"/>
        </w:numPr>
        <w:kinsoku w:val="0"/>
        <w:wordWrap/>
        <w:bidi w:val="0"/>
        <w:adjustRightInd w:val="0"/>
        <w:snapToGrid w:val="0"/>
        <w:spacing w:line="360" w:lineRule="auto"/>
        <w:ind w:left="0" w:leftChars="0" w:right="0" w:rightChars="0" w:firstLine="0" w:firstLineChars="0"/>
        <w:jc w:val="center"/>
        <w:outlineLvl w:val="1"/>
        <w:rPr>
          <w:rFonts w:hint="eastAsia" w:ascii="宋体" w:hAnsi="宋体"/>
          <w:b/>
          <w:bCs/>
          <w:color w:val="auto"/>
          <w:sz w:val="30"/>
          <w:szCs w:val="30"/>
          <w:highlight w:val="none"/>
        </w:rPr>
      </w:pPr>
      <w:r>
        <w:rPr>
          <w:rFonts w:hint="eastAsia" w:ascii="宋体" w:hAnsi="宋体"/>
          <w:b/>
          <w:bCs/>
          <w:color w:val="auto"/>
          <w:sz w:val="30"/>
          <w:szCs w:val="30"/>
          <w:highlight w:val="none"/>
        </w:rPr>
        <w:t>技术偏离表</w:t>
      </w:r>
      <w:bookmarkEnd w:id="95"/>
    </w:p>
    <w:p w14:paraId="3EBEB2BE">
      <w:pPr>
        <w:keepNext w:val="0"/>
        <w:keepLines w:val="0"/>
        <w:pageBreakBefore w:val="0"/>
        <w:widowControl/>
        <w:numPr>
          <w:ilvl w:val="0"/>
          <w:numId w:val="0"/>
        </w:numPr>
        <w:kinsoku w:val="0"/>
        <w:wordWrap/>
        <w:bidi w:val="0"/>
        <w:adjustRightInd w:val="0"/>
        <w:snapToGrid w:val="0"/>
        <w:spacing w:line="360" w:lineRule="auto"/>
        <w:ind w:left="0" w:leftChars="0" w:right="0" w:rightChars="0"/>
        <w:jc w:val="both"/>
        <w:outlineLvl w:val="1"/>
        <w:rPr>
          <w:rFonts w:hint="default" w:ascii="宋体" w:hAnsi="宋体" w:eastAsia="宋体"/>
          <w:b/>
          <w:bCs/>
          <w:color w:val="auto"/>
          <w:sz w:val="30"/>
          <w:szCs w:val="30"/>
          <w:highlight w:val="none"/>
          <w:lang w:val="en-US" w:eastAsia="zh-CN"/>
        </w:rPr>
      </w:pPr>
      <w:r>
        <w:rPr>
          <w:rFonts w:hint="eastAsia" w:ascii="宋体" w:hAnsi="宋体"/>
          <w:b/>
          <w:bCs/>
          <w:color w:val="auto"/>
          <w:sz w:val="30"/>
          <w:szCs w:val="30"/>
          <w:highlight w:val="none"/>
          <w:lang w:val="en-US" w:eastAsia="zh-CN"/>
        </w:rPr>
        <w:t>一标段</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037"/>
        <w:gridCol w:w="1894"/>
        <w:gridCol w:w="1894"/>
        <w:gridCol w:w="1517"/>
      </w:tblGrid>
      <w:tr w14:paraId="530E2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900" w:type="dxa"/>
            <w:tcBorders>
              <w:top w:val="double" w:color="auto" w:sz="4" w:space="0"/>
              <w:left w:val="double" w:color="auto" w:sz="4" w:space="0"/>
            </w:tcBorders>
            <w:noWrap w:val="0"/>
            <w:vAlign w:val="center"/>
          </w:tcPr>
          <w:p w14:paraId="53AF9547">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bCs/>
                <w:color w:val="auto"/>
                <w:sz w:val="24"/>
                <w:szCs w:val="24"/>
                <w:highlight w:val="none"/>
              </w:rPr>
            </w:pPr>
            <w:r>
              <w:rPr>
                <w:rFonts w:hint="eastAsia" w:ascii="宋体" w:hAnsi="宋体" w:cs="宋体"/>
                <w:bCs/>
                <w:color w:val="auto"/>
                <w:sz w:val="24"/>
                <w:szCs w:val="24"/>
                <w:highlight w:val="none"/>
              </w:rPr>
              <w:t>序号</w:t>
            </w:r>
          </w:p>
        </w:tc>
        <w:tc>
          <w:tcPr>
            <w:tcW w:w="3037" w:type="dxa"/>
            <w:tcBorders>
              <w:top w:val="double" w:color="auto" w:sz="4" w:space="0"/>
            </w:tcBorders>
            <w:noWrap w:val="0"/>
            <w:vAlign w:val="center"/>
          </w:tcPr>
          <w:p w14:paraId="4AB123A8">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bCs/>
                <w:color w:val="auto"/>
                <w:sz w:val="24"/>
                <w:szCs w:val="24"/>
                <w:highlight w:val="none"/>
              </w:rPr>
            </w:pPr>
            <w:r>
              <w:rPr>
                <w:rFonts w:hint="eastAsia" w:ascii="宋体" w:hAnsi="宋体" w:cs="宋体"/>
                <w:bCs/>
                <w:color w:val="auto"/>
                <w:sz w:val="24"/>
                <w:szCs w:val="24"/>
                <w:highlight w:val="none"/>
              </w:rPr>
              <w:t>投标产品</w:t>
            </w:r>
          </w:p>
        </w:tc>
        <w:tc>
          <w:tcPr>
            <w:tcW w:w="1894" w:type="dxa"/>
            <w:tcBorders>
              <w:top w:val="double" w:color="auto" w:sz="4" w:space="0"/>
            </w:tcBorders>
            <w:noWrap w:val="0"/>
            <w:vAlign w:val="center"/>
          </w:tcPr>
          <w:p w14:paraId="27B8BD0B">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招标文件要求</w:t>
            </w:r>
          </w:p>
        </w:tc>
        <w:tc>
          <w:tcPr>
            <w:tcW w:w="1894" w:type="dxa"/>
            <w:tcBorders>
              <w:top w:val="double" w:color="auto" w:sz="4" w:space="0"/>
            </w:tcBorders>
            <w:noWrap w:val="0"/>
            <w:vAlign w:val="center"/>
          </w:tcPr>
          <w:p w14:paraId="2D9E4716">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投标文件响应</w:t>
            </w:r>
          </w:p>
        </w:tc>
        <w:tc>
          <w:tcPr>
            <w:tcW w:w="1517" w:type="dxa"/>
            <w:tcBorders>
              <w:top w:val="double" w:color="auto" w:sz="4" w:space="0"/>
              <w:right w:val="double" w:color="auto" w:sz="4" w:space="0"/>
            </w:tcBorders>
            <w:noWrap w:val="0"/>
            <w:vAlign w:val="center"/>
          </w:tcPr>
          <w:p w14:paraId="5FCE50F7">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bCs/>
                <w:color w:val="auto"/>
                <w:sz w:val="24"/>
                <w:szCs w:val="24"/>
                <w:highlight w:val="none"/>
              </w:rPr>
            </w:pPr>
            <w:r>
              <w:rPr>
                <w:rFonts w:hint="eastAsia" w:ascii="宋体" w:hAnsi="宋体" w:cs="宋体"/>
                <w:bCs/>
                <w:color w:val="auto"/>
                <w:sz w:val="24"/>
                <w:szCs w:val="24"/>
                <w:highlight w:val="none"/>
              </w:rPr>
              <w:t>偏离说明</w:t>
            </w:r>
          </w:p>
        </w:tc>
      </w:tr>
      <w:tr w14:paraId="6F7E1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00" w:type="dxa"/>
            <w:tcBorders>
              <w:left w:val="double" w:color="auto" w:sz="4" w:space="0"/>
            </w:tcBorders>
            <w:noWrap w:val="0"/>
            <w:vAlign w:val="center"/>
          </w:tcPr>
          <w:p w14:paraId="79BF4D68">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w:t>
            </w:r>
          </w:p>
        </w:tc>
        <w:tc>
          <w:tcPr>
            <w:tcW w:w="3037" w:type="dxa"/>
            <w:noWrap w:val="0"/>
            <w:vAlign w:val="center"/>
          </w:tcPr>
          <w:p w14:paraId="31F74A04">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rFonts w:ascii="宋体" w:hAnsi="宋体" w:cs="宋体"/>
                <w:bCs/>
                <w:color w:val="auto"/>
                <w:szCs w:val="21"/>
                <w:highlight w:val="none"/>
              </w:rPr>
            </w:pPr>
            <w:r>
              <w:rPr>
                <w:rFonts w:hint="eastAsia" w:ascii="宋体" w:hAnsi="宋体" w:eastAsia="宋体" w:cs="宋体"/>
                <w:sz w:val="28"/>
                <w:szCs w:val="28"/>
                <w:highlight w:val="none"/>
                <w:lang w:val="en-US" w:eastAsia="zh-CN"/>
              </w:rPr>
              <w:t>40%唑醚·戊唑醇悬浮剂</w:t>
            </w:r>
          </w:p>
        </w:tc>
        <w:tc>
          <w:tcPr>
            <w:tcW w:w="1894" w:type="dxa"/>
            <w:noWrap w:val="0"/>
            <w:vAlign w:val="center"/>
          </w:tcPr>
          <w:p w14:paraId="1BEAC1DA">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rFonts w:ascii="宋体" w:hAnsi="宋体" w:cs="宋体"/>
                <w:bCs/>
                <w:color w:val="auto"/>
                <w:szCs w:val="21"/>
                <w:highlight w:val="none"/>
              </w:rPr>
            </w:pPr>
          </w:p>
        </w:tc>
        <w:tc>
          <w:tcPr>
            <w:tcW w:w="1894" w:type="dxa"/>
            <w:noWrap w:val="0"/>
            <w:vAlign w:val="center"/>
          </w:tcPr>
          <w:p w14:paraId="74BE4C96">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bCs/>
                <w:color w:val="auto"/>
                <w:szCs w:val="21"/>
                <w:highlight w:val="none"/>
              </w:rPr>
            </w:pPr>
          </w:p>
        </w:tc>
        <w:tc>
          <w:tcPr>
            <w:tcW w:w="1517" w:type="dxa"/>
            <w:tcBorders>
              <w:right w:val="double" w:color="auto" w:sz="4" w:space="0"/>
            </w:tcBorders>
            <w:noWrap w:val="0"/>
            <w:vAlign w:val="center"/>
          </w:tcPr>
          <w:p w14:paraId="04EDA89B">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bCs/>
                <w:color w:val="auto"/>
                <w:szCs w:val="21"/>
                <w:highlight w:val="none"/>
              </w:rPr>
            </w:pPr>
          </w:p>
        </w:tc>
      </w:tr>
      <w:tr w14:paraId="24FA7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00" w:type="dxa"/>
            <w:tcBorders>
              <w:left w:val="double" w:color="auto" w:sz="4" w:space="0"/>
            </w:tcBorders>
            <w:noWrap w:val="0"/>
            <w:vAlign w:val="center"/>
          </w:tcPr>
          <w:p w14:paraId="7469E1F9">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2</w:t>
            </w:r>
          </w:p>
        </w:tc>
        <w:tc>
          <w:tcPr>
            <w:tcW w:w="3037" w:type="dxa"/>
            <w:noWrap w:val="0"/>
            <w:vAlign w:val="center"/>
          </w:tcPr>
          <w:p w14:paraId="7BFC7D44">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rFonts w:ascii="宋体" w:hAnsi="宋体" w:cs="宋体"/>
                <w:bCs/>
                <w:color w:val="auto"/>
                <w:szCs w:val="21"/>
                <w:highlight w:val="none"/>
              </w:rPr>
            </w:pPr>
            <w:r>
              <w:rPr>
                <w:rFonts w:hint="eastAsia" w:ascii="宋体" w:hAnsi="宋体" w:eastAsia="宋体" w:cs="宋体"/>
                <w:sz w:val="28"/>
                <w:szCs w:val="28"/>
                <w:highlight w:val="none"/>
                <w:lang w:val="en-US" w:eastAsia="zh-CN"/>
              </w:rPr>
              <w:t>14%氯虫·高氯氟微囊悬浮</w:t>
            </w:r>
            <w:r>
              <w:rPr>
                <w:rFonts w:hint="eastAsia" w:ascii="宋体" w:hAnsi="宋体" w:eastAsia="宋体" w:cs="宋体"/>
                <w:sz w:val="28"/>
                <w:szCs w:val="28"/>
                <w:highlight w:val="none"/>
                <w:lang w:eastAsia="zh-CN"/>
              </w:rPr>
              <w:t>-悬浮</w:t>
            </w:r>
            <w:r>
              <w:rPr>
                <w:rFonts w:hint="eastAsia" w:ascii="宋体" w:hAnsi="宋体" w:eastAsia="宋体" w:cs="宋体"/>
                <w:sz w:val="28"/>
                <w:szCs w:val="28"/>
                <w:highlight w:val="none"/>
                <w:lang w:val="en-US" w:eastAsia="zh-CN"/>
              </w:rPr>
              <w:t>剂</w:t>
            </w:r>
          </w:p>
        </w:tc>
        <w:tc>
          <w:tcPr>
            <w:tcW w:w="1894" w:type="dxa"/>
            <w:noWrap w:val="0"/>
            <w:vAlign w:val="center"/>
          </w:tcPr>
          <w:p w14:paraId="2A295F40">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rFonts w:ascii="宋体" w:hAnsi="宋体" w:cs="宋体"/>
                <w:bCs/>
                <w:color w:val="auto"/>
                <w:szCs w:val="21"/>
                <w:highlight w:val="none"/>
              </w:rPr>
            </w:pPr>
          </w:p>
        </w:tc>
        <w:tc>
          <w:tcPr>
            <w:tcW w:w="1894" w:type="dxa"/>
            <w:noWrap w:val="0"/>
            <w:vAlign w:val="center"/>
          </w:tcPr>
          <w:p w14:paraId="388C8BFB">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bCs/>
                <w:color w:val="auto"/>
                <w:szCs w:val="21"/>
                <w:highlight w:val="none"/>
              </w:rPr>
            </w:pPr>
          </w:p>
        </w:tc>
        <w:tc>
          <w:tcPr>
            <w:tcW w:w="1517" w:type="dxa"/>
            <w:tcBorders>
              <w:right w:val="double" w:color="auto" w:sz="4" w:space="0"/>
            </w:tcBorders>
            <w:noWrap w:val="0"/>
            <w:vAlign w:val="center"/>
          </w:tcPr>
          <w:p w14:paraId="208A1162">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bCs/>
                <w:color w:val="auto"/>
                <w:szCs w:val="21"/>
                <w:highlight w:val="none"/>
              </w:rPr>
            </w:pPr>
          </w:p>
        </w:tc>
      </w:tr>
      <w:tr w14:paraId="45E9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00" w:type="dxa"/>
            <w:tcBorders>
              <w:left w:val="double" w:color="auto" w:sz="4" w:space="0"/>
            </w:tcBorders>
            <w:noWrap w:val="0"/>
            <w:vAlign w:val="center"/>
          </w:tcPr>
          <w:p w14:paraId="5A2C758D">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3</w:t>
            </w:r>
          </w:p>
        </w:tc>
        <w:tc>
          <w:tcPr>
            <w:tcW w:w="3037" w:type="dxa"/>
            <w:noWrap w:val="0"/>
            <w:vAlign w:val="center"/>
          </w:tcPr>
          <w:p w14:paraId="2AB42869">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rFonts w:ascii="宋体" w:hAnsi="宋体" w:cs="宋体"/>
                <w:bCs/>
                <w:color w:val="auto"/>
                <w:szCs w:val="21"/>
                <w:highlight w:val="none"/>
              </w:rPr>
            </w:pPr>
            <w:r>
              <w:rPr>
                <w:rFonts w:hint="eastAsia" w:ascii="宋体" w:hAnsi="宋体" w:eastAsia="宋体" w:cs="宋体"/>
                <w:sz w:val="28"/>
                <w:szCs w:val="28"/>
                <w:highlight w:val="none"/>
                <w:lang w:val="en-US" w:eastAsia="zh-CN"/>
              </w:rPr>
              <w:t>27%苯醚·咯·噻虫悬浮种衣剂</w:t>
            </w:r>
          </w:p>
        </w:tc>
        <w:tc>
          <w:tcPr>
            <w:tcW w:w="1894" w:type="dxa"/>
            <w:noWrap w:val="0"/>
            <w:vAlign w:val="center"/>
          </w:tcPr>
          <w:p w14:paraId="6609A629">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rFonts w:ascii="宋体" w:hAnsi="宋体" w:cs="宋体"/>
                <w:bCs/>
                <w:color w:val="auto"/>
                <w:szCs w:val="21"/>
                <w:highlight w:val="none"/>
              </w:rPr>
            </w:pPr>
          </w:p>
        </w:tc>
        <w:tc>
          <w:tcPr>
            <w:tcW w:w="1894" w:type="dxa"/>
            <w:noWrap w:val="0"/>
            <w:vAlign w:val="center"/>
          </w:tcPr>
          <w:p w14:paraId="252209C9">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bCs/>
                <w:color w:val="auto"/>
                <w:szCs w:val="21"/>
                <w:highlight w:val="none"/>
              </w:rPr>
            </w:pPr>
          </w:p>
        </w:tc>
        <w:tc>
          <w:tcPr>
            <w:tcW w:w="1517" w:type="dxa"/>
            <w:tcBorders>
              <w:right w:val="double" w:color="auto" w:sz="4" w:space="0"/>
            </w:tcBorders>
            <w:noWrap w:val="0"/>
            <w:vAlign w:val="center"/>
          </w:tcPr>
          <w:p w14:paraId="67FA47B4">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bCs/>
                <w:color w:val="auto"/>
                <w:szCs w:val="21"/>
                <w:highlight w:val="none"/>
              </w:rPr>
            </w:pPr>
          </w:p>
        </w:tc>
      </w:tr>
    </w:tbl>
    <w:p w14:paraId="1685432D">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cs="宋体"/>
          <w:snapToGrid w:val="0"/>
          <w:color w:val="auto"/>
          <w:kern w:val="0"/>
          <w:sz w:val="24"/>
          <w:highlight w:val="none"/>
        </w:rPr>
      </w:pPr>
    </w:p>
    <w:p w14:paraId="5CAF612F">
      <w:pPr>
        <w:keepNext w:val="0"/>
        <w:keepLines w:val="0"/>
        <w:pageBreakBefore w:val="0"/>
        <w:widowControl/>
        <w:numPr>
          <w:ilvl w:val="0"/>
          <w:numId w:val="0"/>
        </w:numPr>
        <w:kinsoku w:val="0"/>
        <w:wordWrap/>
        <w:bidi w:val="0"/>
        <w:adjustRightInd w:val="0"/>
        <w:snapToGrid w:val="0"/>
        <w:spacing w:line="360" w:lineRule="auto"/>
        <w:ind w:left="0" w:leftChars="0" w:right="0" w:rightChars="0"/>
        <w:jc w:val="both"/>
        <w:outlineLvl w:val="1"/>
        <w:rPr>
          <w:rFonts w:hint="default" w:ascii="宋体" w:hAnsi="宋体" w:eastAsia="宋体"/>
          <w:b/>
          <w:bCs/>
          <w:color w:val="auto"/>
          <w:sz w:val="30"/>
          <w:szCs w:val="30"/>
          <w:highlight w:val="none"/>
          <w:lang w:val="en-US" w:eastAsia="zh-CN"/>
        </w:rPr>
      </w:pPr>
      <w:r>
        <w:rPr>
          <w:rFonts w:hint="eastAsia" w:ascii="宋体" w:hAnsi="宋体"/>
          <w:b/>
          <w:bCs/>
          <w:color w:val="auto"/>
          <w:sz w:val="30"/>
          <w:szCs w:val="30"/>
          <w:highlight w:val="none"/>
          <w:lang w:val="en-US" w:eastAsia="zh-CN"/>
        </w:rPr>
        <w:t>二标段</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037"/>
        <w:gridCol w:w="1894"/>
        <w:gridCol w:w="1875"/>
        <w:gridCol w:w="1536"/>
      </w:tblGrid>
      <w:tr w14:paraId="3EBA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900" w:type="dxa"/>
            <w:tcBorders>
              <w:top w:val="double" w:color="auto" w:sz="4" w:space="0"/>
              <w:left w:val="double" w:color="auto" w:sz="4" w:space="0"/>
            </w:tcBorders>
            <w:noWrap w:val="0"/>
            <w:vAlign w:val="center"/>
          </w:tcPr>
          <w:p w14:paraId="20B039BC">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bCs/>
                <w:color w:val="auto"/>
                <w:sz w:val="24"/>
                <w:szCs w:val="24"/>
                <w:highlight w:val="none"/>
              </w:rPr>
            </w:pPr>
            <w:r>
              <w:rPr>
                <w:rFonts w:hint="eastAsia" w:ascii="宋体" w:hAnsi="宋体" w:cs="宋体"/>
                <w:bCs/>
                <w:color w:val="auto"/>
                <w:sz w:val="24"/>
                <w:szCs w:val="24"/>
                <w:highlight w:val="none"/>
              </w:rPr>
              <w:t>序号</w:t>
            </w:r>
          </w:p>
        </w:tc>
        <w:tc>
          <w:tcPr>
            <w:tcW w:w="3037" w:type="dxa"/>
            <w:tcBorders>
              <w:top w:val="double" w:color="auto" w:sz="4" w:space="0"/>
            </w:tcBorders>
            <w:noWrap w:val="0"/>
            <w:vAlign w:val="center"/>
          </w:tcPr>
          <w:p w14:paraId="470F1631">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bCs/>
                <w:color w:val="auto"/>
                <w:sz w:val="24"/>
                <w:szCs w:val="24"/>
                <w:highlight w:val="none"/>
              </w:rPr>
            </w:pPr>
            <w:r>
              <w:rPr>
                <w:rFonts w:hint="eastAsia" w:ascii="宋体" w:hAnsi="宋体" w:cs="宋体"/>
                <w:bCs/>
                <w:color w:val="auto"/>
                <w:sz w:val="24"/>
                <w:szCs w:val="24"/>
                <w:highlight w:val="none"/>
              </w:rPr>
              <w:t>投标产品</w:t>
            </w:r>
          </w:p>
        </w:tc>
        <w:tc>
          <w:tcPr>
            <w:tcW w:w="1894" w:type="dxa"/>
            <w:tcBorders>
              <w:top w:val="double" w:color="auto" w:sz="4" w:space="0"/>
            </w:tcBorders>
            <w:noWrap w:val="0"/>
            <w:vAlign w:val="center"/>
          </w:tcPr>
          <w:p w14:paraId="5ABE935F">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招标文件要求</w:t>
            </w:r>
          </w:p>
        </w:tc>
        <w:tc>
          <w:tcPr>
            <w:tcW w:w="1875" w:type="dxa"/>
            <w:tcBorders>
              <w:top w:val="double" w:color="auto" w:sz="4" w:space="0"/>
            </w:tcBorders>
            <w:noWrap w:val="0"/>
            <w:vAlign w:val="center"/>
          </w:tcPr>
          <w:p w14:paraId="6D67804F">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投标文件响应</w:t>
            </w:r>
          </w:p>
        </w:tc>
        <w:tc>
          <w:tcPr>
            <w:tcW w:w="1536" w:type="dxa"/>
            <w:tcBorders>
              <w:top w:val="double" w:color="auto" w:sz="4" w:space="0"/>
              <w:right w:val="double" w:color="auto" w:sz="4" w:space="0"/>
            </w:tcBorders>
            <w:noWrap w:val="0"/>
            <w:vAlign w:val="center"/>
          </w:tcPr>
          <w:p w14:paraId="1BB6EBB8">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bCs/>
                <w:color w:val="auto"/>
                <w:sz w:val="24"/>
                <w:szCs w:val="24"/>
                <w:highlight w:val="none"/>
              </w:rPr>
            </w:pPr>
            <w:r>
              <w:rPr>
                <w:rFonts w:hint="eastAsia" w:ascii="宋体" w:hAnsi="宋体" w:cs="宋体"/>
                <w:bCs/>
                <w:color w:val="auto"/>
                <w:sz w:val="24"/>
                <w:szCs w:val="24"/>
                <w:highlight w:val="none"/>
              </w:rPr>
              <w:t>偏离说明</w:t>
            </w:r>
          </w:p>
        </w:tc>
      </w:tr>
      <w:tr w14:paraId="1728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00" w:type="dxa"/>
            <w:tcBorders>
              <w:left w:val="double" w:color="auto" w:sz="4" w:space="0"/>
            </w:tcBorders>
            <w:noWrap w:val="0"/>
            <w:vAlign w:val="center"/>
          </w:tcPr>
          <w:p w14:paraId="52B0DF3E">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w:t>
            </w:r>
          </w:p>
        </w:tc>
        <w:tc>
          <w:tcPr>
            <w:tcW w:w="3037" w:type="dxa"/>
            <w:noWrap w:val="0"/>
            <w:vAlign w:val="center"/>
          </w:tcPr>
          <w:p w14:paraId="79498CB9">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rFonts w:ascii="宋体" w:hAnsi="宋体" w:cs="宋体"/>
                <w:bCs/>
                <w:color w:val="auto"/>
                <w:szCs w:val="21"/>
                <w:highlight w:val="none"/>
              </w:rPr>
            </w:pPr>
            <w:r>
              <w:rPr>
                <w:rFonts w:hint="eastAsia" w:ascii="宋体" w:hAnsi="宋体" w:eastAsia="宋体" w:cs="宋体"/>
                <w:sz w:val="28"/>
                <w:szCs w:val="28"/>
                <w:highlight w:val="none"/>
                <w:lang w:val="en-US" w:eastAsia="zh-CN"/>
              </w:rPr>
              <w:t>玉米生物防治（每亩使用无人机释放赤眼蜂4个点共1万头）</w:t>
            </w:r>
          </w:p>
        </w:tc>
        <w:tc>
          <w:tcPr>
            <w:tcW w:w="1894" w:type="dxa"/>
            <w:noWrap w:val="0"/>
            <w:vAlign w:val="center"/>
          </w:tcPr>
          <w:p w14:paraId="0BF22683">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rFonts w:ascii="宋体" w:hAnsi="宋体" w:cs="宋体"/>
                <w:bCs/>
                <w:color w:val="auto"/>
                <w:szCs w:val="21"/>
                <w:highlight w:val="none"/>
              </w:rPr>
            </w:pPr>
          </w:p>
        </w:tc>
        <w:tc>
          <w:tcPr>
            <w:tcW w:w="1875" w:type="dxa"/>
            <w:noWrap w:val="0"/>
            <w:vAlign w:val="center"/>
          </w:tcPr>
          <w:p w14:paraId="2A814C64">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bCs/>
                <w:color w:val="auto"/>
                <w:szCs w:val="21"/>
                <w:highlight w:val="none"/>
              </w:rPr>
            </w:pPr>
          </w:p>
        </w:tc>
        <w:tc>
          <w:tcPr>
            <w:tcW w:w="1536" w:type="dxa"/>
            <w:tcBorders>
              <w:right w:val="double" w:color="auto" w:sz="4" w:space="0"/>
            </w:tcBorders>
            <w:noWrap w:val="0"/>
            <w:vAlign w:val="center"/>
          </w:tcPr>
          <w:p w14:paraId="51755F56">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bCs/>
                <w:color w:val="auto"/>
                <w:szCs w:val="21"/>
                <w:highlight w:val="none"/>
              </w:rPr>
            </w:pPr>
          </w:p>
        </w:tc>
      </w:tr>
      <w:tr w14:paraId="066B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00" w:type="dxa"/>
            <w:tcBorders>
              <w:left w:val="double" w:color="auto" w:sz="4" w:space="0"/>
            </w:tcBorders>
            <w:noWrap w:val="0"/>
            <w:vAlign w:val="center"/>
          </w:tcPr>
          <w:p w14:paraId="62B77FA9">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2</w:t>
            </w:r>
          </w:p>
        </w:tc>
        <w:tc>
          <w:tcPr>
            <w:tcW w:w="3037" w:type="dxa"/>
            <w:noWrap w:val="0"/>
            <w:vAlign w:val="center"/>
          </w:tcPr>
          <w:p w14:paraId="1387B133">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农区蝗虫植保飞防服务费</w:t>
            </w:r>
          </w:p>
          <w:p w14:paraId="71020FA7">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rFonts w:ascii="宋体" w:hAnsi="宋体" w:cs="宋体"/>
                <w:bCs/>
                <w:color w:val="auto"/>
                <w:szCs w:val="21"/>
                <w:highlight w:val="none"/>
              </w:rPr>
            </w:pPr>
            <w:r>
              <w:rPr>
                <w:rFonts w:hint="eastAsia" w:ascii="宋体" w:hAnsi="宋体" w:eastAsia="宋体" w:cs="宋体"/>
                <w:sz w:val="28"/>
                <w:szCs w:val="28"/>
                <w:highlight w:val="none"/>
                <w:lang w:val="en-US" w:eastAsia="zh-CN"/>
              </w:rPr>
              <w:t>（包含飞防服务费和飞防生物药剂）</w:t>
            </w:r>
          </w:p>
        </w:tc>
        <w:tc>
          <w:tcPr>
            <w:tcW w:w="1894" w:type="dxa"/>
            <w:noWrap w:val="0"/>
            <w:vAlign w:val="center"/>
          </w:tcPr>
          <w:p w14:paraId="758710FD">
            <w:pPr>
              <w:pStyle w:val="79"/>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ascii="宋体" w:hAnsi="宋体" w:cs="宋体"/>
                <w:bCs/>
                <w:color w:val="auto"/>
                <w:szCs w:val="21"/>
                <w:highlight w:val="none"/>
              </w:rPr>
            </w:pPr>
          </w:p>
        </w:tc>
        <w:tc>
          <w:tcPr>
            <w:tcW w:w="1875" w:type="dxa"/>
            <w:noWrap w:val="0"/>
            <w:vAlign w:val="center"/>
          </w:tcPr>
          <w:p w14:paraId="4307D706">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bCs/>
                <w:color w:val="auto"/>
                <w:szCs w:val="21"/>
                <w:highlight w:val="none"/>
              </w:rPr>
            </w:pPr>
          </w:p>
        </w:tc>
        <w:tc>
          <w:tcPr>
            <w:tcW w:w="1536" w:type="dxa"/>
            <w:tcBorders>
              <w:right w:val="double" w:color="auto" w:sz="4" w:space="0"/>
            </w:tcBorders>
            <w:noWrap w:val="0"/>
            <w:vAlign w:val="center"/>
          </w:tcPr>
          <w:p w14:paraId="0550A353">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bCs/>
                <w:color w:val="auto"/>
                <w:szCs w:val="21"/>
                <w:highlight w:val="none"/>
              </w:rPr>
            </w:pPr>
          </w:p>
        </w:tc>
      </w:tr>
      <w:tr w14:paraId="0BC18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00" w:type="dxa"/>
            <w:tcBorders>
              <w:left w:val="double" w:color="auto" w:sz="4" w:space="0"/>
            </w:tcBorders>
            <w:noWrap w:val="0"/>
            <w:vAlign w:val="center"/>
          </w:tcPr>
          <w:p w14:paraId="012A2B88">
            <w:pPr>
              <w:keepNext w:val="0"/>
              <w:keepLines w:val="0"/>
              <w:pageBreakBefore w:val="0"/>
              <w:widowControl/>
              <w:kinsoku w:val="0"/>
              <w:wordWrap/>
              <w:bidi w:val="0"/>
              <w:adjustRightInd w:val="0"/>
              <w:snapToGrid w:val="0"/>
              <w:spacing w:line="360" w:lineRule="auto"/>
              <w:ind w:left="0" w:leftChars="0" w:right="0" w:rightChars="0"/>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3</w:t>
            </w:r>
          </w:p>
        </w:tc>
        <w:tc>
          <w:tcPr>
            <w:tcW w:w="3037" w:type="dxa"/>
            <w:noWrap w:val="0"/>
            <w:vAlign w:val="top"/>
          </w:tcPr>
          <w:p w14:paraId="1A2F00B9">
            <w:pPr>
              <w:pStyle w:val="97"/>
              <w:keepNext w:val="0"/>
              <w:keepLines w:val="0"/>
              <w:pageBreakBefore w:val="0"/>
              <w:widowControl/>
              <w:kinsoku w:val="0"/>
              <w:wordWrap/>
              <w:bidi w:val="0"/>
              <w:adjustRightInd w:val="0"/>
              <w:snapToGrid w:val="0"/>
              <w:spacing w:line="360" w:lineRule="auto"/>
              <w:ind w:left="0" w:leftChars="0" w:right="0" w:rightChars="0"/>
              <w:rPr>
                <w:rFonts w:ascii="宋体" w:hAnsi="宋体" w:cs="宋体"/>
                <w:bCs/>
                <w:color w:val="auto"/>
                <w:szCs w:val="21"/>
                <w:highlight w:val="none"/>
              </w:rPr>
            </w:pPr>
            <w:r>
              <w:rPr>
                <w:rFonts w:hint="eastAsia" w:ascii="宋体" w:hAnsi="宋体" w:eastAsia="宋体" w:cs="宋体"/>
                <w:sz w:val="28"/>
                <w:szCs w:val="28"/>
                <w:highlight w:val="none"/>
                <w:lang w:val="en-US" w:eastAsia="zh-CN"/>
              </w:rPr>
              <w:t>购买省级农作物病虫疫情智能化监测点仪器设备的升级改造和维护所需的材料和服务。硬件设备智能化升级，提升环境参数和病虫害识别的准确率；物联网与通信模块升级，田间监测点数据传输的稳定性，易耗品及日常维护保养，确保4个田间监测点正常运转。</w:t>
            </w:r>
          </w:p>
        </w:tc>
        <w:tc>
          <w:tcPr>
            <w:tcW w:w="1894" w:type="dxa"/>
            <w:noWrap w:val="0"/>
            <w:vAlign w:val="center"/>
          </w:tcPr>
          <w:p w14:paraId="7CA75892">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center"/>
              <w:textAlignment w:val="auto"/>
              <w:rPr>
                <w:rFonts w:ascii="宋体" w:hAnsi="宋体" w:cs="宋体"/>
                <w:bCs/>
                <w:color w:val="auto"/>
                <w:szCs w:val="21"/>
                <w:highlight w:val="none"/>
              </w:rPr>
            </w:pPr>
          </w:p>
        </w:tc>
        <w:tc>
          <w:tcPr>
            <w:tcW w:w="1875" w:type="dxa"/>
            <w:noWrap w:val="0"/>
            <w:vAlign w:val="center"/>
          </w:tcPr>
          <w:p w14:paraId="5D502AD9">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bCs/>
                <w:color w:val="auto"/>
                <w:szCs w:val="21"/>
                <w:highlight w:val="none"/>
              </w:rPr>
            </w:pPr>
          </w:p>
        </w:tc>
        <w:tc>
          <w:tcPr>
            <w:tcW w:w="1536" w:type="dxa"/>
            <w:tcBorders>
              <w:right w:val="double" w:color="auto" w:sz="4" w:space="0"/>
            </w:tcBorders>
            <w:noWrap w:val="0"/>
            <w:vAlign w:val="center"/>
          </w:tcPr>
          <w:p w14:paraId="3201EB66">
            <w:pPr>
              <w:keepNext w:val="0"/>
              <w:keepLines w:val="0"/>
              <w:pageBreakBefore w:val="0"/>
              <w:widowControl/>
              <w:kinsoku w:val="0"/>
              <w:wordWrap/>
              <w:bidi w:val="0"/>
              <w:adjustRightInd w:val="0"/>
              <w:snapToGrid w:val="0"/>
              <w:spacing w:line="360" w:lineRule="auto"/>
              <w:ind w:left="0" w:leftChars="0" w:right="0" w:rightChars="0"/>
              <w:jc w:val="center"/>
              <w:rPr>
                <w:rFonts w:ascii="宋体" w:hAnsi="宋体" w:cs="宋体"/>
                <w:bCs/>
                <w:color w:val="auto"/>
                <w:szCs w:val="21"/>
                <w:highlight w:val="none"/>
              </w:rPr>
            </w:pPr>
          </w:p>
        </w:tc>
      </w:tr>
    </w:tbl>
    <w:p w14:paraId="7A5AD79C">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cs="宋体"/>
          <w:snapToGrid w:val="0"/>
          <w:color w:val="auto"/>
          <w:kern w:val="0"/>
          <w:sz w:val="24"/>
          <w:highlight w:val="none"/>
        </w:rPr>
      </w:pPr>
    </w:p>
    <w:p w14:paraId="0A81876A">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注：</w:t>
      </w:r>
      <w:r>
        <w:rPr>
          <w:rFonts w:hint="eastAsia" w:ascii="宋体" w:hAnsi="宋体" w:cs="宋体"/>
          <w:snapToGrid w:val="0"/>
          <w:color w:val="auto"/>
          <w:kern w:val="0"/>
          <w:sz w:val="24"/>
          <w:highlight w:val="none"/>
          <w:lang w:eastAsia="zh-CN"/>
        </w:rPr>
        <w:t>供应商</w:t>
      </w:r>
      <w:r>
        <w:rPr>
          <w:rFonts w:hint="eastAsia" w:ascii="宋体" w:hAnsi="宋体" w:cs="宋体"/>
          <w:snapToGrid w:val="0"/>
          <w:color w:val="auto"/>
          <w:kern w:val="0"/>
          <w:sz w:val="24"/>
          <w:highlight w:val="none"/>
        </w:rPr>
        <w:t>保证：除偏离表列出的偏差外，</w:t>
      </w:r>
      <w:r>
        <w:rPr>
          <w:rFonts w:hint="eastAsia" w:ascii="宋体" w:hAnsi="宋体" w:cs="宋体"/>
          <w:snapToGrid w:val="0"/>
          <w:color w:val="auto"/>
          <w:kern w:val="0"/>
          <w:sz w:val="24"/>
          <w:highlight w:val="none"/>
          <w:lang w:eastAsia="zh-CN"/>
        </w:rPr>
        <w:t>供应商</w:t>
      </w:r>
      <w:r>
        <w:rPr>
          <w:rFonts w:hint="eastAsia" w:ascii="宋体" w:hAnsi="宋体" w:cs="宋体"/>
          <w:snapToGrid w:val="0"/>
          <w:color w:val="auto"/>
          <w:kern w:val="0"/>
          <w:sz w:val="24"/>
          <w:highlight w:val="none"/>
        </w:rPr>
        <w:t>达到招标文件的全部要求。</w:t>
      </w:r>
    </w:p>
    <w:p w14:paraId="0800B1EC">
      <w:pPr>
        <w:keepNext w:val="0"/>
        <w:keepLines w:val="0"/>
        <w:pageBreakBefore w:val="0"/>
        <w:widowControl/>
        <w:kinsoku w:val="0"/>
        <w:wordWrap/>
        <w:overflowPunct/>
        <w:topLinePunct w:val="0"/>
        <w:autoSpaceDE/>
        <w:autoSpaceDN/>
        <w:bidi w:val="0"/>
        <w:adjustRightInd w:val="0"/>
        <w:snapToGrid w:val="0"/>
        <w:spacing w:beforeAutospacing="0" w:afterAutospacing="0" w:line="360" w:lineRule="auto"/>
        <w:ind w:left="0" w:leftChars="0" w:right="0" w:rightChars="0" w:firstLine="3600" w:firstLineChars="1500"/>
        <w:jc w:val="righ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应</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商：</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（电子签章）</w:t>
      </w:r>
    </w:p>
    <w:p w14:paraId="1C1F1834">
      <w:pPr>
        <w:keepNext w:val="0"/>
        <w:keepLines w:val="0"/>
        <w:pageBreakBefore w:val="0"/>
        <w:widowControl/>
        <w:kinsoku w:val="0"/>
        <w:wordWrap/>
        <w:overflowPunct/>
        <w:topLinePunct w:val="0"/>
        <w:autoSpaceDE/>
        <w:autoSpaceDN/>
        <w:bidi w:val="0"/>
        <w:adjustRightInd w:val="0"/>
        <w:snapToGrid w:val="0"/>
        <w:spacing w:beforeAutospacing="0" w:afterAutospacing="0" w:line="360" w:lineRule="auto"/>
        <w:ind w:left="0" w:leftChars="0" w:right="0" w:rightChars="0" w:firstLine="3600" w:firstLineChars="1500"/>
        <w:jc w:val="righ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（电子签章）</w:t>
      </w:r>
    </w:p>
    <w:p w14:paraId="06BB3F50">
      <w:pPr>
        <w:keepNext w:val="0"/>
        <w:keepLines w:val="0"/>
        <w:pageBreakBefore w:val="0"/>
        <w:widowControl/>
        <w:kinsoku w:val="0"/>
        <w:wordWrap/>
        <w:overflowPunct/>
        <w:topLinePunct w:val="0"/>
        <w:autoSpaceDE/>
        <w:autoSpaceDN/>
        <w:bidi w:val="0"/>
        <w:adjustRightInd w:val="0"/>
        <w:snapToGrid w:val="0"/>
        <w:spacing w:beforeAutospacing="0" w:afterAutospacing="0" w:line="360" w:lineRule="auto"/>
        <w:ind w:left="0" w:leftChars="0" w:right="0" w:rightChars="0" w:firstLine="3600" w:firstLineChars="1500"/>
        <w:jc w:val="righ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期：</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w:t>
      </w:r>
    </w:p>
    <w:p w14:paraId="752056D8">
      <w:pPr>
        <w:keepNext w:val="0"/>
        <w:keepLines w:val="0"/>
        <w:pageBreakBefore w:val="0"/>
        <w:widowControl/>
        <w:kinsoku w:val="0"/>
        <w:wordWrap/>
        <w:bidi w:val="0"/>
        <w:adjustRightInd w:val="0"/>
        <w:snapToGrid w:val="0"/>
        <w:spacing w:line="360" w:lineRule="auto"/>
        <w:ind w:left="0" w:leftChars="0" w:right="0" w:rightChars="0"/>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44E08FEA">
      <w:pPr>
        <w:keepNext w:val="0"/>
        <w:keepLines w:val="0"/>
        <w:pageBreakBefore w:val="0"/>
        <w:widowControl/>
        <w:kinsoku w:val="0"/>
        <w:wordWrap/>
        <w:bidi w:val="0"/>
        <w:adjustRightInd w:val="0"/>
        <w:snapToGrid w:val="0"/>
        <w:spacing w:line="360" w:lineRule="auto"/>
        <w:ind w:left="0" w:leftChars="0" w:right="0" w:rightChars="0"/>
        <w:jc w:val="center"/>
        <w:outlineLvl w:val="0"/>
        <w:rPr>
          <w:rFonts w:ascii="宋体" w:hAnsi="宋体" w:cs="宋体"/>
          <w:color w:val="auto"/>
          <w:sz w:val="32"/>
          <w:szCs w:val="32"/>
          <w:highlight w:val="none"/>
        </w:rPr>
      </w:pPr>
      <w:bookmarkStart w:id="96" w:name="_Toc3829"/>
      <w:bookmarkStart w:id="97" w:name="_Toc30175"/>
      <w:r>
        <w:rPr>
          <w:rFonts w:hint="eastAsia" w:ascii="宋体" w:hAnsi="宋体" w:cs="宋体"/>
          <w:color w:val="auto"/>
          <w:sz w:val="32"/>
          <w:szCs w:val="32"/>
          <w:highlight w:val="none"/>
          <w:lang w:val="en-US" w:eastAsia="zh-CN"/>
        </w:rPr>
        <w:t>六</w:t>
      </w:r>
      <w:r>
        <w:rPr>
          <w:rFonts w:hint="eastAsia" w:ascii="宋体" w:hAnsi="宋体" w:cs="宋体"/>
          <w:color w:val="auto"/>
          <w:sz w:val="32"/>
          <w:szCs w:val="32"/>
          <w:highlight w:val="none"/>
        </w:rPr>
        <w:t>、投标承诺函</w:t>
      </w:r>
      <w:bookmarkEnd w:id="94"/>
      <w:bookmarkEnd w:id="96"/>
      <w:bookmarkEnd w:id="97"/>
    </w:p>
    <w:p w14:paraId="367DF072">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highlight w:val="none"/>
        </w:rPr>
      </w:pPr>
      <w:r>
        <w:rPr>
          <w:rFonts w:hint="eastAsia" w:ascii="宋体" w:hAnsi="宋体" w:cs="宋体"/>
          <w:color w:val="auto"/>
          <w:highlight w:val="none"/>
        </w:rPr>
        <w:t>致 （采购人）：</w:t>
      </w:r>
    </w:p>
    <w:p w14:paraId="372A399D">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我公司作为本次采购项目的</w:t>
      </w:r>
      <w:r>
        <w:rPr>
          <w:rFonts w:hint="eastAsia" w:ascii="宋体" w:hAnsi="宋体" w:cs="宋体"/>
          <w:color w:val="auto"/>
          <w:szCs w:val="24"/>
          <w:highlight w:val="none"/>
        </w:rPr>
        <w:t>供应商</w:t>
      </w:r>
      <w:r>
        <w:rPr>
          <w:rFonts w:hint="eastAsia" w:ascii="宋体" w:hAnsi="宋体" w:cs="宋体"/>
          <w:color w:val="auto"/>
          <w:highlight w:val="none"/>
        </w:rPr>
        <w:t>，根据竞争性磋商文件要求，现郑重承诺如下：</w:t>
      </w:r>
    </w:p>
    <w:p w14:paraId="48810C0E">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一、具备《中华人民共和国政府采购法》第二十二条第一款和本项目规定的条件：</w:t>
      </w:r>
    </w:p>
    <w:p w14:paraId="1405393C">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（一）具有独立承担民事责任的能力；</w:t>
      </w:r>
    </w:p>
    <w:p w14:paraId="385D83E1">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（二）具有良好的商业信誉和健全的财务会计制度；</w:t>
      </w:r>
    </w:p>
    <w:p w14:paraId="0AA4C917">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（三）具有履行合同所必需的设备和专业技术能力；</w:t>
      </w:r>
    </w:p>
    <w:p w14:paraId="339168C1">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（四）有依法缴纳税收和社会保障资金的良好记录；</w:t>
      </w:r>
    </w:p>
    <w:p w14:paraId="112C0CD5">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（五）参加政府采购活动前三年内，在经营活动中没有重大违法记录；</w:t>
      </w:r>
    </w:p>
    <w:p w14:paraId="2B997A2F">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（六）法律、行政法规规定的其他条件；</w:t>
      </w:r>
    </w:p>
    <w:p w14:paraId="761227DC">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（七）根据采购项目提出的特殊条件。</w:t>
      </w:r>
    </w:p>
    <w:p w14:paraId="4DD73E0E">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二、完全接受和满足本项目竞争性磋商文件中规定的实质性要求，如对竞争性磋商文件有异议，已经在投标截止时间届满前依法进行维权救济，不存在对竞争性磋商文件有异议的同时又参加投标以求侥幸中标或者为实现其他非法目的的行为。</w:t>
      </w:r>
    </w:p>
    <w:p w14:paraId="69E87EFA">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三、参加本次招标采购活动，不存在与单位负责人为同一人或者存在直接控股、管理关系的其他供应商参与同一合同项下的政府采购活动的行为。</w:t>
      </w:r>
    </w:p>
    <w:p w14:paraId="19852B0C">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四、参加本次招标采购活动，不存在为采购项目提供整体设计、规范编制或者项目管理、监理、检测等服务的行为。</w:t>
      </w:r>
    </w:p>
    <w:p w14:paraId="1BF0465A">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五、参加本次招标采购活动，不存在和其他供应商在同一合同项下的采购项目中，同时委托同一个自然人、同一家庭的人员、同一单位的人员作为代理人的行为。</w:t>
      </w:r>
    </w:p>
    <w:p w14:paraId="1F638F47">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六、供应商参加本次政府采购活动要求在近三年内供应商和其法定代表人没有行贿犯罪行为。</w:t>
      </w:r>
    </w:p>
    <w:p w14:paraId="10BF4F9A">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七、参加本次招标采购活动，不存在联合体投标。</w:t>
      </w:r>
    </w:p>
    <w:p w14:paraId="77C76F49">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八、</w:t>
      </w:r>
      <w:r>
        <w:rPr>
          <w:rFonts w:hint="eastAsia" w:ascii="宋体" w:hAnsi="宋体" w:cs="宋体"/>
          <w:color w:val="auto"/>
          <w:highlight w:val="none"/>
          <w:lang w:eastAsia="zh-CN"/>
        </w:rPr>
        <w:t>投标文件</w:t>
      </w:r>
      <w:r>
        <w:rPr>
          <w:rFonts w:hint="eastAsia" w:ascii="宋体" w:hAnsi="宋体" w:cs="宋体"/>
          <w:color w:val="auto"/>
          <w:highlight w:val="none"/>
        </w:rPr>
        <w:t>中提供的能够给予我公司带来优惠、好处的任何材料资料和技术、服务、商务等响应承诺情况都是镇实的、有效的、合法的。</w:t>
      </w:r>
    </w:p>
    <w:p w14:paraId="4152D2A3">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九、如本项目评标过程中需要提供样品，则我公司提供的样品即为中标后将要提供的中标产品，我公司对提供样品的性能和质量负责，因样品存在缺陷或者不符合竞争性磋商文件导致未能中标的，我公司愿意承担相应不利后果。（如提供样品）</w:t>
      </w:r>
    </w:p>
    <w:p w14:paraId="391D2A9C">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十、存在以下行为之一的愿意接受相关部门的处理：</w:t>
      </w:r>
    </w:p>
    <w:p w14:paraId="6FEE2A8A">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（一）投标有效期内撤销</w:t>
      </w:r>
      <w:r>
        <w:rPr>
          <w:rFonts w:hint="eastAsia" w:ascii="宋体" w:hAnsi="宋体" w:cs="宋体"/>
          <w:color w:val="auto"/>
          <w:highlight w:val="none"/>
          <w:lang w:eastAsia="zh-CN"/>
        </w:rPr>
        <w:t>投标文件</w:t>
      </w:r>
      <w:r>
        <w:rPr>
          <w:rFonts w:hint="eastAsia" w:ascii="宋体" w:hAnsi="宋体" w:cs="宋体"/>
          <w:color w:val="auto"/>
          <w:highlight w:val="none"/>
        </w:rPr>
        <w:t>的；</w:t>
      </w:r>
    </w:p>
    <w:p w14:paraId="6366755B">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（二）在采购人确定中标人以前放弃中标候选资格的；</w:t>
      </w:r>
    </w:p>
    <w:p w14:paraId="52F8F79E">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（三）由于中标人的原因未能按照竞争性磋商文件的规定与采购人签订合同；</w:t>
      </w:r>
    </w:p>
    <w:p w14:paraId="60F5A32D">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（四）由于中标人的原因未能按照竞争性磋商文件的规定交纳履约保证金；</w:t>
      </w:r>
    </w:p>
    <w:p w14:paraId="72DB2AC3">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（五）在</w:t>
      </w:r>
      <w:r>
        <w:rPr>
          <w:rFonts w:hint="eastAsia" w:ascii="宋体" w:hAnsi="宋体" w:cs="宋体"/>
          <w:color w:val="auto"/>
          <w:highlight w:val="none"/>
          <w:lang w:eastAsia="zh-CN"/>
        </w:rPr>
        <w:t>投标文件</w:t>
      </w:r>
      <w:r>
        <w:rPr>
          <w:rFonts w:hint="eastAsia" w:ascii="宋体" w:hAnsi="宋体" w:cs="宋体"/>
          <w:color w:val="auto"/>
          <w:highlight w:val="none"/>
        </w:rPr>
        <w:t>中提供虚假材料谋取中标；</w:t>
      </w:r>
    </w:p>
    <w:p w14:paraId="12196AA5">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（六）与采购人、其他供应商或者采购代理机构恶意串通的；</w:t>
      </w:r>
    </w:p>
    <w:p w14:paraId="211B024B">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（七）投标有效期内，供应商在政府采购活动中有违法、违规、违纪行为。</w:t>
      </w:r>
    </w:p>
    <w:p w14:paraId="4BE5EA24">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由此产生的一切法律后果和责任由我公司承担。我公司声明放弃对此提出任何异议和追索的权利。</w:t>
      </w:r>
    </w:p>
    <w:p w14:paraId="58EEEFC8">
      <w:pPr>
        <w:keepNext w:val="0"/>
        <w:keepLines w:val="0"/>
        <w:pageBreakBefore w:val="0"/>
        <w:widowControl/>
        <w:kinsoku w:val="0"/>
        <w:wordWrap/>
        <w:bidi w:val="0"/>
        <w:adjustRightInd w:val="0"/>
        <w:snapToGrid w:val="0"/>
        <w:spacing w:line="360" w:lineRule="auto"/>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本公司对上述承诺的内容事项镇实性负责。如经查实上述承诺的内容事项存在虚假，我公司愿意接受以提供虚假材料谋取中标追究法律责任。</w:t>
      </w:r>
    </w:p>
    <w:p w14:paraId="385B9653">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highlight w:val="none"/>
        </w:rPr>
      </w:pPr>
    </w:p>
    <w:p w14:paraId="00D16338">
      <w:pPr>
        <w:keepNext w:val="0"/>
        <w:keepLines w:val="0"/>
        <w:pageBreakBefore w:val="0"/>
        <w:widowControl/>
        <w:kinsoku w:val="0"/>
        <w:wordWrap/>
        <w:overflowPunct/>
        <w:topLinePunct w:val="0"/>
        <w:autoSpaceDE/>
        <w:autoSpaceDN/>
        <w:bidi w:val="0"/>
        <w:adjustRightInd w:val="0"/>
        <w:snapToGrid w:val="0"/>
        <w:spacing w:beforeAutospacing="0" w:afterAutospacing="0" w:line="360" w:lineRule="auto"/>
        <w:ind w:left="0" w:leftChars="0" w:right="0" w:rightChars="0" w:firstLine="3600" w:firstLineChars="1500"/>
        <w:jc w:val="righ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应</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商：</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（电子签章）</w:t>
      </w:r>
    </w:p>
    <w:p w14:paraId="64D5BF80">
      <w:pPr>
        <w:keepNext w:val="0"/>
        <w:keepLines w:val="0"/>
        <w:pageBreakBefore w:val="0"/>
        <w:widowControl/>
        <w:kinsoku w:val="0"/>
        <w:wordWrap/>
        <w:overflowPunct/>
        <w:topLinePunct w:val="0"/>
        <w:autoSpaceDE/>
        <w:autoSpaceDN/>
        <w:bidi w:val="0"/>
        <w:adjustRightInd w:val="0"/>
        <w:snapToGrid w:val="0"/>
        <w:spacing w:beforeAutospacing="0" w:afterAutospacing="0" w:line="360" w:lineRule="auto"/>
        <w:ind w:left="0" w:leftChars="0" w:right="0" w:rightChars="0" w:firstLine="3600" w:firstLineChars="1500"/>
        <w:jc w:val="righ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（电子签章）</w:t>
      </w:r>
    </w:p>
    <w:p w14:paraId="2FE4DB91">
      <w:pPr>
        <w:keepNext w:val="0"/>
        <w:keepLines w:val="0"/>
        <w:pageBreakBefore w:val="0"/>
        <w:widowControl/>
        <w:kinsoku w:val="0"/>
        <w:wordWrap/>
        <w:overflowPunct/>
        <w:topLinePunct w:val="0"/>
        <w:autoSpaceDE/>
        <w:autoSpaceDN/>
        <w:bidi w:val="0"/>
        <w:adjustRightInd w:val="0"/>
        <w:snapToGrid w:val="0"/>
        <w:spacing w:beforeAutospacing="0" w:afterAutospacing="0" w:line="360" w:lineRule="auto"/>
        <w:ind w:left="0" w:leftChars="0" w:right="0" w:rightChars="0" w:firstLine="3600" w:firstLineChars="1500"/>
        <w:jc w:val="righ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期：</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w:t>
      </w:r>
    </w:p>
    <w:p w14:paraId="3AE964A7">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sz w:val="32"/>
          <w:szCs w:val="40"/>
          <w:highlight w:val="none"/>
        </w:rPr>
      </w:pPr>
    </w:p>
    <w:p w14:paraId="510E8292">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sz w:val="32"/>
          <w:szCs w:val="40"/>
          <w:highlight w:val="none"/>
        </w:rPr>
      </w:pPr>
    </w:p>
    <w:p w14:paraId="56DE7317">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color w:val="auto"/>
          <w:sz w:val="32"/>
          <w:szCs w:val="40"/>
          <w:highlight w:val="none"/>
        </w:rPr>
      </w:pPr>
    </w:p>
    <w:p w14:paraId="21ABAE45">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b/>
          <w:color w:val="auto"/>
          <w:sz w:val="32"/>
          <w:szCs w:val="32"/>
          <w:highlight w:val="none"/>
        </w:rPr>
      </w:pPr>
      <w:bookmarkStart w:id="98" w:name="_Toc31350"/>
      <w:r>
        <w:rPr>
          <w:rFonts w:hint="eastAsia" w:ascii="宋体" w:hAnsi="宋体" w:cs="宋体"/>
          <w:b/>
          <w:color w:val="auto"/>
          <w:sz w:val="32"/>
          <w:szCs w:val="32"/>
          <w:highlight w:val="none"/>
        </w:rPr>
        <w:br w:type="page"/>
      </w:r>
    </w:p>
    <w:bookmarkEnd w:id="98"/>
    <w:p w14:paraId="238A8DB4">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供应商资格审查证明文件</w:t>
      </w:r>
    </w:p>
    <w:p w14:paraId="3D8D32DF">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rPr>
          <w:rFonts w:hint="eastAsia" w:ascii="宋体" w:hAnsi="宋体" w:eastAsia="宋体" w:cs="宋体"/>
          <w:b/>
          <w:color w:val="000000"/>
          <w:kern w:val="0"/>
          <w:sz w:val="28"/>
          <w:szCs w:val="28"/>
          <w:highlight w:val="none"/>
          <w:lang w:val="en-US" w:eastAsia="zh-CN" w:bidi="ar-SA"/>
        </w:rPr>
      </w:pPr>
      <w:r>
        <w:rPr>
          <w:rFonts w:hint="eastAsia" w:ascii="宋体" w:hAnsi="宋体" w:eastAsia="宋体" w:cs="宋体"/>
          <w:b/>
          <w:color w:val="000000"/>
          <w:kern w:val="0"/>
          <w:sz w:val="28"/>
          <w:szCs w:val="28"/>
          <w:highlight w:val="none"/>
          <w:lang w:val="en-US" w:eastAsia="zh-CN" w:bidi="ar-SA"/>
        </w:rPr>
        <w:t>（一）供应商基本情况一览表</w:t>
      </w:r>
    </w:p>
    <w:p w14:paraId="4D40F7CC">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rPr>
          <w:rFonts w:hint="eastAsia" w:ascii="宋体" w:hAnsi="宋体" w:eastAsia="宋体" w:cs="宋体"/>
          <w:b/>
          <w:color w:val="000000"/>
          <w:sz w:val="24"/>
          <w:highlight w:val="none"/>
        </w:rPr>
      </w:pPr>
    </w:p>
    <w:tbl>
      <w:tblPr>
        <w:tblStyle w:val="28"/>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034"/>
        <w:gridCol w:w="2485"/>
        <w:gridCol w:w="1243"/>
        <w:gridCol w:w="2488"/>
      </w:tblGrid>
      <w:tr w14:paraId="3B28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49" w:type="dxa"/>
            <w:noWrap w:val="0"/>
            <w:vAlign w:val="center"/>
          </w:tcPr>
          <w:p w14:paraId="6487252D">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lang w:eastAsia="zh-CN"/>
              </w:rPr>
              <w:t>供应商</w:t>
            </w:r>
            <w:r>
              <w:rPr>
                <w:rFonts w:hint="eastAsia" w:ascii="宋体" w:hAnsi="宋体" w:eastAsia="宋体" w:cs="宋体"/>
                <w:kern w:val="0"/>
                <w:szCs w:val="21"/>
                <w:highlight w:val="none"/>
              </w:rPr>
              <w:t>名称</w:t>
            </w:r>
          </w:p>
        </w:tc>
        <w:tc>
          <w:tcPr>
            <w:tcW w:w="7250" w:type="dxa"/>
            <w:gridSpan w:val="4"/>
            <w:noWrap w:val="0"/>
            <w:vAlign w:val="center"/>
          </w:tcPr>
          <w:p w14:paraId="0ACB01DC">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3D37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49" w:type="dxa"/>
            <w:noWrap w:val="0"/>
            <w:vAlign w:val="center"/>
          </w:tcPr>
          <w:p w14:paraId="34E651FB">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注册地址</w:t>
            </w:r>
          </w:p>
        </w:tc>
        <w:tc>
          <w:tcPr>
            <w:tcW w:w="3519" w:type="dxa"/>
            <w:gridSpan w:val="2"/>
            <w:noWrap w:val="0"/>
            <w:vAlign w:val="center"/>
          </w:tcPr>
          <w:p w14:paraId="0DF9B304">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c>
          <w:tcPr>
            <w:tcW w:w="1243" w:type="dxa"/>
            <w:noWrap w:val="0"/>
            <w:vAlign w:val="center"/>
          </w:tcPr>
          <w:p w14:paraId="6DB27BC1">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邮政编码</w:t>
            </w:r>
          </w:p>
        </w:tc>
        <w:tc>
          <w:tcPr>
            <w:tcW w:w="2488" w:type="dxa"/>
            <w:noWrap w:val="0"/>
            <w:vAlign w:val="center"/>
          </w:tcPr>
          <w:p w14:paraId="699DC069">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4980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449" w:type="dxa"/>
            <w:noWrap w:val="0"/>
            <w:vAlign w:val="center"/>
          </w:tcPr>
          <w:p w14:paraId="24D73352">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联系方式</w:t>
            </w:r>
          </w:p>
        </w:tc>
        <w:tc>
          <w:tcPr>
            <w:tcW w:w="1034" w:type="dxa"/>
            <w:noWrap w:val="0"/>
            <w:vAlign w:val="center"/>
          </w:tcPr>
          <w:p w14:paraId="7149A683">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联系人</w:t>
            </w:r>
          </w:p>
        </w:tc>
        <w:tc>
          <w:tcPr>
            <w:tcW w:w="2485" w:type="dxa"/>
            <w:noWrap w:val="0"/>
            <w:vAlign w:val="center"/>
          </w:tcPr>
          <w:p w14:paraId="7ED77990">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c>
          <w:tcPr>
            <w:tcW w:w="1243" w:type="dxa"/>
            <w:noWrap w:val="0"/>
            <w:vAlign w:val="center"/>
          </w:tcPr>
          <w:p w14:paraId="4473363F">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电 话</w:t>
            </w:r>
          </w:p>
        </w:tc>
        <w:tc>
          <w:tcPr>
            <w:tcW w:w="2488" w:type="dxa"/>
            <w:noWrap w:val="0"/>
            <w:vAlign w:val="center"/>
          </w:tcPr>
          <w:p w14:paraId="74BE9A94">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6629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49" w:type="dxa"/>
            <w:noWrap w:val="0"/>
            <w:vAlign w:val="center"/>
          </w:tcPr>
          <w:p w14:paraId="69275596">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法定代表人</w:t>
            </w:r>
          </w:p>
        </w:tc>
        <w:tc>
          <w:tcPr>
            <w:tcW w:w="1034" w:type="dxa"/>
            <w:noWrap w:val="0"/>
            <w:vAlign w:val="center"/>
          </w:tcPr>
          <w:p w14:paraId="1C4F3B78">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姓名</w:t>
            </w:r>
          </w:p>
        </w:tc>
        <w:tc>
          <w:tcPr>
            <w:tcW w:w="2485" w:type="dxa"/>
            <w:noWrap w:val="0"/>
            <w:vAlign w:val="center"/>
          </w:tcPr>
          <w:p w14:paraId="2768619F">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c>
          <w:tcPr>
            <w:tcW w:w="1243" w:type="dxa"/>
            <w:noWrap w:val="0"/>
            <w:vAlign w:val="center"/>
          </w:tcPr>
          <w:p w14:paraId="3BAAF4C0">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电话</w:t>
            </w:r>
          </w:p>
        </w:tc>
        <w:tc>
          <w:tcPr>
            <w:tcW w:w="2488" w:type="dxa"/>
            <w:noWrap w:val="0"/>
            <w:vAlign w:val="center"/>
          </w:tcPr>
          <w:p w14:paraId="5E5EBFB4">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0024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49" w:type="dxa"/>
            <w:noWrap w:val="0"/>
            <w:vAlign w:val="center"/>
          </w:tcPr>
          <w:p w14:paraId="79B61EE0">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成立时间</w:t>
            </w:r>
          </w:p>
        </w:tc>
        <w:tc>
          <w:tcPr>
            <w:tcW w:w="7250" w:type="dxa"/>
            <w:gridSpan w:val="4"/>
            <w:noWrap w:val="0"/>
            <w:vAlign w:val="center"/>
          </w:tcPr>
          <w:p w14:paraId="73F7D760">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570C5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1449" w:type="dxa"/>
            <w:noWrap w:val="0"/>
            <w:vAlign w:val="center"/>
          </w:tcPr>
          <w:p w14:paraId="7CBEC156">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lang w:val="en-US" w:eastAsia="zh-CN"/>
              </w:rPr>
            </w:pPr>
            <w:r>
              <w:rPr>
                <w:rFonts w:hint="eastAsia" w:ascii="宋体" w:hAnsi="宋体" w:eastAsia="宋体" w:cs="宋体"/>
                <w:kern w:val="0"/>
                <w:szCs w:val="21"/>
                <w:highlight w:val="none"/>
                <w:lang w:val="en-US" w:eastAsia="zh-CN"/>
              </w:rPr>
              <w:t>统一社会信用代码</w:t>
            </w:r>
          </w:p>
        </w:tc>
        <w:tc>
          <w:tcPr>
            <w:tcW w:w="7250" w:type="dxa"/>
            <w:gridSpan w:val="4"/>
            <w:noWrap w:val="0"/>
            <w:vAlign w:val="center"/>
          </w:tcPr>
          <w:p w14:paraId="283F9834">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2FC8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449" w:type="dxa"/>
            <w:noWrap w:val="0"/>
            <w:vAlign w:val="center"/>
          </w:tcPr>
          <w:p w14:paraId="2D280CA8">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lang w:val="en-US" w:eastAsia="zh-CN"/>
              </w:rPr>
              <w:t>注册</w:t>
            </w:r>
            <w:r>
              <w:rPr>
                <w:rFonts w:hint="eastAsia" w:ascii="宋体" w:hAnsi="宋体" w:eastAsia="宋体" w:cs="宋体"/>
                <w:kern w:val="0"/>
                <w:szCs w:val="21"/>
                <w:highlight w:val="none"/>
              </w:rPr>
              <w:t>资金</w:t>
            </w:r>
          </w:p>
        </w:tc>
        <w:tc>
          <w:tcPr>
            <w:tcW w:w="7250" w:type="dxa"/>
            <w:gridSpan w:val="4"/>
            <w:noWrap w:val="0"/>
            <w:vAlign w:val="center"/>
          </w:tcPr>
          <w:p w14:paraId="490E4ED9">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73C2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449" w:type="dxa"/>
            <w:noWrap w:val="0"/>
            <w:vAlign w:val="center"/>
          </w:tcPr>
          <w:p w14:paraId="78D6F49E">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开户银行</w:t>
            </w:r>
          </w:p>
        </w:tc>
        <w:tc>
          <w:tcPr>
            <w:tcW w:w="7250" w:type="dxa"/>
            <w:gridSpan w:val="4"/>
            <w:noWrap w:val="0"/>
            <w:vAlign w:val="center"/>
          </w:tcPr>
          <w:p w14:paraId="3B84DB98">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727C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449" w:type="dxa"/>
            <w:noWrap w:val="0"/>
            <w:vAlign w:val="center"/>
          </w:tcPr>
          <w:p w14:paraId="75B456BC">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账号</w:t>
            </w:r>
          </w:p>
        </w:tc>
        <w:tc>
          <w:tcPr>
            <w:tcW w:w="7250" w:type="dxa"/>
            <w:gridSpan w:val="4"/>
            <w:noWrap w:val="0"/>
            <w:vAlign w:val="center"/>
          </w:tcPr>
          <w:p w14:paraId="7D580E57">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2315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jc w:val="center"/>
        </w:trPr>
        <w:tc>
          <w:tcPr>
            <w:tcW w:w="1449" w:type="dxa"/>
            <w:noWrap w:val="0"/>
            <w:vAlign w:val="center"/>
          </w:tcPr>
          <w:p w14:paraId="58695CFE">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lang w:val="en-US" w:eastAsia="zh-CN"/>
              </w:rPr>
              <w:t>经营</w:t>
            </w:r>
            <w:r>
              <w:rPr>
                <w:rFonts w:hint="eastAsia" w:ascii="宋体" w:hAnsi="宋体" w:eastAsia="宋体" w:cs="宋体"/>
                <w:kern w:val="0"/>
                <w:szCs w:val="21"/>
                <w:highlight w:val="none"/>
              </w:rPr>
              <w:t>范围</w:t>
            </w:r>
          </w:p>
        </w:tc>
        <w:tc>
          <w:tcPr>
            <w:tcW w:w="7250" w:type="dxa"/>
            <w:gridSpan w:val="4"/>
            <w:noWrap w:val="0"/>
            <w:vAlign w:val="center"/>
          </w:tcPr>
          <w:p w14:paraId="6F96C8BC">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491C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449" w:type="dxa"/>
            <w:noWrap w:val="0"/>
            <w:vAlign w:val="center"/>
          </w:tcPr>
          <w:p w14:paraId="0685A4B8">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备注</w:t>
            </w:r>
          </w:p>
        </w:tc>
        <w:tc>
          <w:tcPr>
            <w:tcW w:w="7250" w:type="dxa"/>
            <w:gridSpan w:val="4"/>
            <w:noWrap w:val="0"/>
            <w:vAlign w:val="center"/>
          </w:tcPr>
          <w:p w14:paraId="7397E75B">
            <w:pPr>
              <w:keepNext w:val="0"/>
              <w:keepLines w:val="0"/>
              <w:pageBreakBefore w:val="0"/>
              <w:widowControl/>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bl>
    <w:p w14:paraId="099FF485">
      <w:pPr>
        <w:pStyle w:val="110"/>
        <w:keepNext w:val="0"/>
        <w:keepLines w:val="0"/>
        <w:pageBreakBefore w:val="0"/>
        <w:widowControl/>
        <w:kinsoku w:val="0"/>
        <w:wordWrap/>
        <w:bidi w:val="0"/>
        <w:adjustRightInd w:val="0"/>
        <w:snapToGrid w:val="0"/>
        <w:spacing w:beforeAutospacing="0" w:after="0" w:afterAutospacing="0" w:line="360" w:lineRule="auto"/>
        <w:ind w:left="0" w:leftChars="0" w:right="0" w:rightChars="0" w:firstLine="240"/>
        <w:rPr>
          <w:rFonts w:hint="eastAsia" w:ascii="宋体" w:hAnsi="宋体" w:eastAsia="宋体" w:cs="宋体"/>
          <w:color w:val="000000"/>
          <w:sz w:val="24"/>
          <w:highlight w:val="none"/>
          <w:u w:val="single"/>
        </w:rPr>
      </w:pPr>
    </w:p>
    <w:p w14:paraId="0ECBE0AF">
      <w:pPr>
        <w:pStyle w:val="110"/>
        <w:keepNext w:val="0"/>
        <w:keepLines w:val="0"/>
        <w:pageBreakBefore w:val="0"/>
        <w:widowControl/>
        <w:kinsoku w:val="0"/>
        <w:wordWrap/>
        <w:bidi w:val="0"/>
        <w:adjustRightInd w:val="0"/>
        <w:snapToGrid w:val="0"/>
        <w:spacing w:beforeAutospacing="0" w:after="0" w:afterAutospacing="0" w:line="360" w:lineRule="auto"/>
        <w:ind w:left="0" w:leftChars="0" w:right="0" w:rightChars="0" w:firstLine="240"/>
        <w:rPr>
          <w:rFonts w:hint="eastAsia" w:ascii="宋体" w:hAnsi="宋体" w:eastAsia="宋体" w:cs="宋体"/>
          <w:color w:val="000000"/>
          <w:sz w:val="24"/>
          <w:highlight w:val="none"/>
          <w:u w:val="single"/>
        </w:rPr>
      </w:pPr>
    </w:p>
    <w:p w14:paraId="5C66D7E0">
      <w:pPr>
        <w:pStyle w:val="110"/>
        <w:keepNext w:val="0"/>
        <w:keepLines w:val="0"/>
        <w:pageBreakBefore w:val="0"/>
        <w:widowControl/>
        <w:kinsoku w:val="0"/>
        <w:wordWrap/>
        <w:bidi w:val="0"/>
        <w:adjustRightInd w:val="0"/>
        <w:snapToGrid w:val="0"/>
        <w:spacing w:beforeAutospacing="0" w:after="0" w:afterAutospacing="0" w:line="360" w:lineRule="auto"/>
        <w:ind w:left="0" w:leftChars="0" w:right="0" w:rightChars="0" w:firstLine="240"/>
        <w:rPr>
          <w:rFonts w:hint="eastAsia" w:ascii="宋体" w:hAnsi="宋体" w:eastAsia="宋体" w:cs="宋体"/>
          <w:color w:val="000000"/>
          <w:sz w:val="24"/>
          <w:highlight w:val="none"/>
          <w:u w:val="single"/>
          <w:lang w:eastAsia="zh-CN"/>
        </w:rPr>
      </w:pPr>
    </w:p>
    <w:p w14:paraId="2425CE86">
      <w:pPr>
        <w:pStyle w:val="110"/>
        <w:keepNext w:val="0"/>
        <w:keepLines w:val="0"/>
        <w:pageBreakBefore w:val="0"/>
        <w:widowControl/>
        <w:kinsoku w:val="0"/>
        <w:wordWrap/>
        <w:bidi w:val="0"/>
        <w:adjustRightInd w:val="0"/>
        <w:snapToGrid w:val="0"/>
        <w:spacing w:beforeAutospacing="0" w:after="0" w:afterAutospacing="0" w:line="360" w:lineRule="auto"/>
        <w:ind w:left="0" w:leftChars="0" w:right="0" w:rightChars="0" w:firstLine="240"/>
        <w:rPr>
          <w:rFonts w:hint="eastAsia" w:ascii="宋体" w:hAnsi="宋体" w:eastAsia="宋体" w:cs="宋体"/>
          <w:color w:val="000000"/>
          <w:sz w:val="24"/>
          <w:highlight w:val="none"/>
          <w:u w:val="single"/>
          <w:lang w:eastAsia="zh-CN"/>
        </w:rPr>
      </w:pPr>
    </w:p>
    <w:p w14:paraId="065AA214">
      <w:pPr>
        <w:pStyle w:val="110"/>
        <w:keepNext w:val="0"/>
        <w:keepLines w:val="0"/>
        <w:pageBreakBefore w:val="0"/>
        <w:widowControl/>
        <w:kinsoku w:val="0"/>
        <w:wordWrap/>
        <w:bidi w:val="0"/>
        <w:adjustRightInd w:val="0"/>
        <w:snapToGrid w:val="0"/>
        <w:spacing w:beforeAutospacing="0" w:after="0" w:afterAutospacing="0" w:line="360" w:lineRule="auto"/>
        <w:ind w:left="0" w:leftChars="0" w:right="0" w:rightChars="0" w:firstLine="240"/>
        <w:rPr>
          <w:rFonts w:hint="eastAsia" w:ascii="宋体" w:hAnsi="宋体" w:eastAsia="宋体" w:cs="宋体"/>
          <w:color w:val="000000"/>
          <w:sz w:val="24"/>
          <w:highlight w:val="none"/>
          <w:u w:val="single"/>
          <w:lang w:eastAsia="zh-CN"/>
        </w:rPr>
      </w:pPr>
    </w:p>
    <w:p w14:paraId="6CD082D7">
      <w:pPr>
        <w:pStyle w:val="110"/>
        <w:keepNext w:val="0"/>
        <w:keepLines w:val="0"/>
        <w:pageBreakBefore w:val="0"/>
        <w:widowControl/>
        <w:kinsoku w:val="0"/>
        <w:wordWrap/>
        <w:bidi w:val="0"/>
        <w:adjustRightInd w:val="0"/>
        <w:snapToGrid w:val="0"/>
        <w:spacing w:beforeAutospacing="0" w:after="0" w:afterAutospacing="0" w:line="360" w:lineRule="auto"/>
        <w:ind w:left="0" w:leftChars="0" w:right="0" w:rightChars="0" w:firstLine="240"/>
        <w:rPr>
          <w:rFonts w:hint="eastAsia" w:ascii="宋体" w:hAnsi="宋体" w:eastAsia="宋体" w:cs="宋体"/>
          <w:color w:val="000000"/>
          <w:sz w:val="24"/>
          <w:highlight w:val="none"/>
          <w:u w:val="single"/>
        </w:rPr>
      </w:pPr>
    </w:p>
    <w:p w14:paraId="31BF5655">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rPr>
          <w:rFonts w:hint="eastAsia" w:ascii="宋体" w:hAnsi="宋体" w:eastAsia="宋体" w:cs="宋体"/>
          <w:b/>
          <w:color w:val="000000"/>
          <w:kern w:val="0"/>
          <w:sz w:val="28"/>
          <w:szCs w:val="28"/>
          <w:highlight w:val="none"/>
          <w:lang w:val="en-US" w:eastAsia="zh-CN" w:bidi="ar-SA"/>
        </w:rPr>
      </w:pPr>
      <w:r>
        <w:rPr>
          <w:rFonts w:hint="eastAsia" w:ascii="宋体" w:hAnsi="宋体" w:eastAsia="宋体" w:cs="宋体"/>
          <w:b/>
          <w:color w:val="000000"/>
          <w:kern w:val="0"/>
          <w:sz w:val="28"/>
          <w:szCs w:val="28"/>
          <w:highlight w:val="none"/>
          <w:lang w:val="en-US" w:eastAsia="zh-CN" w:bidi="ar-SA"/>
        </w:rPr>
        <w:t>（二）供应商资格审查资料</w:t>
      </w:r>
    </w:p>
    <w:p w14:paraId="78C37D6A">
      <w:pPr>
        <w:keepNext w:val="0"/>
        <w:keepLines w:val="0"/>
        <w:pageBreakBefore w:val="0"/>
        <w:widowControl/>
        <w:shd w:val="clear" w:color="auto" w:fill="FFFFFF"/>
        <w:kinsoku w:val="0"/>
        <w:wordWrap/>
        <w:bidi w:val="0"/>
        <w:adjustRightInd w:val="0"/>
        <w:snapToGrid w:val="0"/>
        <w:spacing w:beforeAutospacing="0" w:afterAutospacing="0" w:line="360" w:lineRule="auto"/>
        <w:ind w:left="0" w:leftChars="0" w:right="0" w:rightChars="0" w:firstLine="640"/>
        <w:jc w:val="left"/>
        <w:rPr>
          <w:rFonts w:hint="eastAsia" w:ascii="宋体" w:hAnsi="宋体" w:eastAsia="宋体" w:cs="宋体"/>
          <w:color w:val="000000"/>
          <w:sz w:val="28"/>
          <w:szCs w:val="28"/>
          <w:highlight w:val="none"/>
        </w:rPr>
      </w:pPr>
      <w:r>
        <w:rPr>
          <w:rFonts w:hint="eastAsia" w:ascii="宋体" w:hAnsi="宋体" w:eastAsia="宋体" w:cs="宋体"/>
          <w:kern w:val="0"/>
          <w:sz w:val="24"/>
          <w:highlight w:val="none"/>
          <w:shd w:val="clear" w:color="auto" w:fill="FFFFFF"/>
        </w:rPr>
        <w:t>供应商资格要求</w:t>
      </w:r>
    </w:p>
    <w:p w14:paraId="76258079">
      <w:pPr>
        <w:pStyle w:val="4"/>
        <w:keepNext w:val="0"/>
        <w:keepLines w:val="0"/>
        <w:pageBreakBefore w:val="0"/>
        <w:widowControl/>
        <w:numPr>
          <w:ilvl w:val="1"/>
          <w:numId w:val="0"/>
        </w:numPr>
        <w:kinsoku w:val="0"/>
        <w:wordWrap/>
        <w:bidi w:val="0"/>
        <w:adjustRightInd w:val="0"/>
        <w:snapToGrid w:val="0"/>
        <w:spacing w:before="0" w:beforeAutospacing="0" w:afterAutospacing="0" w:line="360" w:lineRule="auto"/>
        <w:ind w:left="0" w:leftChars="0" w:right="0" w:rightChars="0"/>
        <w:jc w:val="center"/>
        <w:rPr>
          <w:rFonts w:hint="eastAsia" w:ascii="宋体" w:hAnsi="宋体" w:eastAsia="宋体" w:cs="宋体"/>
          <w:color w:val="000000"/>
          <w:sz w:val="28"/>
          <w:szCs w:val="28"/>
          <w:highlight w:val="none"/>
        </w:rPr>
      </w:pPr>
    </w:p>
    <w:p w14:paraId="64B1E6E6">
      <w:pPr>
        <w:pStyle w:val="4"/>
        <w:keepNext w:val="0"/>
        <w:keepLines w:val="0"/>
        <w:pageBreakBefore w:val="0"/>
        <w:widowControl/>
        <w:numPr>
          <w:ilvl w:val="1"/>
          <w:numId w:val="0"/>
        </w:numPr>
        <w:kinsoku w:val="0"/>
        <w:wordWrap/>
        <w:bidi w:val="0"/>
        <w:adjustRightInd w:val="0"/>
        <w:snapToGrid w:val="0"/>
        <w:spacing w:before="0" w:beforeAutospacing="0" w:afterAutospacing="0" w:line="360" w:lineRule="auto"/>
        <w:ind w:left="0" w:leftChars="0" w:right="0" w:rightChars="0"/>
        <w:jc w:val="center"/>
        <w:rPr>
          <w:rFonts w:hint="eastAsia" w:ascii="宋体" w:hAnsi="宋体" w:eastAsia="宋体" w:cs="宋体"/>
          <w:color w:val="000000"/>
          <w:sz w:val="28"/>
          <w:szCs w:val="28"/>
          <w:highlight w:val="none"/>
        </w:rPr>
      </w:pPr>
    </w:p>
    <w:p w14:paraId="1E6439CA">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7B561F3A">
      <w:pPr>
        <w:keepNext w:val="0"/>
        <w:keepLines w:val="0"/>
        <w:pageBreakBefore w:val="0"/>
        <w:widowControl/>
        <w:kinsoku w:val="0"/>
        <w:wordWrap/>
        <w:bidi w:val="0"/>
        <w:adjustRightInd w:val="0"/>
        <w:snapToGrid w:val="0"/>
        <w:spacing w:beforeAutospacing="0" w:afterAutospacing="0" w:line="360" w:lineRule="auto"/>
        <w:ind w:left="0" w:leftChars="0" w:right="0" w:rightChars="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w:t>
      </w:r>
    </w:p>
    <w:p w14:paraId="2A5822C1">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满足《中华人民共和国政府采购法》第二十二条规定的承诺书</w:t>
      </w:r>
    </w:p>
    <w:p w14:paraId="3D5F7C2D">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color w:val="auto"/>
          <w:sz w:val="28"/>
          <w:szCs w:val="28"/>
          <w:highlight w:val="none"/>
          <w:u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（采购人名称）</w:t>
      </w:r>
      <w:r>
        <w:rPr>
          <w:rFonts w:hint="eastAsia" w:ascii="宋体" w:hAnsi="宋体" w:eastAsia="宋体" w:cs="宋体"/>
          <w:b/>
          <w:color w:val="auto"/>
          <w:sz w:val="28"/>
          <w:szCs w:val="28"/>
          <w:highlight w:val="none"/>
          <w:u w:val="none"/>
        </w:rPr>
        <w:t xml:space="preserve"> </w:t>
      </w:r>
    </w:p>
    <w:p w14:paraId="14CB3601">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我单位自愿参加本次采购活动，严格遵守《中华人民共和国政府采购法》及相关法律法规，依法诚信经营，依法遵守本次政府采购活动的各项规定。我单位郑重承诺声明如下：</w:t>
      </w:r>
    </w:p>
    <w:p w14:paraId="61B7E55C">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一、我单位全称为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，注册地点为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，统一社会信用代码为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法定代表人（主要负责人）为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联系方式为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93D14B4">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二、我单位具有独立承担民事责任的能力(如分公司参加投标的，其民事责任由总公司承担)。</w:t>
      </w:r>
    </w:p>
    <w:p w14:paraId="1C90D0C1">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三、我单位具有良好的商业信誉和健全的财务会计制度。 </w:t>
      </w:r>
    </w:p>
    <w:p w14:paraId="5CC3ADEC">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四、我单位具有履行合同所必需的设备和专业技术能力。 </w:t>
      </w:r>
    </w:p>
    <w:p w14:paraId="6B1DFCD4">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五、我单位有依法缴纳税收和社会保障资金的良好记录。</w:t>
      </w:r>
    </w:p>
    <w:p w14:paraId="1730DBE3">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六、我单位参加政府采购活动前三年内，在经营活动中没有重大违法记录。（重大违法记录，是指供应商因违法经营受到刑事处罚或者责令停产停业、吊销许可证或者执照、较大数额罚款等行政处罚。）</w:t>
      </w:r>
    </w:p>
    <w:p w14:paraId="02A7D791">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七、我单位具备法律、行政法规规定的其他条件。</w:t>
      </w:r>
    </w:p>
    <w:p w14:paraId="68D0D030">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保证上述声明的事项都是真实的，符合《中华人民共和国政府采购法》规定的供应商资格条件。如有弄虚作假，我单位愿意按照“提供虚假材料谋取中标”承担相应的法律责任，同意将违背承诺行为作为失信行为记录到社会信用信息平台，并承担因此所造成的一切损失。</w:t>
      </w:r>
    </w:p>
    <w:p w14:paraId="28B47A35">
      <w:pPr>
        <w:keepNext w:val="0"/>
        <w:keepLines w:val="0"/>
        <w:pageBreakBefore w:val="0"/>
        <w:widowControl/>
        <w:kinsoku w:val="0"/>
        <w:wordWrap/>
        <w:overflowPunct/>
        <w:topLinePunct w:val="0"/>
        <w:autoSpaceDE/>
        <w:autoSpaceDN/>
        <w:bidi w:val="0"/>
        <w:adjustRightInd w:val="0"/>
        <w:snapToGrid w:val="0"/>
        <w:spacing w:beforeAutospacing="0" w:afterAutospacing="0" w:line="360" w:lineRule="auto"/>
        <w:ind w:left="0" w:leftChars="0" w:right="0" w:rightChars="0" w:firstLine="3600" w:firstLineChars="15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应</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商：</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（电子签章）</w:t>
      </w:r>
    </w:p>
    <w:p w14:paraId="1C76AC0E">
      <w:pPr>
        <w:keepNext w:val="0"/>
        <w:keepLines w:val="0"/>
        <w:pageBreakBefore w:val="0"/>
        <w:widowControl/>
        <w:kinsoku w:val="0"/>
        <w:wordWrap/>
        <w:overflowPunct/>
        <w:topLinePunct w:val="0"/>
        <w:autoSpaceDE/>
        <w:autoSpaceDN/>
        <w:bidi w:val="0"/>
        <w:adjustRightInd w:val="0"/>
        <w:snapToGrid w:val="0"/>
        <w:spacing w:beforeAutospacing="0" w:afterAutospacing="0" w:line="360" w:lineRule="auto"/>
        <w:ind w:left="0" w:leftChars="0" w:right="0" w:rightChars="0" w:firstLine="3600" w:firstLineChars="15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（电子签章）</w:t>
      </w:r>
    </w:p>
    <w:p w14:paraId="507577B2">
      <w:pPr>
        <w:keepNext w:val="0"/>
        <w:keepLines w:val="0"/>
        <w:pageBreakBefore w:val="0"/>
        <w:widowControl/>
        <w:kinsoku w:val="0"/>
        <w:wordWrap/>
        <w:overflowPunct/>
        <w:topLinePunct w:val="0"/>
        <w:autoSpaceDE/>
        <w:autoSpaceDN/>
        <w:bidi w:val="0"/>
        <w:adjustRightInd w:val="0"/>
        <w:snapToGrid w:val="0"/>
        <w:spacing w:beforeAutospacing="0" w:afterAutospacing="0" w:line="360" w:lineRule="auto"/>
        <w:ind w:left="0" w:leftChars="0" w:right="0" w:rightChars="0" w:firstLine="3600" w:firstLineChars="15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期：</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w:t>
      </w:r>
    </w:p>
    <w:p w14:paraId="5F95EB7C">
      <w:pPr>
        <w:keepNext w:val="0"/>
        <w:keepLines w:val="0"/>
        <w:pageBreakBefore w:val="0"/>
        <w:widowControl/>
        <w:numPr>
          <w:ilvl w:val="0"/>
          <w:numId w:val="0"/>
        </w:numPr>
        <w:shd w:val="clear" w:color="auto" w:fill="FFFFFF"/>
        <w:kinsoku w:val="0"/>
        <w:wordWrap/>
        <w:bidi w:val="0"/>
        <w:adjustRightInd w:val="0"/>
        <w:snapToGrid w:val="0"/>
        <w:spacing w:beforeAutospacing="0" w:afterAutospacing="0" w:line="360" w:lineRule="auto"/>
        <w:ind w:left="0" w:leftChars="0" w:right="0" w:rightChars="0"/>
        <w:jc w:val="left"/>
        <w:textAlignment w:val="baseline"/>
        <w:rPr>
          <w:rFonts w:hint="eastAsia" w:ascii="宋体" w:hAnsi="宋体" w:eastAsia="宋体" w:cs="宋体"/>
          <w:b/>
          <w:kern w:val="0"/>
          <w:sz w:val="28"/>
          <w:szCs w:val="28"/>
          <w:highlight w:val="none"/>
        </w:rPr>
      </w:pPr>
    </w:p>
    <w:p w14:paraId="417AD489">
      <w:pPr>
        <w:keepNext w:val="0"/>
        <w:keepLines w:val="0"/>
        <w:pageBreakBefore w:val="0"/>
        <w:widowControl/>
        <w:numPr>
          <w:ilvl w:val="0"/>
          <w:numId w:val="0"/>
        </w:numPr>
        <w:shd w:val="clear" w:color="auto" w:fill="FFFFFF"/>
        <w:kinsoku w:val="0"/>
        <w:wordWrap/>
        <w:bidi w:val="0"/>
        <w:adjustRightInd w:val="0"/>
        <w:snapToGrid w:val="0"/>
        <w:spacing w:beforeAutospacing="0" w:afterAutospacing="0" w:line="360" w:lineRule="auto"/>
        <w:ind w:left="0" w:leftChars="0" w:right="0" w:rightChars="0"/>
        <w:jc w:val="left"/>
        <w:textAlignment w:val="baseline"/>
        <w:rPr>
          <w:rFonts w:hint="eastAsia" w:ascii="宋体" w:hAnsi="宋体" w:eastAsia="宋体" w:cs="宋体"/>
          <w:b/>
          <w:kern w:val="0"/>
          <w:sz w:val="28"/>
          <w:szCs w:val="28"/>
          <w:highlight w:val="none"/>
        </w:rPr>
      </w:pPr>
    </w:p>
    <w:p w14:paraId="07BC6670">
      <w:pPr>
        <w:keepNext w:val="0"/>
        <w:keepLines w:val="0"/>
        <w:pageBreakBefore w:val="0"/>
        <w:widowControl/>
        <w:numPr>
          <w:ilvl w:val="0"/>
          <w:numId w:val="0"/>
        </w:numPr>
        <w:shd w:val="clear" w:color="auto" w:fill="FFFFFF"/>
        <w:kinsoku w:val="0"/>
        <w:wordWrap/>
        <w:bidi w:val="0"/>
        <w:adjustRightInd w:val="0"/>
        <w:snapToGrid w:val="0"/>
        <w:spacing w:beforeAutospacing="0" w:afterAutospacing="0" w:line="360" w:lineRule="auto"/>
        <w:ind w:left="0" w:leftChars="0" w:right="0" w:rightChars="0"/>
        <w:jc w:val="left"/>
        <w:textAlignment w:val="baseline"/>
        <w:rPr>
          <w:rFonts w:hint="eastAsia" w:ascii="宋体" w:hAnsi="宋体" w:eastAsia="宋体" w:cs="宋体"/>
          <w:b/>
          <w:kern w:val="0"/>
          <w:sz w:val="28"/>
          <w:szCs w:val="28"/>
          <w:highlight w:val="none"/>
        </w:rPr>
      </w:pPr>
    </w:p>
    <w:p w14:paraId="2AAAE4D5">
      <w:pPr>
        <w:keepNext w:val="0"/>
        <w:keepLines w:val="0"/>
        <w:pageBreakBefore w:val="0"/>
        <w:widowControl/>
        <w:numPr>
          <w:ilvl w:val="0"/>
          <w:numId w:val="0"/>
        </w:numPr>
        <w:shd w:val="clear" w:color="auto" w:fill="FFFFFF"/>
        <w:kinsoku w:val="0"/>
        <w:wordWrap/>
        <w:bidi w:val="0"/>
        <w:adjustRightInd w:val="0"/>
        <w:snapToGrid w:val="0"/>
        <w:spacing w:beforeAutospacing="0" w:afterAutospacing="0" w:line="360" w:lineRule="auto"/>
        <w:ind w:left="0" w:leftChars="0" w:right="0" w:rightChars="0"/>
        <w:jc w:val="left"/>
        <w:textAlignment w:val="baseline"/>
        <w:rPr>
          <w:rFonts w:hint="eastAsia" w:ascii="宋体" w:hAnsi="宋体" w:eastAsia="宋体" w:cs="宋体"/>
          <w:b/>
          <w:kern w:val="0"/>
          <w:sz w:val="28"/>
          <w:szCs w:val="28"/>
          <w:highlight w:val="none"/>
        </w:rPr>
      </w:pPr>
    </w:p>
    <w:p w14:paraId="3521BDCA">
      <w:pPr>
        <w:keepNext w:val="0"/>
        <w:keepLines w:val="0"/>
        <w:pageBreakBefore w:val="0"/>
        <w:widowControl/>
        <w:numPr>
          <w:ilvl w:val="0"/>
          <w:numId w:val="0"/>
        </w:numPr>
        <w:shd w:val="clear" w:color="auto" w:fill="FFFFFF"/>
        <w:kinsoku w:val="0"/>
        <w:wordWrap/>
        <w:bidi w:val="0"/>
        <w:adjustRightInd w:val="0"/>
        <w:snapToGrid w:val="0"/>
        <w:spacing w:beforeAutospacing="0" w:afterAutospacing="0" w:line="360" w:lineRule="auto"/>
        <w:ind w:left="0" w:leftChars="0" w:right="0" w:rightChars="0"/>
        <w:jc w:val="left"/>
        <w:textAlignment w:val="baseline"/>
        <w:rPr>
          <w:rFonts w:hint="eastAsia" w:ascii="宋体" w:hAnsi="宋体" w:eastAsia="宋体" w:cs="宋体"/>
          <w:b/>
          <w:kern w:val="0"/>
          <w:sz w:val="28"/>
          <w:szCs w:val="28"/>
          <w:highlight w:val="none"/>
        </w:rPr>
      </w:pPr>
    </w:p>
    <w:p w14:paraId="388497F4">
      <w:pPr>
        <w:keepNext w:val="0"/>
        <w:keepLines w:val="0"/>
        <w:pageBreakBefore w:val="0"/>
        <w:widowControl/>
        <w:numPr>
          <w:ilvl w:val="0"/>
          <w:numId w:val="0"/>
        </w:numPr>
        <w:shd w:val="clear" w:color="auto" w:fill="FFFFFF"/>
        <w:kinsoku w:val="0"/>
        <w:wordWrap/>
        <w:bidi w:val="0"/>
        <w:adjustRightInd w:val="0"/>
        <w:snapToGrid w:val="0"/>
        <w:spacing w:beforeAutospacing="0" w:afterAutospacing="0" w:line="360" w:lineRule="auto"/>
        <w:ind w:left="0" w:leftChars="0" w:right="0" w:rightChars="0"/>
        <w:jc w:val="left"/>
        <w:textAlignment w:val="baseline"/>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 xml:space="preserve">附件2： </w:t>
      </w:r>
    </w:p>
    <w:p w14:paraId="67CC848A">
      <w:pPr>
        <w:keepNext w:val="0"/>
        <w:keepLines w:val="0"/>
        <w:pageBreakBefore w:val="0"/>
        <w:widowControl/>
        <w:shd w:val="clear" w:color="auto" w:fill="FFFFFF"/>
        <w:kinsoku w:val="0"/>
        <w:wordWrap/>
        <w:bidi w:val="0"/>
        <w:adjustRightInd w:val="0"/>
        <w:snapToGrid w:val="0"/>
        <w:spacing w:beforeAutospacing="0" w:afterAutospacing="0" w:line="360" w:lineRule="auto"/>
        <w:ind w:left="0" w:leftChars="0" w:right="0" w:rightChars="0"/>
        <w:jc w:val="center"/>
        <w:textAlignment w:val="baseline"/>
        <w:rPr>
          <w:rFonts w:hint="eastAsia" w:ascii="宋体" w:hAnsi="宋体" w:eastAsia="宋体" w:cs="宋体"/>
          <w:b/>
          <w:kern w:val="0"/>
          <w:sz w:val="24"/>
          <w:highlight w:val="none"/>
          <w:lang w:val="en-US" w:eastAsia="zh-CN"/>
        </w:rPr>
      </w:pPr>
      <w:r>
        <w:rPr>
          <w:rFonts w:hint="eastAsia" w:ascii="宋体" w:hAnsi="宋体" w:eastAsia="宋体" w:cs="宋体"/>
          <w:b/>
          <w:kern w:val="0"/>
          <w:sz w:val="24"/>
          <w:highlight w:val="none"/>
          <w:lang w:val="en-US" w:eastAsia="zh-CN"/>
        </w:rPr>
        <w:t>非联合体投标承诺书</w:t>
      </w:r>
    </w:p>
    <w:p w14:paraId="041C2EA7">
      <w:pPr>
        <w:keepNext w:val="0"/>
        <w:keepLines w:val="0"/>
        <w:pageBreakBefore w:val="0"/>
        <w:widowControl/>
        <w:shd w:val="clear" w:color="auto" w:fill="FFFFFF"/>
        <w:kinsoku w:val="0"/>
        <w:wordWrap/>
        <w:bidi w:val="0"/>
        <w:adjustRightInd w:val="0"/>
        <w:snapToGrid w:val="0"/>
        <w:spacing w:beforeAutospacing="0" w:afterAutospacing="0" w:line="360" w:lineRule="auto"/>
        <w:ind w:left="0" w:leftChars="0" w:right="0" w:rightChars="0"/>
        <w:jc w:val="center"/>
        <w:textAlignment w:val="baseline"/>
        <w:rPr>
          <w:rFonts w:hint="eastAsia" w:ascii="宋体" w:hAnsi="宋体" w:eastAsia="宋体" w:cs="宋体"/>
          <w:b/>
          <w:kern w:val="0"/>
          <w:sz w:val="24"/>
          <w:highlight w:val="none"/>
          <w:lang w:val="zh-CN" w:eastAsia="zh-CN"/>
        </w:rPr>
      </w:pPr>
    </w:p>
    <w:p w14:paraId="12A937B8">
      <w:pPr>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致（采购单位）：</w:t>
      </w:r>
    </w:p>
    <w:p w14:paraId="3F6EC57C">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我单位参与本次采购活动中，非联合体投标，特此承诺。 </w:t>
      </w:r>
    </w:p>
    <w:p w14:paraId="21A212ED">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若承诺不实，同意取消投标资格，接受相关处理。</w:t>
      </w:r>
    </w:p>
    <w:p w14:paraId="6F116F87">
      <w:pPr>
        <w:keepNext w:val="0"/>
        <w:keepLines w:val="0"/>
        <w:pageBreakBefore w:val="0"/>
        <w:widowControl/>
        <w:kinsoku w:val="0"/>
        <w:wordWrap/>
        <w:bidi w:val="0"/>
        <w:adjustRightInd w:val="0"/>
        <w:snapToGrid w:val="0"/>
        <w:spacing w:beforeAutospacing="0" w:afterAutospacing="0" w:line="360" w:lineRule="auto"/>
        <w:ind w:left="0" w:leftChars="0" w:right="0" w:rightChars="0"/>
        <w:jc w:val="right"/>
        <w:rPr>
          <w:rFonts w:hint="eastAsia" w:ascii="宋体" w:hAnsi="宋体" w:eastAsia="宋体" w:cs="宋体"/>
          <w:sz w:val="24"/>
          <w:szCs w:val="24"/>
          <w:highlight w:val="none"/>
        </w:rPr>
      </w:pPr>
    </w:p>
    <w:p w14:paraId="38A49592">
      <w:pPr>
        <w:keepNext w:val="0"/>
        <w:keepLines w:val="0"/>
        <w:pageBreakBefore w:val="0"/>
        <w:widowControl/>
        <w:kinsoku w:val="0"/>
        <w:wordWrap/>
        <w:bidi w:val="0"/>
        <w:adjustRightInd w:val="0"/>
        <w:snapToGrid w:val="0"/>
        <w:spacing w:beforeAutospacing="0" w:afterAutospacing="0" w:line="360" w:lineRule="auto"/>
        <w:ind w:left="0" w:leftChars="0" w:right="0" w:rightChars="0"/>
        <w:jc w:val="right"/>
        <w:rPr>
          <w:rFonts w:hint="eastAsia" w:ascii="宋体" w:hAnsi="宋体" w:eastAsia="宋体" w:cs="宋体"/>
          <w:sz w:val="24"/>
          <w:szCs w:val="24"/>
          <w:highlight w:val="none"/>
        </w:rPr>
      </w:pPr>
    </w:p>
    <w:p w14:paraId="7065A4A9">
      <w:pPr>
        <w:keepNext w:val="0"/>
        <w:keepLines w:val="0"/>
        <w:pageBreakBefore w:val="0"/>
        <w:widowControl/>
        <w:kinsoku w:val="0"/>
        <w:wordWrap/>
        <w:overflowPunct/>
        <w:topLinePunct w:val="0"/>
        <w:autoSpaceDE/>
        <w:autoSpaceDN/>
        <w:bidi w:val="0"/>
        <w:adjustRightInd w:val="0"/>
        <w:snapToGrid w:val="0"/>
        <w:spacing w:beforeAutospacing="0" w:afterAutospacing="0" w:line="360" w:lineRule="auto"/>
        <w:ind w:left="0" w:leftChars="0" w:right="0" w:rightChars="0" w:firstLine="3600" w:firstLineChars="1500"/>
        <w:jc w:val="right"/>
        <w:textAlignment w:val="auto"/>
        <w:rPr>
          <w:rFonts w:hint="eastAsia" w:ascii="宋体" w:hAnsi="宋体" w:eastAsia="宋体" w:cs="宋体"/>
          <w:b w:val="0"/>
          <w:bCs w:val="0"/>
          <w:color w:val="auto"/>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b w:val="0"/>
          <w:bCs w:val="0"/>
          <w:color w:val="auto"/>
          <w:sz w:val="24"/>
          <w:szCs w:val="24"/>
          <w:highlight w:val="none"/>
        </w:rPr>
        <w:t>供</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应</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商：</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（电子签章）</w:t>
      </w:r>
    </w:p>
    <w:p w14:paraId="3853625A">
      <w:pPr>
        <w:keepNext w:val="0"/>
        <w:keepLines w:val="0"/>
        <w:pageBreakBefore w:val="0"/>
        <w:widowControl/>
        <w:kinsoku w:val="0"/>
        <w:wordWrap/>
        <w:overflowPunct/>
        <w:topLinePunct w:val="0"/>
        <w:autoSpaceDE/>
        <w:autoSpaceDN/>
        <w:bidi w:val="0"/>
        <w:adjustRightInd w:val="0"/>
        <w:snapToGrid w:val="0"/>
        <w:spacing w:beforeAutospacing="0" w:afterAutospacing="0" w:line="360" w:lineRule="auto"/>
        <w:ind w:left="0" w:leftChars="0" w:right="0" w:rightChars="0" w:firstLine="3600" w:firstLineChars="1500"/>
        <w:jc w:val="righ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（电子签章）</w:t>
      </w:r>
    </w:p>
    <w:p w14:paraId="42569A78">
      <w:pPr>
        <w:keepNext w:val="0"/>
        <w:keepLines w:val="0"/>
        <w:pageBreakBefore w:val="0"/>
        <w:widowControl/>
        <w:kinsoku w:val="0"/>
        <w:wordWrap/>
        <w:overflowPunct/>
        <w:topLinePunct w:val="0"/>
        <w:autoSpaceDE/>
        <w:autoSpaceDN/>
        <w:bidi w:val="0"/>
        <w:adjustRightInd w:val="0"/>
        <w:snapToGrid w:val="0"/>
        <w:spacing w:beforeAutospacing="0" w:afterAutospacing="0" w:line="360" w:lineRule="auto"/>
        <w:ind w:left="0" w:leftChars="0" w:right="0" w:rightChars="0" w:firstLine="3600" w:firstLineChars="1500"/>
        <w:jc w:val="righ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期：</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w:t>
      </w:r>
    </w:p>
    <w:p w14:paraId="031EECFB">
      <w:pPr>
        <w:pStyle w:val="10"/>
        <w:keepNext w:val="0"/>
        <w:keepLines w:val="0"/>
        <w:pageBreakBefore w:val="0"/>
        <w:widowControl/>
        <w:kinsoku w:val="0"/>
        <w:wordWrap/>
        <w:bidi w:val="0"/>
        <w:adjustRightInd w:val="0"/>
        <w:snapToGrid w:val="0"/>
        <w:spacing w:beforeAutospacing="0" w:after="0" w:afterAutospacing="0" w:line="360" w:lineRule="auto"/>
        <w:ind w:left="0" w:leftChars="0" w:right="0" w:rightChars="0"/>
        <w:jc w:val="right"/>
        <w:rPr>
          <w:rFonts w:hint="eastAsia" w:ascii="宋体" w:hAnsi="宋体" w:eastAsia="宋体" w:cs="宋体"/>
          <w:kern w:val="0"/>
          <w:szCs w:val="24"/>
          <w:highlight w:val="none"/>
          <w:lang w:val="en-US" w:eastAsia="zh-CN"/>
        </w:rPr>
      </w:pPr>
    </w:p>
    <w:p w14:paraId="01D1157E">
      <w:pPr>
        <w:pStyle w:val="4"/>
        <w:keepNext w:val="0"/>
        <w:keepLines w:val="0"/>
        <w:pageBreakBefore w:val="0"/>
        <w:widowControl/>
        <w:kinsoku w:val="0"/>
        <w:wordWrap/>
        <w:bidi w:val="0"/>
        <w:adjustRightInd w:val="0"/>
        <w:snapToGrid w:val="0"/>
        <w:spacing w:before="0" w:beforeAutospacing="0" w:afterAutospacing="0" w:line="360" w:lineRule="auto"/>
        <w:ind w:left="0" w:leftChars="0" w:right="0" w:rightChars="0"/>
        <w:rPr>
          <w:rFonts w:hint="eastAsia" w:ascii="宋体" w:hAnsi="宋体" w:eastAsia="宋体" w:cs="宋体"/>
          <w:highlight w:val="none"/>
        </w:rPr>
      </w:pPr>
    </w:p>
    <w:p w14:paraId="4ECC65D7">
      <w:pPr>
        <w:keepNext w:val="0"/>
        <w:keepLines w:val="0"/>
        <w:pageBreakBefore w:val="0"/>
        <w:widowControl/>
        <w:shd w:val="clear" w:color="auto" w:fill="FFFFFF"/>
        <w:kinsoku w:val="0"/>
        <w:wordWrap/>
        <w:bidi w:val="0"/>
        <w:adjustRightInd w:val="0"/>
        <w:snapToGrid w:val="0"/>
        <w:spacing w:beforeAutospacing="0" w:afterAutospacing="0" w:line="360" w:lineRule="auto"/>
        <w:ind w:left="0" w:leftChars="0" w:right="0" w:rightChars="0"/>
        <w:jc w:val="left"/>
        <w:textAlignment w:val="baseline"/>
        <w:rPr>
          <w:rFonts w:hint="eastAsia" w:ascii="宋体" w:hAnsi="宋体" w:eastAsia="宋体" w:cs="宋体"/>
          <w:b/>
          <w:kern w:val="0"/>
          <w:sz w:val="28"/>
          <w:szCs w:val="28"/>
          <w:highlight w:val="none"/>
        </w:rPr>
      </w:pPr>
      <w:r>
        <w:rPr>
          <w:rFonts w:hint="eastAsia" w:ascii="宋体" w:hAnsi="宋体" w:eastAsia="宋体" w:cs="宋体"/>
          <w:kern w:val="0"/>
          <w:szCs w:val="21"/>
          <w:highlight w:val="none"/>
        </w:rPr>
        <w:br w:type="page"/>
      </w:r>
      <w:r>
        <w:rPr>
          <w:rFonts w:hint="eastAsia" w:ascii="宋体" w:hAnsi="宋体" w:eastAsia="宋体" w:cs="宋体"/>
          <w:b/>
          <w:kern w:val="0"/>
          <w:sz w:val="28"/>
          <w:szCs w:val="28"/>
          <w:highlight w:val="none"/>
        </w:rPr>
        <w:t>附件</w:t>
      </w:r>
      <w:r>
        <w:rPr>
          <w:rFonts w:hint="eastAsia" w:ascii="宋体" w:hAnsi="宋体" w:eastAsia="宋体" w:cs="宋体"/>
          <w:b/>
          <w:kern w:val="0"/>
          <w:sz w:val="28"/>
          <w:szCs w:val="28"/>
          <w:highlight w:val="none"/>
          <w:lang w:val="en-US" w:eastAsia="zh-CN"/>
        </w:rPr>
        <w:t>3</w:t>
      </w:r>
      <w:r>
        <w:rPr>
          <w:rFonts w:hint="eastAsia" w:ascii="宋体" w:hAnsi="宋体" w:eastAsia="宋体" w:cs="宋体"/>
          <w:b/>
          <w:kern w:val="0"/>
          <w:sz w:val="28"/>
          <w:szCs w:val="28"/>
          <w:highlight w:val="none"/>
        </w:rPr>
        <w:t xml:space="preserve">： </w:t>
      </w:r>
    </w:p>
    <w:p w14:paraId="248A885B">
      <w:pPr>
        <w:keepNext w:val="0"/>
        <w:keepLines w:val="0"/>
        <w:pageBreakBefore w:val="0"/>
        <w:widowControl/>
        <w:shd w:val="clear" w:color="auto" w:fill="FFFFFF"/>
        <w:kinsoku w:val="0"/>
        <w:wordWrap/>
        <w:bidi w:val="0"/>
        <w:adjustRightInd w:val="0"/>
        <w:snapToGrid w:val="0"/>
        <w:spacing w:beforeAutospacing="0" w:afterAutospacing="0" w:line="360" w:lineRule="auto"/>
        <w:ind w:left="0" w:leftChars="0" w:right="0" w:rightChars="0" w:firstLine="482" w:firstLineChars="200"/>
        <w:jc w:val="center"/>
        <w:textAlignment w:val="baseline"/>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无商业贿赂</w:t>
      </w:r>
      <w:r>
        <w:rPr>
          <w:rFonts w:hint="eastAsia" w:ascii="宋体" w:hAnsi="宋体" w:eastAsia="宋体" w:cs="宋体"/>
          <w:b/>
          <w:kern w:val="0"/>
          <w:sz w:val="24"/>
          <w:highlight w:val="none"/>
          <w:lang w:val="en-US" w:eastAsia="zh-CN"/>
        </w:rPr>
        <w:t>及</w:t>
      </w:r>
      <w:r>
        <w:rPr>
          <w:rFonts w:hint="eastAsia" w:ascii="宋体" w:hAnsi="宋体" w:eastAsia="宋体" w:cs="宋体"/>
          <w:b/>
          <w:kern w:val="0"/>
          <w:sz w:val="24"/>
          <w:highlight w:val="none"/>
          <w:lang w:val="zh-CN"/>
        </w:rPr>
        <w:t>无不正当竞争行为的承诺书</w:t>
      </w:r>
    </w:p>
    <w:p w14:paraId="7E4F280B">
      <w:pPr>
        <w:keepNext w:val="0"/>
        <w:keepLines w:val="0"/>
        <w:pageBreakBefore w:val="0"/>
        <w:widowControl/>
        <w:kinsoku w:val="0"/>
        <w:wordWrap/>
        <w:bidi w:val="0"/>
        <w:adjustRightInd w:val="0"/>
        <w:snapToGrid w:val="0"/>
        <w:spacing w:beforeAutospacing="0" w:afterAutospacing="0" w:line="360" w:lineRule="auto"/>
        <w:ind w:left="0" w:leftChars="0" w:right="0" w:rightChars="0"/>
        <w:jc w:val="left"/>
        <w:rPr>
          <w:rFonts w:hint="eastAsia" w:ascii="宋体" w:hAnsi="宋体" w:eastAsia="宋体" w:cs="宋体"/>
          <w:sz w:val="24"/>
          <w:szCs w:val="24"/>
          <w:highlight w:val="none"/>
        </w:rPr>
      </w:pPr>
    </w:p>
    <w:p w14:paraId="729064B1">
      <w:pPr>
        <w:keepNext w:val="0"/>
        <w:keepLines w:val="0"/>
        <w:pageBreakBefore w:val="0"/>
        <w:widowControl/>
        <w:kinsoku w:val="0"/>
        <w:wordWrap/>
        <w:bidi w:val="0"/>
        <w:adjustRightInd w:val="0"/>
        <w:snapToGrid w:val="0"/>
        <w:spacing w:beforeAutospacing="0" w:afterAutospacing="0"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我公司承诺：</w:t>
      </w:r>
    </w:p>
    <w:p w14:paraId="7BC1C864">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一、我公司</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及法人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自成立以来，在参与政府采购活动中，从无商业贿赂及不正当竞争行为。</w:t>
      </w:r>
    </w:p>
    <w:p w14:paraId="2A5BDDC4">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二、公平竞争参加本次采购活动。</w:t>
      </w:r>
    </w:p>
    <w:p w14:paraId="08F003EF">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三、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 </w:t>
      </w:r>
    </w:p>
    <w:p w14:paraId="70B71F97">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四、坚持投标独立性，保证不以任何手段了解或意图了解其他投标参与人情况及其报价信息。除公开渠道获取相关信息外，保证不以其它方式刺探或意图刺探贵司评标、议标信息及其进展。</w:t>
      </w:r>
    </w:p>
    <w:p w14:paraId="05164E30">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五、若出现上述行为，与投标的工作人员愿意接受按照国家法律法规等有关规定给子的处罚。</w:t>
      </w:r>
    </w:p>
    <w:p w14:paraId="79718AC1">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507BC67E">
      <w:pPr>
        <w:pStyle w:val="26"/>
        <w:keepNext w:val="0"/>
        <w:keepLines w:val="0"/>
        <w:pageBreakBefore w:val="0"/>
        <w:widowControl/>
        <w:kinsoku w:val="0"/>
        <w:wordWrap/>
        <w:bidi w:val="0"/>
        <w:adjustRightInd w:val="0"/>
        <w:snapToGrid w:val="0"/>
        <w:spacing w:beforeAutospacing="0" w:after="0" w:afterAutospacing="0" w:line="360" w:lineRule="auto"/>
        <w:ind w:left="0" w:leftChars="0" w:right="0" w:rightChars="0" w:firstLine="200"/>
        <w:rPr>
          <w:rFonts w:hint="eastAsia" w:ascii="宋体" w:hAnsi="宋体" w:eastAsia="宋体" w:cs="宋体"/>
          <w:highlight w:val="none"/>
        </w:rPr>
      </w:pPr>
    </w:p>
    <w:p w14:paraId="5F71E0BD">
      <w:pPr>
        <w:keepNext w:val="0"/>
        <w:keepLines w:val="0"/>
        <w:pageBreakBefore w:val="0"/>
        <w:widowControl/>
        <w:kinsoku w:val="0"/>
        <w:wordWrap/>
        <w:overflowPunct/>
        <w:topLinePunct w:val="0"/>
        <w:autoSpaceDE/>
        <w:autoSpaceDN/>
        <w:bidi w:val="0"/>
        <w:adjustRightInd w:val="0"/>
        <w:snapToGrid w:val="0"/>
        <w:spacing w:beforeAutospacing="0" w:afterAutospacing="0" w:line="360" w:lineRule="auto"/>
        <w:ind w:left="0" w:leftChars="0" w:right="0" w:rightChars="0" w:firstLine="3600" w:firstLineChars="1500"/>
        <w:jc w:val="right"/>
        <w:textAlignment w:val="auto"/>
        <w:rPr>
          <w:rFonts w:hint="eastAsia" w:ascii="宋体" w:hAnsi="宋体" w:eastAsia="宋体" w:cs="宋体"/>
          <w:b w:val="0"/>
          <w:bCs w:val="0"/>
          <w:color w:val="auto"/>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b w:val="0"/>
          <w:bCs w:val="0"/>
          <w:color w:val="auto"/>
          <w:sz w:val="24"/>
          <w:szCs w:val="24"/>
          <w:highlight w:val="none"/>
        </w:rPr>
        <w:t>供</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应</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商：</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（电子签章）</w:t>
      </w:r>
    </w:p>
    <w:p w14:paraId="46C74C9B">
      <w:pPr>
        <w:keepNext w:val="0"/>
        <w:keepLines w:val="0"/>
        <w:pageBreakBefore w:val="0"/>
        <w:widowControl/>
        <w:kinsoku w:val="0"/>
        <w:wordWrap/>
        <w:overflowPunct/>
        <w:topLinePunct w:val="0"/>
        <w:autoSpaceDE/>
        <w:autoSpaceDN/>
        <w:bidi w:val="0"/>
        <w:adjustRightInd w:val="0"/>
        <w:snapToGrid w:val="0"/>
        <w:spacing w:beforeAutospacing="0" w:afterAutospacing="0" w:line="360" w:lineRule="auto"/>
        <w:ind w:left="0" w:leftChars="0" w:right="0" w:rightChars="0" w:firstLine="3600" w:firstLineChars="1500"/>
        <w:jc w:val="righ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（电子签章）</w:t>
      </w:r>
    </w:p>
    <w:p w14:paraId="14F8C3D7">
      <w:pPr>
        <w:keepNext w:val="0"/>
        <w:keepLines w:val="0"/>
        <w:pageBreakBefore w:val="0"/>
        <w:widowControl/>
        <w:kinsoku w:val="0"/>
        <w:wordWrap/>
        <w:overflowPunct/>
        <w:topLinePunct w:val="0"/>
        <w:autoSpaceDE/>
        <w:autoSpaceDN/>
        <w:bidi w:val="0"/>
        <w:adjustRightInd w:val="0"/>
        <w:snapToGrid w:val="0"/>
        <w:spacing w:beforeAutospacing="0" w:afterAutospacing="0" w:line="360" w:lineRule="auto"/>
        <w:ind w:left="0" w:leftChars="0" w:right="0" w:rightChars="0" w:firstLine="3600" w:firstLineChars="1500"/>
        <w:jc w:val="righ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期：</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w:t>
      </w:r>
    </w:p>
    <w:p w14:paraId="7AA31EF2">
      <w:pPr>
        <w:pStyle w:val="10"/>
        <w:keepNext w:val="0"/>
        <w:keepLines w:val="0"/>
        <w:pageBreakBefore w:val="0"/>
        <w:widowControl/>
        <w:kinsoku w:val="0"/>
        <w:wordWrap/>
        <w:bidi w:val="0"/>
        <w:adjustRightInd w:val="0"/>
        <w:snapToGrid w:val="0"/>
        <w:spacing w:beforeAutospacing="0" w:after="0" w:afterAutospacing="0" w:line="360" w:lineRule="auto"/>
        <w:ind w:left="0" w:leftChars="0" w:right="0" w:rightChars="0"/>
        <w:jc w:val="right"/>
        <w:rPr>
          <w:rFonts w:hint="eastAsia" w:ascii="宋体" w:hAnsi="宋体" w:eastAsia="宋体" w:cs="宋体"/>
          <w:kern w:val="0"/>
          <w:szCs w:val="24"/>
          <w:highlight w:val="none"/>
          <w:lang w:val="en-US" w:eastAsia="zh-CN"/>
        </w:rPr>
      </w:pPr>
    </w:p>
    <w:p w14:paraId="32A4F154">
      <w:pPr>
        <w:keepNext w:val="0"/>
        <w:keepLines w:val="0"/>
        <w:pageBreakBefore w:val="0"/>
        <w:widowControl/>
        <w:kinsoku w:val="0"/>
        <w:wordWrap/>
        <w:bidi w:val="0"/>
        <w:adjustRightInd w:val="0"/>
        <w:snapToGrid w:val="0"/>
        <w:spacing w:beforeAutospacing="0" w:afterAutospacing="0" w:line="360" w:lineRule="auto"/>
        <w:ind w:left="0" w:leftChars="0" w:right="0" w:rightChars="0"/>
        <w:jc w:val="both"/>
        <w:rPr>
          <w:rFonts w:hint="eastAsia" w:ascii="宋体" w:hAnsi="宋体" w:eastAsia="宋体" w:cs="宋体"/>
          <w:b/>
          <w:kern w:val="0"/>
          <w:sz w:val="28"/>
          <w:szCs w:val="28"/>
          <w:highlight w:val="none"/>
        </w:rPr>
      </w:pPr>
    </w:p>
    <w:p w14:paraId="1E64A3A4">
      <w:pPr>
        <w:pStyle w:val="110"/>
        <w:keepNext w:val="0"/>
        <w:keepLines w:val="0"/>
        <w:pageBreakBefore w:val="0"/>
        <w:widowControl/>
        <w:kinsoku w:val="0"/>
        <w:wordWrap/>
        <w:bidi w:val="0"/>
        <w:adjustRightInd w:val="0"/>
        <w:snapToGrid w:val="0"/>
        <w:spacing w:beforeAutospacing="0" w:after="0" w:afterAutospacing="0" w:line="360" w:lineRule="auto"/>
        <w:ind w:left="0" w:leftChars="0" w:right="0" w:rightChars="0" w:firstLine="281"/>
        <w:jc w:val="center"/>
        <w:rPr>
          <w:rFonts w:hint="eastAsia" w:ascii="宋体" w:hAnsi="宋体" w:eastAsia="宋体" w:cs="宋体"/>
          <w:b/>
          <w:color w:val="000000"/>
          <w:kern w:val="0"/>
          <w:sz w:val="28"/>
          <w:szCs w:val="28"/>
          <w:highlight w:val="none"/>
          <w:lang w:val="en-US" w:eastAsia="zh-CN" w:bidi="ar-SA"/>
        </w:rPr>
      </w:pPr>
      <w:r>
        <w:rPr>
          <w:rFonts w:hint="eastAsia" w:ascii="宋体" w:hAnsi="宋体" w:eastAsia="宋体" w:cs="宋体"/>
          <w:b/>
          <w:color w:val="auto"/>
          <w:sz w:val="32"/>
          <w:szCs w:val="32"/>
          <w:highlight w:val="none"/>
        </w:rPr>
        <w:br w:type="page"/>
      </w:r>
      <w:r>
        <w:rPr>
          <w:rFonts w:hint="eastAsia" w:ascii="宋体" w:hAnsi="宋体" w:eastAsia="宋体" w:cs="宋体"/>
          <w:b/>
          <w:color w:val="000000"/>
          <w:kern w:val="0"/>
          <w:sz w:val="28"/>
          <w:szCs w:val="28"/>
          <w:highlight w:val="none"/>
          <w:lang w:val="en-US" w:eastAsia="zh-CN" w:bidi="ar-SA"/>
        </w:rPr>
        <w:t>六、2022年1月1日以来企业已完成的类似项目业绩表</w:t>
      </w:r>
    </w:p>
    <w:p w14:paraId="2ED416E8">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rPr>
          <w:rFonts w:hint="eastAsia" w:ascii="宋体" w:hAnsi="宋体" w:eastAsia="宋体" w:cs="宋体"/>
          <w:b/>
          <w:bCs/>
          <w:color w:val="000000"/>
          <w:sz w:val="24"/>
          <w:highlight w:val="none"/>
        </w:rPr>
      </w:pPr>
    </w:p>
    <w:tbl>
      <w:tblPr>
        <w:tblStyle w:val="28"/>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4"/>
        <w:gridCol w:w="6545"/>
      </w:tblGrid>
      <w:tr w14:paraId="11A6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2574" w:type="dxa"/>
            <w:noWrap w:val="0"/>
            <w:vAlign w:val="center"/>
          </w:tcPr>
          <w:p w14:paraId="6F0F70D6">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6545" w:type="dxa"/>
            <w:noWrap w:val="0"/>
            <w:vAlign w:val="top"/>
          </w:tcPr>
          <w:p w14:paraId="7B65E591">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rPr>
                <w:rFonts w:hint="eastAsia" w:ascii="宋体" w:hAnsi="宋体" w:eastAsia="宋体" w:cs="宋体"/>
                <w:sz w:val="24"/>
                <w:highlight w:val="none"/>
              </w:rPr>
            </w:pPr>
          </w:p>
        </w:tc>
      </w:tr>
      <w:tr w14:paraId="1E94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574" w:type="dxa"/>
            <w:noWrap w:val="0"/>
            <w:vAlign w:val="center"/>
          </w:tcPr>
          <w:p w14:paraId="7EFB7ECD">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jc w:val="center"/>
              <w:rPr>
                <w:rFonts w:hint="eastAsia" w:ascii="宋体" w:hAnsi="宋体" w:eastAsia="宋体" w:cs="宋体"/>
                <w:sz w:val="24"/>
                <w:highlight w:val="none"/>
              </w:rPr>
            </w:pPr>
            <w:r>
              <w:rPr>
                <w:rFonts w:hint="eastAsia" w:ascii="宋体" w:hAnsi="宋体" w:eastAsia="宋体" w:cs="宋体"/>
                <w:sz w:val="24"/>
                <w:highlight w:val="none"/>
              </w:rPr>
              <w:t>项目所在地</w:t>
            </w:r>
          </w:p>
        </w:tc>
        <w:tc>
          <w:tcPr>
            <w:tcW w:w="6545" w:type="dxa"/>
            <w:noWrap w:val="0"/>
            <w:vAlign w:val="top"/>
          </w:tcPr>
          <w:p w14:paraId="0D809834">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rPr>
                <w:rFonts w:hint="eastAsia" w:ascii="宋体" w:hAnsi="宋体" w:eastAsia="宋体" w:cs="宋体"/>
                <w:sz w:val="24"/>
                <w:highlight w:val="none"/>
              </w:rPr>
            </w:pPr>
          </w:p>
        </w:tc>
      </w:tr>
      <w:tr w14:paraId="5993E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574" w:type="dxa"/>
            <w:noWrap w:val="0"/>
            <w:vAlign w:val="center"/>
          </w:tcPr>
          <w:p w14:paraId="49B639C2">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jc w:val="center"/>
              <w:rPr>
                <w:rFonts w:hint="eastAsia" w:ascii="宋体" w:hAnsi="宋体" w:eastAsia="宋体" w:cs="宋体"/>
                <w:sz w:val="24"/>
                <w:highlight w:val="none"/>
              </w:rPr>
            </w:pPr>
            <w:r>
              <w:rPr>
                <w:rFonts w:hint="eastAsia" w:ascii="宋体" w:hAnsi="宋体" w:eastAsia="宋体" w:cs="宋体"/>
                <w:sz w:val="24"/>
                <w:highlight w:val="none"/>
              </w:rPr>
              <w:t>委托人名称</w:t>
            </w:r>
          </w:p>
        </w:tc>
        <w:tc>
          <w:tcPr>
            <w:tcW w:w="6545" w:type="dxa"/>
            <w:noWrap w:val="0"/>
            <w:vAlign w:val="top"/>
          </w:tcPr>
          <w:p w14:paraId="0B2954E9">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rPr>
                <w:rFonts w:hint="eastAsia" w:ascii="宋体" w:hAnsi="宋体" w:eastAsia="宋体" w:cs="宋体"/>
                <w:sz w:val="24"/>
                <w:highlight w:val="none"/>
              </w:rPr>
            </w:pPr>
          </w:p>
        </w:tc>
      </w:tr>
      <w:tr w14:paraId="1636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574" w:type="dxa"/>
            <w:noWrap w:val="0"/>
            <w:vAlign w:val="center"/>
          </w:tcPr>
          <w:p w14:paraId="0BDA8C15">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jc w:val="center"/>
              <w:rPr>
                <w:rFonts w:hint="eastAsia" w:ascii="宋体" w:hAnsi="宋体" w:eastAsia="宋体" w:cs="宋体"/>
                <w:sz w:val="24"/>
                <w:highlight w:val="none"/>
              </w:rPr>
            </w:pPr>
            <w:r>
              <w:rPr>
                <w:rFonts w:hint="eastAsia" w:ascii="宋体" w:hAnsi="宋体" w:eastAsia="宋体" w:cs="宋体"/>
                <w:sz w:val="24"/>
                <w:highlight w:val="none"/>
              </w:rPr>
              <w:t>委托人地址</w:t>
            </w:r>
          </w:p>
        </w:tc>
        <w:tc>
          <w:tcPr>
            <w:tcW w:w="6545" w:type="dxa"/>
            <w:noWrap w:val="0"/>
            <w:vAlign w:val="top"/>
          </w:tcPr>
          <w:p w14:paraId="6E4F9240">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rPr>
                <w:rFonts w:hint="eastAsia" w:ascii="宋体" w:hAnsi="宋体" w:eastAsia="宋体" w:cs="宋体"/>
                <w:sz w:val="24"/>
                <w:highlight w:val="none"/>
              </w:rPr>
            </w:pPr>
          </w:p>
        </w:tc>
      </w:tr>
      <w:tr w14:paraId="2FB5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574" w:type="dxa"/>
            <w:noWrap w:val="0"/>
            <w:vAlign w:val="center"/>
          </w:tcPr>
          <w:p w14:paraId="60D217DD">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jc w:val="center"/>
              <w:rPr>
                <w:rFonts w:hint="eastAsia" w:ascii="宋体" w:hAnsi="宋体" w:eastAsia="宋体" w:cs="宋体"/>
                <w:sz w:val="24"/>
                <w:highlight w:val="none"/>
              </w:rPr>
            </w:pPr>
            <w:r>
              <w:rPr>
                <w:rFonts w:hint="eastAsia" w:ascii="宋体" w:hAnsi="宋体" w:eastAsia="宋体" w:cs="宋体"/>
                <w:sz w:val="24"/>
                <w:highlight w:val="none"/>
              </w:rPr>
              <w:t>委托人电话</w:t>
            </w:r>
          </w:p>
        </w:tc>
        <w:tc>
          <w:tcPr>
            <w:tcW w:w="6545" w:type="dxa"/>
            <w:noWrap w:val="0"/>
            <w:vAlign w:val="top"/>
          </w:tcPr>
          <w:p w14:paraId="145C69AF">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rPr>
                <w:rFonts w:hint="eastAsia" w:ascii="宋体" w:hAnsi="宋体" w:eastAsia="宋体" w:cs="宋体"/>
                <w:sz w:val="24"/>
                <w:highlight w:val="none"/>
              </w:rPr>
            </w:pPr>
          </w:p>
        </w:tc>
      </w:tr>
      <w:tr w14:paraId="63E5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574" w:type="dxa"/>
            <w:noWrap w:val="0"/>
            <w:vAlign w:val="center"/>
          </w:tcPr>
          <w:p w14:paraId="57D220CB">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jc w:val="center"/>
              <w:rPr>
                <w:rFonts w:hint="eastAsia" w:ascii="宋体" w:hAnsi="宋体" w:eastAsia="宋体" w:cs="宋体"/>
                <w:sz w:val="24"/>
                <w:highlight w:val="none"/>
              </w:rPr>
            </w:pPr>
            <w:r>
              <w:rPr>
                <w:rFonts w:hint="eastAsia" w:ascii="宋体" w:hAnsi="宋体" w:eastAsia="宋体" w:cs="宋体"/>
                <w:sz w:val="24"/>
                <w:highlight w:val="none"/>
              </w:rPr>
              <w:t>承担的工作</w:t>
            </w:r>
          </w:p>
        </w:tc>
        <w:tc>
          <w:tcPr>
            <w:tcW w:w="6545" w:type="dxa"/>
            <w:noWrap w:val="0"/>
            <w:vAlign w:val="top"/>
          </w:tcPr>
          <w:p w14:paraId="47AC2EE9">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rPr>
                <w:rFonts w:hint="eastAsia" w:ascii="宋体" w:hAnsi="宋体" w:eastAsia="宋体" w:cs="宋体"/>
                <w:sz w:val="24"/>
                <w:highlight w:val="none"/>
              </w:rPr>
            </w:pPr>
          </w:p>
        </w:tc>
      </w:tr>
      <w:tr w14:paraId="6063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574" w:type="dxa"/>
            <w:noWrap w:val="0"/>
            <w:vAlign w:val="center"/>
          </w:tcPr>
          <w:p w14:paraId="447806DD">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jc w:val="center"/>
              <w:rPr>
                <w:rFonts w:hint="eastAsia" w:ascii="宋体" w:hAnsi="宋体" w:eastAsia="宋体" w:cs="宋体"/>
                <w:sz w:val="24"/>
                <w:highlight w:val="none"/>
              </w:rPr>
            </w:pPr>
            <w:r>
              <w:rPr>
                <w:rFonts w:hint="eastAsia" w:ascii="宋体" w:hAnsi="宋体" w:eastAsia="宋体" w:cs="宋体"/>
                <w:sz w:val="24"/>
                <w:highlight w:val="none"/>
              </w:rPr>
              <w:t>项目负责人</w:t>
            </w:r>
          </w:p>
        </w:tc>
        <w:tc>
          <w:tcPr>
            <w:tcW w:w="6545" w:type="dxa"/>
            <w:noWrap w:val="0"/>
            <w:vAlign w:val="top"/>
          </w:tcPr>
          <w:p w14:paraId="030BF78C">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rPr>
                <w:rFonts w:hint="eastAsia" w:ascii="宋体" w:hAnsi="宋体" w:eastAsia="宋体" w:cs="宋体"/>
                <w:sz w:val="24"/>
                <w:highlight w:val="none"/>
              </w:rPr>
            </w:pPr>
          </w:p>
        </w:tc>
      </w:tr>
      <w:tr w14:paraId="7D099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7" w:hRule="atLeast"/>
        </w:trPr>
        <w:tc>
          <w:tcPr>
            <w:tcW w:w="2574" w:type="dxa"/>
            <w:noWrap w:val="0"/>
            <w:vAlign w:val="center"/>
          </w:tcPr>
          <w:p w14:paraId="576F7F26">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jc w:val="center"/>
              <w:rPr>
                <w:rFonts w:hint="eastAsia" w:ascii="宋体" w:hAnsi="宋体" w:eastAsia="宋体" w:cs="宋体"/>
                <w:sz w:val="24"/>
                <w:highlight w:val="none"/>
              </w:rPr>
            </w:pPr>
            <w:r>
              <w:rPr>
                <w:rFonts w:hint="eastAsia" w:ascii="宋体" w:hAnsi="宋体" w:eastAsia="宋体" w:cs="宋体"/>
                <w:sz w:val="24"/>
                <w:highlight w:val="none"/>
              </w:rPr>
              <w:t>项目描述</w:t>
            </w:r>
          </w:p>
        </w:tc>
        <w:tc>
          <w:tcPr>
            <w:tcW w:w="6545" w:type="dxa"/>
            <w:noWrap w:val="0"/>
            <w:vAlign w:val="top"/>
          </w:tcPr>
          <w:p w14:paraId="42CE521C">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rPr>
                <w:rFonts w:hint="eastAsia" w:ascii="宋体" w:hAnsi="宋体" w:eastAsia="宋体" w:cs="宋体"/>
                <w:sz w:val="24"/>
                <w:highlight w:val="none"/>
              </w:rPr>
            </w:pPr>
          </w:p>
          <w:p w14:paraId="3C20D6C3">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rPr>
                <w:rFonts w:hint="eastAsia" w:ascii="宋体" w:hAnsi="宋体" w:eastAsia="宋体" w:cs="宋体"/>
                <w:sz w:val="24"/>
                <w:highlight w:val="none"/>
              </w:rPr>
            </w:pPr>
          </w:p>
          <w:p w14:paraId="04E52DD6">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rPr>
                <w:rFonts w:hint="eastAsia" w:ascii="宋体" w:hAnsi="宋体" w:eastAsia="宋体" w:cs="宋体"/>
                <w:sz w:val="24"/>
                <w:highlight w:val="none"/>
              </w:rPr>
            </w:pPr>
          </w:p>
          <w:p w14:paraId="0C079DC3">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rPr>
                <w:rFonts w:hint="eastAsia" w:ascii="宋体" w:hAnsi="宋体" w:eastAsia="宋体" w:cs="宋体"/>
                <w:sz w:val="24"/>
                <w:highlight w:val="none"/>
              </w:rPr>
            </w:pPr>
          </w:p>
          <w:p w14:paraId="5478863F">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rPr>
                <w:rFonts w:hint="eastAsia" w:ascii="宋体" w:hAnsi="宋体" w:eastAsia="宋体" w:cs="宋体"/>
                <w:sz w:val="24"/>
                <w:highlight w:val="none"/>
              </w:rPr>
            </w:pPr>
          </w:p>
          <w:p w14:paraId="02B31E21">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rPr>
                <w:rFonts w:hint="eastAsia" w:ascii="宋体" w:hAnsi="宋体" w:eastAsia="宋体" w:cs="宋体"/>
                <w:sz w:val="24"/>
                <w:highlight w:val="none"/>
              </w:rPr>
            </w:pPr>
          </w:p>
          <w:p w14:paraId="2CA87B8F">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rPr>
                <w:rFonts w:hint="eastAsia" w:ascii="宋体" w:hAnsi="宋体" w:eastAsia="宋体" w:cs="宋体"/>
                <w:sz w:val="24"/>
                <w:highlight w:val="none"/>
              </w:rPr>
            </w:pPr>
          </w:p>
        </w:tc>
      </w:tr>
      <w:tr w14:paraId="2E5D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74" w:type="dxa"/>
            <w:noWrap w:val="0"/>
            <w:vAlign w:val="center"/>
          </w:tcPr>
          <w:p w14:paraId="7EF2B27D">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jc w:val="center"/>
              <w:rPr>
                <w:rFonts w:hint="eastAsia" w:ascii="宋体" w:hAnsi="宋体" w:eastAsia="宋体" w:cs="宋体"/>
                <w:sz w:val="24"/>
                <w:highlight w:val="none"/>
              </w:rPr>
            </w:pPr>
            <w:r>
              <w:rPr>
                <w:rFonts w:hint="eastAsia" w:ascii="宋体" w:hAnsi="宋体" w:eastAsia="宋体" w:cs="宋体"/>
                <w:sz w:val="24"/>
                <w:highlight w:val="none"/>
              </w:rPr>
              <w:t>备注</w:t>
            </w:r>
          </w:p>
        </w:tc>
        <w:tc>
          <w:tcPr>
            <w:tcW w:w="6545" w:type="dxa"/>
            <w:noWrap w:val="0"/>
            <w:vAlign w:val="top"/>
          </w:tcPr>
          <w:p w14:paraId="17787880">
            <w:pPr>
              <w:keepNext w:val="0"/>
              <w:keepLines w:val="0"/>
              <w:pageBreakBefore w:val="0"/>
              <w:widowControl/>
              <w:kinsoku w:val="0"/>
              <w:wordWrap/>
              <w:topLinePunct/>
              <w:bidi w:val="0"/>
              <w:adjustRightInd w:val="0"/>
              <w:snapToGrid w:val="0"/>
              <w:spacing w:beforeAutospacing="0" w:afterAutospacing="0" w:line="360" w:lineRule="auto"/>
              <w:ind w:left="0" w:leftChars="0" w:right="0" w:rightChars="0"/>
              <w:rPr>
                <w:rFonts w:hint="eastAsia" w:ascii="宋体" w:hAnsi="宋体" w:eastAsia="宋体" w:cs="宋体"/>
                <w:sz w:val="24"/>
                <w:highlight w:val="none"/>
              </w:rPr>
            </w:pPr>
          </w:p>
        </w:tc>
      </w:tr>
    </w:tbl>
    <w:p w14:paraId="0A62CCE1">
      <w:pPr>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color w:val="000000"/>
          <w:sz w:val="24"/>
          <w:highlight w:val="none"/>
          <w:lang w:val="zh-CN"/>
        </w:rPr>
      </w:pPr>
    </w:p>
    <w:p w14:paraId="3C36CAA7">
      <w:pPr>
        <w:keepNext w:val="0"/>
        <w:keepLines w:val="0"/>
        <w:pageBreakBefore w:val="0"/>
        <w:widowControl/>
        <w:kinsoku w:val="0"/>
        <w:wordWrap/>
        <w:bidi w:val="0"/>
        <w:adjustRightInd w:val="0"/>
        <w:snapToGrid w:val="0"/>
        <w:spacing w:beforeAutospacing="0" w:afterAutospacing="0" w:line="360" w:lineRule="auto"/>
        <w:ind w:left="480" w:leftChars="0" w:right="0" w:rightChars="0" w:hanging="480" w:hangingChars="200"/>
        <w:rPr>
          <w:rFonts w:hint="eastAsia" w:ascii="宋体" w:hAnsi="宋体" w:eastAsia="宋体" w:cs="宋体"/>
          <w:sz w:val="24"/>
          <w:highlight w:val="none"/>
        </w:rPr>
      </w:pPr>
      <w:r>
        <w:rPr>
          <w:rFonts w:hint="eastAsia" w:ascii="宋体" w:hAnsi="宋体" w:eastAsia="宋体" w:cs="宋体"/>
          <w:color w:val="000000"/>
          <w:sz w:val="24"/>
          <w:highlight w:val="none"/>
        </w:rPr>
        <w:t>注：</w:t>
      </w:r>
      <w:r>
        <w:rPr>
          <w:rFonts w:hint="eastAsia" w:ascii="宋体" w:hAnsi="宋体" w:eastAsia="宋体" w:cs="宋体"/>
          <w:sz w:val="24"/>
          <w:highlight w:val="none"/>
        </w:rPr>
        <w:t>合同</w:t>
      </w:r>
      <w:r>
        <w:rPr>
          <w:rFonts w:hint="eastAsia" w:ascii="宋体" w:hAnsi="宋体" w:eastAsia="宋体" w:cs="宋体"/>
          <w:sz w:val="24"/>
          <w:highlight w:val="none"/>
          <w:lang w:val="en-US" w:eastAsia="zh-CN"/>
        </w:rPr>
        <w:t>等</w:t>
      </w:r>
      <w:r>
        <w:rPr>
          <w:rFonts w:hint="eastAsia" w:ascii="宋体" w:hAnsi="宋体" w:eastAsia="宋体" w:cs="宋体"/>
          <w:sz w:val="24"/>
          <w:highlight w:val="none"/>
        </w:rPr>
        <w:t>相关证明材料</w:t>
      </w:r>
      <w:r>
        <w:rPr>
          <w:rFonts w:hint="eastAsia" w:ascii="宋体" w:hAnsi="宋体" w:eastAsia="宋体" w:cs="宋体"/>
          <w:sz w:val="24"/>
          <w:highlight w:val="none"/>
          <w:lang w:eastAsia="zh-CN"/>
        </w:rPr>
        <w:t>扫描件</w:t>
      </w:r>
      <w:r>
        <w:rPr>
          <w:rFonts w:hint="eastAsia" w:ascii="宋体" w:hAnsi="宋体" w:eastAsia="宋体" w:cs="宋体"/>
          <w:sz w:val="24"/>
          <w:highlight w:val="none"/>
        </w:rPr>
        <w:t>附后</w:t>
      </w:r>
    </w:p>
    <w:p w14:paraId="46AC6C24">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sz w:val="24"/>
          <w:highlight w:val="none"/>
        </w:rPr>
      </w:pPr>
    </w:p>
    <w:p w14:paraId="6B4A9931">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sz w:val="24"/>
          <w:highlight w:val="none"/>
        </w:rPr>
      </w:pPr>
    </w:p>
    <w:p w14:paraId="72129D5F">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highlight w:val="none"/>
        </w:rPr>
      </w:pPr>
    </w:p>
    <w:p w14:paraId="033E9741">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highlight w:val="none"/>
        </w:rPr>
      </w:pPr>
    </w:p>
    <w:p w14:paraId="4B46CD96">
      <w:pPr>
        <w:pStyle w:val="4"/>
        <w:keepNext w:val="0"/>
        <w:keepLines w:val="0"/>
        <w:pageBreakBefore w:val="0"/>
        <w:widowControl/>
        <w:numPr>
          <w:ilvl w:val="0"/>
          <w:numId w:val="0"/>
        </w:numPr>
        <w:kinsoku w:val="0"/>
        <w:wordWrap/>
        <w:bidi w:val="0"/>
        <w:adjustRightInd w:val="0"/>
        <w:snapToGrid w:val="0"/>
        <w:spacing w:before="0" w:beforeAutospacing="0" w:afterAutospacing="0" w:line="360" w:lineRule="auto"/>
        <w:ind w:left="0" w:leftChars="0" w:right="0" w:rightChars="0"/>
        <w:jc w:val="center"/>
        <w:rPr>
          <w:rFonts w:hint="eastAsia" w:ascii="宋体" w:hAnsi="宋体" w:eastAsia="宋体" w:cs="宋体"/>
          <w:b/>
          <w:color w:val="000000"/>
          <w:kern w:val="0"/>
          <w:sz w:val="28"/>
          <w:szCs w:val="28"/>
          <w:highlight w:val="none"/>
          <w:lang w:val="en-US" w:eastAsia="zh-CN" w:bidi="ar-SA"/>
        </w:rPr>
      </w:pPr>
      <w:r>
        <w:rPr>
          <w:rFonts w:hint="eastAsia" w:ascii="宋体" w:hAnsi="宋体" w:eastAsia="宋体" w:cs="宋体"/>
          <w:b/>
          <w:color w:val="000000"/>
          <w:kern w:val="0"/>
          <w:sz w:val="28"/>
          <w:szCs w:val="28"/>
          <w:highlight w:val="none"/>
          <w:lang w:val="en-US" w:eastAsia="zh-CN" w:bidi="ar-SA"/>
        </w:rPr>
        <w:t>七、技术部分</w:t>
      </w:r>
    </w:p>
    <w:p w14:paraId="49B0AAB7">
      <w:pPr>
        <w:keepNext w:val="0"/>
        <w:keepLines w:val="0"/>
        <w:pageBreakBefore w:val="0"/>
        <w:widowControl/>
        <w:kinsoku w:val="0"/>
        <w:wordWrap/>
        <w:overflowPunct/>
        <w:bidi w:val="0"/>
        <w:adjustRightInd w:val="0"/>
        <w:snapToGrid w:val="0"/>
        <w:spacing w:beforeAutospacing="0" w:afterAutospacing="0" w:line="360" w:lineRule="auto"/>
        <w:ind w:left="0" w:leftChars="0" w:right="0" w:rightChars="0"/>
        <w:jc w:val="center"/>
        <w:textAlignment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根据招标文件</w:t>
      </w:r>
      <w:r>
        <w:rPr>
          <w:rFonts w:hint="eastAsia" w:ascii="宋体" w:hAnsi="宋体" w:eastAsia="宋体" w:cs="宋体"/>
          <w:b/>
          <w:bCs/>
          <w:color w:val="auto"/>
          <w:sz w:val="24"/>
          <w:highlight w:val="none"/>
        </w:rPr>
        <w:t>评标办法及评分标准</w:t>
      </w:r>
      <w:r>
        <w:rPr>
          <w:rFonts w:hint="eastAsia" w:ascii="宋体" w:hAnsi="宋体" w:eastAsia="宋体" w:cs="宋体"/>
          <w:b/>
          <w:bCs/>
          <w:color w:val="auto"/>
          <w:sz w:val="24"/>
          <w:highlight w:val="none"/>
          <w:lang w:val="en-US" w:eastAsia="zh-CN"/>
        </w:rPr>
        <w:t>自行编制，格式自拟</w:t>
      </w:r>
    </w:p>
    <w:p w14:paraId="7247BB59">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65AF04B3">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1DAFB5F1">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3F680015">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44DA221D">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7439648B">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firstLine="0"/>
        <w:rPr>
          <w:rFonts w:hint="eastAsia" w:ascii="宋体" w:hAnsi="宋体" w:eastAsia="宋体" w:cs="宋体"/>
          <w:b/>
          <w:bCs/>
          <w:color w:val="auto"/>
          <w:sz w:val="24"/>
          <w:highlight w:val="none"/>
          <w:lang w:val="en-US" w:eastAsia="zh-CN"/>
        </w:rPr>
      </w:pPr>
    </w:p>
    <w:p w14:paraId="315F73E4">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2BBD8E35">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65F5F4BF">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3DDCFF4C">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6C98130C">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7A9ABD5E">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625E2C6D">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6ECE4EC7">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0BC812E9">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036D4E44">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0E87FB33">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2A72B5EE">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1E636A7F">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11ED8F9F">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7C0DAD53">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0B24DF61">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14F37BB9">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140E3C12">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56A195DB">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2535BA33">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auto"/>
          <w:sz w:val="24"/>
          <w:highlight w:val="none"/>
          <w:lang w:val="en-US" w:eastAsia="zh-CN"/>
        </w:rPr>
      </w:pPr>
    </w:p>
    <w:p w14:paraId="3BBA80CA">
      <w:pPr>
        <w:pStyle w:val="4"/>
        <w:keepNext w:val="0"/>
        <w:keepLines w:val="0"/>
        <w:pageBreakBefore w:val="0"/>
        <w:widowControl/>
        <w:numPr>
          <w:ilvl w:val="0"/>
          <w:numId w:val="0"/>
        </w:numPr>
        <w:kinsoku w:val="0"/>
        <w:wordWrap/>
        <w:bidi w:val="0"/>
        <w:adjustRightInd w:val="0"/>
        <w:snapToGrid w:val="0"/>
        <w:spacing w:before="0" w:beforeAutospacing="0" w:afterAutospacing="0" w:line="360" w:lineRule="auto"/>
        <w:ind w:left="0" w:leftChars="0" w:right="0" w:rightChars="0"/>
        <w:jc w:val="center"/>
        <w:rPr>
          <w:rFonts w:hint="eastAsia" w:ascii="宋体" w:hAnsi="宋体" w:eastAsia="宋体" w:cs="宋体"/>
          <w:b/>
          <w:color w:val="000000"/>
          <w:kern w:val="0"/>
          <w:sz w:val="28"/>
          <w:szCs w:val="28"/>
          <w:highlight w:val="none"/>
          <w:lang w:val="en-US" w:eastAsia="zh-CN" w:bidi="ar-SA"/>
        </w:rPr>
      </w:pPr>
    </w:p>
    <w:p w14:paraId="5F303625">
      <w:pPr>
        <w:pStyle w:val="4"/>
        <w:keepNext w:val="0"/>
        <w:keepLines w:val="0"/>
        <w:pageBreakBefore w:val="0"/>
        <w:widowControl/>
        <w:numPr>
          <w:ilvl w:val="0"/>
          <w:numId w:val="0"/>
        </w:numPr>
        <w:kinsoku w:val="0"/>
        <w:wordWrap/>
        <w:bidi w:val="0"/>
        <w:adjustRightInd w:val="0"/>
        <w:snapToGrid w:val="0"/>
        <w:spacing w:before="0" w:beforeAutospacing="0" w:afterAutospacing="0" w:line="360" w:lineRule="auto"/>
        <w:ind w:left="0" w:leftChars="0" w:right="0" w:rightChars="0"/>
        <w:jc w:val="center"/>
        <w:rPr>
          <w:rFonts w:hint="eastAsia" w:ascii="宋体" w:hAnsi="宋体" w:eastAsia="宋体" w:cs="宋体"/>
          <w:b/>
          <w:color w:val="000000"/>
          <w:kern w:val="0"/>
          <w:sz w:val="28"/>
          <w:szCs w:val="28"/>
          <w:highlight w:val="none"/>
          <w:lang w:val="en-US" w:eastAsia="zh-CN" w:bidi="ar-SA"/>
        </w:rPr>
      </w:pPr>
      <w:r>
        <w:rPr>
          <w:rFonts w:hint="eastAsia" w:ascii="宋体" w:hAnsi="宋体" w:eastAsia="宋体" w:cs="宋体"/>
          <w:b/>
          <w:color w:val="000000"/>
          <w:kern w:val="0"/>
          <w:sz w:val="28"/>
          <w:szCs w:val="28"/>
          <w:highlight w:val="none"/>
          <w:lang w:val="en-US" w:eastAsia="zh-CN" w:bidi="ar-SA"/>
        </w:rPr>
        <w:t>八、商务部分</w:t>
      </w:r>
    </w:p>
    <w:p w14:paraId="0BCD4FD8">
      <w:pPr>
        <w:pStyle w:val="4"/>
        <w:keepNext w:val="0"/>
        <w:keepLines w:val="0"/>
        <w:pageBreakBefore w:val="0"/>
        <w:widowControl/>
        <w:numPr>
          <w:ilvl w:val="0"/>
          <w:numId w:val="0"/>
        </w:numPr>
        <w:kinsoku w:val="0"/>
        <w:wordWrap/>
        <w:bidi w:val="0"/>
        <w:adjustRightInd w:val="0"/>
        <w:snapToGrid w:val="0"/>
        <w:spacing w:before="0" w:beforeAutospacing="0" w:afterAutospacing="0" w:line="360" w:lineRule="auto"/>
        <w:ind w:left="0" w:leftChars="0" w:right="0" w:rightChars="0"/>
        <w:jc w:val="center"/>
        <w:rPr>
          <w:rFonts w:hint="eastAsia" w:ascii="宋体" w:hAnsi="宋体" w:eastAsia="宋体" w:cs="宋体"/>
          <w:b/>
          <w:color w:val="000000"/>
          <w:kern w:val="0"/>
          <w:sz w:val="28"/>
          <w:szCs w:val="28"/>
          <w:highlight w:val="none"/>
          <w:lang w:val="en-US" w:eastAsia="zh-CN" w:bidi="ar-SA"/>
        </w:rPr>
      </w:pPr>
      <w:r>
        <w:rPr>
          <w:rFonts w:hint="eastAsia" w:ascii="宋体" w:hAnsi="宋体" w:eastAsia="宋体" w:cs="宋体"/>
          <w:b/>
          <w:color w:val="000000"/>
          <w:kern w:val="0"/>
          <w:sz w:val="28"/>
          <w:szCs w:val="28"/>
          <w:highlight w:val="none"/>
          <w:lang w:val="en-US" w:eastAsia="zh-CN" w:bidi="ar-SA"/>
        </w:rPr>
        <w:t>根据招标文件评标办法及评分标准自行编制，格式自拟</w:t>
      </w:r>
    </w:p>
    <w:p w14:paraId="4D42FB14">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color w:val="auto"/>
          <w:sz w:val="28"/>
          <w:szCs w:val="28"/>
          <w:highlight w:val="none"/>
          <w:lang w:val="en-US" w:eastAsia="zh-CN"/>
        </w:rPr>
      </w:pPr>
    </w:p>
    <w:p w14:paraId="32C7450B">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color w:val="auto"/>
          <w:sz w:val="28"/>
          <w:szCs w:val="28"/>
          <w:highlight w:val="none"/>
          <w:lang w:val="en-US" w:eastAsia="zh-CN"/>
        </w:rPr>
      </w:pPr>
    </w:p>
    <w:p w14:paraId="55785EF7">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color w:val="auto"/>
          <w:sz w:val="28"/>
          <w:szCs w:val="28"/>
          <w:highlight w:val="none"/>
          <w:lang w:val="en-US" w:eastAsia="zh-CN"/>
        </w:rPr>
      </w:pPr>
    </w:p>
    <w:p w14:paraId="71A0CDBE">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color w:val="auto"/>
          <w:sz w:val="28"/>
          <w:szCs w:val="28"/>
          <w:highlight w:val="none"/>
          <w:lang w:val="en-US" w:eastAsia="zh-CN"/>
        </w:rPr>
      </w:pPr>
    </w:p>
    <w:p w14:paraId="6E765507">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color w:val="auto"/>
          <w:sz w:val="28"/>
          <w:szCs w:val="28"/>
          <w:highlight w:val="none"/>
          <w:lang w:val="en-US" w:eastAsia="zh-CN"/>
        </w:rPr>
      </w:pPr>
    </w:p>
    <w:p w14:paraId="3DC16181">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color w:val="auto"/>
          <w:sz w:val="28"/>
          <w:szCs w:val="28"/>
          <w:highlight w:val="none"/>
          <w:lang w:val="en-US" w:eastAsia="zh-CN"/>
        </w:rPr>
      </w:pPr>
    </w:p>
    <w:p w14:paraId="0BBF06BF">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color w:val="auto"/>
          <w:sz w:val="28"/>
          <w:szCs w:val="28"/>
          <w:highlight w:val="none"/>
          <w:lang w:val="en-US" w:eastAsia="zh-CN"/>
        </w:rPr>
      </w:pPr>
    </w:p>
    <w:p w14:paraId="31FA742D">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color w:val="auto"/>
          <w:sz w:val="28"/>
          <w:szCs w:val="28"/>
          <w:highlight w:val="none"/>
          <w:lang w:val="en-US" w:eastAsia="zh-CN"/>
        </w:rPr>
      </w:pPr>
    </w:p>
    <w:p w14:paraId="7A6103EC">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color w:val="auto"/>
          <w:sz w:val="28"/>
          <w:szCs w:val="28"/>
          <w:highlight w:val="none"/>
          <w:lang w:val="en-US" w:eastAsia="zh-CN"/>
        </w:rPr>
      </w:pPr>
    </w:p>
    <w:p w14:paraId="20C9C946">
      <w:pPr>
        <w:keepNext w:val="0"/>
        <w:keepLines w:val="0"/>
        <w:pageBreakBefore w:val="0"/>
        <w:widowControl/>
        <w:kinsoku w:val="0"/>
        <w:wordWrap/>
        <w:bidi w:val="0"/>
        <w:adjustRightInd w:val="0"/>
        <w:snapToGrid w:val="0"/>
        <w:spacing w:line="360" w:lineRule="auto"/>
        <w:ind w:left="226" w:leftChars="0" w:right="0" w:rightChars="0" w:hanging="226" w:hangingChars="94"/>
        <w:rPr>
          <w:rFonts w:ascii="宋体" w:cs="宋体"/>
          <w:b/>
          <w:color w:val="auto"/>
          <w:highlight w:val="none"/>
        </w:rPr>
      </w:pPr>
    </w:p>
    <w:p w14:paraId="59778828">
      <w:pPr>
        <w:pStyle w:val="17"/>
        <w:keepNext w:val="0"/>
        <w:keepLines w:val="0"/>
        <w:pageBreakBefore w:val="0"/>
        <w:widowControl/>
        <w:kinsoku w:val="0"/>
        <w:wordWrap/>
        <w:bidi w:val="0"/>
        <w:adjustRightInd w:val="0"/>
        <w:snapToGrid w:val="0"/>
        <w:spacing w:after="0" w:line="360" w:lineRule="auto"/>
        <w:ind w:left="0" w:leftChars="0" w:right="0" w:rightChars="0"/>
        <w:rPr>
          <w:color w:val="auto"/>
          <w:highlight w:val="none"/>
        </w:rPr>
      </w:pPr>
    </w:p>
    <w:p w14:paraId="516C8B63">
      <w:pPr>
        <w:keepNext w:val="0"/>
        <w:keepLines w:val="0"/>
        <w:pageBreakBefore w:val="0"/>
        <w:widowControl/>
        <w:kinsoku w:val="0"/>
        <w:wordWrap/>
        <w:bidi w:val="0"/>
        <w:adjustRightInd w:val="0"/>
        <w:snapToGrid w:val="0"/>
        <w:spacing w:line="360" w:lineRule="auto"/>
        <w:ind w:left="0" w:leftChars="0" w:right="0" w:rightChars="0"/>
        <w:rPr>
          <w:rFonts w:ascii="宋体" w:hAnsi="宋体" w:cs="宋体"/>
          <w:b/>
          <w:color w:val="auto"/>
          <w:sz w:val="32"/>
          <w:szCs w:val="32"/>
          <w:highlight w:val="none"/>
        </w:rPr>
      </w:pPr>
      <w:bookmarkStart w:id="99" w:name="_Toc13305"/>
      <w:r>
        <w:rPr>
          <w:rFonts w:ascii="宋体" w:hAnsi="宋体" w:cs="宋体"/>
          <w:b/>
          <w:color w:val="auto"/>
          <w:sz w:val="32"/>
          <w:szCs w:val="32"/>
          <w:highlight w:val="none"/>
        </w:rPr>
        <w:br w:type="page"/>
      </w:r>
    </w:p>
    <w:bookmarkEnd w:id="99"/>
    <w:p w14:paraId="6AA10DA7">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28"/>
          <w:szCs w:val="28"/>
          <w:highlight w:val="none"/>
          <w:lang w:val="en-US" w:eastAsia="zh-CN"/>
        </w:rPr>
        <w:t>九</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中小企业声明函</w:t>
      </w:r>
    </w:p>
    <w:p w14:paraId="794BE98E">
      <w:pPr>
        <w:keepNext w:val="0"/>
        <w:keepLines w:val="0"/>
        <w:pageBreakBefore w:val="0"/>
        <w:widowControl/>
        <w:kinsoku w:val="0"/>
        <w:wordWrap/>
        <w:bidi w:val="0"/>
        <w:adjustRightInd w:val="0"/>
        <w:snapToGrid w:val="0"/>
        <w:spacing w:beforeAutospacing="0" w:afterAutospacing="0" w:line="360" w:lineRule="auto"/>
        <w:ind w:left="0" w:leftChars="0" w:right="0" w:rightChars="0"/>
        <w:outlineLvl w:val="0"/>
        <w:rPr>
          <w:rFonts w:hint="eastAsia" w:ascii="宋体" w:hAnsi="宋体" w:eastAsia="宋体" w:cs="宋体"/>
          <w:color w:val="auto"/>
          <w:sz w:val="24"/>
          <w:highlight w:val="none"/>
        </w:rPr>
      </w:pPr>
    </w:p>
    <w:p w14:paraId="196D95A2">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rPr>
      </w:pPr>
      <w:bookmarkStart w:id="100" w:name="_Toc122004269"/>
      <w:bookmarkStart w:id="101" w:name="_Toc141079823"/>
      <w:r>
        <w:rPr>
          <w:rFonts w:hint="eastAsia" w:ascii="宋体" w:hAnsi="宋体" w:eastAsia="宋体" w:cs="宋体"/>
          <w:b/>
          <w:bCs/>
          <w:color w:val="000000"/>
          <w:kern w:val="10"/>
          <w:sz w:val="28"/>
          <w:szCs w:val="28"/>
          <w:highlight w:val="none"/>
        </w:rPr>
        <w:t>（一）中小企业声明函</w:t>
      </w:r>
      <w:bookmarkEnd w:id="100"/>
      <w:bookmarkEnd w:id="101"/>
    </w:p>
    <w:p w14:paraId="13A60576">
      <w:pPr>
        <w:keepNext w:val="0"/>
        <w:keepLines w:val="0"/>
        <w:pageBreakBefore w:val="0"/>
        <w:widowControl/>
        <w:kinsoku w:val="0"/>
        <w:wordWrap/>
        <w:bidi w:val="0"/>
        <w:adjustRightInd w:val="0"/>
        <w:snapToGrid w:val="0"/>
        <w:spacing w:beforeAutospacing="0" w:afterAutospacing="0" w:line="360" w:lineRule="auto"/>
        <w:ind w:left="0" w:leftChars="0" w:right="0" w:rightChars="0" w:firstLine="504"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rPr>
        <w:t>本公司郑重声明，根据《政府采购促进中小企业发展管理办法》（财库﹝2020﹞46 号）的规定，本公司参加（单位名称）的（项目名称）采购活动，提供的货物全部由符合政策要求的中小企业制造。相关企业的具体情况如下：</w:t>
      </w:r>
    </w:p>
    <w:p w14:paraId="777DAA7F">
      <w:pPr>
        <w:keepNext w:val="0"/>
        <w:keepLines w:val="0"/>
        <w:pageBreakBefore w:val="0"/>
        <w:widowControl/>
        <w:kinsoku w:val="0"/>
        <w:wordWrap/>
        <w:bidi w:val="0"/>
        <w:adjustRightInd w:val="0"/>
        <w:snapToGrid w:val="0"/>
        <w:spacing w:beforeAutospacing="0" w:afterAutospacing="0" w:line="360" w:lineRule="auto"/>
        <w:ind w:left="0" w:leftChars="0" w:right="0" w:rightChars="0" w:firstLine="504"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u w:val="single"/>
        </w:rPr>
        <w:t xml:space="preserve">  （标的名称）     </w:t>
      </w:r>
      <w:r>
        <w:rPr>
          <w:rFonts w:hint="eastAsia" w:ascii="宋体" w:hAnsi="宋体" w:eastAsia="宋体" w:cs="宋体"/>
          <w:spacing w:val="6"/>
          <w:sz w:val="24"/>
          <w:highlight w:val="none"/>
        </w:rPr>
        <w:t>，属于</w:t>
      </w:r>
      <w:r>
        <w:rPr>
          <w:rFonts w:hint="eastAsia" w:ascii="宋体" w:hAnsi="宋体" w:eastAsia="宋体" w:cs="宋体"/>
          <w:spacing w:val="6"/>
          <w:sz w:val="24"/>
          <w:highlight w:val="none"/>
          <w:u w:val="single"/>
        </w:rPr>
        <w:t xml:space="preserve"> </w:t>
      </w:r>
      <w:r>
        <w:rPr>
          <w:rFonts w:hint="eastAsia" w:ascii="宋体" w:hAnsi="宋体" w:eastAsia="宋体" w:cs="宋体"/>
          <w:spacing w:val="6"/>
          <w:sz w:val="24"/>
          <w:highlight w:val="none"/>
          <w:u w:val="single"/>
          <w:lang w:val="en-US" w:eastAsia="zh-CN"/>
        </w:rPr>
        <w:t>农、林、牧、渔业</w:t>
      </w:r>
      <w:r>
        <w:rPr>
          <w:rFonts w:hint="eastAsia" w:ascii="宋体" w:hAnsi="宋体" w:eastAsia="宋体" w:cs="宋体"/>
          <w:spacing w:val="6"/>
          <w:sz w:val="24"/>
          <w:highlight w:val="none"/>
          <w:u w:val="single"/>
        </w:rPr>
        <w:t xml:space="preserve">（采购文件中明确的所属行业）       </w:t>
      </w:r>
      <w:r>
        <w:rPr>
          <w:rFonts w:hint="eastAsia" w:ascii="宋体" w:hAnsi="宋体" w:eastAsia="宋体" w:cs="宋体"/>
          <w:spacing w:val="6"/>
          <w:sz w:val="24"/>
          <w:highlight w:val="none"/>
        </w:rPr>
        <w:t xml:space="preserve"> 行业；制造商为</w:t>
      </w:r>
      <w:r>
        <w:rPr>
          <w:rFonts w:hint="eastAsia" w:ascii="宋体" w:hAnsi="宋体" w:eastAsia="宋体" w:cs="宋体"/>
          <w:spacing w:val="6"/>
          <w:sz w:val="24"/>
          <w:highlight w:val="none"/>
          <w:u w:val="single"/>
        </w:rPr>
        <w:t xml:space="preserve"> （企业名称） </w:t>
      </w:r>
      <w:r>
        <w:rPr>
          <w:rFonts w:hint="eastAsia" w:ascii="宋体" w:hAnsi="宋体" w:eastAsia="宋体" w:cs="宋体"/>
          <w:spacing w:val="6"/>
          <w:sz w:val="24"/>
          <w:highlight w:val="none"/>
        </w:rPr>
        <w:t>，从业人员</w:t>
      </w:r>
      <w:r>
        <w:rPr>
          <w:rFonts w:hint="eastAsia" w:ascii="宋体" w:hAnsi="宋体" w:eastAsia="宋体" w:cs="宋体"/>
          <w:spacing w:val="6"/>
          <w:sz w:val="24"/>
          <w:highlight w:val="none"/>
          <w:u w:val="single"/>
        </w:rPr>
        <w:t xml:space="preserve">      </w:t>
      </w:r>
      <w:r>
        <w:rPr>
          <w:rFonts w:hint="eastAsia" w:ascii="宋体" w:hAnsi="宋体" w:eastAsia="宋体" w:cs="宋体"/>
          <w:spacing w:val="6"/>
          <w:sz w:val="24"/>
          <w:highlight w:val="none"/>
        </w:rPr>
        <w:t>人；营业收入为</w:t>
      </w:r>
      <w:r>
        <w:rPr>
          <w:rFonts w:hint="eastAsia" w:ascii="宋体" w:hAnsi="宋体" w:eastAsia="宋体" w:cs="宋体"/>
          <w:spacing w:val="6"/>
          <w:sz w:val="24"/>
          <w:highlight w:val="none"/>
          <w:u w:val="single"/>
        </w:rPr>
        <w:t xml:space="preserve">        </w:t>
      </w:r>
      <w:r>
        <w:rPr>
          <w:rFonts w:hint="eastAsia" w:ascii="宋体" w:hAnsi="宋体" w:eastAsia="宋体" w:cs="宋体"/>
          <w:spacing w:val="6"/>
          <w:sz w:val="24"/>
          <w:highlight w:val="none"/>
        </w:rPr>
        <w:t>万元，资产总额为</w:t>
      </w:r>
      <w:r>
        <w:rPr>
          <w:rFonts w:hint="eastAsia" w:ascii="宋体" w:hAnsi="宋体" w:eastAsia="宋体" w:cs="宋体"/>
          <w:spacing w:val="6"/>
          <w:sz w:val="24"/>
          <w:highlight w:val="none"/>
          <w:u w:val="single"/>
        </w:rPr>
        <w:t xml:space="preserve">        </w:t>
      </w:r>
      <w:r>
        <w:rPr>
          <w:rFonts w:hint="eastAsia" w:ascii="宋体" w:hAnsi="宋体" w:eastAsia="宋体" w:cs="宋体"/>
          <w:spacing w:val="6"/>
          <w:sz w:val="24"/>
          <w:highlight w:val="none"/>
        </w:rPr>
        <w:t xml:space="preserve"> 万元，属于</w:t>
      </w:r>
      <w:r>
        <w:rPr>
          <w:rFonts w:hint="eastAsia" w:ascii="宋体" w:hAnsi="宋体" w:eastAsia="宋体" w:cs="宋体"/>
          <w:spacing w:val="6"/>
          <w:sz w:val="24"/>
          <w:highlight w:val="none"/>
          <w:u w:val="single"/>
          <w:lang w:val="en-US" w:eastAsia="zh-CN"/>
        </w:rPr>
        <w:t xml:space="preserve">       </w:t>
      </w:r>
      <w:r>
        <w:rPr>
          <w:rFonts w:hint="eastAsia" w:ascii="宋体" w:hAnsi="宋体" w:eastAsia="宋体" w:cs="宋体"/>
          <w:spacing w:val="6"/>
          <w:sz w:val="24"/>
          <w:highlight w:val="none"/>
          <w:u w:val="single"/>
        </w:rPr>
        <w:t>（中型企业、小型企业、微型企业）</w:t>
      </w:r>
      <w:r>
        <w:rPr>
          <w:rFonts w:hint="eastAsia" w:ascii="宋体" w:hAnsi="宋体" w:eastAsia="宋体" w:cs="宋体"/>
          <w:spacing w:val="6"/>
          <w:sz w:val="24"/>
          <w:highlight w:val="none"/>
        </w:rPr>
        <w:t>；</w:t>
      </w:r>
    </w:p>
    <w:p w14:paraId="5E5BD76F">
      <w:pPr>
        <w:keepNext w:val="0"/>
        <w:keepLines w:val="0"/>
        <w:pageBreakBefore w:val="0"/>
        <w:widowControl/>
        <w:kinsoku w:val="0"/>
        <w:wordWrap/>
        <w:bidi w:val="0"/>
        <w:adjustRightInd w:val="0"/>
        <w:snapToGrid w:val="0"/>
        <w:spacing w:beforeAutospacing="0" w:afterAutospacing="0" w:line="360" w:lineRule="auto"/>
        <w:ind w:left="0" w:leftChars="0" w:right="0" w:rightChars="0" w:firstLine="504"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rPr>
        <w:t>以上企业，不属于大企业的分支机构，不存在控股股东为大企业的情形，也不存在与大企业的负责人为同一人的情形。</w:t>
      </w:r>
    </w:p>
    <w:p w14:paraId="7DC3654B">
      <w:pPr>
        <w:keepNext w:val="0"/>
        <w:keepLines w:val="0"/>
        <w:pageBreakBefore w:val="0"/>
        <w:widowControl/>
        <w:kinsoku w:val="0"/>
        <w:wordWrap/>
        <w:bidi w:val="0"/>
        <w:adjustRightInd w:val="0"/>
        <w:snapToGrid w:val="0"/>
        <w:spacing w:beforeAutospacing="0" w:afterAutospacing="0" w:line="360" w:lineRule="auto"/>
        <w:ind w:left="0" w:leftChars="0" w:right="0" w:rightChars="0" w:firstLine="504" w:firstLineChars="200"/>
        <w:rPr>
          <w:rFonts w:hint="eastAsia" w:ascii="宋体" w:hAnsi="宋体" w:eastAsia="宋体" w:cs="宋体"/>
          <w:sz w:val="24"/>
          <w:highlight w:val="none"/>
        </w:rPr>
      </w:pPr>
      <w:r>
        <w:rPr>
          <w:rFonts w:hint="eastAsia" w:ascii="宋体" w:hAnsi="宋体" w:eastAsia="宋体" w:cs="宋体"/>
          <w:spacing w:val="6"/>
          <w:sz w:val="24"/>
          <w:highlight w:val="none"/>
        </w:rPr>
        <w:t>本公司对上述声明的真实性负责。如有虚假，将承担相应的法律责任。</w:t>
      </w:r>
    </w:p>
    <w:p w14:paraId="3339DBEA">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注：（属于中小微企业的填写</w:t>
      </w:r>
      <w:r>
        <w:rPr>
          <w:rFonts w:hint="eastAsia" w:ascii="宋体" w:hAnsi="宋体" w:eastAsia="宋体" w:cs="宋体"/>
          <w:b/>
          <w:bCs/>
          <w:szCs w:val="24"/>
          <w:highlight w:val="none"/>
          <w:lang w:val="en-US" w:eastAsia="zh-CN"/>
        </w:rPr>
        <w:t>并提供证明材料</w:t>
      </w:r>
      <w:r>
        <w:rPr>
          <w:rFonts w:hint="eastAsia" w:ascii="宋体" w:hAnsi="宋体" w:eastAsia="宋体" w:cs="宋体"/>
          <w:b/>
          <w:bCs/>
          <w:szCs w:val="24"/>
          <w:highlight w:val="none"/>
        </w:rPr>
        <w:t>，不属于的无需填写此项内容</w:t>
      </w:r>
      <w:r>
        <w:rPr>
          <w:rFonts w:hint="eastAsia" w:ascii="宋体" w:hAnsi="宋体" w:eastAsia="宋体" w:cs="宋体"/>
          <w:b/>
          <w:bCs/>
          <w:szCs w:val="24"/>
          <w:highlight w:val="none"/>
          <w:lang w:eastAsia="zh-CN"/>
        </w:rPr>
        <w:t>，</w:t>
      </w:r>
      <w:r>
        <w:rPr>
          <w:rFonts w:hint="eastAsia" w:ascii="宋体" w:hAnsi="宋体" w:eastAsia="宋体" w:cs="宋体"/>
          <w:b/>
          <w:bCs/>
          <w:szCs w:val="24"/>
          <w:highlight w:val="none"/>
          <w:lang w:val="en-US" w:eastAsia="zh-CN"/>
        </w:rPr>
        <w:t>不删除本项，标明不属于中小企业</w:t>
      </w:r>
      <w:r>
        <w:rPr>
          <w:rFonts w:hint="eastAsia" w:ascii="宋体" w:hAnsi="宋体" w:eastAsia="宋体" w:cs="宋体"/>
          <w:b/>
          <w:bCs/>
          <w:szCs w:val="24"/>
          <w:highlight w:val="none"/>
        </w:rPr>
        <w:t>）</w:t>
      </w:r>
    </w:p>
    <w:p w14:paraId="30C1E232">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sz w:val="24"/>
          <w:highlight w:val="none"/>
        </w:rPr>
      </w:pPr>
      <w:r>
        <w:rPr>
          <w:rFonts w:hint="eastAsia" w:ascii="宋体" w:hAnsi="宋体" w:eastAsia="宋体" w:cs="宋体"/>
          <w:b/>
          <w:bCs/>
          <w:szCs w:val="24"/>
          <w:highlight w:val="none"/>
        </w:rPr>
        <w:t>从业人员、 营业收入、 资产总额填报上一年度数据， 无上一年度数据的新成立企业可不填报。</w:t>
      </w:r>
    </w:p>
    <w:p w14:paraId="687E5A62">
      <w:pPr>
        <w:keepNext w:val="0"/>
        <w:keepLines w:val="0"/>
        <w:pageBreakBefore w:val="0"/>
        <w:widowControl/>
        <w:kinsoku w:val="0"/>
        <w:wordWrap/>
        <w:bidi w:val="0"/>
        <w:adjustRightInd w:val="0"/>
        <w:snapToGrid w:val="0"/>
        <w:spacing w:beforeAutospacing="0" w:afterAutospacing="0" w:line="360" w:lineRule="auto"/>
        <w:ind w:left="0" w:leftChars="0" w:right="0" w:rightChars="0"/>
        <w:jc w:val="right"/>
        <w:rPr>
          <w:rFonts w:hint="eastAsia" w:ascii="宋体" w:hAnsi="宋体" w:eastAsia="宋体" w:cs="宋体"/>
          <w:sz w:val="24"/>
          <w:highlight w:val="none"/>
        </w:rPr>
      </w:pP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电子签章</w:t>
      </w:r>
      <w:r>
        <w:rPr>
          <w:rFonts w:hint="eastAsia" w:ascii="宋体" w:hAnsi="宋体" w:eastAsia="宋体" w:cs="宋体"/>
          <w:sz w:val="24"/>
          <w:highlight w:val="none"/>
        </w:rPr>
        <w:t>）</w:t>
      </w:r>
    </w:p>
    <w:p w14:paraId="62590973">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80" w:firstLineChars="200"/>
        <w:jc w:val="right"/>
        <w:rPr>
          <w:rFonts w:hint="eastAsia" w:ascii="宋体" w:hAnsi="宋体" w:eastAsia="宋体" w:cs="宋体"/>
          <w:sz w:val="24"/>
          <w:highlight w:val="non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电子签章</w:t>
      </w:r>
      <w:r>
        <w:rPr>
          <w:rFonts w:hint="eastAsia" w:ascii="宋体" w:hAnsi="宋体" w:eastAsia="宋体" w:cs="宋体"/>
          <w:sz w:val="24"/>
          <w:highlight w:val="none"/>
        </w:rPr>
        <w:t>）</w:t>
      </w:r>
    </w:p>
    <w:p w14:paraId="3A646104">
      <w:pPr>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color w:val="000000"/>
          <w:kern w:val="10"/>
          <w:sz w:val="24"/>
          <w:highlight w:val="none"/>
        </w:rPr>
      </w:pPr>
      <w:r>
        <w:rPr>
          <w:rFonts w:hint="eastAsia" w:ascii="宋体" w:hAnsi="宋体" w:eastAsia="宋体" w:cs="宋体"/>
          <w:sz w:val="24"/>
          <w:highlight w:val="none"/>
        </w:rPr>
        <w:t xml:space="preserve">                                        </w:t>
      </w:r>
      <w:r>
        <w:rPr>
          <w:rFonts w:hint="eastAsia" w:ascii="宋体" w:hAnsi="宋体" w:eastAsia="宋体" w:cs="宋体"/>
          <w:spacing w:val="6"/>
          <w:sz w:val="24"/>
          <w:highlight w:val="none"/>
          <w:shd w:val="clear" w:color="auto" w:fill="FFFFFF"/>
        </w:rPr>
        <w:t>日</w:t>
      </w:r>
      <w:r>
        <w:rPr>
          <w:rFonts w:hint="eastAsia" w:ascii="宋体" w:hAnsi="宋体" w:eastAsia="宋体" w:cs="宋体"/>
          <w:spacing w:val="6"/>
          <w:sz w:val="24"/>
          <w:highlight w:val="none"/>
          <w:shd w:val="clear" w:color="auto" w:fill="FFFFFF"/>
          <w:lang w:val="en-US" w:eastAsia="zh-CN"/>
        </w:rPr>
        <w:t xml:space="preserve"> </w:t>
      </w:r>
      <w:r>
        <w:rPr>
          <w:rFonts w:hint="eastAsia" w:ascii="宋体" w:hAnsi="宋体" w:eastAsia="宋体" w:cs="宋体"/>
          <w:spacing w:val="6"/>
          <w:sz w:val="24"/>
          <w:highlight w:val="none"/>
          <w:shd w:val="clear" w:color="auto" w:fill="FFFFFF"/>
        </w:rPr>
        <w:t xml:space="preserve">  期</w:t>
      </w:r>
      <w:r>
        <w:rPr>
          <w:rFonts w:hint="eastAsia" w:ascii="宋体" w:hAnsi="宋体" w:eastAsia="宋体" w:cs="宋体"/>
          <w:spacing w:val="6"/>
          <w:sz w:val="24"/>
          <w:highlight w:val="none"/>
          <w:shd w:val="clear" w:color="auto" w:fill="FFFFFF"/>
          <w:lang w:val="en-US" w:eastAsia="zh-CN"/>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15FA0F9C">
      <w:pPr>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color w:val="000000"/>
          <w:kern w:val="10"/>
          <w:sz w:val="22"/>
          <w:szCs w:val="22"/>
          <w:highlight w:val="none"/>
          <w:shd w:val="clear" w:color="auto" w:fill="FFFFFF"/>
        </w:rPr>
      </w:pPr>
      <w:r>
        <w:rPr>
          <w:rFonts w:hint="eastAsia" w:ascii="宋体" w:hAnsi="宋体" w:eastAsia="宋体" w:cs="宋体"/>
          <w:color w:val="000000"/>
          <w:kern w:val="10"/>
          <w:sz w:val="22"/>
          <w:szCs w:val="22"/>
          <w:highlight w:val="none"/>
          <w:shd w:val="clear" w:color="auto" w:fill="FFFFFF"/>
        </w:rPr>
        <w:t>注：①从业人员、营业收入、资产总额填报上一年度数据，无上一年度数据的新成立企业可不填报。</w:t>
      </w:r>
    </w:p>
    <w:p w14:paraId="5FC1DB71">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40" w:firstLineChars="200"/>
        <w:rPr>
          <w:rFonts w:hint="eastAsia" w:ascii="宋体" w:hAnsi="宋体" w:eastAsia="宋体" w:cs="宋体"/>
          <w:color w:val="000000"/>
          <w:kern w:val="10"/>
          <w:sz w:val="22"/>
          <w:szCs w:val="22"/>
          <w:highlight w:val="none"/>
          <w:shd w:val="clear" w:color="auto" w:fill="FFFFFF"/>
        </w:rPr>
      </w:pPr>
      <w:r>
        <w:rPr>
          <w:rFonts w:hint="eastAsia" w:ascii="宋体" w:hAnsi="宋体" w:eastAsia="宋体" w:cs="宋体"/>
          <w:color w:val="000000"/>
          <w:kern w:val="10"/>
          <w:sz w:val="22"/>
          <w:szCs w:val="22"/>
          <w:highlight w:val="none"/>
          <w:shd w:val="clear" w:color="auto" w:fill="FFFFFF"/>
        </w:rPr>
        <w:t>②供应商提供的货物既有中小企业制造货物，也有大型企业制造货物的，不享受《政府采购促进中小企业发展管理办法》规定的中小企业扶持政策。</w:t>
      </w:r>
    </w:p>
    <w:p w14:paraId="0974E2FA">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40" w:firstLineChars="200"/>
        <w:rPr>
          <w:rFonts w:hint="eastAsia" w:ascii="宋体" w:hAnsi="宋体" w:eastAsia="宋体" w:cs="宋体"/>
          <w:color w:val="000000"/>
          <w:kern w:val="10"/>
          <w:sz w:val="22"/>
          <w:szCs w:val="22"/>
          <w:highlight w:val="none"/>
          <w:shd w:val="clear" w:color="auto" w:fill="FFFFFF"/>
        </w:rPr>
      </w:pPr>
      <w:r>
        <w:rPr>
          <w:rFonts w:hint="eastAsia" w:ascii="宋体" w:hAnsi="宋体" w:eastAsia="宋体" w:cs="宋体"/>
          <w:color w:val="000000"/>
          <w:kern w:val="10"/>
          <w:sz w:val="22"/>
          <w:szCs w:val="22"/>
          <w:highlight w:val="none"/>
          <w:shd w:val="clear" w:color="auto" w:fill="FFFFFF"/>
        </w:rPr>
        <w:t xml:space="preserve">③以联合体形式参加政府采购活动，联合体各方均为中小企业的，联合体视同中小企业。其中，联合体各方均为小微企业的，联合体视同小微企业。 </w:t>
      </w:r>
    </w:p>
    <w:p w14:paraId="605D6D7F">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40" w:firstLineChars="200"/>
        <w:rPr>
          <w:rFonts w:hint="eastAsia" w:ascii="宋体" w:hAnsi="宋体" w:eastAsia="宋体" w:cs="宋体"/>
          <w:color w:val="000000"/>
          <w:kern w:val="10"/>
          <w:sz w:val="22"/>
          <w:szCs w:val="22"/>
          <w:highlight w:val="none"/>
          <w:shd w:val="clear" w:color="auto" w:fill="FFFFFF"/>
        </w:rPr>
      </w:pPr>
      <w:r>
        <w:rPr>
          <w:rFonts w:hint="eastAsia" w:ascii="宋体" w:hAnsi="宋体" w:eastAsia="宋体" w:cs="宋体"/>
          <w:color w:val="000000"/>
          <w:kern w:val="10"/>
          <w:sz w:val="22"/>
          <w:szCs w:val="22"/>
          <w:highlight w:val="none"/>
          <w:shd w:val="clear" w:color="auto" w:fill="FFFFFF"/>
        </w:rPr>
        <w:t>④在政府采购活动中，供应商提供的所有货物由小微企业制造，即货物由小微企业生产且使用该小微企业商号或者注册商标的，才能享受《政府采购促进中小企业发展管理办法》规定的价格扣减。</w:t>
      </w:r>
    </w:p>
    <w:p w14:paraId="10679F6A">
      <w:pPr>
        <w:keepNext w:val="0"/>
        <w:keepLines w:val="0"/>
        <w:pageBreakBefore w:val="0"/>
        <w:widowControl/>
        <w:kinsoku w:val="0"/>
        <w:wordWrap/>
        <w:bidi w:val="0"/>
        <w:adjustRightInd w:val="0"/>
        <w:snapToGrid w:val="0"/>
        <w:spacing w:beforeAutospacing="0" w:afterAutospacing="0" w:line="360" w:lineRule="auto"/>
        <w:ind w:left="0" w:leftChars="0" w:right="0" w:rightChars="0" w:firstLine="440" w:firstLineChars="200"/>
        <w:rPr>
          <w:rFonts w:hint="eastAsia" w:ascii="宋体" w:hAnsi="宋体" w:eastAsia="宋体" w:cs="宋体"/>
          <w:color w:val="000000"/>
          <w:kern w:val="10"/>
          <w:sz w:val="22"/>
          <w:szCs w:val="22"/>
          <w:highlight w:val="none"/>
          <w:shd w:val="clear" w:color="auto" w:fill="FFFFFF"/>
        </w:rPr>
      </w:pPr>
      <w:r>
        <w:rPr>
          <w:rFonts w:hint="eastAsia" w:ascii="宋体" w:hAnsi="宋体" w:eastAsia="宋体" w:cs="宋体"/>
          <w:color w:val="000000"/>
          <w:kern w:val="10"/>
          <w:sz w:val="22"/>
          <w:szCs w:val="22"/>
          <w:highlight w:val="none"/>
          <w:shd w:val="clear" w:color="auto" w:fill="FFFFFF"/>
        </w:rPr>
        <w:t>⑤中小企业声明函格式应严格按照</w:t>
      </w:r>
      <w:r>
        <w:rPr>
          <w:rFonts w:hint="eastAsia" w:ascii="宋体" w:hAnsi="宋体" w:eastAsia="宋体" w:cs="宋体"/>
          <w:color w:val="000000"/>
          <w:kern w:val="10"/>
          <w:sz w:val="22"/>
          <w:szCs w:val="22"/>
          <w:highlight w:val="none"/>
          <w:shd w:val="clear" w:color="auto" w:fill="FFFFFF"/>
          <w:lang w:val="en-US" w:eastAsia="zh-CN"/>
        </w:rPr>
        <w:t>招标</w:t>
      </w:r>
      <w:r>
        <w:rPr>
          <w:rFonts w:hint="eastAsia" w:ascii="宋体" w:hAnsi="宋体" w:eastAsia="宋体" w:cs="宋体"/>
          <w:color w:val="000000"/>
          <w:kern w:val="10"/>
          <w:sz w:val="22"/>
          <w:szCs w:val="22"/>
          <w:highlight w:val="none"/>
          <w:shd w:val="clear" w:color="auto" w:fill="FFFFFF"/>
        </w:rPr>
        <w:t>文件提供的格式填写。非单一产品采购的，设备制造商不止一家时，中小企业声明函中须列出所有的设备及制造商，罗列不全的中小企业声明函不予认可。</w:t>
      </w:r>
    </w:p>
    <w:p w14:paraId="23F328CE">
      <w:pPr>
        <w:pStyle w:val="11"/>
        <w:keepNext w:val="0"/>
        <w:keepLines w:val="0"/>
        <w:pageBreakBefore w:val="0"/>
        <w:widowControl/>
        <w:tabs>
          <w:tab w:val="left" w:pos="219"/>
        </w:tabs>
        <w:kinsoku w:val="0"/>
        <w:wordWrap/>
        <w:bidi w:val="0"/>
        <w:adjustRightInd w:val="0"/>
        <w:snapToGrid w:val="0"/>
        <w:spacing w:beforeAutospacing="0" w:after="0" w:afterAutospacing="0" w:line="360" w:lineRule="auto"/>
        <w:ind w:left="0" w:leftChars="0" w:right="0" w:rightChars="0"/>
        <w:rPr>
          <w:rFonts w:hint="eastAsia" w:ascii="宋体" w:hAnsi="宋体" w:eastAsia="宋体" w:cs="宋体"/>
          <w:spacing w:val="-14"/>
          <w:sz w:val="31"/>
          <w:szCs w:val="31"/>
          <w:highlight w:val="none"/>
        </w:rPr>
      </w:pPr>
      <w:r>
        <w:rPr>
          <w:rFonts w:hint="eastAsia" w:ascii="宋体" w:hAnsi="宋体" w:eastAsia="宋体" w:cs="宋体"/>
          <w:color w:val="000000"/>
          <w:kern w:val="10"/>
          <w:sz w:val="22"/>
          <w:szCs w:val="22"/>
          <w:highlight w:val="none"/>
          <w:shd w:val="clear" w:color="auto" w:fill="FFFFFF"/>
        </w:rPr>
        <w:t>⑥在货物采购项目中，货物应当由中小企业制造，不对其中涉及的服务的承接商作出要求。</w:t>
      </w:r>
    </w:p>
    <w:p w14:paraId="7864FCC1">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bookmarkStart w:id="102" w:name="_Toc122004270"/>
      <w:bookmarkStart w:id="103" w:name="_Toc121749381"/>
      <w:bookmarkStart w:id="104" w:name="_Toc141079824"/>
      <w:r>
        <w:rPr>
          <w:rFonts w:hint="eastAsia" w:ascii="宋体" w:hAnsi="宋体" w:eastAsia="宋体" w:cs="宋体"/>
          <w:b/>
          <w:bCs/>
          <w:color w:val="000000"/>
          <w:kern w:val="10"/>
          <w:sz w:val="28"/>
          <w:szCs w:val="28"/>
          <w:highlight w:val="none"/>
          <w:shd w:val="clear" w:color="auto" w:fill="FFFFFF"/>
        </w:rPr>
        <w:t>（二）监狱企业证明材料</w:t>
      </w:r>
      <w:bookmarkEnd w:id="102"/>
      <w:bookmarkEnd w:id="103"/>
      <w:bookmarkEnd w:id="104"/>
    </w:p>
    <w:p w14:paraId="0233D9DE">
      <w:pPr>
        <w:keepNext w:val="0"/>
        <w:keepLines w:val="0"/>
        <w:pageBreakBefore w:val="0"/>
        <w:widowControl/>
        <w:kinsoku w:val="0"/>
        <w:wordWrap/>
        <w:bidi w:val="0"/>
        <w:adjustRightInd w:val="0"/>
        <w:snapToGrid w:val="0"/>
        <w:spacing w:beforeAutospacing="0" w:afterAutospacing="0" w:line="360" w:lineRule="auto"/>
        <w:ind w:left="0" w:leftChars="0" w:right="0" w:rightChars="0" w:firstLine="504" w:firstLineChars="200"/>
        <w:rPr>
          <w:rFonts w:hint="eastAsia" w:ascii="宋体" w:hAnsi="宋体" w:eastAsia="宋体" w:cs="宋体"/>
          <w:spacing w:val="6"/>
          <w:sz w:val="24"/>
          <w:highlight w:val="none"/>
          <w:shd w:val="clear" w:color="auto" w:fill="FFFFFF"/>
        </w:rPr>
      </w:pPr>
    </w:p>
    <w:p w14:paraId="60D6DF8E">
      <w:pPr>
        <w:keepNext w:val="0"/>
        <w:keepLines w:val="0"/>
        <w:pageBreakBefore w:val="0"/>
        <w:widowControl/>
        <w:kinsoku w:val="0"/>
        <w:wordWrap/>
        <w:bidi w:val="0"/>
        <w:adjustRightInd w:val="0"/>
        <w:snapToGrid w:val="0"/>
        <w:spacing w:beforeAutospacing="0" w:afterAutospacing="0" w:line="360" w:lineRule="auto"/>
        <w:ind w:left="0" w:leftChars="0" w:right="0" w:rightChars="0" w:firstLine="504" w:firstLineChars="200"/>
        <w:jc w:val="left"/>
        <w:outlineLvl w:val="1"/>
        <w:rPr>
          <w:rFonts w:hint="eastAsia" w:ascii="宋体" w:hAnsi="宋体" w:eastAsia="宋体" w:cs="宋体"/>
          <w:spacing w:val="6"/>
          <w:sz w:val="24"/>
          <w:highlight w:val="none"/>
          <w:shd w:val="clear" w:color="auto" w:fill="FFFFFF"/>
        </w:rPr>
      </w:pPr>
      <w:bookmarkStart w:id="105" w:name="_Toc122004271"/>
      <w:bookmarkStart w:id="106" w:name="_Toc121749382"/>
      <w:bookmarkStart w:id="107" w:name="_Toc141079825"/>
      <w:r>
        <w:rPr>
          <w:rFonts w:hint="eastAsia" w:ascii="宋体" w:hAnsi="宋体" w:eastAsia="宋体" w:cs="宋体"/>
          <w:spacing w:val="6"/>
          <w:sz w:val="24"/>
          <w:highlight w:val="none"/>
          <w:shd w:val="clear" w:color="auto" w:fill="FFFFFF"/>
        </w:rPr>
        <w:t>监狱企业参加政府采购活动时，应当提供由省级以上监狱管理局、戒毒管理局（含新疆生产建设兵团）出具的属于监狱企业的证明文件。</w:t>
      </w:r>
      <w:bookmarkEnd w:id="105"/>
      <w:bookmarkEnd w:id="106"/>
      <w:bookmarkEnd w:id="107"/>
    </w:p>
    <w:p w14:paraId="4AFB312F">
      <w:pPr>
        <w:keepNext w:val="0"/>
        <w:keepLines w:val="0"/>
        <w:pageBreakBefore w:val="0"/>
        <w:widowControl/>
        <w:kinsoku w:val="0"/>
        <w:wordWrap/>
        <w:bidi w:val="0"/>
        <w:adjustRightInd w:val="0"/>
        <w:snapToGrid w:val="0"/>
        <w:spacing w:beforeAutospacing="0" w:afterAutospacing="0" w:line="360" w:lineRule="auto"/>
        <w:ind w:left="0" w:leftChars="0" w:right="0" w:rightChars="0" w:firstLine="562" w:firstLineChars="200"/>
        <w:jc w:val="left"/>
        <w:outlineLvl w:val="1"/>
        <w:rPr>
          <w:rFonts w:hint="eastAsia" w:ascii="宋体" w:hAnsi="宋体" w:eastAsia="宋体" w:cs="宋体"/>
          <w:b/>
          <w:bCs/>
          <w:color w:val="000000"/>
          <w:kern w:val="10"/>
          <w:sz w:val="28"/>
          <w:szCs w:val="28"/>
          <w:highlight w:val="none"/>
          <w:shd w:val="clear" w:color="auto" w:fill="FFFFFF"/>
          <w:lang w:val="en-GB"/>
        </w:rPr>
      </w:pPr>
    </w:p>
    <w:p w14:paraId="1C1C19C5">
      <w:pPr>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（提醒：如果投标人</w:t>
      </w:r>
      <w:r>
        <w:rPr>
          <w:rFonts w:hint="eastAsia" w:ascii="宋体" w:hAnsi="宋体" w:eastAsia="宋体" w:cs="宋体"/>
          <w:b/>
          <w:color w:val="000000"/>
          <w:spacing w:val="10"/>
          <w:kern w:val="0"/>
          <w:sz w:val="24"/>
          <w:highlight w:val="none"/>
        </w:rPr>
        <w:t>不是</w:t>
      </w:r>
      <w:r>
        <w:rPr>
          <w:rFonts w:hint="eastAsia" w:ascii="宋体" w:hAnsi="宋体" w:eastAsia="宋体" w:cs="宋体"/>
          <w:b/>
          <w:bCs/>
          <w:color w:val="000000"/>
          <w:sz w:val="24"/>
          <w:highlight w:val="none"/>
          <w:lang w:val="en-GB"/>
        </w:rPr>
        <w:t>监狱企业</w:t>
      </w:r>
      <w:r>
        <w:rPr>
          <w:rFonts w:hint="eastAsia" w:ascii="宋体" w:hAnsi="宋体" w:eastAsia="宋体" w:cs="宋体"/>
          <w:b/>
          <w:color w:val="000000"/>
          <w:sz w:val="24"/>
          <w:highlight w:val="none"/>
        </w:rPr>
        <w:t>，则不需要提供</w:t>
      </w:r>
      <w:r>
        <w:rPr>
          <w:rFonts w:hint="eastAsia" w:ascii="宋体" w:hAnsi="宋体" w:eastAsia="宋体" w:cs="宋体"/>
          <w:b/>
          <w:color w:val="000000"/>
          <w:sz w:val="24"/>
          <w:highlight w:val="none"/>
          <w:lang w:val="en-GB"/>
        </w:rPr>
        <w:t>证明材料</w:t>
      </w:r>
      <w:r>
        <w:rPr>
          <w:rFonts w:hint="eastAsia" w:ascii="宋体" w:hAnsi="宋体" w:eastAsia="宋体" w:cs="宋体"/>
          <w:b/>
          <w:color w:val="000000"/>
          <w:sz w:val="24"/>
          <w:highlight w:val="none"/>
          <w:lang w:val="en-GB" w:eastAsia="zh-CN"/>
        </w:rPr>
        <w:t>，</w:t>
      </w:r>
      <w:r>
        <w:rPr>
          <w:rFonts w:hint="eastAsia" w:ascii="宋体" w:hAnsi="宋体" w:eastAsia="宋体" w:cs="宋体"/>
          <w:b/>
          <w:color w:val="000000"/>
          <w:sz w:val="24"/>
          <w:highlight w:val="none"/>
          <w:lang w:val="en-US" w:eastAsia="zh-CN"/>
        </w:rPr>
        <w:t>不删除本项，标明不属于监狱企业</w:t>
      </w:r>
      <w:r>
        <w:rPr>
          <w:rFonts w:hint="eastAsia" w:ascii="宋体" w:hAnsi="宋体" w:eastAsia="宋体" w:cs="宋体"/>
          <w:b/>
          <w:color w:val="000000"/>
          <w:sz w:val="24"/>
          <w:highlight w:val="none"/>
        </w:rPr>
        <w:t>）</w:t>
      </w:r>
    </w:p>
    <w:p w14:paraId="42E40F44">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p>
    <w:p w14:paraId="42369E61">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p>
    <w:p w14:paraId="17EFD4F6">
      <w:pPr>
        <w:keepNext w:val="0"/>
        <w:keepLines w:val="0"/>
        <w:pageBreakBefore w:val="0"/>
        <w:widowControl/>
        <w:kinsoku w:val="0"/>
        <w:wordWrap/>
        <w:bidi w:val="0"/>
        <w:adjustRightInd w:val="0"/>
        <w:snapToGrid w:val="0"/>
        <w:spacing w:beforeAutospacing="0" w:afterAutospacing="0" w:line="360" w:lineRule="auto"/>
        <w:ind w:left="0" w:leftChars="0" w:right="0" w:rightChars="0"/>
        <w:jc w:val="right"/>
        <w:rPr>
          <w:rFonts w:hint="eastAsia" w:ascii="宋体" w:hAnsi="宋体" w:eastAsia="宋体" w:cs="宋体"/>
          <w:sz w:val="24"/>
          <w:highlight w:val="none"/>
        </w:rPr>
      </w:pP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电子签章</w:t>
      </w:r>
      <w:r>
        <w:rPr>
          <w:rFonts w:hint="eastAsia" w:ascii="宋体" w:hAnsi="宋体" w:eastAsia="宋体" w:cs="宋体"/>
          <w:sz w:val="24"/>
          <w:highlight w:val="none"/>
        </w:rPr>
        <w:t>）</w:t>
      </w:r>
    </w:p>
    <w:p w14:paraId="21D43593">
      <w:pPr>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color w:val="000000"/>
          <w:kern w:val="10"/>
          <w:sz w:val="24"/>
          <w:highlight w:val="none"/>
        </w:rPr>
      </w:pPr>
      <w:r>
        <w:rPr>
          <w:rFonts w:hint="eastAsia" w:ascii="宋体" w:hAnsi="宋体" w:eastAsia="宋体" w:cs="宋体"/>
          <w:sz w:val="24"/>
          <w:highlight w:val="none"/>
        </w:rPr>
        <w:t xml:space="preserve">                                       </w:t>
      </w:r>
      <w:r>
        <w:rPr>
          <w:rFonts w:hint="eastAsia" w:ascii="宋体" w:hAnsi="宋体" w:eastAsia="宋体" w:cs="宋体"/>
          <w:spacing w:val="6"/>
          <w:sz w:val="24"/>
          <w:highlight w:val="none"/>
          <w:shd w:val="clear" w:color="auto" w:fill="FFFFFF"/>
        </w:rPr>
        <w:t>日</w:t>
      </w:r>
      <w:r>
        <w:rPr>
          <w:rFonts w:hint="eastAsia" w:ascii="宋体" w:hAnsi="宋体" w:eastAsia="宋体" w:cs="宋体"/>
          <w:spacing w:val="6"/>
          <w:sz w:val="24"/>
          <w:highlight w:val="none"/>
          <w:shd w:val="clear" w:color="auto" w:fill="FFFFFF"/>
          <w:lang w:val="en-US" w:eastAsia="zh-CN"/>
        </w:rPr>
        <w:t xml:space="preserve"> </w:t>
      </w:r>
      <w:r>
        <w:rPr>
          <w:rFonts w:hint="eastAsia" w:ascii="宋体" w:hAnsi="宋体" w:eastAsia="宋体" w:cs="宋体"/>
          <w:spacing w:val="6"/>
          <w:sz w:val="24"/>
          <w:highlight w:val="none"/>
          <w:shd w:val="clear" w:color="auto" w:fill="FFFFFF"/>
        </w:rPr>
        <w:t xml:space="preserve">  期</w:t>
      </w:r>
      <w:r>
        <w:rPr>
          <w:rFonts w:hint="eastAsia" w:ascii="宋体" w:hAnsi="宋体" w:eastAsia="宋体" w:cs="宋体"/>
          <w:spacing w:val="6"/>
          <w:sz w:val="24"/>
          <w:highlight w:val="none"/>
          <w:shd w:val="clear" w:color="auto" w:fill="FFFFFF"/>
          <w:lang w:val="en-US" w:eastAsia="zh-CN"/>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3FDB8DE7">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p>
    <w:p w14:paraId="7D761200">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p>
    <w:p w14:paraId="758DFDA9">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p>
    <w:p w14:paraId="1AADBC3D">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p>
    <w:p w14:paraId="5DF8FB99">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bookmarkStart w:id="108" w:name="_Toc141079826"/>
      <w:bookmarkStart w:id="109" w:name="_Toc121749383"/>
      <w:bookmarkStart w:id="110" w:name="_Toc122004272"/>
    </w:p>
    <w:p w14:paraId="1F1B359A">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p>
    <w:p w14:paraId="036BFBA7">
      <w:pPr>
        <w:keepNext w:val="0"/>
        <w:keepLines w:val="0"/>
        <w:pageBreakBefore w:val="0"/>
        <w:widowControl/>
        <w:kinsoku w:val="0"/>
        <w:wordWrap/>
        <w:bidi w:val="0"/>
        <w:adjustRightInd w:val="0"/>
        <w:snapToGrid w:val="0"/>
        <w:spacing w:beforeAutospacing="0" w:afterAutospacing="0" w:line="360" w:lineRule="auto"/>
        <w:ind w:left="0" w:leftChars="0" w:right="0" w:rightChars="0"/>
        <w:jc w:val="both"/>
        <w:outlineLvl w:val="1"/>
        <w:rPr>
          <w:rFonts w:hint="eastAsia" w:ascii="宋体" w:hAnsi="宋体" w:eastAsia="宋体" w:cs="宋体"/>
          <w:b/>
          <w:bCs/>
          <w:color w:val="000000"/>
          <w:kern w:val="10"/>
          <w:sz w:val="28"/>
          <w:szCs w:val="28"/>
          <w:highlight w:val="none"/>
          <w:shd w:val="clear" w:color="auto" w:fill="FFFFFF"/>
        </w:rPr>
      </w:pPr>
    </w:p>
    <w:p w14:paraId="753EA0EF">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p>
    <w:p w14:paraId="5346C6EE">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p>
    <w:p w14:paraId="15E67B54">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p>
    <w:p w14:paraId="7FCC73DB">
      <w:pPr>
        <w:pStyle w:val="4"/>
        <w:keepNext w:val="0"/>
        <w:keepLines w:val="0"/>
        <w:pageBreakBefore w:val="0"/>
        <w:widowControl/>
        <w:kinsoku w:val="0"/>
        <w:wordWrap/>
        <w:bidi w:val="0"/>
        <w:adjustRightInd w:val="0"/>
        <w:snapToGrid w:val="0"/>
        <w:spacing w:before="0" w:line="360" w:lineRule="auto"/>
        <w:ind w:left="0" w:leftChars="0" w:right="0" w:rightChars="0"/>
        <w:rPr>
          <w:rFonts w:hint="eastAsia"/>
          <w:highlight w:val="none"/>
        </w:rPr>
      </w:pPr>
    </w:p>
    <w:p w14:paraId="1BFBDD70">
      <w:pPr>
        <w:pStyle w:val="44"/>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bCs/>
          <w:color w:val="000000"/>
          <w:kern w:val="10"/>
          <w:sz w:val="28"/>
          <w:szCs w:val="28"/>
          <w:highlight w:val="none"/>
          <w:shd w:val="clear" w:color="auto" w:fill="FFFFFF"/>
        </w:rPr>
      </w:pPr>
    </w:p>
    <w:p w14:paraId="4B176E3D">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p>
    <w:p w14:paraId="5C455039">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r>
        <w:rPr>
          <w:rFonts w:hint="eastAsia" w:ascii="宋体" w:hAnsi="宋体" w:eastAsia="宋体" w:cs="宋体"/>
          <w:b/>
          <w:bCs/>
          <w:color w:val="000000"/>
          <w:kern w:val="10"/>
          <w:sz w:val="28"/>
          <w:szCs w:val="28"/>
          <w:highlight w:val="none"/>
          <w:shd w:val="clear" w:color="auto" w:fill="FFFFFF"/>
        </w:rPr>
        <w:t>（三）残疾人福利性单位声明函</w:t>
      </w:r>
      <w:bookmarkEnd w:id="108"/>
      <w:bookmarkEnd w:id="109"/>
      <w:bookmarkEnd w:id="110"/>
    </w:p>
    <w:p w14:paraId="7E8F139B">
      <w:pPr>
        <w:keepNext w:val="0"/>
        <w:keepLines w:val="0"/>
        <w:pageBreakBefore w:val="0"/>
        <w:widowControl/>
        <w:kinsoku w:val="0"/>
        <w:wordWrap/>
        <w:bidi w:val="0"/>
        <w:adjustRightInd w:val="0"/>
        <w:snapToGrid w:val="0"/>
        <w:spacing w:beforeAutospacing="0" w:afterAutospacing="0" w:line="360" w:lineRule="auto"/>
        <w:ind w:left="0" w:leftChars="0" w:right="0" w:rightChars="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spacing w:val="6"/>
          <w:sz w:val="24"/>
          <w:highlight w:val="none"/>
          <w:u w:val="single"/>
          <w:shd w:val="clear" w:color="auto" w:fill="FFFFFF"/>
        </w:rPr>
        <w:t xml:space="preserve">       </w:t>
      </w:r>
      <w:r>
        <w:rPr>
          <w:rFonts w:hint="eastAsia" w:ascii="宋体" w:hAnsi="宋体" w:eastAsia="宋体" w:cs="宋体"/>
          <w:spacing w:val="6"/>
          <w:sz w:val="24"/>
          <w:highlight w:val="none"/>
          <w:shd w:val="clear" w:color="auto" w:fill="FFFFFF"/>
        </w:rPr>
        <w:t>单位的</w:t>
      </w:r>
      <w:r>
        <w:rPr>
          <w:rFonts w:hint="eastAsia" w:ascii="宋体" w:hAnsi="宋体" w:eastAsia="宋体" w:cs="宋体"/>
          <w:spacing w:val="6"/>
          <w:sz w:val="24"/>
          <w:highlight w:val="none"/>
          <w:u w:val="single"/>
          <w:shd w:val="clear" w:color="auto" w:fill="FFFFFF"/>
        </w:rPr>
        <w:t xml:space="preserve">      </w:t>
      </w:r>
      <w:r>
        <w:rPr>
          <w:rFonts w:hint="eastAsia" w:ascii="宋体" w:hAnsi="宋体" w:eastAsia="宋体" w:cs="宋体"/>
          <w:spacing w:val="6"/>
          <w:sz w:val="24"/>
          <w:highlight w:val="none"/>
          <w:shd w:val="clear" w:color="auto" w:fill="FFFFFF"/>
        </w:rPr>
        <w:t>项目采购活动提供本单位制造的货物（由本单位承担工程/提供服务），或者提供其他残疾人福利性单位制造的货物（不包括使用非残疾人福利性单位注册商标的货物）。</w:t>
      </w:r>
    </w:p>
    <w:p w14:paraId="0237D6BF">
      <w:pPr>
        <w:keepNext w:val="0"/>
        <w:keepLines w:val="0"/>
        <w:pageBreakBefore w:val="0"/>
        <w:widowControl/>
        <w:kinsoku w:val="0"/>
        <w:wordWrap/>
        <w:bidi w:val="0"/>
        <w:adjustRightInd w:val="0"/>
        <w:snapToGrid w:val="0"/>
        <w:spacing w:beforeAutospacing="0" w:afterAutospacing="0" w:line="360" w:lineRule="auto"/>
        <w:ind w:left="0" w:leftChars="0" w:right="0" w:rightChars="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本单位对上述声明的真实性负责。如有虚假，将依法承担相应责任。</w:t>
      </w:r>
    </w:p>
    <w:p w14:paraId="52B4DD6F">
      <w:pPr>
        <w:keepNext w:val="0"/>
        <w:keepLines w:val="0"/>
        <w:pageBreakBefore w:val="0"/>
        <w:widowControl/>
        <w:kinsoku w:val="0"/>
        <w:wordWrap/>
        <w:bidi w:val="0"/>
        <w:adjustRightInd w:val="0"/>
        <w:snapToGrid w:val="0"/>
        <w:spacing w:beforeAutospacing="0" w:afterAutospacing="0" w:line="360" w:lineRule="auto"/>
        <w:ind w:left="0" w:leftChars="0" w:right="0" w:rightChars="0" w:firstLine="504" w:firstLineChars="200"/>
        <w:rPr>
          <w:rFonts w:hint="eastAsia" w:ascii="宋体" w:hAnsi="宋体" w:eastAsia="宋体" w:cs="宋体"/>
          <w:spacing w:val="6"/>
          <w:sz w:val="24"/>
          <w:highlight w:val="none"/>
          <w:shd w:val="clear" w:color="auto" w:fill="FFFFFF"/>
        </w:rPr>
      </w:pPr>
    </w:p>
    <w:p w14:paraId="12564938">
      <w:pPr>
        <w:keepNext w:val="0"/>
        <w:keepLines w:val="0"/>
        <w:pageBreakBefore w:val="0"/>
        <w:widowControl/>
        <w:kinsoku w:val="0"/>
        <w:wordWrap/>
        <w:bidi w:val="0"/>
        <w:adjustRightInd w:val="0"/>
        <w:snapToGrid w:val="0"/>
        <w:spacing w:beforeAutospacing="0" w:afterAutospacing="0" w:line="360" w:lineRule="auto"/>
        <w:ind w:left="0" w:leftChars="0" w:right="0" w:rightChars="0"/>
        <w:jc w:val="right"/>
        <w:rPr>
          <w:rFonts w:hint="eastAsia" w:ascii="宋体" w:hAnsi="宋体" w:eastAsia="宋体" w:cs="宋体"/>
          <w:sz w:val="24"/>
          <w:highlight w:val="none"/>
        </w:rPr>
      </w:pPr>
      <w:r>
        <w:rPr>
          <w:rFonts w:hint="eastAsia" w:ascii="宋体" w:hAnsi="宋体" w:eastAsia="宋体" w:cs="宋体"/>
          <w:spacing w:val="6"/>
          <w:sz w:val="24"/>
          <w:highlight w:val="none"/>
          <w:shd w:val="clear" w:color="auto" w:fill="FFFFFF"/>
        </w:rPr>
        <w:t xml:space="preserve">        </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电子签章</w:t>
      </w:r>
      <w:r>
        <w:rPr>
          <w:rFonts w:hint="eastAsia" w:ascii="宋体" w:hAnsi="宋体" w:eastAsia="宋体" w:cs="宋体"/>
          <w:sz w:val="24"/>
          <w:highlight w:val="none"/>
        </w:rPr>
        <w:t>）</w:t>
      </w:r>
    </w:p>
    <w:p w14:paraId="3F8FC505">
      <w:pPr>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color w:val="000000"/>
          <w:kern w:val="10"/>
          <w:sz w:val="24"/>
          <w:highlight w:val="none"/>
        </w:rPr>
      </w:pPr>
      <w:r>
        <w:rPr>
          <w:rFonts w:hint="eastAsia" w:ascii="宋体" w:hAnsi="宋体" w:eastAsia="宋体" w:cs="宋体"/>
          <w:sz w:val="24"/>
          <w:highlight w:val="none"/>
        </w:rPr>
        <w:t xml:space="preserve">                                       </w:t>
      </w:r>
      <w:r>
        <w:rPr>
          <w:rFonts w:hint="eastAsia" w:ascii="宋体" w:hAnsi="宋体" w:eastAsia="宋体" w:cs="宋体"/>
          <w:spacing w:val="6"/>
          <w:sz w:val="24"/>
          <w:highlight w:val="none"/>
          <w:shd w:val="clear" w:color="auto" w:fill="FFFFFF"/>
        </w:rPr>
        <w:t>日</w:t>
      </w:r>
      <w:r>
        <w:rPr>
          <w:rFonts w:hint="eastAsia" w:ascii="宋体" w:hAnsi="宋体" w:eastAsia="宋体" w:cs="宋体"/>
          <w:spacing w:val="6"/>
          <w:sz w:val="24"/>
          <w:highlight w:val="none"/>
          <w:shd w:val="clear" w:color="auto" w:fill="FFFFFF"/>
          <w:lang w:val="en-US" w:eastAsia="zh-CN"/>
        </w:rPr>
        <w:t xml:space="preserve"> </w:t>
      </w:r>
      <w:r>
        <w:rPr>
          <w:rFonts w:hint="eastAsia" w:ascii="宋体" w:hAnsi="宋体" w:eastAsia="宋体" w:cs="宋体"/>
          <w:spacing w:val="6"/>
          <w:sz w:val="24"/>
          <w:highlight w:val="none"/>
          <w:shd w:val="clear" w:color="auto" w:fill="FFFFFF"/>
        </w:rPr>
        <w:t xml:space="preserve">  期</w:t>
      </w:r>
      <w:r>
        <w:rPr>
          <w:rFonts w:hint="eastAsia" w:ascii="宋体" w:hAnsi="宋体" w:eastAsia="宋体" w:cs="宋体"/>
          <w:spacing w:val="6"/>
          <w:sz w:val="24"/>
          <w:highlight w:val="none"/>
          <w:shd w:val="clear" w:color="auto" w:fill="FFFFFF"/>
          <w:lang w:val="en-US" w:eastAsia="zh-CN"/>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434EB2EC">
      <w:pPr>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b/>
          <w:color w:val="000000"/>
          <w:sz w:val="24"/>
          <w:highlight w:val="none"/>
        </w:rPr>
      </w:pPr>
      <w:r>
        <w:rPr>
          <w:rFonts w:hint="eastAsia" w:ascii="宋体" w:hAnsi="宋体" w:eastAsia="宋体" w:cs="宋体"/>
          <w:b/>
          <w:spacing w:val="6"/>
          <w:sz w:val="24"/>
          <w:highlight w:val="none"/>
          <w:shd w:val="clear" w:color="auto" w:fill="FFFFFF"/>
        </w:rPr>
        <w:t>（提醒：如果投标人不是残疾人福利性单位，则不需要提供</w:t>
      </w:r>
      <w:r>
        <w:rPr>
          <w:rFonts w:hint="eastAsia" w:ascii="宋体" w:hAnsi="宋体" w:eastAsia="宋体" w:cs="宋体"/>
          <w:b/>
          <w:spacing w:val="6"/>
          <w:sz w:val="24"/>
          <w:highlight w:val="none"/>
          <w:shd w:val="clear" w:color="auto" w:fill="FFFFFF"/>
          <w:lang w:val="en-US" w:eastAsia="zh-CN"/>
        </w:rPr>
        <w:t>证明材料，</w:t>
      </w:r>
      <w:r>
        <w:rPr>
          <w:rFonts w:hint="eastAsia" w:ascii="宋体" w:hAnsi="宋体" w:eastAsia="宋体" w:cs="宋体"/>
          <w:b/>
          <w:color w:val="000000"/>
          <w:sz w:val="24"/>
          <w:highlight w:val="none"/>
          <w:lang w:val="en-US" w:eastAsia="zh-CN"/>
        </w:rPr>
        <w:t>不删除本项，标明不属于残疾人福利性单位</w:t>
      </w:r>
      <w:r>
        <w:rPr>
          <w:rFonts w:hint="eastAsia" w:ascii="宋体" w:hAnsi="宋体" w:eastAsia="宋体" w:cs="宋体"/>
          <w:b/>
          <w:color w:val="000000"/>
          <w:sz w:val="24"/>
          <w:highlight w:val="none"/>
        </w:rPr>
        <w:t>）</w:t>
      </w:r>
    </w:p>
    <w:p w14:paraId="6757DB36">
      <w:pPr>
        <w:keepNext w:val="0"/>
        <w:keepLines w:val="0"/>
        <w:pageBreakBefore w:val="0"/>
        <w:widowControl/>
        <w:kinsoku w:val="0"/>
        <w:wordWrap/>
        <w:bidi w:val="0"/>
        <w:adjustRightInd w:val="0"/>
        <w:snapToGrid w:val="0"/>
        <w:spacing w:beforeAutospacing="0" w:afterAutospacing="0" w:line="360" w:lineRule="auto"/>
        <w:ind w:left="0" w:leftChars="0" w:right="0" w:rightChars="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《财政部民政部中国残疾人联合会关于促进残疾人就业政府采购政策的通知》（财库（2017〔141〕号）的规定：</w:t>
      </w:r>
    </w:p>
    <w:p w14:paraId="1A49F55F">
      <w:pPr>
        <w:keepNext w:val="0"/>
        <w:keepLines w:val="0"/>
        <w:pageBreakBefore w:val="0"/>
        <w:widowControl/>
        <w:kinsoku w:val="0"/>
        <w:wordWrap/>
        <w:bidi w:val="0"/>
        <w:adjustRightInd w:val="0"/>
        <w:snapToGrid w:val="0"/>
        <w:spacing w:beforeAutospacing="0" w:afterAutospacing="0" w:line="360" w:lineRule="auto"/>
        <w:ind w:left="0" w:leftChars="0" w:right="0" w:rightChars="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1. 享受政府采购支持政策的残疾人福利性单位应当同时满足以下条件：</w:t>
      </w:r>
    </w:p>
    <w:p w14:paraId="52003467">
      <w:pPr>
        <w:keepNext w:val="0"/>
        <w:keepLines w:val="0"/>
        <w:pageBreakBefore w:val="0"/>
        <w:widowControl/>
        <w:kinsoku w:val="0"/>
        <w:wordWrap/>
        <w:bidi w:val="0"/>
        <w:adjustRightInd w:val="0"/>
        <w:snapToGrid w:val="0"/>
        <w:spacing w:beforeAutospacing="0" w:afterAutospacing="0" w:line="360" w:lineRule="auto"/>
        <w:ind w:left="0" w:leftChars="0" w:right="0" w:rightChars="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（1）安置的残疾人占本单位在职职工人数的比例不低于25%（含25%），并且安置的残疾人人数不少于10人（含10人）；</w:t>
      </w:r>
    </w:p>
    <w:p w14:paraId="579EADC1">
      <w:pPr>
        <w:keepNext w:val="0"/>
        <w:keepLines w:val="0"/>
        <w:pageBreakBefore w:val="0"/>
        <w:widowControl/>
        <w:kinsoku w:val="0"/>
        <w:wordWrap/>
        <w:bidi w:val="0"/>
        <w:adjustRightInd w:val="0"/>
        <w:snapToGrid w:val="0"/>
        <w:spacing w:beforeAutospacing="0" w:afterAutospacing="0" w:line="360" w:lineRule="auto"/>
        <w:ind w:left="0" w:leftChars="0" w:right="0" w:rightChars="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（2）依法与安置的每位残疾人签订了一年以上（含一年）的劳动合同或服务协议；</w:t>
      </w:r>
    </w:p>
    <w:p w14:paraId="0A83E034">
      <w:pPr>
        <w:keepNext w:val="0"/>
        <w:keepLines w:val="0"/>
        <w:pageBreakBefore w:val="0"/>
        <w:widowControl/>
        <w:kinsoku w:val="0"/>
        <w:wordWrap/>
        <w:bidi w:val="0"/>
        <w:adjustRightInd w:val="0"/>
        <w:snapToGrid w:val="0"/>
        <w:spacing w:beforeAutospacing="0" w:afterAutospacing="0" w:line="360" w:lineRule="auto"/>
        <w:ind w:left="0" w:leftChars="0" w:right="0" w:rightChars="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（3）为安置的每位残疾人按月足额缴纳了基本养老保险、基本医疗保险、失业保险、工伤保险和生育保险等社会保险费；</w:t>
      </w:r>
    </w:p>
    <w:p w14:paraId="7C0A0EC9">
      <w:pPr>
        <w:keepNext w:val="0"/>
        <w:keepLines w:val="0"/>
        <w:pageBreakBefore w:val="0"/>
        <w:widowControl/>
        <w:kinsoku w:val="0"/>
        <w:wordWrap/>
        <w:bidi w:val="0"/>
        <w:adjustRightInd w:val="0"/>
        <w:snapToGrid w:val="0"/>
        <w:spacing w:beforeAutospacing="0" w:afterAutospacing="0" w:line="360" w:lineRule="auto"/>
        <w:ind w:left="0" w:leftChars="0" w:right="0" w:rightChars="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（4）通过银行等金融机构向安置的每位残疾人，按月支付了不低于单位所在区县适用的经省级人民政府批准的月最低工资标准的工资；</w:t>
      </w:r>
    </w:p>
    <w:p w14:paraId="37A73291">
      <w:pPr>
        <w:keepNext w:val="0"/>
        <w:keepLines w:val="0"/>
        <w:pageBreakBefore w:val="0"/>
        <w:widowControl/>
        <w:kinsoku w:val="0"/>
        <w:wordWrap/>
        <w:bidi w:val="0"/>
        <w:adjustRightInd w:val="0"/>
        <w:snapToGrid w:val="0"/>
        <w:spacing w:beforeAutospacing="0" w:afterAutospacing="0" w:line="360" w:lineRule="auto"/>
        <w:ind w:left="0" w:leftChars="0" w:right="0" w:rightChars="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（5）提供本单位制造的货物、承担的工程或者服务（以下简称产品），或者提供其他残疾人福利性单位制造的货物（不包括使用非残疾人福利性单位注册商标的货物）。</w:t>
      </w:r>
    </w:p>
    <w:p w14:paraId="3D4AF44A">
      <w:pPr>
        <w:keepNext w:val="0"/>
        <w:keepLines w:val="0"/>
        <w:pageBreakBefore w:val="0"/>
        <w:widowControl/>
        <w:kinsoku w:val="0"/>
        <w:wordWrap/>
        <w:bidi w:val="0"/>
        <w:adjustRightInd w:val="0"/>
        <w:snapToGrid w:val="0"/>
        <w:spacing w:beforeAutospacing="0" w:afterAutospacing="0" w:line="360" w:lineRule="auto"/>
        <w:ind w:left="0" w:leftChars="0" w:right="0" w:rightChars="0" w:firstLine="504" w:firstLineChars="200"/>
        <w:rPr>
          <w:rFonts w:hint="eastAsia" w:ascii="宋体" w:hAnsi="宋体" w:eastAsia="宋体" w:cs="宋体"/>
          <w:highlight w:val="none"/>
          <w:lang w:eastAsia="zh-CN"/>
        </w:rPr>
      </w:pPr>
      <w:r>
        <w:rPr>
          <w:rFonts w:hint="eastAsia" w:ascii="宋体" w:hAnsi="宋体" w:eastAsia="宋体" w:cs="宋体"/>
          <w:spacing w:val="6"/>
          <w:sz w:val="24"/>
          <w:highlight w:val="none"/>
          <w:shd w:val="clear" w:color="auto" w:fill="FFFFFF"/>
        </w:rPr>
        <w:t>2. 中标人为残疾人福利性单位的，采购人或者其委托的采购代理机构应当随中标、成交结果同时公告其《残疾人福利性单位声明函》，接受社会监督。</w:t>
      </w:r>
    </w:p>
    <w:p w14:paraId="20B7413B">
      <w:pPr>
        <w:keepNext w:val="0"/>
        <w:keepLines w:val="0"/>
        <w:pageBreakBefore w:val="0"/>
        <w:widowControl/>
        <w:kinsoku w:val="0"/>
        <w:wordWrap/>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auto"/>
          <w:sz w:val="28"/>
          <w:szCs w:val="28"/>
          <w:highlight w:val="none"/>
          <w:lang w:val="en-US" w:eastAsia="zh-CN"/>
        </w:rPr>
      </w:pPr>
      <w:bookmarkStart w:id="111" w:name="_Toc26270"/>
      <w:r>
        <w:rPr>
          <w:rFonts w:hint="eastAsia" w:ascii="宋体" w:hAnsi="宋体" w:eastAsia="宋体" w:cs="宋体"/>
          <w:b/>
          <w:bCs/>
          <w:color w:val="auto"/>
          <w:sz w:val="28"/>
          <w:szCs w:val="28"/>
          <w:highlight w:val="none"/>
          <w:lang w:val="en-US" w:eastAsia="zh-CN"/>
        </w:rPr>
        <w:t>十、供应商可提交的其他资料</w:t>
      </w:r>
      <w:bookmarkEnd w:id="111"/>
    </w:p>
    <w:p w14:paraId="6D117659">
      <w:pPr>
        <w:keepNext w:val="0"/>
        <w:keepLines w:val="0"/>
        <w:pageBreakBefore w:val="0"/>
        <w:widowControl/>
        <w:numPr>
          <w:ilvl w:val="0"/>
          <w:numId w:val="0"/>
        </w:numPr>
        <w:kinsoku w:val="0"/>
        <w:wordWrap/>
        <w:bidi w:val="0"/>
        <w:adjustRightInd w:val="0"/>
        <w:snapToGrid w:val="0"/>
        <w:spacing w:beforeAutospacing="0" w:afterAutospacing="0" w:line="360" w:lineRule="auto"/>
        <w:ind w:left="0" w:leftChars="0" w:right="0" w:rightChars="0"/>
        <w:jc w:val="both"/>
        <w:outlineLvl w:val="1"/>
        <w:rPr>
          <w:rFonts w:hint="eastAsia" w:ascii="宋体" w:hAnsi="宋体" w:eastAsia="宋体" w:cs="宋体"/>
          <w:b/>
          <w:bCs/>
          <w:color w:val="auto"/>
          <w:sz w:val="28"/>
          <w:szCs w:val="28"/>
          <w:highlight w:val="none"/>
          <w:lang w:val="en-US" w:eastAsia="zh-CN"/>
        </w:rPr>
      </w:pPr>
    </w:p>
    <w:p w14:paraId="54274DF6">
      <w:pPr>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color w:val="auto"/>
          <w:highlight w:val="none"/>
        </w:rPr>
      </w:pPr>
    </w:p>
    <w:p w14:paraId="24727492">
      <w:pPr>
        <w:keepNext w:val="0"/>
        <w:keepLines w:val="0"/>
        <w:pageBreakBefore w:val="0"/>
        <w:widowControl/>
        <w:kinsoku w:val="0"/>
        <w:wordWrap/>
        <w:bidi w:val="0"/>
        <w:adjustRightInd w:val="0"/>
        <w:snapToGrid w:val="0"/>
        <w:spacing w:beforeAutospacing="0" w:afterAutospacing="0" w:line="360" w:lineRule="auto"/>
        <w:ind w:left="0" w:leftChars="0" w:right="0" w:rightChars="0"/>
        <w:rPr>
          <w:rFonts w:hint="eastAsia" w:ascii="宋体" w:hAnsi="宋体" w:eastAsia="宋体" w:cs="宋体"/>
          <w:color w:val="auto"/>
          <w:highlight w:val="none"/>
        </w:rPr>
      </w:pPr>
    </w:p>
    <w:p w14:paraId="5A358286">
      <w:pPr>
        <w:pStyle w:val="27"/>
        <w:keepNext w:val="0"/>
        <w:keepLines w:val="0"/>
        <w:pageBreakBefore w:val="0"/>
        <w:widowControl/>
        <w:kinsoku w:val="0"/>
        <w:wordWrap/>
        <w:bidi w:val="0"/>
        <w:adjustRightInd w:val="0"/>
        <w:snapToGrid w:val="0"/>
        <w:spacing w:after="0" w:line="360" w:lineRule="auto"/>
        <w:ind w:left="0" w:leftChars="0" w:right="0" w:rightChars="0"/>
        <w:rPr>
          <w:color w:val="auto"/>
          <w:highlight w:val="none"/>
        </w:rPr>
      </w:pPr>
    </w:p>
    <w:sectPr>
      <w:footerReference r:id="rId7" w:type="default"/>
      <w:pgSz w:w="11906" w:h="16838"/>
      <w:pgMar w:top="1417" w:right="1417" w:bottom="1417" w:left="1417" w:header="851" w:footer="992" w:gutter="0"/>
      <w:pgNumType w:fmt="decimal"/>
      <w:cols w:space="0" w:num="1"/>
      <w:rtlGutter w:val="0"/>
      <w:docGrid w:type="lines" w:linePitch="33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9B647">
    <w:pPr>
      <w:spacing w:line="188" w:lineRule="auto"/>
      <w:rPr>
        <w:rFonts w:ascii="Calibri" w:hAnsi="Calibri" w:eastAsia="Calibri" w:cs="Calibri"/>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20532">
    <w:pPr>
      <w:spacing w:line="188" w:lineRule="auto"/>
      <w:rPr>
        <w:rFonts w:ascii="Calibri" w:hAnsi="Calibri" w:eastAsia="Calibri" w:cs="Calibri"/>
        <w:sz w:val="17"/>
        <w:szCs w:val="17"/>
      </w:rPr>
    </w:pPr>
    <w:r>
      <w:rPr>
        <w:sz w:val="17"/>
      </w:rPr>
      <w:pict>
        <v:shape id="_x0000_s4104" o:spid="_x0000_s410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7D7A95D">
                <w:pPr>
                  <w:pStyle w:val="19"/>
                </w:pPr>
                <w:r>
                  <w:fldChar w:fldCharType="begin"/>
                </w:r>
                <w:r>
                  <w:instrText xml:space="preserve"> PAGE  \* MERGEFORMAT </w:instrText>
                </w:r>
                <w:r>
                  <w:fldChar w:fldCharType="separate"/>
                </w:r>
                <w:r>
                  <w:t>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EABC3">
    <w:pPr>
      <w:pStyle w:val="19"/>
    </w:pPr>
    <w:r>
      <w:rPr>
        <w:sz w:val="18"/>
      </w:rPr>
      <w:pict>
        <v:shape id="_x0000_s4105" o:spid="_x0000_s410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693D4913">
                <w:pPr>
                  <w:pStyle w:val="19"/>
                </w:pPr>
                <w:r>
                  <w:fldChar w:fldCharType="begin"/>
                </w:r>
                <w:r>
                  <w:instrText xml:space="preserve"> PAGE  \* MERGEFORMAT </w:instrText>
                </w:r>
                <w:r>
                  <w:fldChar w:fldCharType="separate"/>
                </w:r>
                <w:r>
                  <w:t>52</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310A9"/>
    <w:multiLevelType w:val="singleLevel"/>
    <w:tmpl w:val="8F5310A9"/>
    <w:lvl w:ilvl="0" w:tentative="0">
      <w:start w:val="1"/>
      <w:numFmt w:val="decimal"/>
      <w:lvlText w:val="%1."/>
      <w:lvlJc w:val="left"/>
      <w:pPr>
        <w:ind w:left="425" w:hanging="425"/>
      </w:pPr>
      <w:rPr>
        <w:rFonts w:hint="default"/>
      </w:rPr>
    </w:lvl>
  </w:abstractNum>
  <w:abstractNum w:abstractNumId="1">
    <w:nsid w:val="BA47E16F"/>
    <w:multiLevelType w:val="singleLevel"/>
    <w:tmpl w:val="BA47E16F"/>
    <w:lvl w:ilvl="0" w:tentative="0">
      <w:start w:val="1"/>
      <w:numFmt w:val="bullet"/>
      <w:lvlText w:val=""/>
      <w:lvlJc w:val="left"/>
      <w:pPr>
        <w:ind w:left="420" w:hanging="420"/>
      </w:pPr>
      <w:rPr>
        <w:rFonts w:hint="default" w:ascii="Wingdings" w:hAnsi="Wingdings"/>
      </w:rPr>
    </w:lvl>
  </w:abstractNum>
  <w:abstractNum w:abstractNumId="2">
    <w:nsid w:val="DB25F2AB"/>
    <w:multiLevelType w:val="singleLevel"/>
    <w:tmpl w:val="DB25F2AB"/>
    <w:lvl w:ilvl="0" w:tentative="0">
      <w:start w:val="2"/>
      <w:numFmt w:val="chineseCounting"/>
      <w:suff w:val="nothing"/>
      <w:lvlText w:val="%1、"/>
      <w:lvlJc w:val="left"/>
      <w:rPr>
        <w:rFonts w:hint="eastAsia"/>
      </w:rPr>
    </w:lvl>
  </w:abstractNum>
  <w:abstractNum w:abstractNumId="3">
    <w:nsid w:val="DDF88F9B"/>
    <w:multiLevelType w:val="multilevel"/>
    <w:tmpl w:val="DDF88F9B"/>
    <w:lvl w:ilvl="0" w:tentative="0">
      <w:start w:val="1"/>
      <w:numFmt w:val="decimal"/>
      <w:suff w:val="nothing"/>
      <w:lvlText w:val="%1、"/>
      <w:lvlJc w:val="left"/>
      <w:pPr>
        <w:tabs>
          <w:tab w:val="left" w:pos="0"/>
        </w:tabs>
        <w:ind w:left="0" w:firstLine="0"/>
      </w:pPr>
      <w:rPr>
        <w:rFonts w:ascii="宋体" w:hAnsi="宋体" w:eastAsia="宋体" w:cs="宋体"/>
      </w:rPr>
    </w:lvl>
    <w:lvl w:ilvl="1" w:tentative="0">
      <w:start w:val="1"/>
      <w:numFmt w:val="decimal"/>
      <w:pStyle w:val="95"/>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4">
    <w:nsid w:val="F7BF1477"/>
    <w:multiLevelType w:val="singleLevel"/>
    <w:tmpl w:val="F7BF1477"/>
    <w:lvl w:ilvl="0" w:tentative="0">
      <w:start w:val="2"/>
      <w:numFmt w:val="decimal"/>
      <w:suff w:val="space"/>
      <w:lvlText w:val="%1."/>
      <w:lvlJc w:val="left"/>
      <w:pPr>
        <w:ind w:left="720" w:leftChars="0" w:firstLine="0" w:firstLineChars="0"/>
      </w:pPr>
    </w:lvl>
  </w:abstractNum>
  <w:abstractNum w:abstractNumId="5">
    <w:nsid w:val="426606C7"/>
    <w:multiLevelType w:val="singleLevel"/>
    <w:tmpl w:val="426606C7"/>
    <w:lvl w:ilvl="0" w:tentative="0">
      <w:start w:val="4"/>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dit="trackedChanges" w:enforcement="1" w:cryptProviderType="rsaFull" w:cryptAlgorithmClass="hash" w:cryptAlgorithmType="typeAny" w:cryptAlgorithmSid="4" w:cryptSpinCount="0" w:hash="FsYKahgiij4O6aezuxBtysA8H0Q=" w:salt="ltwrwyhpE9eGH0o+0WMoLQ=="/>
  <w:defaultTabStop w:val="420"/>
  <w:drawingGridVerticalSpacing w:val="166"/>
  <w:displayHorizontalDrawingGridEvery w:val="1"/>
  <w:displayVerticalDrawingGridEvery w:val="1"/>
  <w:noPunctuationKerning w:val="1"/>
  <w:characterSpacingControl w:val="compressPunctuation"/>
  <w:hdr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IyZTE0ZjhiZDAwZDc5ODcxMmE4Y2RjOTYwMzM5MTcifQ=="/>
  </w:docVars>
  <w:rsids>
    <w:rsidRoot w:val="006A3D5D"/>
    <w:rsid w:val="00063980"/>
    <w:rsid w:val="00066E28"/>
    <w:rsid w:val="000B77BC"/>
    <w:rsid w:val="000C4055"/>
    <w:rsid w:val="000E40A6"/>
    <w:rsid w:val="00113188"/>
    <w:rsid w:val="00155063"/>
    <w:rsid w:val="00186639"/>
    <w:rsid w:val="00207D1E"/>
    <w:rsid w:val="00213D12"/>
    <w:rsid w:val="002168CC"/>
    <w:rsid w:val="00296932"/>
    <w:rsid w:val="002A2B65"/>
    <w:rsid w:val="002A58A1"/>
    <w:rsid w:val="002E1FF3"/>
    <w:rsid w:val="00332800"/>
    <w:rsid w:val="003777AC"/>
    <w:rsid w:val="00386EF6"/>
    <w:rsid w:val="003A6F40"/>
    <w:rsid w:val="003C0A49"/>
    <w:rsid w:val="003E1406"/>
    <w:rsid w:val="003E2800"/>
    <w:rsid w:val="0041379D"/>
    <w:rsid w:val="004237C4"/>
    <w:rsid w:val="00483F93"/>
    <w:rsid w:val="004A5CAC"/>
    <w:rsid w:val="004B1B58"/>
    <w:rsid w:val="004B6FA9"/>
    <w:rsid w:val="004D4427"/>
    <w:rsid w:val="004E301E"/>
    <w:rsid w:val="004F148D"/>
    <w:rsid w:val="00505FE6"/>
    <w:rsid w:val="00507C07"/>
    <w:rsid w:val="005138AF"/>
    <w:rsid w:val="00523026"/>
    <w:rsid w:val="00527448"/>
    <w:rsid w:val="00534815"/>
    <w:rsid w:val="005911DE"/>
    <w:rsid w:val="00592D35"/>
    <w:rsid w:val="005E5234"/>
    <w:rsid w:val="005F3F19"/>
    <w:rsid w:val="006013F2"/>
    <w:rsid w:val="006146EA"/>
    <w:rsid w:val="0063374A"/>
    <w:rsid w:val="00642831"/>
    <w:rsid w:val="0066795B"/>
    <w:rsid w:val="006A3D5D"/>
    <w:rsid w:val="006B3B1D"/>
    <w:rsid w:val="006B4677"/>
    <w:rsid w:val="006C31D0"/>
    <w:rsid w:val="006F4261"/>
    <w:rsid w:val="007004E1"/>
    <w:rsid w:val="0075192A"/>
    <w:rsid w:val="0076109C"/>
    <w:rsid w:val="0076745E"/>
    <w:rsid w:val="0077517D"/>
    <w:rsid w:val="007965CF"/>
    <w:rsid w:val="007B19F0"/>
    <w:rsid w:val="007B7914"/>
    <w:rsid w:val="007E105D"/>
    <w:rsid w:val="007F1952"/>
    <w:rsid w:val="007F37A3"/>
    <w:rsid w:val="00803B43"/>
    <w:rsid w:val="008267B1"/>
    <w:rsid w:val="00851525"/>
    <w:rsid w:val="008743C1"/>
    <w:rsid w:val="008945C5"/>
    <w:rsid w:val="00904AAF"/>
    <w:rsid w:val="00913BF4"/>
    <w:rsid w:val="0091497C"/>
    <w:rsid w:val="00950874"/>
    <w:rsid w:val="00983927"/>
    <w:rsid w:val="00A01E26"/>
    <w:rsid w:val="00A308D3"/>
    <w:rsid w:val="00A56144"/>
    <w:rsid w:val="00A97018"/>
    <w:rsid w:val="00B06005"/>
    <w:rsid w:val="00B20BB6"/>
    <w:rsid w:val="00B31843"/>
    <w:rsid w:val="00B519D5"/>
    <w:rsid w:val="00B61210"/>
    <w:rsid w:val="00B71B20"/>
    <w:rsid w:val="00B80107"/>
    <w:rsid w:val="00B91796"/>
    <w:rsid w:val="00BA1CC1"/>
    <w:rsid w:val="00BA3E57"/>
    <w:rsid w:val="00BB07C7"/>
    <w:rsid w:val="00BB2EC3"/>
    <w:rsid w:val="00BF093E"/>
    <w:rsid w:val="00C46BF5"/>
    <w:rsid w:val="00C46F3C"/>
    <w:rsid w:val="00CC011D"/>
    <w:rsid w:val="00CC46CF"/>
    <w:rsid w:val="00D73945"/>
    <w:rsid w:val="00D830EC"/>
    <w:rsid w:val="00D90462"/>
    <w:rsid w:val="00DD5034"/>
    <w:rsid w:val="00DE3819"/>
    <w:rsid w:val="00E05611"/>
    <w:rsid w:val="00EE4BAA"/>
    <w:rsid w:val="00F013F4"/>
    <w:rsid w:val="00F15FA0"/>
    <w:rsid w:val="00F164B3"/>
    <w:rsid w:val="00FA69CA"/>
    <w:rsid w:val="00FC4FA3"/>
    <w:rsid w:val="010D0689"/>
    <w:rsid w:val="01423F24"/>
    <w:rsid w:val="01475212"/>
    <w:rsid w:val="0179546C"/>
    <w:rsid w:val="01D54D98"/>
    <w:rsid w:val="023F66B6"/>
    <w:rsid w:val="02B6709D"/>
    <w:rsid w:val="030B177A"/>
    <w:rsid w:val="038C5CCB"/>
    <w:rsid w:val="03D42E2E"/>
    <w:rsid w:val="0415162B"/>
    <w:rsid w:val="0459178A"/>
    <w:rsid w:val="04B051C8"/>
    <w:rsid w:val="04C904B8"/>
    <w:rsid w:val="04CE3D21"/>
    <w:rsid w:val="0532472F"/>
    <w:rsid w:val="05676EDD"/>
    <w:rsid w:val="05EA2DDC"/>
    <w:rsid w:val="05FB6D97"/>
    <w:rsid w:val="068165B5"/>
    <w:rsid w:val="069524E4"/>
    <w:rsid w:val="06F63309"/>
    <w:rsid w:val="071A324D"/>
    <w:rsid w:val="07AE6DE7"/>
    <w:rsid w:val="07F27D26"/>
    <w:rsid w:val="07FE51AA"/>
    <w:rsid w:val="081E3021"/>
    <w:rsid w:val="082F6329"/>
    <w:rsid w:val="08D25BF6"/>
    <w:rsid w:val="08D674E1"/>
    <w:rsid w:val="08D92EA9"/>
    <w:rsid w:val="09097F8E"/>
    <w:rsid w:val="092610A9"/>
    <w:rsid w:val="09775FEE"/>
    <w:rsid w:val="0987162D"/>
    <w:rsid w:val="09B37885"/>
    <w:rsid w:val="09C10809"/>
    <w:rsid w:val="0A336573"/>
    <w:rsid w:val="0A375EC4"/>
    <w:rsid w:val="0ACA5794"/>
    <w:rsid w:val="0AE628DC"/>
    <w:rsid w:val="0B1C3A38"/>
    <w:rsid w:val="0BDB1DCE"/>
    <w:rsid w:val="0C297ED8"/>
    <w:rsid w:val="0C4025ED"/>
    <w:rsid w:val="0C452B1A"/>
    <w:rsid w:val="0C4744D2"/>
    <w:rsid w:val="0C7451AE"/>
    <w:rsid w:val="0C806655"/>
    <w:rsid w:val="0C844FAD"/>
    <w:rsid w:val="0D1165A8"/>
    <w:rsid w:val="0D664F44"/>
    <w:rsid w:val="0D674D12"/>
    <w:rsid w:val="0DA33F9D"/>
    <w:rsid w:val="0E30199A"/>
    <w:rsid w:val="0E3A41D5"/>
    <w:rsid w:val="0E456E02"/>
    <w:rsid w:val="0E7224F8"/>
    <w:rsid w:val="0E9B30B6"/>
    <w:rsid w:val="0ED9247A"/>
    <w:rsid w:val="0EDF3216"/>
    <w:rsid w:val="0F57427D"/>
    <w:rsid w:val="0F5F460A"/>
    <w:rsid w:val="10B43746"/>
    <w:rsid w:val="10B95885"/>
    <w:rsid w:val="10D4152B"/>
    <w:rsid w:val="10DB7345"/>
    <w:rsid w:val="110C00AB"/>
    <w:rsid w:val="117E017D"/>
    <w:rsid w:val="11C713A7"/>
    <w:rsid w:val="11F954F0"/>
    <w:rsid w:val="129604F7"/>
    <w:rsid w:val="129C720C"/>
    <w:rsid w:val="12CF0C0F"/>
    <w:rsid w:val="13715114"/>
    <w:rsid w:val="13734411"/>
    <w:rsid w:val="13741F37"/>
    <w:rsid w:val="13E40E6B"/>
    <w:rsid w:val="13E621D1"/>
    <w:rsid w:val="144D1E07"/>
    <w:rsid w:val="145E4278"/>
    <w:rsid w:val="14E00552"/>
    <w:rsid w:val="14EB1F91"/>
    <w:rsid w:val="15204125"/>
    <w:rsid w:val="1524320F"/>
    <w:rsid w:val="155B7323"/>
    <w:rsid w:val="15AB149C"/>
    <w:rsid w:val="15D31197"/>
    <w:rsid w:val="15E26C56"/>
    <w:rsid w:val="15F97F78"/>
    <w:rsid w:val="16743897"/>
    <w:rsid w:val="16A36DBB"/>
    <w:rsid w:val="16A559C5"/>
    <w:rsid w:val="16B317D0"/>
    <w:rsid w:val="16CF7520"/>
    <w:rsid w:val="16EB716B"/>
    <w:rsid w:val="16FE176F"/>
    <w:rsid w:val="17652A61"/>
    <w:rsid w:val="176A1687"/>
    <w:rsid w:val="178D5376"/>
    <w:rsid w:val="17BC6300"/>
    <w:rsid w:val="18963ABD"/>
    <w:rsid w:val="189A2FA5"/>
    <w:rsid w:val="18F07E29"/>
    <w:rsid w:val="193A32DB"/>
    <w:rsid w:val="19540841"/>
    <w:rsid w:val="1958313F"/>
    <w:rsid w:val="197B5DCD"/>
    <w:rsid w:val="197F0DB4"/>
    <w:rsid w:val="19E41BC5"/>
    <w:rsid w:val="1A2D6304"/>
    <w:rsid w:val="1A8C14C8"/>
    <w:rsid w:val="1A9269EA"/>
    <w:rsid w:val="1AD85D67"/>
    <w:rsid w:val="1B103B20"/>
    <w:rsid w:val="1BCC1635"/>
    <w:rsid w:val="1BEE4D85"/>
    <w:rsid w:val="1C382F45"/>
    <w:rsid w:val="1C925B2F"/>
    <w:rsid w:val="1C976791"/>
    <w:rsid w:val="1D1E3148"/>
    <w:rsid w:val="1D715AB9"/>
    <w:rsid w:val="1DF43739"/>
    <w:rsid w:val="1E124827"/>
    <w:rsid w:val="1E3C11C7"/>
    <w:rsid w:val="1E9C6528"/>
    <w:rsid w:val="1E9D04D7"/>
    <w:rsid w:val="1EAE7906"/>
    <w:rsid w:val="1EDB10BC"/>
    <w:rsid w:val="1F6317DE"/>
    <w:rsid w:val="205E3D53"/>
    <w:rsid w:val="20A35C0A"/>
    <w:rsid w:val="20F65B78"/>
    <w:rsid w:val="21116FEA"/>
    <w:rsid w:val="21395567"/>
    <w:rsid w:val="21515666"/>
    <w:rsid w:val="21573F25"/>
    <w:rsid w:val="21666272"/>
    <w:rsid w:val="216871F8"/>
    <w:rsid w:val="21A1039B"/>
    <w:rsid w:val="21B225A8"/>
    <w:rsid w:val="21EB7D9D"/>
    <w:rsid w:val="22055549"/>
    <w:rsid w:val="22237818"/>
    <w:rsid w:val="22444E21"/>
    <w:rsid w:val="22784E2D"/>
    <w:rsid w:val="22866495"/>
    <w:rsid w:val="22883309"/>
    <w:rsid w:val="229B303C"/>
    <w:rsid w:val="235176F4"/>
    <w:rsid w:val="236C7799"/>
    <w:rsid w:val="237B667D"/>
    <w:rsid w:val="23FF75FB"/>
    <w:rsid w:val="24392B0D"/>
    <w:rsid w:val="246202E3"/>
    <w:rsid w:val="24653902"/>
    <w:rsid w:val="24943E07"/>
    <w:rsid w:val="249661B1"/>
    <w:rsid w:val="24A80841"/>
    <w:rsid w:val="24B473B2"/>
    <w:rsid w:val="24E0742D"/>
    <w:rsid w:val="24E12798"/>
    <w:rsid w:val="24FE6789"/>
    <w:rsid w:val="24FE78B3"/>
    <w:rsid w:val="2567355B"/>
    <w:rsid w:val="26190E48"/>
    <w:rsid w:val="266320C3"/>
    <w:rsid w:val="26793440"/>
    <w:rsid w:val="26A649D2"/>
    <w:rsid w:val="26BD5C77"/>
    <w:rsid w:val="26C07F93"/>
    <w:rsid w:val="26E97AC2"/>
    <w:rsid w:val="27716E6C"/>
    <w:rsid w:val="27AC35F6"/>
    <w:rsid w:val="282B714C"/>
    <w:rsid w:val="288334C3"/>
    <w:rsid w:val="288941F4"/>
    <w:rsid w:val="28B96D7F"/>
    <w:rsid w:val="28FE60D3"/>
    <w:rsid w:val="290C4C94"/>
    <w:rsid w:val="29291132"/>
    <w:rsid w:val="293B5574"/>
    <w:rsid w:val="295201CD"/>
    <w:rsid w:val="29CA76CB"/>
    <w:rsid w:val="29EE19F6"/>
    <w:rsid w:val="29FB66CE"/>
    <w:rsid w:val="29FD45DD"/>
    <w:rsid w:val="2A192C73"/>
    <w:rsid w:val="2AC1034A"/>
    <w:rsid w:val="2AC63914"/>
    <w:rsid w:val="2B3C22C6"/>
    <w:rsid w:val="2B3E5E22"/>
    <w:rsid w:val="2B481888"/>
    <w:rsid w:val="2B677293"/>
    <w:rsid w:val="2B8E5250"/>
    <w:rsid w:val="2BAC3BD2"/>
    <w:rsid w:val="2BD27BD7"/>
    <w:rsid w:val="2C3E3247"/>
    <w:rsid w:val="2C900EC5"/>
    <w:rsid w:val="2CF77A09"/>
    <w:rsid w:val="2D411497"/>
    <w:rsid w:val="2D5E0F2D"/>
    <w:rsid w:val="2D8E486A"/>
    <w:rsid w:val="2D9E28B8"/>
    <w:rsid w:val="2DE31A25"/>
    <w:rsid w:val="2DFB130A"/>
    <w:rsid w:val="2E924FEF"/>
    <w:rsid w:val="305667F5"/>
    <w:rsid w:val="30616EBD"/>
    <w:rsid w:val="30747E42"/>
    <w:rsid w:val="30BF25EC"/>
    <w:rsid w:val="313018FF"/>
    <w:rsid w:val="31336312"/>
    <w:rsid w:val="317C04DD"/>
    <w:rsid w:val="31B74025"/>
    <w:rsid w:val="31DE4CF4"/>
    <w:rsid w:val="32180206"/>
    <w:rsid w:val="32496611"/>
    <w:rsid w:val="32D700C1"/>
    <w:rsid w:val="32FB0305"/>
    <w:rsid w:val="330864CC"/>
    <w:rsid w:val="33214D16"/>
    <w:rsid w:val="33576B0C"/>
    <w:rsid w:val="33727E29"/>
    <w:rsid w:val="33813F23"/>
    <w:rsid w:val="33AD7074"/>
    <w:rsid w:val="33B35B35"/>
    <w:rsid w:val="33DB3B8B"/>
    <w:rsid w:val="34830F7E"/>
    <w:rsid w:val="34A0062A"/>
    <w:rsid w:val="34C208FD"/>
    <w:rsid w:val="34D403D1"/>
    <w:rsid w:val="35C44201"/>
    <w:rsid w:val="35EF74CF"/>
    <w:rsid w:val="3697072A"/>
    <w:rsid w:val="36F154C9"/>
    <w:rsid w:val="36F30C44"/>
    <w:rsid w:val="37021484"/>
    <w:rsid w:val="37863E63"/>
    <w:rsid w:val="379530C6"/>
    <w:rsid w:val="385B4AD4"/>
    <w:rsid w:val="38710AB3"/>
    <w:rsid w:val="38E56968"/>
    <w:rsid w:val="3903294F"/>
    <w:rsid w:val="39185FEA"/>
    <w:rsid w:val="39232743"/>
    <w:rsid w:val="39243934"/>
    <w:rsid w:val="397C551E"/>
    <w:rsid w:val="39F057E5"/>
    <w:rsid w:val="3A06128C"/>
    <w:rsid w:val="3A560D5F"/>
    <w:rsid w:val="3AED5FA8"/>
    <w:rsid w:val="3BB865B6"/>
    <w:rsid w:val="3BB91E42"/>
    <w:rsid w:val="3C101EF8"/>
    <w:rsid w:val="3C7921E9"/>
    <w:rsid w:val="3CA37266"/>
    <w:rsid w:val="3CBA2CA3"/>
    <w:rsid w:val="3D043766"/>
    <w:rsid w:val="3D176E25"/>
    <w:rsid w:val="3D775644"/>
    <w:rsid w:val="3D7969B4"/>
    <w:rsid w:val="3D7F55DD"/>
    <w:rsid w:val="3DC84E49"/>
    <w:rsid w:val="3DE2791A"/>
    <w:rsid w:val="3DF064DB"/>
    <w:rsid w:val="3DFF671E"/>
    <w:rsid w:val="3F051B12"/>
    <w:rsid w:val="3F253F62"/>
    <w:rsid w:val="3F623B78"/>
    <w:rsid w:val="3FCA4B09"/>
    <w:rsid w:val="40381A73"/>
    <w:rsid w:val="40547751"/>
    <w:rsid w:val="412A5860"/>
    <w:rsid w:val="41301E18"/>
    <w:rsid w:val="418827F1"/>
    <w:rsid w:val="41D67795"/>
    <w:rsid w:val="4246491B"/>
    <w:rsid w:val="42A67168"/>
    <w:rsid w:val="42D73F8A"/>
    <w:rsid w:val="4303315A"/>
    <w:rsid w:val="438C254B"/>
    <w:rsid w:val="43D9356D"/>
    <w:rsid w:val="43EC32A0"/>
    <w:rsid w:val="44C45FCB"/>
    <w:rsid w:val="44F3240C"/>
    <w:rsid w:val="44FC7513"/>
    <w:rsid w:val="455B692F"/>
    <w:rsid w:val="45961342"/>
    <w:rsid w:val="45C339ED"/>
    <w:rsid w:val="46103A07"/>
    <w:rsid w:val="46130FB8"/>
    <w:rsid w:val="462A63DE"/>
    <w:rsid w:val="474D04FA"/>
    <w:rsid w:val="47743CD8"/>
    <w:rsid w:val="47E349BA"/>
    <w:rsid w:val="48571F9F"/>
    <w:rsid w:val="48671147"/>
    <w:rsid w:val="487F04A1"/>
    <w:rsid w:val="48DF33D4"/>
    <w:rsid w:val="48F50D3C"/>
    <w:rsid w:val="491D24F6"/>
    <w:rsid w:val="49582F89"/>
    <w:rsid w:val="498571F8"/>
    <w:rsid w:val="49916FD6"/>
    <w:rsid w:val="499706C9"/>
    <w:rsid w:val="49B91A42"/>
    <w:rsid w:val="49DE6E9B"/>
    <w:rsid w:val="4AAA1891"/>
    <w:rsid w:val="4B9A1954"/>
    <w:rsid w:val="4BC11A3D"/>
    <w:rsid w:val="4C2111B3"/>
    <w:rsid w:val="4C320178"/>
    <w:rsid w:val="4C854292"/>
    <w:rsid w:val="4CB525DD"/>
    <w:rsid w:val="4CCB1789"/>
    <w:rsid w:val="4CED5F2D"/>
    <w:rsid w:val="4CF67BFB"/>
    <w:rsid w:val="4D663E25"/>
    <w:rsid w:val="4D8F1859"/>
    <w:rsid w:val="4DB12DDA"/>
    <w:rsid w:val="4E65437B"/>
    <w:rsid w:val="4EA62FF7"/>
    <w:rsid w:val="4F075325"/>
    <w:rsid w:val="4F1D07B2"/>
    <w:rsid w:val="4F8C3B89"/>
    <w:rsid w:val="4FA21F7E"/>
    <w:rsid w:val="4FC01E46"/>
    <w:rsid w:val="50AB003F"/>
    <w:rsid w:val="50EC0C14"/>
    <w:rsid w:val="514C35D0"/>
    <w:rsid w:val="514F69BA"/>
    <w:rsid w:val="515F1C6C"/>
    <w:rsid w:val="51EB0B79"/>
    <w:rsid w:val="52405C5A"/>
    <w:rsid w:val="528A2602"/>
    <w:rsid w:val="528E3AD7"/>
    <w:rsid w:val="53217ECD"/>
    <w:rsid w:val="53542C10"/>
    <w:rsid w:val="53C03AE0"/>
    <w:rsid w:val="54316CCD"/>
    <w:rsid w:val="544C3241"/>
    <w:rsid w:val="54583C3A"/>
    <w:rsid w:val="54591592"/>
    <w:rsid w:val="54D20290"/>
    <w:rsid w:val="54DB0992"/>
    <w:rsid w:val="558F1CDD"/>
    <w:rsid w:val="55984674"/>
    <w:rsid w:val="56024CBE"/>
    <w:rsid w:val="563935F7"/>
    <w:rsid w:val="56951575"/>
    <w:rsid w:val="569D4475"/>
    <w:rsid w:val="56A6515D"/>
    <w:rsid w:val="56D952A8"/>
    <w:rsid w:val="57030BD5"/>
    <w:rsid w:val="571D39A3"/>
    <w:rsid w:val="57D66E92"/>
    <w:rsid w:val="57DB15A1"/>
    <w:rsid w:val="58040E80"/>
    <w:rsid w:val="58A10058"/>
    <w:rsid w:val="58DE51AA"/>
    <w:rsid w:val="59466D60"/>
    <w:rsid w:val="599678C9"/>
    <w:rsid w:val="59C503C4"/>
    <w:rsid w:val="5A100D6E"/>
    <w:rsid w:val="5A79418A"/>
    <w:rsid w:val="5A854A24"/>
    <w:rsid w:val="5AB3021C"/>
    <w:rsid w:val="5B9C7C56"/>
    <w:rsid w:val="5BD75C06"/>
    <w:rsid w:val="5C0A6562"/>
    <w:rsid w:val="5C121CA4"/>
    <w:rsid w:val="5C313AEE"/>
    <w:rsid w:val="5C314E24"/>
    <w:rsid w:val="5CAF3217"/>
    <w:rsid w:val="5CD32DF8"/>
    <w:rsid w:val="5CD75954"/>
    <w:rsid w:val="5D8B548F"/>
    <w:rsid w:val="5E167440"/>
    <w:rsid w:val="5E613920"/>
    <w:rsid w:val="5E8F2D4E"/>
    <w:rsid w:val="5EE058DB"/>
    <w:rsid w:val="5F37720E"/>
    <w:rsid w:val="5F8A2315"/>
    <w:rsid w:val="5FAD5B82"/>
    <w:rsid w:val="5FB1412C"/>
    <w:rsid w:val="603134C5"/>
    <w:rsid w:val="60640B2B"/>
    <w:rsid w:val="608F5287"/>
    <w:rsid w:val="60903C3C"/>
    <w:rsid w:val="60912DAE"/>
    <w:rsid w:val="609E371C"/>
    <w:rsid w:val="60A26052"/>
    <w:rsid w:val="60DE12EA"/>
    <w:rsid w:val="612B6B60"/>
    <w:rsid w:val="618B04D9"/>
    <w:rsid w:val="61987198"/>
    <w:rsid w:val="61B256D1"/>
    <w:rsid w:val="61ED0422"/>
    <w:rsid w:val="62001846"/>
    <w:rsid w:val="621243C2"/>
    <w:rsid w:val="625165F7"/>
    <w:rsid w:val="627209BD"/>
    <w:rsid w:val="633A11A5"/>
    <w:rsid w:val="635602DE"/>
    <w:rsid w:val="63624ED5"/>
    <w:rsid w:val="63AC25B4"/>
    <w:rsid w:val="63B0199A"/>
    <w:rsid w:val="63B634D9"/>
    <w:rsid w:val="64B5059A"/>
    <w:rsid w:val="64EE35F7"/>
    <w:rsid w:val="65270BAA"/>
    <w:rsid w:val="65613610"/>
    <w:rsid w:val="6575538E"/>
    <w:rsid w:val="65A077F7"/>
    <w:rsid w:val="662E6454"/>
    <w:rsid w:val="66CE632E"/>
    <w:rsid w:val="67D22629"/>
    <w:rsid w:val="67F41B6E"/>
    <w:rsid w:val="67FB6314"/>
    <w:rsid w:val="685450E7"/>
    <w:rsid w:val="695452C0"/>
    <w:rsid w:val="69C05D8A"/>
    <w:rsid w:val="6A086E15"/>
    <w:rsid w:val="6A4E61E4"/>
    <w:rsid w:val="6A5A7287"/>
    <w:rsid w:val="6A856939"/>
    <w:rsid w:val="6B506EC9"/>
    <w:rsid w:val="6B611FC3"/>
    <w:rsid w:val="6B813CCC"/>
    <w:rsid w:val="6C0A0DB3"/>
    <w:rsid w:val="6C7639ED"/>
    <w:rsid w:val="6C9F4AA4"/>
    <w:rsid w:val="6CBF5146"/>
    <w:rsid w:val="6D086606"/>
    <w:rsid w:val="6DB21E3D"/>
    <w:rsid w:val="6DB84F09"/>
    <w:rsid w:val="6DFC58B5"/>
    <w:rsid w:val="6E0E5A3E"/>
    <w:rsid w:val="6E1141A4"/>
    <w:rsid w:val="6E1879A7"/>
    <w:rsid w:val="6E1F291C"/>
    <w:rsid w:val="6E1F7C38"/>
    <w:rsid w:val="6E2C05BA"/>
    <w:rsid w:val="6E4771A1"/>
    <w:rsid w:val="6F8C2A98"/>
    <w:rsid w:val="6FC166B9"/>
    <w:rsid w:val="6FD74555"/>
    <w:rsid w:val="703A37C3"/>
    <w:rsid w:val="708E10B8"/>
    <w:rsid w:val="70927942"/>
    <w:rsid w:val="70DA42FD"/>
    <w:rsid w:val="712C6FDB"/>
    <w:rsid w:val="713E6E12"/>
    <w:rsid w:val="71A84406"/>
    <w:rsid w:val="71BB6000"/>
    <w:rsid w:val="71DB1246"/>
    <w:rsid w:val="720F447A"/>
    <w:rsid w:val="722920A2"/>
    <w:rsid w:val="724846DA"/>
    <w:rsid w:val="72A15A03"/>
    <w:rsid w:val="72B84E50"/>
    <w:rsid w:val="72B868C0"/>
    <w:rsid w:val="72EB32AC"/>
    <w:rsid w:val="73214465"/>
    <w:rsid w:val="732B7092"/>
    <w:rsid w:val="736949CB"/>
    <w:rsid w:val="740747C3"/>
    <w:rsid w:val="747671D2"/>
    <w:rsid w:val="747B59F2"/>
    <w:rsid w:val="75112770"/>
    <w:rsid w:val="751A5AD4"/>
    <w:rsid w:val="75792336"/>
    <w:rsid w:val="75882579"/>
    <w:rsid w:val="75A76FC6"/>
    <w:rsid w:val="76117405"/>
    <w:rsid w:val="763224E5"/>
    <w:rsid w:val="76A54F4B"/>
    <w:rsid w:val="76B82FCD"/>
    <w:rsid w:val="76FC7197"/>
    <w:rsid w:val="77381D7D"/>
    <w:rsid w:val="773F40BA"/>
    <w:rsid w:val="77514720"/>
    <w:rsid w:val="77C61D92"/>
    <w:rsid w:val="77D07A9A"/>
    <w:rsid w:val="780659D7"/>
    <w:rsid w:val="783F22F6"/>
    <w:rsid w:val="786848E4"/>
    <w:rsid w:val="788211D9"/>
    <w:rsid w:val="790939D1"/>
    <w:rsid w:val="79393B8B"/>
    <w:rsid w:val="79DC7CBF"/>
    <w:rsid w:val="79E269FA"/>
    <w:rsid w:val="7A5C3FD5"/>
    <w:rsid w:val="7AB20098"/>
    <w:rsid w:val="7ACE6A17"/>
    <w:rsid w:val="7ADE489B"/>
    <w:rsid w:val="7AFB3BDC"/>
    <w:rsid w:val="7BD227A0"/>
    <w:rsid w:val="7C172B36"/>
    <w:rsid w:val="7C1C3A1B"/>
    <w:rsid w:val="7C3F770A"/>
    <w:rsid w:val="7C4B59FF"/>
    <w:rsid w:val="7CC06A9D"/>
    <w:rsid w:val="7D0A2A81"/>
    <w:rsid w:val="7D1317D8"/>
    <w:rsid w:val="7D6A6A08"/>
    <w:rsid w:val="7D8F021D"/>
    <w:rsid w:val="7E1626EC"/>
    <w:rsid w:val="7E1C633B"/>
    <w:rsid w:val="7EA1037B"/>
    <w:rsid w:val="7EA92AE0"/>
    <w:rsid w:val="7EBA6AFC"/>
    <w:rsid w:val="7EC24814"/>
    <w:rsid w:val="7F404BC5"/>
    <w:rsid w:val="7F54171E"/>
    <w:rsid w:val="7FA31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semiHidden="0" w:name="heading 4"/>
    <w:lsdException w:qFormat="1" w:unhideWhenUsed="0" w:uiPriority="1" w:semiHidden="0" w:name="heading 5"/>
    <w:lsdException w:qFormat="1" w:uiPriority="9" w:name="heading 6"/>
    <w:lsdException w:qFormat="1" w:uiPriority="9"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4"/>
      <w:lang w:val="en-US" w:eastAsia="zh-CN" w:bidi="ar-SA"/>
    </w:rPr>
  </w:style>
  <w:style w:type="paragraph" w:styleId="2">
    <w:name w:val="heading 1"/>
    <w:basedOn w:val="1"/>
    <w:next w:val="3"/>
    <w:link w:val="46"/>
    <w:qFormat/>
    <w:uiPriority w:val="99"/>
    <w:pPr>
      <w:keepNext/>
      <w:keepLines/>
      <w:spacing w:before="480"/>
      <w:outlineLvl w:val="0"/>
    </w:pPr>
    <w:rPr>
      <w:rFonts w:ascii="Cambria" w:hAnsi="Cambria"/>
      <w:b/>
      <w:bCs/>
      <w:color w:val="365F91"/>
      <w:sz w:val="28"/>
      <w:szCs w:val="28"/>
    </w:rPr>
  </w:style>
  <w:style w:type="paragraph" w:styleId="4">
    <w:name w:val="heading 2"/>
    <w:basedOn w:val="1"/>
    <w:next w:val="1"/>
    <w:link w:val="47"/>
    <w:qFormat/>
    <w:uiPriority w:val="99"/>
    <w:pPr>
      <w:keepNext/>
      <w:keepLines/>
      <w:spacing w:before="200"/>
      <w:outlineLvl w:val="1"/>
    </w:pPr>
    <w:rPr>
      <w:rFonts w:ascii="Arial" w:hAnsi="Arial" w:eastAsia="黑体"/>
      <w:b/>
      <w:bCs/>
      <w:sz w:val="32"/>
      <w:szCs w:val="32"/>
    </w:rPr>
  </w:style>
  <w:style w:type="paragraph" w:styleId="5">
    <w:name w:val="heading 3"/>
    <w:basedOn w:val="1"/>
    <w:next w:val="1"/>
    <w:link w:val="48"/>
    <w:qFormat/>
    <w:uiPriority w:val="0"/>
    <w:pPr>
      <w:keepNext/>
      <w:keepLines/>
      <w:spacing w:before="260" w:after="260" w:line="413" w:lineRule="auto"/>
      <w:outlineLvl w:val="2"/>
    </w:pPr>
    <w:rPr>
      <w:b/>
      <w:kern w:val="0"/>
      <w:sz w:val="32"/>
      <w:szCs w:val="24"/>
    </w:rPr>
  </w:style>
  <w:style w:type="paragraph" w:styleId="6">
    <w:name w:val="heading 4"/>
    <w:basedOn w:val="1"/>
    <w:next w:val="1"/>
    <w:unhideWhenUsed/>
    <w:qFormat/>
    <w:uiPriority w:val="0"/>
    <w:pPr>
      <w:keepNext/>
      <w:keepLines/>
      <w:spacing w:before="280" w:after="290" w:line="372" w:lineRule="auto"/>
      <w:jc w:val="center"/>
      <w:outlineLvl w:val="3"/>
    </w:pPr>
    <w:rPr>
      <w:rFonts w:ascii="Arial" w:hAnsi="Arial" w:eastAsia="仿宋" w:cs="Times New Roman"/>
      <w:b/>
      <w:sz w:val="28"/>
      <w:szCs w:val="21"/>
    </w:rPr>
  </w:style>
  <w:style w:type="paragraph" w:styleId="7">
    <w:name w:val="heading 5"/>
    <w:basedOn w:val="1"/>
    <w:next w:val="1"/>
    <w:qFormat/>
    <w:uiPriority w:val="1"/>
    <w:pPr>
      <w:ind w:left="820"/>
      <w:outlineLvl w:val="4"/>
    </w:pPr>
    <w:rPr>
      <w:b/>
      <w:bCs/>
      <w:sz w:val="24"/>
      <w:szCs w:val="24"/>
    </w:rPr>
  </w:style>
  <w:style w:type="paragraph" w:styleId="8">
    <w:name w:val="heading 8"/>
    <w:basedOn w:val="1"/>
    <w:next w:val="1"/>
    <w:qFormat/>
    <w:uiPriority w:val="1"/>
    <w:pPr>
      <w:spacing w:before="42"/>
      <w:ind w:left="447"/>
      <w:jc w:val="center"/>
      <w:outlineLvl w:val="7"/>
    </w:pPr>
    <w:rPr>
      <w:szCs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unhideWhenUsed/>
    <w:qFormat/>
    <w:uiPriority w:val="0"/>
    <w:pPr>
      <w:ind w:firstLine="420" w:firstLineChars="200"/>
    </w:pPr>
  </w:style>
  <w:style w:type="paragraph" w:styleId="9">
    <w:name w:val="annotation text"/>
    <w:basedOn w:val="1"/>
    <w:link w:val="58"/>
    <w:unhideWhenUsed/>
    <w:qFormat/>
    <w:uiPriority w:val="0"/>
    <w:rPr>
      <w:rFonts w:asciiTheme="minorHAnsi" w:hAnsiTheme="minorHAnsi" w:eastAsiaTheme="minorEastAsia" w:cstheme="minorBidi"/>
      <w:sz w:val="21"/>
      <w:szCs w:val="22"/>
    </w:rPr>
  </w:style>
  <w:style w:type="paragraph" w:styleId="10">
    <w:name w:val="Body Text 3"/>
    <w:basedOn w:val="1"/>
    <w:qFormat/>
    <w:uiPriority w:val="0"/>
    <w:pPr>
      <w:spacing w:after="120"/>
    </w:pPr>
    <w:rPr>
      <w:rFonts w:ascii="Times New Roman" w:hAnsi="Times New Roman" w:eastAsia="宋体" w:cs="Times New Roman"/>
      <w:sz w:val="16"/>
      <w:szCs w:val="16"/>
    </w:rPr>
  </w:style>
  <w:style w:type="paragraph" w:styleId="11">
    <w:name w:val="Body Text"/>
    <w:basedOn w:val="1"/>
    <w:next w:val="12"/>
    <w:link w:val="57"/>
    <w:qFormat/>
    <w:uiPriority w:val="0"/>
    <w:pPr>
      <w:adjustRightInd w:val="0"/>
      <w:spacing w:after="60" w:line="360" w:lineRule="atLeast"/>
      <w:ind w:left="72" w:leftChars="30" w:right="30" w:rightChars="30"/>
      <w:jc w:val="center"/>
      <w:textAlignment w:val="baseline"/>
    </w:pPr>
    <w:rPr>
      <w:rFonts w:asciiTheme="minorHAnsi" w:hAnsiTheme="minorHAnsi" w:eastAsiaTheme="minorEastAsia" w:cstheme="minorBidi"/>
      <w:sz w:val="21"/>
      <w:szCs w:val="22"/>
    </w:rPr>
  </w:style>
  <w:style w:type="paragraph" w:styleId="12">
    <w:name w:val="Body Text 2"/>
    <w:basedOn w:val="1"/>
    <w:next w:val="11"/>
    <w:qFormat/>
    <w:uiPriority w:val="0"/>
    <w:pPr>
      <w:widowControl/>
      <w:spacing w:before="100" w:beforeAutospacing="1" w:after="100" w:afterAutospacing="1"/>
    </w:pPr>
    <w:rPr>
      <w:kern w:val="0"/>
    </w:rPr>
  </w:style>
  <w:style w:type="paragraph" w:styleId="13">
    <w:name w:val="Body Text Indent"/>
    <w:basedOn w:val="1"/>
    <w:next w:val="14"/>
    <w:link w:val="56"/>
    <w:unhideWhenUsed/>
    <w:qFormat/>
    <w:uiPriority w:val="99"/>
    <w:pPr>
      <w:spacing w:after="120"/>
      <w:ind w:left="420" w:leftChars="200"/>
    </w:pPr>
  </w:style>
  <w:style w:type="paragraph" w:styleId="14">
    <w:name w:val="envelope return"/>
    <w:basedOn w:val="1"/>
    <w:qFormat/>
    <w:uiPriority w:val="0"/>
    <w:pPr>
      <w:snapToGrid w:val="0"/>
    </w:pPr>
    <w:rPr>
      <w:rFonts w:ascii="Arial" w:hAnsi="Arial"/>
    </w:rPr>
  </w:style>
  <w:style w:type="paragraph" w:styleId="15">
    <w:name w:val="toc 3"/>
    <w:basedOn w:val="1"/>
    <w:next w:val="1"/>
    <w:unhideWhenUsed/>
    <w:qFormat/>
    <w:uiPriority w:val="39"/>
    <w:pPr>
      <w:ind w:left="840" w:leftChars="400"/>
    </w:pPr>
  </w:style>
  <w:style w:type="paragraph" w:styleId="16">
    <w:name w:val="Plain Text"/>
    <w:basedOn w:val="1"/>
    <w:link w:val="60"/>
    <w:unhideWhenUsed/>
    <w:qFormat/>
    <w:uiPriority w:val="0"/>
    <w:rPr>
      <w:rFonts w:ascii="宋体" w:hAnsi="Courier New" w:eastAsia="仿宋"/>
      <w:sz w:val="20"/>
    </w:rPr>
  </w:style>
  <w:style w:type="paragraph" w:styleId="17">
    <w:name w:val="Body Text Indent 2"/>
    <w:basedOn w:val="1"/>
    <w:link w:val="45"/>
    <w:unhideWhenUsed/>
    <w:qFormat/>
    <w:uiPriority w:val="0"/>
    <w:pPr>
      <w:spacing w:after="120" w:line="480" w:lineRule="auto"/>
      <w:ind w:left="420" w:leftChars="200"/>
    </w:pPr>
  </w:style>
  <w:style w:type="paragraph" w:styleId="18">
    <w:name w:val="Balloon Text"/>
    <w:basedOn w:val="1"/>
    <w:link w:val="51"/>
    <w:semiHidden/>
    <w:unhideWhenUsed/>
    <w:qFormat/>
    <w:uiPriority w:val="99"/>
    <w:pPr>
      <w:spacing w:line="240" w:lineRule="auto"/>
    </w:pPr>
    <w:rPr>
      <w:sz w:val="18"/>
      <w:szCs w:val="18"/>
    </w:rPr>
  </w:style>
  <w:style w:type="paragraph" w:styleId="19">
    <w:name w:val="footer"/>
    <w:basedOn w:val="1"/>
    <w:link w:val="50"/>
    <w:unhideWhenUsed/>
    <w:qFormat/>
    <w:uiPriority w:val="99"/>
    <w:pPr>
      <w:tabs>
        <w:tab w:val="center" w:pos="4153"/>
        <w:tab w:val="right" w:pos="8306"/>
      </w:tabs>
      <w:snapToGrid w:val="0"/>
    </w:pPr>
    <w:rPr>
      <w:sz w:val="18"/>
      <w:szCs w:val="18"/>
    </w:rPr>
  </w:style>
  <w:style w:type="paragraph" w:styleId="20">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rPr>
      <w:szCs w:val="24"/>
    </w:rPr>
  </w:style>
  <w:style w:type="paragraph" w:styleId="22">
    <w:name w:val="toc 2"/>
    <w:basedOn w:val="1"/>
    <w:next w:val="1"/>
    <w:unhideWhenUsed/>
    <w:qFormat/>
    <w:uiPriority w:val="39"/>
    <w:pPr>
      <w:ind w:left="420" w:leftChars="200"/>
    </w:pPr>
  </w:style>
  <w:style w:type="paragraph" w:styleId="23">
    <w:name w:val="Message Header"/>
    <w:basedOn w:val="1"/>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rPr>
  </w:style>
  <w:style w:type="paragraph" w:styleId="24">
    <w:name w:val="Normal (Web)"/>
    <w:basedOn w:val="1"/>
    <w:qFormat/>
    <w:uiPriority w:val="99"/>
    <w:pPr>
      <w:widowControl/>
      <w:spacing w:before="100" w:beforeAutospacing="1" w:after="100" w:afterAutospacing="1"/>
    </w:pPr>
    <w:rPr>
      <w:rFonts w:ascii="宋体" w:hAnsi="宋体" w:cs="宋体"/>
      <w:kern w:val="0"/>
      <w:szCs w:val="24"/>
    </w:rPr>
  </w:style>
  <w:style w:type="paragraph" w:styleId="25">
    <w:name w:val="Title"/>
    <w:basedOn w:val="1"/>
    <w:next w:val="1"/>
    <w:link w:val="61"/>
    <w:qFormat/>
    <w:uiPriority w:val="0"/>
    <w:pPr>
      <w:spacing w:before="240" w:after="60"/>
      <w:jc w:val="center"/>
      <w:outlineLvl w:val="0"/>
    </w:pPr>
    <w:rPr>
      <w:rFonts w:ascii="Cambria" w:hAnsi="Cambria" w:eastAsiaTheme="minorEastAsia" w:cstheme="minorBidi"/>
      <w:b/>
      <w:bCs/>
      <w:sz w:val="32"/>
      <w:szCs w:val="32"/>
    </w:rPr>
  </w:style>
  <w:style w:type="paragraph" w:styleId="26">
    <w:name w:val="Body Text First Indent"/>
    <w:basedOn w:val="11"/>
    <w:next w:val="27"/>
    <w:link w:val="65"/>
    <w:qFormat/>
    <w:uiPriority w:val="0"/>
    <w:pPr>
      <w:adjustRightInd/>
      <w:spacing w:after="120" w:line="240" w:lineRule="auto"/>
      <w:ind w:left="0" w:leftChars="0" w:right="0" w:rightChars="0" w:firstLine="420" w:firstLineChars="100"/>
      <w:jc w:val="both"/>
      <w:textAlignment w:val="auto"/>
    </w:pPr>
  </w:style>
  <w:style w:type="paragraph" w:styleId="27">
    <w:name w:val="Body Text First Indent 2"/>
    <w:basedOn w:val="13"/>
    <w:next w:val="1"/>
    <w:link w:val="54"/>
    <w:unhideWhenUsed/>
    <w:qFormat/>
    <w:uiPriority w:val="99"/>
    <w:pPr>
      <w:ind w:firstLine="420" w:firstLineChars="200"/>
    </w:pPr>
    <w:rPr>
      <w:rFonts w:asciiTheme="minorHAnsi" w:hAnsiTheme="minorHAnsi" w:eastAsiaTheme="minorEastAsia" w:cstheme="minorBidi"/>
      <w:szCs w:val="22"/>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bdr w:val="single" w:color="D2D2D2" w:sz="6" w:space="0"/>
      <w:shd w:val="clear" w:fill="FFFFFF"/>
    </w:rPr>
  </w:style>
  <w:style w:type="character" w:styleId="32">
    <w:name w:val="page number"/>
    <w:basedOn w:val="30"/>
    <w:qFormat/>
    <w:uiPriority w:val="0"/>
  </w:style>
  <w:style w:type="character" w:styleId="33">
    <w:name w:val="FollowedHyperlink"/>
    <w:basedOn w:val="30"/>
    <w:qFormat/>
    <w:uiPriority w:val="0"/>
    <w:rPr>
      <w:color w:val="800080"/>
      <w:u w:val="none"/>
    </w:rPr>
  </w:style>
  <w:style w:type="character" w:styleId="34">
    <w:name w:val="Emphasis"/>
    <w:basedOn w:val="30"/>
    <w:qFormat/>
    <w:uiPriority w:val="20"/>
    <w:rPr>
      <w:b/>
      <w:bCs/>
    </w:rPr>
  </w:style>
  <w:style w:type="character" w:styleId="35">
    <w:name w:val="HTML Definition"/>
    <w:basedOn w:val="30"/>
    <w:semiHidden/>
    <w:unhideWhenUsed/>
    <w:qFormat/>
    <w:uiPriority w:val="99"/>
  </w:style>
  <w:style w:type="character" w:styleId="36">
    <w:name w:val="HTML Typewriter"/>
    <w:basedOn w:val="30"/>
    <w:semiHidden/>
    <w:unhideWhenUsed/>
    <w:qFormat/>
    <w:uiPriority w:val="99"/>
    <w:rPr>
      <w:rFonts w:hint="default" w:ascii="monospace" w:hAnsi="monospace" w:eastAsia="monospace" w:cs="monospace"/>
      <w:sz w:val="20"/>
    </w:rPr>
  </w:style>
  <w:style w:type="character" w:styleId="37">
    <w:name w:val="HTML Acronym"/>
    <w:basedOn w:val="30"/>
    <w:semiHidden/>
    <w:unhideWhenUsed/>
    <w:qFormat/>
    <w:uiPriority w:val="99"/>
  </w:style>
  <w:style w:type="character" w:styleId="38">
    <w:name w:val="HTML Variable"/>
    <w:basedOn w:val="30"/>
    <w:semiHidden/>
    <w:unhideWhenUsed/>
    <w:qFormat/>
    <w:uiPriority w:val="99"/>
  </w:style>
  <w:style w:type="character" w:styleId="39">
    <w:name w:val="Hyperlink"/>
    <w:basedOn w:val="30"/>
    <w:qFormat/>
    <w:uiPriority w:val="99"/>
    <w:rPr>
      <w:color w:val="0000FF"/>
      <w:u w:val="none"/>
    </w:rPr>
  </w:style>
  <w:style w:type="character" w:styleId="40">
    <w:name w:val="HTML Code"/>
    <w:basedOn w:val="30"/>
    <w:semiHidden/>
    <w:unhideWhenUsed/>
    <w:qFormat/>
    <w:uiPriority w:val="99"/>
    <w:rPr>
      <w:rFonts w:hint="default" w:ascii="monospace" w:hAnsi="monospace" w:eastAsia="monospace" w:cs="monospace"/>
      <w:sz w:val="20"/>
    </w:rPr>
  </w:style>
  <w:style w:type="character" w:styleId="41">
    <w:name w:val="HTML Cite"/>
    <w:basedOn w:val="30"/>
    <w:semiHidden/>
    <w:unhideWhenUsed/>
    <w:qFormat/>
    <w:uiPriority w:val="99"/>
  </w:style>
  <w:style w:type="character" w:styleId="42">
    <w:name w:val="HTML Keyboard"/>
    <w:basedOn w:val="30"/>
    <w:semiHidden/>
    <w:unhideWhenUsed/>
    <w:qFormat/>
    <w:uiPriority w:val="99"/>
    <w:rPr>
      <w:rFonts w:hint="default" w:ascii="monospace" w:hAnsi="monospace" w:eastAsia="monospace" w:cs="monospace"/>
      <w:sz w:val="20"/>
    </w:rPr>
  </w:style>
  <w:style w:type="character" w:styleId="43">
    <w:name w:val="HTML Sample"/>
    <w:basedOn w:val="30"/>
    <w:semiHidden/>
    <w:unhideWhenUsed/>
    <w:qFormat/>
    <w:uiPriority w:val="99"/>
    <w:rPr>
      <w:rFonts w:ascii="monospace" w:hAnsi="monospace" w:eastAsia="monospace" w:cs="monospace"/>
    </w:rPr>
  </w:style>
  <w:style w:type="paragraph" w:customStyle="1" w:styleId="44">
    <w:name w:val="Default"/>
    <w:basedOn w:val="1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5">
    <w:name w:val="正文文本缩进 2 Char"/>
    <w:basedOn w:val="30"/>
    <w:link w:val="17"/>
    <w:qFormat/>
    <w:uiPriority w:val="0"/>
    <w:rPr>
      <w:rFonts w:ascii="Times New Roman" w:hAnsi="Times New Roman" w:eastAsia="宋体" w:cs="Times New Roman"/>
      <w:sz w:val="24"/>
      <w:szCs w:val="20"/>
    </w:rPr>
  </w:style>
  <w:style w:type="character" w:customStyle="1" w:styleId="46">
    <w:name w:val="标题 1 Char"/>
    <w:basedOn w:val="30"/>
    <w:link w:val="2"/>
    <w:qFormat/>
    <w:uiPriority w:val="99"/>
    <w:rPr>
      <w:rFonts w:ascii="Cambria" w:hAnsi="Cambria" w:eastAsia="宋体" w:cs="Times New Roman"/>
      <w:b/>
      <w:bCs/>
      <w:color w:val="365F91"/>
      <w:sz w:val="28"/>
      <w:szCs w:val="28"/>
    </w:rPr>
  </w:style>
  <w:style w:type="character" w:customStyle="1" w:styleId="47">
    <w:name w:val="标题 2 Char"/>
    <w:basedOn w:val="30"/>
    <w:link w:val="4"/>
    <w:qFormat/>
    <w:uiPriority w:val="99"/>
    <w:rPr>
      <w:rFonts w:ascii="Arial" w:hAnsi="Arial" w:eastAsia="黑体" w:cs="Times New Roman"/>
      <w:b/>
      <w:bCs/>
      <w:sz w:val="32"/>
      <w:szCs w:val="32"/>
    </w:rPr>
  </w:style>
  <w:style w:type="character" w:customStyle="1" w:styleId="48">
    <w:name w:val="标题 3 Char"/>
    <w:basedOn w:val="30"/>
    <w:link w:val="5"/>
    <w:qFormat/>
    <w:uiPriority w:val="0"/>
    <w:rPr>
      <w:rFonts w:ascii="Times New Roman" w:hAnsi="Times New Roman" w:eastAsia="宋体" w:cs="Times New Roman"/>
      <w:b/>
      <w:kern w:val="0"/>
      <w:sz w:val="32"/>
      <w:szCs w:val="24"/>
    </w:rPr>
  </w:style>
  <w:style w:type="character" w:customStyle="1" w:styleId="49">
    <w:name w:val="页眉 Char"/>
    <w:basedOn w:val="30"/>
    <w:link w:val="20"/>
    <w:qFormat/>
    <w:uiPriority w:val="0"/>
    <w:rPr>
      <w:sz w:val="18"/>
      <w:szCs w:val="18"/>
    </w:rPr>
  </w:style>
  <w:style w:type="character" w:customStyle="1" w:styleId="50">
    <w:name w:val="页脚 Char"/>
    <w:basedOn w:val="30"/>
    <w:link w:val="19"/>
    <w:qFormat/>
    <w:uiPriority w:val="0"/>
    <w:rPr>
      <w:sz w:val="18"/>
      <w:szCs w:val="18"/>
    </w:rPr>
  </w:style>
  <w:style w:type="character" w:customStyle="1" w:styleId="51">
    <w:name w:val="批注框文本 Char"/>
    <w:basedOn w:val="30"/>
    <w:link w:val="18"/>
    <w:semiHidden/>
    <w:qFormat/>
    <w:uiPriority w:val="99"/>
    <w:rPr>
      <w:rFonts w:ascii="Times New Roman" w:hAnsi="Times New Roman" w:eastAsia="宋体" w:cs="Times New Roman"/>
      <w:sz w:val="18"/>
      <w:szCs w:val="18"/>
    </w:rPr>
  </w:style>
  <w:style w:type="paragraph" w:customStyle="1" w:styleId="52">
    <w:name w:val="cjk"/>
    <w:basedOn w:val="1"/>
    <w:qFormat/>
    <w:uiPriority w:val="0"/>
    <w:pPr>
      <w:widowControl/>
      <w:spacing w:before="100" w:beforeAutospacing="1" w:after="100" w:afterAutospacing="1" w:line="240" w:lineRule="auto"/>
    </w:pPr>
    <w:rPr>
      <w:rFonts w:ascii="宋体" w:hAnsi="宋体" w:cs="宋体"/>
      <w:kern w:val="0"/>
      <w:szCs w:val="24"/>
    </w:rPr>
  </w:style>
  <w:style w:type="character" w:customStyle="1" w:styleId="53">
    <w:name w:val="16"/>
    <w:qFormat/>
    <w:uiPriority w:val="0"/>
    <w:rPr>
      <w:rFonts w:hint="default" w:ascii="Times New Roman" w:hAnsi="Times New Roman" w:cs="Times New Roman"/>
      <w:color w:val="0000FF"/>
      <w:u w:val="single"/>
    </w:rPr>
  </w:style>
  <w:style w:type="character" w:customStyle="1" w:styleId="54">
    <w:name w:val="正文首行缩进 2 Char"/>
    <w:basedOn w:val="55"/>
    <w:link w:val="27"/>
    <w:qFormat/>
    <w:uiPriority w:val="99"/>
    <w:rPr>
      <w:kern w:val="2"/>
      <w:sz w:val="24"/>
    </w:rPr>
  </w:style>
  <w:style w:type="character" w:customStyle="1" w:styleId="55">
    <w:name w:val="正文文本缩进 Char"/>
    <w:qFormat/>
    <w:uiPriority w:val="99"/>
    <w:rPr>
      <w:kern w:val="2"/>
      <w:sz w:val="24"/>
    </w:rPr>
  </w:style>
  <w:style w:type="character" w:customStyle="1" w:styleId="56">
    <w:name w:val="正文文本缩进 Char1"/>
    <w:basedOn w:val="30"/>
    <w:link w:val="13"/>
    <w:qFormat/>
    <w:uiPriority w:val="99"/>
    <w:rPr>
      <w:rFonts w:ascii="Times New Roman" w:hAnsi="Times New Roman" w:eastAsia="宋体" w:cs="Times New Roman"/>
      <w:sz w:val="24"/>
      <w:szCs w:val="20"/>
    </w:rPr>
  </w:style>
  <w:style w:type="character" w:customStyle="1" w:styleId="57">
    <w:name w:val="正文文本 Char"/>
    <w:basedOn w:val="30"/>
    <w:link w:val="11"/>
    <w:qFormat/>
    <w:uiPriority w:val="0"/>
  </w:style>
  <w:style w:type="character" w:customStyle="1" w:styleId="58">
    <w:name w:val="批注文字 Char"/>
    <w:basedOn w:val="30"/>
    <w:link w:val="9"/>
    <w:qFormat/>
    <w:uiPriority w:val="0"/>
  </w:style>
  <w:style w:type="character" w:customStyle="1" w:styleId="59">
    <w:name w:val="font21"/>
    <w:qFormat/>
    <w:uiPriority w:val="0"/>
    <w:rPr>
      <w:rFonts w:hint="default" w:ascii="Calibri" w:hAnsi="Calibri" w:cs="Calibri"/>
      <w:color w:val="000000"/>
      <w:sz w:val="20"/>
      <w:szCs w:val="20"/>
      <w:u w:val="none"/>
    </w:rPr>
  </w:style>
  <w:style w:type="character" w:customStyle="1" w:styleId="60">
    <w:name w:val="纯文本 Char"/>
    <w:link w:val="16"/>
    <w:qFormat/>
    <w:uiPriority w:val="0"/>
    <w:rPr>
      <w:rFonts w:ascii="宋体" w:hAnsi="Courier New" w:eastAsia="仿宋" w:cs="Times New Roman"/>
      <w:sz w:val="20"/>
      <w:szCs w:val="20"/>
    </w:rPr>
  </w:style>
  <w:style w:type="character" w:customStyle="1" w:styleId="61">
    <w:name w:val="标题 Char"/>
    <w:link w:val="25"/>
    <w:qFormat/>
    <w:uiPriority w:val="0"/>
    <w:rPr>
      <w:rFonts w:ascii="Cambria" w:hAnsi="Cambria"/>
      <w:b/>
      <w:bCs/>
      <w:sz w:val="32"/>
      <w:szCs w:val="32"/>
    </w:rPr>
  </w:style>
  <w:style w:type="character" w:customStyle="1" w:styleId="62">
    <w:name w:val="10"/>
    <w:qFormat/>
    <w:uiPriority w:val="0"/>
    <w:rPr>
      <w:rFonts w:hint="default" w:ascii="Times New Roman" w:hAnsi="Times New Roman" w:cs="Times New Roman"/>
    </w:rPr>
  </w:style>
  <w:style w:type="character" w:customStyle="1" w:styleId="63">
    <w:name w:val="17"/>
    <w:qFormat/>
    <w:uiPriority w:val="0"/>
    <w:rPr>
      <w:rFonts w:hint="default" w:ascii="Calibri" w:hAnsi="Calibri" w:cs="Calibri"/>
      <w:color w:val="000000"/>
      <w:sz w:val="20"/>
      <w:szCs w:val="20"/>
    </w:rPr>
  </w:style>
  <w:style w:type="character" w:customStyle="1" w:styleId="64">
    <w:name w:val="15"/>
    <w:qFormat/>
    <w:uiPriority w:val="0"/>
    <w:rPr>
      <w:rFonts w:hint="default" w:ascii="Times New Roman" w:hAnsi="Times New Roman" w:cs="Times New Roman"/>
    </w:rPr>
  </w:style>
  <w:style w:type="character" w:customStyle="1" w:styleId="65">
    <w:name w:val="正文首行缩进 Char"/>
    <w:link w:val="26"/>
    <w:qFormat/>
    <w:uiPriority w:val="0"/>
  </w:style>
  <w:style w:type="character" w:customStyle="1" w:styleId="66">
    <w:name w:val="正文首行缩进 2 Char1"/>
    <w:basedOn w:val="56"/>
    <w:semiHidden/>
    <w:qFormat/>
    <w:uiPriority w:val="99"/>
    <w:rPr>
      <w:rFonts w:ascii="Times New Roman" w:hAnsi="Times New Roman" w:eastAsia="宋体" w:cs="Times New Roman"/>
      <w:sz w:val="24"/>
      <w:szCs w:val="20"/>
    </w:rPr>
  </w:style>
  <w:style w:type="character" w:customStyle="1" w:styleId="67">
    <w:name w:val="正文文本 Char1"/>
    <w:basedOn w:val="30"/>
    <w:semiHidden/>
    <w:qFormat/>
    <w:uiPriority w:val="99"/>
    <w:rPr>
      <w:rFonts w:ascii="Times New Roman" w:hAnsi="Times New Roman" w:eastAsia="宋体" w:cs="Times New Roman"/>
      <w:sz w:val="24"/>
      <w:szCs w:val="20"/>
    </w:rPr>
  </w:style>
  <w:style w:type="character" w:customStyle="1" w:styleId="68">
    <w:name w:val="批注文字 Char1"/>
    <w:basedOn w:val="30"/>
    <w:semiHidden/>
    <w:qFormat/>
    <w:uiPriority w:val="99"/>
    <w:rPr>
      <w:rFonts w:ascii="Times New Roman" w:hAnsi="Times New Roman" w:eastAsia="宋体" w:cs="Times New Roman"/>
      <w:sz w:val="24"/>
      <w:szCs w:val="20"/>
    </w:rPr>
  </w:style>
  <w:style w:type="character" w:customStyle="1" w:styleId="69">
    <w:name w:val="正文首行缩进 Char1"/>
    <w:basedOn w:val="67"/>
    <w:semiHidden/>
    <w:qFormat/>
    <w:uiPriority w:val="99"/>
    <w:rPr>
      <w:rFonts w:ascii="Times New Roman" w:hAnsi="Times New Roman" w:eastAsia="宋体" w:cs="Times New Roman"/>
      <w:sz w:val="24"/>
      <w:szCs w:val="20"/>
    </w:rPr>
  </w:style>
  <w:style w:type="character" w:customStyle="1" w:styleId="70">
    <w:name w:val="标题 Char1"/>
    <w:basedOn w:val="30"/>
    <w:qFormat/>
    <w:uiPriority w:val="10"/>
    <w:rPr>
      <w:rFonts w:eastAsia="宋体" w:asciiTheme="majorHAnsi" w:hAnsiTheme="majorHAnsi" w:cstheme="majorBidi"/>
      <w:b/>
      <w:bCs/>
      <w:sz w:val="32"/>
      <w:szCs w:val="32"/>
    </w:rPr>
  </w:style>
  <w:style w:type="character" w:customStyle="1" w:styleId="71">
    <w:name w:val="纯文本 Char2"/>
    <w:basedOn w:val="30"/>
    <w:semiHidden/>
    <w:qFormat/>
    <w:uiPriority w:val="99"/>
    <w:rPr>
      <w:rFonts w:ascii="宋体" w:hAnsi="Courier New" w:eastAsia="宋体" w:cs="Courier New"/>
      <w:szCs w:val="21"/>
    </w:rPr>
  </w:style>
  <w:style w:type="paragraph" w:customStyle="1" w:styleId="72">
    <w:name w:val="正文空2格  1."/>
    <w:basedOn w:val="1"/>
    <w:qFormat/>
    <w:uiPriority w:val="0"/>
    <w:pPr>
      <w:ind w:firstLine="480" w:firstLineChars="200"/>
    </w:pPr>
    <w:rPr>
      <w:rFonts w:cs="宋体"/>
    </w:rPr>
  </w:style>
  <w:style w:type="paragraph" w:customStyle="1" w:styleId="73">
    <w:name w:val="列出段落1"/>
    <w:next w:val="1"/>
    <w:qFormat/>
    <w:uiPriority w:val="0"/>
    <w:pPr>
      <w:widowControl w:val="0"/>
      <w:ind w:firstLine="200" w:firstLineChars="200"/>
      <w:jc w:val="both"/>
    </w:pPr>
    <w:rPr>
      <w:rFonts w:ascii="Calibri" w:hAnsi="Calibri" w:eastAsia="宋体" w:cs="Arial"/>
      <w:kern w:val="2"/>
      <w:sz w:val="21"/>
      <w:szCs w:val="22"/>
      <w:lang w:val="en-US" w:eastAsia="zh-CN" w:bidi="ar-SA"/>
    </w:rPr>
  </w:style>
  <w:style w:type="paragraph" w:customStyle="1" w:styleId="74">
    <w:name w:val="正文 1.1"/>
    <w:basedOn w:val="1"/>
    <w:next w:val="75"/>
    <w:qFormat/>
    <w:uiPriority w:val="0"/>
    <w:pPr>
      <w:ind w:left="980" w:hanging="980"/>
      <w:outlineLvl w:val="1"/>
    </w:pPr>
    <w:rPr>
      <w:rFonts w:ascii="仿宋" w:hAnsi="仿宋" w:eastAsia="仿宋" w:cs="宋体"/>
      <w:b/>
      <w:bCs/>
      <w:szCs w:val="24"/>
    </w:rPr>
  </w:style>
  <w:style w:type="paragraph" w:customStyle="1" w:styleId="75">
    <w:name w:val="正文 1.1.1"/>
    <w:basedOn w:val="1"/>
    <w:next w:val="1"/>
    <w:qFormat/>
    <w:uiPriority w:val="0"/>
    <w:pPr>
      <w:ind w:left="710"/>
      <w:outlineLvl w:val="2"/>
    </w:pPr>
    <w:rPr>
      <w:rFonts w:hAnsi="宋体"/>
      <w:color w:val="FF0000"/>
    </w:rPr>
  </w:style>
  <w:style w:type="paragraph" w:customStyle="1" w:styleId="76">
    <w:name w:val="样式 标题 3 + (中文) 黑体 小四 非加粗 段前: 7.8 磅 段后: 0 磅 行距: 固定值 20 磅"/>
    <w:basedOn w:val="5"/>
    <w:qFormat/>
    <w:uiPriority w:val="0"/>
    <w:pPr>
      <w:spacing w:before="0" w:after="0" w:line="400" w:lineRule="exact"/>
    </w:pPr>
    <w:rPr>
      <w:rFonts w:eastAsia="黑体" w:cs="宋体"/>
      <w:b w:val="0"/>
      <w:sz w:val="24"/>
      <w:szCs w:val="20"/>
    </w:rPr>
  </w:style>
  <w:style w:type="paragraph" w:customStyle="1" w:styleId="77">
    <w:name w:val="_Style 5"/>
    <w:basedOn w:val="2"/>
    <w:next w:val="1"/>
    <w:qFormat/>
    <w:uiPriority w:val="39"/>
    <w:pPr>
      <w:widowControl/>
      <w:spacing w:line="276" w:lineRule="auto"/>
      <w:outlineLvl w:val="9"/>
    </w:pPr>
  </w:style>
  <w:style w:type="paragraph" w:customStyle="1" w:styleId="78">
    <w:name w:val="列出段落2"/>
    <w:next w:val="1"/>
    <w:qFormat/>
    <w:uiPriority w:val="0"/>
    <w:pPr>
      <w:widowControl w:val="0"/>
      <w:ind w:firstLine="200" w:firstLineChars="200"/>
      <w:jc w:val="both"/>
    </w:pPr>
    <w:rPr>
      <w:rFonts w:ascii="Calibri" w:hAnsi="Calibri" w:eastAsia="宋体" w:cs="Arial"/>
      <w:kern w:val="2"/>
      <w:sz w:val="21"/>
      <w:szCs w:val="22"/>
      <w:lang w:val="en-US" w:eastAsia="zh-CN" w:bidi="ar-SA"/>
    </w:rPr>
  </w:style>
  <w:style w:type="paragraph" w:styleId="79">
    <w:name w:val="List Paragraph"/>
    <w:basedOn w:val="1"/>
    <w:qFormat/>
    <w:uiPriority w:val="34"/>
    <w:pPr>
      <w:spacing w:line="240" w:lineRule="auto"/>
      <w:ind w:firstLine="420" w:firstLineChars="200"/>
      <w:jc w:val="both"/>
    </w:pPr>
    <w:rPr>
      <w:sz w:val="21"/>
    </w:rPr>
  </w:style>
  <w:style w:type="character" w:customStyle="1" w:styleId="80">
    <w:name w:val="正文文本首行缩进 字符"/>
    <w:qFormat/>
    <w:uiPriority w:val="0"/>
    <w:rPr>
      <w:kern w:val="2"/>
      <w:sz w:val="21"/>
    </w:rPr>
  </w:style>
  <w:style w:type="character" w:customStyle="1" w:styleId="81">
    <w:name w:val="批注文字 字符"/>
    <w:qFormat/>
    <w:uiPriority w:val="0"/>
  </w:style>
  <w:style w:type="character" w:customStyle="1" w:styleId="82">
    <w:name w:val="正文文本缩进 字符"/>
    <w:qFormat/>
    <w:uiPriority w:val="99"/>
    <w:rPr>
      <w:sz w:val="24"/>
    </w:rPr>
  </w:style>
  <w:style w:type="character" w:customStyle="1" w:styleId="83">
    <w:name w:val="标题 1 字符"/>
    <w:qFormat/>
    <w:uiPriority w:val="0"/>
    <w:rPr>
      <w:rFonts w:ascii="Cambria" w:hAnsi="Cambria" w:eastAsia="宋体" w:cs="Times New Roman"/>
      <w:b/>
      <w:bCs/>
      <w:color w:val="365F91"/>
      <w:sz w:val="28"/>
      <w:szCs w:val="28"/>
    </w:rPr>
  </w:style>
  <w:style w:type="character" w:customStyle="1" w:styleId="84">
    <w:name w:val="正文文本 字符"/>
    <w:qFormat/>
    <w:uiPriority w:val="0"/>
  </w:style>
  <w:style w:type="character" w:customStyle="1" w:styleId="85">
    <w:name w:val="标题 字符"/>
    <w:qFormat/>
    <w:uiPriority w:val="0"/>
    <w:rPr>
      <w:rFonts w:ascii="Cambria" w:hAnsi="Cambria"/>
      <w:b/>
      <w:bCs/>
      <w:sz w:val="32"/>
      <w:szCs w:val="32"/>
    </w:rPr>
  </w:style>
  <w:style w:type="character" w:customStyle="1" w:styleId="86">
    <w:name w:val="纯文本 字符"/>
    <w:qFormat/>
    <w:uiPriority w:val="0"/>
    <w:rPr>
      <w:rFonts w:ascii="宋体" w:hAnsi="Courier New" w:eastAsia="仿宋" w:cs="Times New Roman"/>
      <w:sz w:val="20"/>
      <w:szCs w:val="20"/>
    </w:rPr>
  </w:style>
  <w:style w:type="character" w:customStyle="1" w:styleId="87">
    <w:name w:val="页脚 字符"/>
    <w:qFormat/>
    <w:uiPriority w:val="0"/>
    <w:rPr>
      <w:rFonts w:ascii="Calibri" w:hAnsi="Calibri" w:eastAsia="宋体" w:cs="宋体"/>
      <w:kern w:val="0"/>
      <w:sz w:val="18"/>
      <w:szCs w:val="18"/>
    </w:rPr>
  </w:style>
  <w:style w:type="character" w:customStyle="1" w:styleId="88">
    <w:name w:val="页眉 字符"/>
    <w:qFormat/>
    <w:uiPriority w:val="0"/>
    <w:rPr>
      <w:rFonts w:ascii="Calibri" w:hAnsi="Calibri" w:eastAsia="宋体" w:cs="宋体"/>
      <w:kern w:val="0"/>
      <w:sz w:val="18"/>
      <w:szCs w:val="18"/>
    </w:rPr>
  </w:style>
  <w:style w:type="character" w:customStyle="1" w:styleId="89">
    <w:name w:val="标题 2 字符"/>
    <w:qFormat/>
    <w:uiPriority w:val="0"/>
    <w:rPr>
      <w:rFonts w:ascii="Arial" w:hAnsi="Arial" w:eastAsia="黑体" w:cs="Times New Roman"/>
      <w:b/>
      <w:bCs/>
      <w:sz w:val="32"/>
      <w:szCs w:val="32"/>
    </w:rPr>
  </w:style>
  <w:style w:type="character" w:customStyle="1" w:styleId="90">
    <w:name w:val="正文文本缩进 2 字符"/>
    <w:qFormat/>
    <w:uiPriority w:val="0"/>
    <w:rPr>
      <w:rFonts w:ascii="Times New Roman" w:hAnsi="Times New Roman" w:eastAsia="宋体" w:cs="Times New Roman"/>
      <w:sz w:val="24"/>
      <w:szCs w:val="24"/>
    </w:rPr>
  </w:style>
  <w:style w:type="character" w:customStyle="1" w:styleId="91">
    <w:name w:val="正文文本首行缩进 2 字符"/>
    <w:qFormat/>
    <w:uiPriority w:val="99"/>
  </w:style>
  <w:style w:type="character" w:customStyle="1" w:styleId="92">
    <w:name w:val="标题 3 字符"/>
    <w:qFormat/>
    <w:uiPriority w:val="0"/>
    <w:rPr>
      <w:rFonts w:ascii="Times New Roman" w:hAnsi="Times New Roman" w:eastAsia="宋体" w:cs="Times New Roman"/>
      <w:b/>
      <w:kern w:val="0"/>
      <w:sz w:val="32"/>
      <w:szCs w:val="24"/>
    </w:rPr>
  </w:style>
  <w:style w:type="paragraph" w:customStyle="1" w:styleId="93">
    <w:name w:val="列出段落3"/>
    <w:next w:val="1"/>
    <w:qFormat/>
    <w:uiPriority w:val="0"/>
    <w:pPr>
      <w:widowControl w:val="0"/>
      <w:ind w:firstLine="200" w:firstLineChars="200"/>
      <w:jc w:val="both"/>
    </w:pPr>
    <w:rPr>
      <w:rFonts w:ascii="Calibri" w:hAnsi="Calibri" w:eastAsia="宋体" w:cs="Arial"/>
      <w:kern w:val="2"/>
      <w:sz w:val="21"/>
      <w:szCs w:val="22"/>
      <w:lang w:val="en-US" w:eastAsia="zh-CN" w:bidi="ar-SA"/>
    </w:rPr>
  </w:style>
  <w:style w:type="paragraph" w:customStyle="1" w:styleId="94">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95">
    <w:name w:val="文档正文"/>
    <w:basedOn w:val="1"/>
    <w:qFormat/>
    <w:uiPriority w:val="99"/>
    <w:pPr>
      <w:numPr>
        <w:ilvl w:val="1"/>
        <w:numId w:val="1"/>
      </w:numPr>
      <w:adjustRightInd w:val="0"/>
      <w:spacing w:line="480" w:lineRule="atLeast"/>
      <w:ind w:left="0"/>
      <w:jc w:val="both"/>
    </w:pPr>
    <w:rPr>
      <w:rFonts w:ascii="仿宋_GB2312" w:eastAsia="仿宋_GB2312"/>
      <w:kern w:val="0"/>
      <w:sz w:val="28"/>
    </w:rPr>
  </w:style>
  <w:style w:type="paragraph" w:customStyle="1" w:styleId="96">
    <w:name w:val="WPSOffice手动目录 1"/>
    <w:qFormat/>
    <w:uiPriority w:val="0"/>
    <w:rPr>
      <w:rFonts w:asciiTheme="minorHAnsi" w:hAnsiTheme="minorHAnsi" w:eastAsiaTheme="minorEastAsia" w:cstheme="minorBidi"/>
      <w:lang w:val="en-US" w:eastAsia="zh-CN" w:bidi="ar-SA"/>
    </w:rPr>
  </w:style>
  <w:style w:type="paragraph" w:customStyle="1" w:styleId="97">
    <w:name w:val="Table Paragraph"/>
    <w:basedOn w:val="1"/>
    <w:qFormat/>
    <w:uiPriority w:val="1"/>
  </w:style>
  <w:style w:type="table" w:customStyle="1" w:styleId="98">
    <w:name w:val="Table Normal"/>
    <w:semiHidden/>
    <w:unhideWhenUsed/>
    <w:qFormat/>
    <w:uiPriority w:val="2"/>
    <w:tblPr>
      <w:tblCellMar>
        <w:top w:w="0" w:type="dxa"/>
        <w:left w:w="0" w:type="dxa"/>
        <w:bottom w:w="0" w:type="dxa"/>
        <w:right w:w="0" w:type="dxa"/>
      </w:tblCellMar>
    </w:tblPr>
  </w:style>
  <w:style w:type="character" w:customStyle="1" w:styleId="99">
    <w:name w:val="first-child"/>
    <w:basedOn w:val="30"/>
    <w:qFormat/>
    <w:uiPriority w:val="0"/>
  </w:style>
  <w:style w:type="character" w:customStyle="1" w:styleId="100">
    <w:name w:val="layui-layer-tabnow"/>
    <w:basedOn w:val="30"/>
    <w:qFormat/>
    <w:uiPriority w:val="0"/>
    <w:rPr>
      <w:bdr w:val="single" w:color="CCCCCC" w:sz="6" w:space="0"/>
      <w:shd w:val="clear" w:fill="FFFFFF"/>
    </w:rPr>
  </w:style>
  <w:style w:type="character" w:customStyle="1" w:styleId="101">
    <w:name w:val="NormalCharacter"/>
    <w:qFormat/>
    <w:uiPriority w:val="0"/>
    <w:rPr>
      <w:rFonts w:ascii="Times New Roman" w:hAnsi="Times New Roman" w:eastAsia="宋体"/>
    </w:rPr>
  </w:style>
  <w:style w:type="paragraph" w:customStyle="1" w:styleId="102">
    <w:name w:val="BodyText3"/>
    <w:basedOn w:val="1"/>
    <w:qFormat/>
    <w:uiPriority w:val="0"/>
    <w:pPr>
      <w:spacing w:after="120"/>
    </w:pPr>
    <w:rPr>
      <w:sz w:val="16"/>
      <w:szCs w:val="16"/>
    </w:rPr>
  </w:style>
  <w:style w:type="character" w:customStyle="1" w:styleId="103">
    <w:name w:val="hover"/>
    <w:basedOn w:val="30"/>
    <w:qFormat/>
    <w:uiPriority w:val="0"/>
    <w:rPr>
      <w:color w:val="2590EB"/>
    </w:rPr>
  </w:style>
  <w:style w:type="character" w:customStyle="1" w:styleId="104">
    <w:name w:val="hover1"/>
    <w:basedOn w:val="30"/>
    <w:qFormat/>
    <w:uiPriority w:val="0"/>
    <w:rPr>
      <w:color w:val="2590EB"/>
    </w:rPr>
  </w:style>
  <w:style w:type="character" w:customStyle="1" w:styleId="105">
    <w:name w:val="hover2"/>
    <w:basedOn w:val="30"/>
    <w:qFormat/>
    <w:uiPriority w:val="0"/>
  </w:style>
  <w:style w:type="character" w:customStyle="1" w:styleId="106">
    <w:name w:val="mini-outputtext1"/>
    <w:basedOn w:val="30"/>
    <w:qFormat/>
    <w:uiPriority w:val="0"/>
  </w:style>
  <w:style w:type="character" w:customStyle="1" w:styleId="107">
    <w:name w:val="hover3"/>
    <w:basedOn w:val="30"/>
    <w:qFormat/>
    <w:uiPriority w:val="0"/>
  </w:style>
  <w:style w:type="paragraph" w:customStyle="1" w:styleId="108">
    <w:name w:val="段"/>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 w:type="character" w:customStyle="1" w:styleId="109">
    <w:name w:val="hover18"/>
    <w:basedOn w:val="30"/>
    <w:qFormat/>
    <w:uiPriority w:val="0"/>
  </w:style>
  <w:style w:type="paragraph" w:customStyle="1" w:styleId="110">
    <w:name w:val="BodyText1I"/>
    <w:basedOn w:val="111"/>
    <w:qFormat/>
    <w:uiPriority w:val="99"/>
    <w:pPr>
      <w:ind w:firstLine="420" w:firstLineChars="100"/>
    </w:pPr>
  </w:style>
  <w:style w:type="paragraph" w:customStyle="1" w:styleId="111">
    <w:name w:val="BodyText"/>
    <w:basedOn w:val="1"/>
    <w:qFormat/>
    <w:uiPriority w:val="99"/>
    <w:pPr>
      <w:spacing w:after="12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4" textRotate="1"/>
    <customShpInfo spid="_x0000_s410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5133</Words>
  <Characters>5851</Characters>
  <Lines>162</Lines>
  <Paragraphs>45</Paragraphs>
  <TotalTime>3</TotalTime>
  <ScaleCrop>false</ScaleCrop>
  <LinksUpToDate>false</LinksUpToDate>
  <CharactersWithSpaces>5916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2022-04-25T07:36:00Z</dcterms:created>
  <dc:creator>深圳市合创建设工程顾问有限公司:信安深圳市合创建设工程顾问有限公司</dc:creator>
  <cp:lastModifiedBy>Administrator</cp:lastModifiedBy>
  <cp:lastPrinted>2025-03-18T07:40:00Z</cp:lastPrinted>
  <dcterms:modified xsi:type="dcterms:W3CDTF">2025-07-30T07:48:35Z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9C95E0A5F8E541BF9073B165B9C1FCAF_13</vt:lpwstr>
  </property>
  <property fmtid="{D5CDD505-2E9C-101B-9397-08002B2CF9AE}" pid="4" name="commondata">
    <vt:lpwstr>eyJoZGlkIjoiYjIyZTE0ZjhiZDAwZDc5ODcxMmE4Y2RjOTYwMzM5MTcifQ==</vt:lpwstr>
  </property>
  <property fmtid="{D5CDD505-2E9C-101B-9397-08002B2CF9AE}" pid="5" name="KSOTemplateDocerSaveRecord">
    <vt:lpwstr>eyJoZGlkIjoiMGVkYmZmYjM3MDg5NmRlNTNmYzBmNGY4MDI4MzRjNWYiLCJ1c2VySWQiOiIyNzc1ODI1NDIifQ==</vt:lpwstr>
  </property>
</Properties>
</file>