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BCBC7">
      <w:pPr>
        <w:spacing w:before="268"/>
        <w:ind w:left="1153" w:leftChars="-594" w:hanging="2400" w:hangingChars="498"/>
        <w:jc w:val="center"/>
        <w:rPr>
          <w:rFonts w:hint="eastAsia"/>
          <w:b/>
          <w:sz w:val="48"/>
          <w:szCs w:val="28"/>
          <w:highlight w:val="none"/>
          <w:lang w:eastAsia="zh-CN"/>
        </w:rPr>
      </w:pPr>
      <w:r>
        <w:rPr>
          <w:rFonts w:hint="eastAsia"/>
          <w:b/>
          <w:sz w:val="48"/>
          <w:szCs w:val="28"/>
          <w:highlight w:val="none"/>
          <w:lang w:eastAsia="zh-CN"/>
        </w:rPr>
        <w:t>卢氏县公安局中兴路电子警察及交通信号灯</w:t>
      </w:r>
    </w:p>
    <w:p w14:paraId="1D547990">
      <w:pPr>
        <w:spacing w:before="268"/>
        <w:ind w:left="1153" w:leftChars="-594" w:hanging="2400" w:hangingChars="498"/>
        <w:jc w:val="center"/>
        <w:rPr>
          <w:rFonts w:hint="eastAsia"/>
          <w:b/>
          <w:color w:val="000000"/>
          <w:sz w:val="76"/>
          <w:highlight w:val="none"/>
        </w:rPr>
      </w:pPr>
      <w:r>
        <w:rPr>
          <w:rFonts w:hint="eastAsia"/>
          <w:b/>
          <w:sz w:val="48"/>
          <w:szCs w:val="28"/>
          <w:highlight w:val="none"/>
          <w:lang w:eastAsia="zh-CN"/>
        </w:rPr>
        <w:t>采购项目</w:t>
      </w:r>
      <w:r>
        <w:rPr>
          <w:rFonts w:hint="eastAsia"/>
          <w:b/>
          <w:color w:val="000000"/>
          <w:sz w:val="76"/>
          <w:highlight w:val="none"/>
        </w:rPr>
        <w:t xml:space="preserve">   </w:t>
      </w:r>
    </w:p>
    <w:p w14:paraId="0186E86E">
      <w:pPr>
        <w:pStyle w:val="19"/>
        <w:rPr>
          <w:rFonts w:hint="eastAsia"/>
        </w:rPr>
      </w:pPr>
    </w:p>
    <w:p w14:paraId="22E37941">
      <w:pPr>
        <w:spacing w:before="268"/>
        <w:ind w:left="2553" w:leftChars="-594" w:hanging="3800" w:hangingChars="498"/>
        <w:jc w:val="center"/>
        <w:rPr>
          <w:b/>
          <w:color w:val="000000"/>
          <w:sz w:val="76"/>
          <w:highlight w:val="none"/>
        </w:rPr>
      </w:pPr>
      <w:r>
        <w:rPr>
          <w:rFonts w:hint="eastAsia"/>
          <w:b/>
          <w:color w:val="000000"/>
          <w:sz w:val="76"/>
          <w:highlight w:val="none"/>
        </w:rPr>
        <w:t>竞争性谈判</w:t>
      </w:r>
      <w:r>
        <w:rPr>
          <w:b/>
          <w:color w:val="000000"/>
          <w:sz w:val="76"/>
          <w:highlight w:val="none"/>
        </w:rPr>
        <w:t>文件</w:t>
      </w:r>
      <w:bookmarkStart w:id="188" w:name="_GoBack"/>
      <w:bookmarkEnd w:id="188"/>
    </w:p>
    <w:p w14:paraId="09866388">
      <w:pPr>
        <w:pStyle w:val="8"/>
        <w:rPr>
          <w:color w:val="000000"/>
          <w:highlight w:val="none"/>
        </w:rPr>
      </w:pPr>
    </w:p>
    <w:p w14:paraId="36A33EEA">
      <w:pPr>
        <w:widowControl/>
        <w:shd w:val="clear" w:color="auto" w:fill="FFFFFF"/>
        <w:spacing w:line="390" w:lineRule="atLeast"/>
        <w:jc w:val="center"/>
        <w:rPr>
          <w:b/>
          <w:color w:val="000000"/>
          <w:sz w:val="32"/>
          <w:szCs w:val="32"/>
          <w:highlight w:val="none"/>
        </w:rPr>
      </w:pPr>
      <w:r>
        <w:rPr>
          <w:rFonts w:hint="eastAsia"/>
          <w:b/>
          <w:color w:val="000000"/>
          <w:sz w:val="32"/>
          <w:szCs w:val="32"/>
          <w:highlight w:val="none"/>
        </w:rPr>
        <w:t>项目编号：三卢竞谈采购-202</w:t>
      </w:r>
      <w:r>
        <w:rPr>
          <w:rFonts w:hint="eastAsia"/>
          <w:b/>
          <w:color w:val="000000"/>
          <w:sz w:val="32"/>
          <w:szCs w:val="32"/>
          <w:highlight w:val="none"/>
          <w:lang w:val="en-US" w:eastAsia="zh-CN"/>
        </w:rPr>
        <w:t>5</w:t>
      </w:r>
      <w:r>
        <w:rPr>
          <w:rFonts w:hint="eastAsia"/>
          <w:b/>
          <w:color w:val="000000"/>
          <w:sz w:val="32"/>
          <w:szCs w:val="32"/>
          <w:highlight w:val="none"/>
        </w:rPr>
        <w:t>-</w:t>
      </w:r>
      <w:r>
        <w:rPr>
          <w:rFonts w:hint="eastAsia"/>
          <w:b/>
          <w:color w:val="000000"/>
          <w:sz w:val="32"/>
          <w:szCs w:val="32"/>
          <w:highlight w:val="none"/>
          <w:lang w:val="en-US" w:eastAsia="zh-CN"/>
        </w:rPr>
        <w:t>1</w:t>
      </w:r>
      <w:r>
        <w:rPr>
          <w:rFonts w:hint="eastAsia"/>
          <w:b/>
          <w:color w:val="000000"/>
          <w:sz w:val="32"/>
          <w:szCs w:val="32"/>
          <w:highlight w:val="none"/>
        </w:rPr>
        <w:t>、</w:t>
      </w:r>
      <w:r>
        <w:rPr>
          <w:rFonts w:hint="eastAsia"/>
          <w:b/>
          <w:color w:val="000000"/>
          <w:sz w:val="32"/>
          <w:szCs w:val="32"/>
          <w:highlight w:val="none"/>
          <w:lang w:eastAsia="zh-CN"/>
        </w:rPr>
        <w:t>LSGZ[2025]176-ZC124</w:t>
      </w:r>
    </w:p>
    <w:p w14:paraId="2B7949A3">
      <w:pPr>
        <w:widowControl/>
        <w:shd w:val="clear" w:color="auto" w:fill="FFFFFF"/>
        <w:spacing w:line="390" w:lineRule="atLeast"/>
        <w:jc w:val="center"/>
        <w:rPr>
          <w:rFonts w:ascii="微软雅黑" w:cs="微软雅黑"/>
          <w:color w:val="000000"/>
          <w:szCs w:val="21"/>
          <w:highlight w:val="none"/>
        </w:rPr>
      </w:pPr>
    </w:p>
    <w:p w14:paraId="21A540DD">
      <w:pPr>
        <w:pStyle w:val="20"/>
        <w:ind w:left="440" w:firstLine="560"/>
        <w:rPr>
          <w:color w:val="000000"/>
          <w:highlight w:val="none"/>
        </w:rPr>
      </w:pPr>
    </w:p>
    <w:p w14:paraId="1CC46E86">
      <w:pPr>
        <w:pStyle w:val="8"/>
        <w:wordWrap w:val="0"/>
        <w:jc w:val="center"/>
        <w:rPr>
          <w:b/>
          <w:color w:val="000000"/>
          <w:sz w:val="32"/>
          <w:szCs w:val="32"/>
          <w:highlight w:val="none"/>
        </w:rPr>
      </w:pPr>
      <w:r>
        <w:rPr>
          <w:rFonts w:hint="eastAsia" w:ascii="宋体" w:hAnsi="宋体" w:eastAsia="宋体"/>
          <w:sz w:val="32"/>
          <w:szCs w:val="32"/>
          <w:lang w:eastAsia="zh-CN"/>
        </w:rPr>
        <w:drawing>
          <wp:inline distT="0" distB="0" distL="114300" distR="114300">
            <wp:extent cx="2409825" cy="2305050"/>
            <wp:effectExtent l="0" t="0" r="9525" b="0"/>
            <wp:docPr id="3" name="图片 1" descr="f91f4c1d7a5dd08ad388ff69a2647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f91f4c1d7a5dd08ad388ff69a2647f9"/>
                    <pic:cNvPicPr>
                      <a:picLocks noChangeAspect="1"/>
                    </pic:cNvPicPr>
                  </pic:nvPicPr>
                  <pic:blipFill>
                    <a:blip r:embed="rId9"/>
                    <a:stretch>
                      <a:fillRect/>
                    </a:stretch>
                  </pic:blipFill>
                  <pic:spPr>
                    <a:xfrm>
                      <a:off x="0" y="0"/>
                      <a:ext cx="2409825" cy="2305050"/>
                    </a:xfrm>
                    <a:prstGeom prst="rect">
                      <a:avLst/>
                    </a:prstGeom>
                    <a:noFill/>
                    <a:ln>
                      <a:noFill/>
                    </a:ln>
                  </pic:spPr>
                </pic:pic>
              </a:graphicData>
            </a:graphic>
          </wp:inline>
        </w:drawing>
      </w:r>
    </w:p>
    <w:p w14:paraId="2BD61B2E">
      <w:pPr>
        <w:pStyle w:val="8"/>
        <w:wordWrap w:val="0"/>
        <w:rPr>
          <w:b/>
          <w:color w:val="000000"/>
          <w:sz w:val="32"/>
          <w:szCs w:val="32"/>
          <w:highlight w:val="none"/>
        </w:rPr>
      </w:pPr>
    </w:p>
    <w:p w14:paraId="4B1D2294">
      <w:pPr>
        <w:pStyle w:val="8"/>
        <w:wordWrap w:val="0"/>
        <w:rPr>
          <w:b/>
          <w:color w:val="000000"/>
          <w:sz w:val="30"/>
          <w:highlight w:val="none"/>
        </w:rPr>
      </w:pPr>
    </w:p>
    <w:p w14:paraId="674C28B0">
      <w:pPr>
        <w:tabs>
          <w:tab w:val="left" w:pos="2090"/>
          <w:tab w:val="left" w:pos="3555"/>
          <w:tab w:val="left" w:pos="9072"/>
        </w:tabs>
        <w:wordWrap w:val="0"/>
        <w:spacing w:line="360" w:lineRule="auto"/>
        <w:ind w:right="3073" w:firstLine="2268" w:firstLineChars="706"/>
        <w:rPr>
          <w:b/>
          <w:color w:val="000000"/>
          <w:sz w:val="32"/>
          <w:highlight w:val="none"/>
        </w:rPr>
      </w:pPr>
    </w:p>
    <w:p w14:paraId="50D51050">
      <w:pPr>
        <w:tabs>
          <w:tab w:val="left" w:pos="2751"/>
          <w:tab w:val="left" w:pos="3555"/>
        </w:tabs>
        <w:wordWrap w:val="0"/>
        <w:spacing w:line="360" w:lineRule="auto"/>
        <w:ind w:right="830" w:firstLine="1285" w:firstLineChars="400"/>
        <w:rPr>
          <w:rFonts w:hint="eastAsia" w:eastAsia="宋体"/>
          <w:b/>
          <w:color w:val="000000"/>
          <w:sz w:val="32"/>
          <w:highlight w:val="none"/>
          <w:lang w:eastAsia="zh-CN"/>
        </w:rPr>
      </w:pPr>
      <w:r>
        <w:rPr>
          <w:b/>
          <w:color w:val="000000"/>
          <w:sz w:val="32"/>
          <w:highlight w:val="none"/>
        </w:rPr>
        <w:t>采购人:</w:t>
      </w:r>
      <w:r>
        <w:rPr>
          <w:rFonts w:hint="eastAsia"/>
          <w:b/>
          <w:color w:val="000000"/>
          <w:sz w:val="32"/>
          <w:highlight w:val="none"/>
          <w:lang w:eastAsia="zh-CN"/>
        </w:rPr>
        <w:t>卢氏县公安局</w:t>
      </w:r>
    </w:p>
    <w:p w14:paraId="64E54434">
      <w:pPr>
        <w:tabs>
          <w:tab w:val="left" w:pos="2751"/>
          <w:tab w:val="left" w:pos="3555"/>
        </w:tabs>
        <w:wordWrap w:val="0"/>
        <w:spacing w:line="360" w:lineRule="auto"/>
        <w:ind w:right="830" w:firstLine="1285" w:firstLineChars="400"/>
        <w:rPr>
          <w:rFonts w:hint="eastAsia" w:eastAsia="宋体"/>
          <w:b/>
          <w:color w:val="000000"/>
          <w:sz w:val="32"/>
          <w:highlight w:val="none"/>
          <w:lang w:eastAsia="zh-CN"/>
        </w:rPr>
      </w:pPr>
      <w:r>
        <w:rPr>
          <w:b/>
          <w:color w:val="000000"/>
          <w:sz w:val="32"/>
          <w:highlight w:val="none"/>
        </w:rPr>
        <w:t>采购代理机构：</w:t>
      </w:r>
      <w:r>
        <w:rPr>
          <w:rFonts w:hint="eastAsia"/>
          <w:b/>
          <w:color w:val="000000"/>
          <w:sz w:val="32"/>
          <w:highlight w:val="none"/>
          <w:lang w:eastAsia="zh-CN"/>
        </w:rPr>
        <w:t>中伟诚工程管理有限公司</w:t>
      </w:r>
    </w:p>
    <w:p w14:paraId="5D1F5EA4">
      <w:pPr>
        <w:tabs>
          <w:tab w:val="left" w:pos="2751"/>
          <w:tab w:val="left" w:pos="3555"/>
        </w:tabs>
        <w:wordWrap w:val="0"/>
        <w:spacing w:line="360" w:lineRule="auto"/>
        <w:ind w:right="830" w:firstLine="1285" w:firstLineChars="400"/>
        <w:rPr>
          <w:rFonts w:ascii="宋体" w:hAnsi="宋体"/>
          <w:color w:val="000000"/>
          <w:sz w:val="44"/>
          <w:highlight w:val="none"/>
        </w:rPr>
        <w:sectPr>
          <w:headerReference r:id="rId3" w:type="default"/>
          <w:footerReference r:id="rId4" w:type="default"/>
          <w:pgSz w:w="11906" w:h="16838"/>
          <w:pgMar w:top="1440" w:right="1274" w:bottom="1440" w:left="1800" w:header="851" w:footer="992" w:gutter="0"/>
          <w:cols w:space="720" w:num="1"/>
          <w:docGrid w:type="lines" w:linePitch="312" w:charSpace="0"/>
        </w:sectPr>
      </w:pPr>
      <w:r>
        <w:rPr>
          <w:b/>
          <w:color w:val="000000"/>
          <w:sz w:val="32"/>
          <w:highlight w:val="none"/>
        </w:rPr>
        <w:t>日期：二</w:t>
      </w:r>
      <w:r>
        <w:rPr>
          <w:rFonts w:hint="eastAsia"/>
          <w:b/>
          <w:color w:val="000000"/>
          <w:sz w:val="32"/>
          <w:highlight w:val="none"/>
        </w:rPr>
        <w:t>零</w:t>
      </w:r>
      <w:r>
        <w:rPr>
          <w:b/>
          <w:color w:val="000000"/>
          <w:sz w:val="32"/>
          <w:highlight w:val="none"/>
        </w:rPr>
        <w:t>二</w:t>
      </w:r>
      <w:r>
        <w:rPr>
          <w:rFonts w:hint="eastAsia"/>
          <w:b/>
          <w:color w:val="000000"/>
          <w:sz w:val="32"/>
          <w:highlight w:val="none"/>
          <w:lang w:eastAsia="zh-CN"/>
        </w:rPr>
        <w:t>五</w:t>
      </w:r>
      <w:r>
        <w:rPr>
          <w:b/>
          <w:color w:val="000000"/>
          <w:sz w:val="32"/>
          <w:highlight w:val="none"/>
        </w:rPr>
        <w:t>年</w:t>
      </w:r>
      <w:r>
        <w:rPr>
          <w:rFonts w:hint="eastAsia"/>
          <w:b/>
          <w:color w:val="000000"/>
          <w:sz w:val="32"/>
          <w:highlight w:val="none"/>
          <w:lang w:eastAsia="zh-CN"/>
        </w:rPr>
        <w:t>七</w:t>
      </w:r>
      <w:r>
        <w:rPr>
          <w:b/>
          <w:color w:val="000000"/>
          <w:sz w:val="32"/>
          <w:highlight w:val="none"/>
        </w:rPr>
        <w:t>月</w:t>
      </w:r>
    </w:p>
    <w:p w14:paraId="354F07C2">
      <w:pPr>
        <w:pStyle w:val="19"/>
        <w:ind w:left="0" w:leftChars="0" w:firstLine="0" w:firstLineChars="0"/>
      </w:pPr>
    </w:p>
    <w:p w14:paraId="749CF3BC">
      <w:pPr>
        <w:pStyle w:val="8"/>
        <w:rPr>
          <w:color w:val="000000"/>
          <w:highlight w:val="none"/>
        </w:rPr>
      </w:pPr>
    </w:p>
    <w:p w14:paraId="700D39B7">
      <w:pPr>
        <w:spacing w:line="360" w:lineRule="auto"/>
        <w:jc w:val="center"/>
        <w:rPr>
          <w:rFonts w:ascii="宋体" w:hAnsi="宋体"/>
          <w:color w:val="000000"/>
          <w:sz w:val="44"/>
          <w:highlight w:val="none"/>
        </w:rPr>
      </w:pPr>
      <w:r>
        <w:rPr>
          <w:rFonts w:hint="eastAsia" w:ascii="宋体" w:hAnsi="宋体"/>
          <w:color w:val="000000"/>
          <w:sz w:val="44"/>
          <w:highlight w:val="none"/>
        </w:rPr>
        <w:t>目  录</w:t>
      </w:r>
    </w:p>
    <w:p w14:paraId="64E8848B">
      <w:pPr>
        <w:spacing w:line="360" w:lineRule="auto"/>
        <w:jc w:val="center"/>
        <w:rPr>
          <w:rFonts w:ascii="宋体" w:hAnsi="宋体"/>
          <w:color w:val="000000"/>
          <w:sz w:val="48"/>
          <w:highlight w:val="none"/>
        </w:rPr>
      </w:pPr>
    </w:p>
    <w:p w14:paraId="29443386">
      <w:pPr>
        <w:pStyle w:val="17"/>
        <w:tabs>
          <w:tab w:val="right" w:leader="dot" w:pos="9355"/>
        </w:tabs>
        <w:spacing w:line="360" w:lineRule="auto"/>
        <w:rPr>
          <w:rFonts w:ascii="宋体" w:hAnsi="宋体"/>
          <w:color w:val="000000"/>
          <w:sz w:val="32"/>
          <w:szCs w:val="36"/>
          <w:highlight w:val="none"/>
        </w:rPr>
      </w:pPr>
      <w:r>
        <w:rPr>
          <w:rFonts w:ascii="宋体" w:hAnsi="宋体"/>
          <w:color w:val="000000"/>
          <w:sz w:val="32"/>
          <w:szCs w:val="36"/>
          <w:highlight w:val="none"/>
        </w:rPr>
        <w:fldChar w:fldCharType="begin"/>
      </w:r>
      <w:r>
        <w:rPr>
          <w:rFonts w:ascii="宋体" w:hAnsi="宋体"/>
          <w:color w:val="000000"/>
          <w:sz w:val="32"/>
          <w:szCs w:val="36"/>
          <w:highlight w:val="none"/>
        </w:rPr>
        <w:instrText xml:space="preserve"> </w:instrText>
      </w:r>
      <w:r>
        <w:rPr>
          <w:rFonts w:hint="eastAsia" w:ascii="宋体" w:hAnsi="宋体"/>
          <w:color w:val="000000"/>
          <w:sz w:val="32"/>
          <w:szCs w:val="36"/>
          <w:highlight w:val="none"/>
        </w:rPr>
        <w:instrText xml:space="preserve">TOC \o "1-3" \h \z \u</w:instrText>
      </w:r>
      <w:r>
        <w:rPr>
          <w:rFonts w:ascii="宋体" w:hAnsi="宋体"/>
          <w:color w:val="000000"/>
          <w:sz w:val="32"/>
          <w:szCs w:val="36"/>
          <w:highlight w:val="none"/>
        </w:rPr>
        <w:instrText xml:space="preserve"> </w:instrText>
      </w:r>
      <w:r>
        <w:rPr>
          <w:rFonts w:ascii="宋体" w:hAnsi="宋体"/>
          <w:color w:val="000000"/>
          <w:sz w:val="32"/>
          <w:szCs w:val="36"/>
          <w:highlight w:val="none"/>
        </w:rPr>
        <w:fldChar w:fldCharType="separate"/>
      </w:r>
      <w:r>
        <w:rPr>
          <w:highlight w:val="none"/>
        </w:rPr>
        <w:fldChar w:fldCharType="begin"/>
      </w:r>
      <w:r>
        <w:rPr>
          <w:highlight w:val="none"/>
        </w:rPr>
        <w:instrText xml:space="preserve"> HYPERLINK \l "_Toc4895" </w:instrText>
      </w:r>
      <w:r>
        <w:rPr>
          <w:highlight w:val="none"/>
        </w:rPr>
        <w:fldChar w:fldCharType="separate"/>
      </w:r>
      <w:r>
        <w:rPr>
          <w:rFonts w:hint="eastAsia" w:ascii="宋体" w:hAnsi="宋体"/>
          <w:bCs/>
          <w:color w:val="000000"/>
          <w:sz w:val="32"/>
          <w:szCs w:val="36"/>
          <w:highlight w:val="none"/>
        </w:rPr>
        <w:t>第一章   竞争性谈判公告</w:t>
      </w:r>
      <w:r>
        <w:rPr>
          <w:rFonts w:ascii="宋体" w:hAnsi="宋体"/>
          <w:color w:val="000000"/>
          <w:sz w:val="32"/>
          <w:szCs w:val="36"/>
          <w:highlight w:val="none"/>
        </w:rPr>
        <w:tab/>
      </w:r>
      <w:r>
        <w:rPr>
          <w:rFonts w:hint="eastAsia" w:ascii="宋体" w:hAnsi="宋体"/>
          <w:color w:val="000000"/>
          <w:sz w:val="32"/>
          <w:szCs w:val="36"/>
          <w:highlight w:val="none"/>
        </w:rPr>
        <w:t>3</w:t>
      </w:r>
      <w:r>
        <w:rPr>
          <w:rFonts w:hint="eastAsia" w:ascii="宋体" w:hAnsi="宋体"/>
          <w:color w:val="000000"/>
          <w:sz w:val="32"/>
          <w:szCs w:val="36"/>
          <w:highlight w:val="none"/>
        </w:rPr>
        <w:fldChar w:fldCharType="end"/>
      </w:r>
    </w:p>
    <w:p w14:paraId="500805FD">
      <w:pPr>
        <w:pStyle w:val="17"/>
        <w:tabs>
          <w:tab w:val="right" w:leader="dot" w:pos="9355"/>
        </w:tabs>
        <w:spacing w:line="360" w:lineRule="auto"/>
        <w:rPr>
          <w:rFonts w:ascii="宋体" w:hAnsi="宋体"/>
          <w:color w:val="000000"/>
          <w:sz w:val="32"/>
          <w:szCs w:val="36"/>
          <w:highlight w:val="none"/>
        </w:rPr>
      </w:pPr>
      <w:r>
        <w:rPr>
          <w:highlight w:val="none"/>
        </w:rPr>
        <w:fldChar w:fldCharType="begin"/>
      </w:r>
      <w:r>
        <w:rPr>
          <w:highlight w:val="none"/>
        </w:rPr>
        <w:instrText xml:space="preserve"> HYPERLINK \l "_Toc25809" </w:instrText>
      </w:r>
      <w:r>
        <w:rPr>
          <w:highlight w:val="none"/>
        </w:rPr>
        <w:fldChar w:fldCharType="separate"/>
      </w:r>
      <w:r>
        <w:rPr>
          <w:rFonts w:hint="eastAsia" w:ascii="宋体" w:hAnsi="宋体"/>
          <w:bCs/>
          <w:color w:val="000000"/>
          <w:sz w:val="32"/>
          <w:szCs w:val="36"/>
          <w:highlight w:val="none"/>
        </w:rPr>
        <w:t>第二章   供应商</w:t>
      </w:r>
      <w:r>
        <w:rPr>
          <w:rFonts w:hint="eastAsia" w:ascii="宋体" w:hAnsi="宋体"/>
          <w:color w:val="000000"/>
          <w:sz w:val="32"/>
          <w:szCs w:val="36"/>
          <w:highlight w:val="none"/>
        </w:rPr>
        <w:t>须知</w:t>
      </w:r>
      <w:r>
        <w:rPr>
          <w:rFonts w:ascii="宋体" w:hAnsi="宋体"/>
          <w:color w:val="000000"/>
          <w:sz w:val="32"/>
          <w:szCs w:val="36"/>
          <w:highlight w:val="none"/>
        </w:rPr>
        <w:tab/>
      </w:r>
      <w:r>
        <w:rPr>
          <w:rFonts w:hint="eastAsia" w:ascii="宋体" w:hAnsi="宋体"/>
          <w:color w:val="000000"/>
          <w:sz w:val="32"/>
          <w:szCs w:val="36"/>
          <w:highlight w:val="none"/>
        </w:rPr>
        <w:t>8</w:t>
      </w:r>
      <w:r>
        <w:rPr>
          <w:rFonts w:hint="eastAsia" w:ascii="宋体" w:hAnsi="宋体"/>
          <w:color w:val="000000"/>
          <w:sz w:val="32"/>
          <w:szCs w:val="36"/>
          <w:highlight w:val="none"/>
        </w:rPr>
        <w:fldChar w:fldCharType="end"/>
      </w:r>
    </w:p>
    <w:p w14:paraId="6BF5B482">
      <w:pPr>
        <w:pStyle w:val="17"/>
        <w:tabs>
          <w:tab w:val="right" w:leader="dot" w:pos="9355"/>
        </w:tabs>
        <w:spacing w:line="360" w:lineRule="auto"/>
        <w:rPr>
          <w:rFonts w:hint="eastAsia" w:ascii="宋体" w:hAnsi="宋体" w:eastAsia="宋体"/>
          <w:color w:val="000000"/>
          <w:sz w:val="32"/>
          <w:szCs w:val="36"/>
          <w:highlight w:val="none"/>
          <w:lang w:val="en-US" w:eastAsia="zh-CN"/>
        </w:rPr>
      </w:pPr>
      <w:r>
        <w:rPr>
          <w:highlight w:val="none"/>
        </w:rPr>
        <w:fldChar w:fldCharType="begin"/>
      </w:r>
      <w:r>
        <w:rPr>
          <w:highlight w:val="none"/>
        </w:rPr>
        <w:instrText xml:space="preserve"> HYPERLINK \l "_Toc16645" </w:instrText>
      </w:r>
      <w:r>
        <w:rPr>
          <w:highlight w:val="none"/>
        </w:rPr>
        <w:fldChar w:fldCharType="separate"/>
      </w:r>
      <w:r>
        <w:rPr>
          <w:rFonts w:hint="eastAsia" w:ascii="宋体" w:hAnsi="宋体"/>
          <w:color w:val="000000"/>
          <w:sz w:val="32"/>
          <w:szCs w:val="36"/>
          <w:highlight w:val="none"/>
        </w:rPr>
        <w:t>第三章   谈判项目资料</w:t>
      </w:r>
      <w:r>
        <w:rPr>
          <w:rFonts w:ascii="宋体" w:hAnsi="宋体"/>
          <w:color w:val="000000"/>
          <w:sz w:val="32"/>
          <w:szCs w:val="36"/>
          <w:highlight w:val="none"/>
        </w:rPr>
        <w:tab/>
      </w:r>
      <w:r>
        <w:rPr>
          <w:rFonts w:hint="eastAsia" w:ascii="宋体" w:hAnsi="宋体"/>
          <w:color w:val="000000"/>
          <w:sz w:val="32"/>
          <w:szCs w:val="36"/>
          <w:highlight w:val="none"/>
        </w:rPr>
        <w:t>2</w:t>
      </w:r>
      <w:r>
        <w:rPr>
          <w:rFonts w:hint="eastAsia" w:ascii="宋体" w:hAnsi="宋体"/>
          <w:color w:val="000000"/>
          <w:sz w:val="32"/>
          <w:szCs w:val="36"/>
          <w:highlight w:val="none"/>
        </w:rPr>
        <w:fldChar w:fldCharType="end"/>
      </w:r>
      <w:r>
        <w:rPr>
          <w:rFonts w:hint="eastAsia" w:ascii="宋体" w:hAnsi="宋体"/>
          <w:color w:val="000000"/>
          <w:sz w:val="32"/>
          <w:szCs w:val="36"/>
          <w:highlight w:val="none"/>
          <w:lang w:val="en-US" w:eastAsia="zh-CN"/>
        </w:rPr>
        <w:t>4</w:t>
      </w:r>
    </w:p>
    <w:p w14:paraId="2C483926">
      <w:pPr>
        <w:pStyle w:val="17"/>
        <w:tabs>
          <w:tab w:val="right" w:leader="dot" w:pos="9355"/>
        </w:tabs>
        <w:spacing w:line="360" w:lineRule="auto"/>
        <w:rPr>
          <w:rFonts w:hint="eastAsia" w:ascii="宋体" w:hAnsi="宋体" w:eastAsia="宋体"/>
          <w:color w:val="000000"/>
          <w:sz w:val="32"/>
          <w:szCs w:val="36"/>
          <w:highlight w:val="none"/>
          <w:lang w:val="en-US" w:eastAsia="zh-CN"/>
        </w:rPr>
      </w:pPr>
      <w:r>
        <w:rPr>
          <w:rFonts w:hint="eastAsia" w:ascii="宋体" w:hAnsi="宋体"/>
          <w:color w:val="000000"/>
          <w:sz w:val="32"/>
          <w:szCs w:val="36"/>
          <w:highlight w:val="none"/>
        </w:rPr>
        <w:t>第四章   采购内容及技术要求</w:t>
      </w:r>
      <w:r>
        <w:rPr>
          <w:rFonts w:ascii="宋体" w:hAnsi="宋体"/>
          <w:color w:val="000000"/>
          <w:sz w:val="32"/>
          <w:szCs w:val="36"/>
          <w:highlight w:val="none"/>
        </w:rPr>
        <w:tab/>
      </w:r>
      <w:r>
        <w:rPr>
          <w:rFonts w:hint="eastAsia" w:ascii="宋体" w:hAnsi="宋体"/>
          <w:color w:val="000000"/>
          <w:sz w:val="32"/>
          <w:szCs w:val="36"/>
          <w:highlight w:val="none"/>
        </w:rPr>
        <w:t>2</w:t>
      </w:r>
      <w:r>
        <w:rPr>
          <w:rFonts w:hint="eastAsia" w:ascii="宋体" w:hAnsi="宋体"/>
          <w:color w:val="000000"/>
          <w:sz w:val="32"/>
          <w:szCs w:val="36"/>
          <w:highlight w:val="none"/>
          <w:lang w:val="en-US" w:eastAsia="zh-CN"/>
        </w:rPr>
        <w:t>9</w:t>
      </w:r>
    </w:p>
    <w:p w14:paraId="6F1654DE">
      <w:pPr>
        <w:pStyle w:val="17"/>
        <w:tabs>
          <w:tab w:val="right" w:leader="dot" w:pos="9355"/>
        </w:tabs>
        <w:spacing w:line="360" w:lineRule="auto"/>
        <w:rPr>
          <w:rFonts w:hint="eastAsia" w:ascii="宋体" w:hAnsi="宋体" w:eastAsia="宋体"/>
          <w:color w:val="000000"/>
          <w:sz w:val="32"/>
          <w:szCs w:val="36"/>
          <w:highlight w:val="none"/>
          <w:lang w:val="en-US" w:eastAsia="zh-CN"/>
        </w:rPr>
      </w:pPr>
      <w:r>
        <w:rPr>
          <w:highlight w:val="none"/>
        </w:rPr>
        <w:fldChar w:fldCharType="begin"/>
      </w:r>
      <w:r>
        <w:rPr>
          <w:highlight w:val="none"/>
        </w:rPr>
        <w:instrText xml:space="preserve"> HYPERLINK \l "_Toc24302" </w:instrText>
      </w:r>
      <w:r>
        <w:rPr>
          <w:highlight w:val="none"/>
        </w:rPr>
        <w:fldChar w:fldCharType="separate"/>
      </w:r>
      <w:r>
        <w:rPr>
          <w:rFonts w:ascii="宋体" w:hAnsi="宋体"/>
          <w:bCs/>
          <w:color w:val="000000"/>
          <w:sz w:val="32"/>
          <w:szCs w:val="36"/>
          <w:highlight w:val="none"/>
        </w:rPr>
        <w:t>第</w:t>
      </w:r>
      <w:r>
        <w:rPr>
          <w:rFonts w:hint="eastAsia" w:ascii="宋体" w:hAnsi="宋体"/>
          <w:bCs/>
          <w:color w:val="000000"/>
          <w:sz w:val="32"/>
          <w:szCs w:val="36"/>
          <w:highlight w:val="none"/>
        </w:rPr>
        <w:t xml:space="preserve">五章  </w:t>
      </w:r>
      <w:r>
        <w:rPr>
          <w:rFonts w:ascii="宋体" w:hAnsi="宋体"/>
          <w:bCs/>
          <w:color w:val="000000"/>
          <w:sz w:val="32"/>
          <w:szCs w:val="36"/>
          <w:highlight w:val="none"/>
        </w:rPr>
        <w:t xml:space="preserve"> </w:t>
      </w:r>
      <w:r>
        <w:rPr>
          <w:rFonts w:hint="eastAsia" w:ascii="宋体" w:hAnsi="宋体"/>
          <w:bCs/>
          <w:color w:val="000000"/>
          <w:sz w:val="32"/>
          <w:szCs w:val="36"/>
          <w:highlight w:val="none"/>
        </w:rPr>
        <w:t>合同主要条款</w:t>
      </w:r>
      <w:r>
        <w:rPr>
          <w:rFonts w:ascii="宋体" w:hAnsi="宋体"/>
          <w:color w:val="000000"/>
          <w:sz w:val="32"/>
          <w:szCs w:val="36"/>
          <w:highlight w:val="none"/>
        </w:rPr>
        <w:tab/>
      </w:r>
      <w:r>
        <w:rPr>
          <w:rFonts w:ascii="宋体" w:hAnsi="宋体"/>
          <w:color w:val="000000"/>
          <w:sz w:val="32"/>
          <w:szCs w:val="36"/>
          <w:highlight w:val="none"/>
        </w:rPr>
        <w:fldChar w:fldCharType="end"/>
      </w:r>
      <w:r>
        <w:rPr>
          <w:rFonts w:hint="eastAsia" w:ascii="宋体" w:hAnsi="宋体"/>
          <w:color w:val="000000"/>
          <w:sz w:val="32"/>
          <w:szCs w:val="36"/>
          <w:highlight w:val="none"/>
        </w:rPr>
        <w:t>3</w:t>
      </w:r>
      <w:r>
        <w:rPr>
          <w:rFonts w:hint="eastAsia" w:ascii="宋体" w:hAnsi="宋体"/>
          <w:color w:val="000000"/>
          <w:sz w:val="32"/>
          <w:szCs w:val="36"/>
          <w:highlight w:val="none"/>
          <w:lang w:val="en-US" w:eastAsia="zh-CN"/>
        </w:rPr>
        <w:t>1</w:t>
      </w:r>
    </w:p>
    <w:p w14:paraId="38670414">
      <w:pPr>
        <w:pStyle w:val="17"/>
        <w:tabs>
          <w:tab w:val="right" w:leader="dot" w:pos="9355"/>
        </w:tabs>
        <w:spacing w:line="360" w:lineRule="auto"/>
        <w:rPr>
          <w:rFonts w:hint="eastAsia" w:ascii="宋体" w:hAnsi="宋体" w:eastAsia="宋体"/>
          <w:color w:val="000000"/>
          <w:sz w:val="32"/>
          <w:szCs w:val="36"/>
          <w:highlight w:val="none"/>
          <w:lang w:val="en-US" w:eastAsia="zh-CN"/>
        </w:rPr>
      </w:pPr>
      <w:r>
        <w:rPr>
          <w:highlight w:val="none"/>
        </w:rPr>
        <w:fldChar w:fldCharType="begin"/>
      </w:r>
      <w:r>
        <w:rPr>
          <w:highlight w:val="none"/>
        </w:rPr>
        <w:instrText xml:space="preserve"> HYPERLINK \l "_Toc24302" </w:instrText>
      </w:r>
      <w:r>
        <w:rPr>
          <w:highlight w:val="none"/>
        </w:rPr>
        <w:fldChar w:fldCharType="separate"/>
      </w:r>
      <w:r>
        <w:rPr>
          <w:rFonts w:ascii="宋体" w:hAnsi="宋体"/>
          <w:bCs/>
          <w:color w:val="000000"/>
          <w:sz w:val="32"/>
          <w:szCs w:val="36"/>
          <w:highlight w:val="none"/>
        </w:rPr>
        <w:t>第</w:t>
      </w:r>
      <w:r>
        <w:rPr>
          <w:rFonts w:hint="eastAsia" w:ascii="宋体" w:hAnsi="宋体"/>
          <w:bCs/>
          <w:color w:val="000000"/>
          <w:sz w:val="32"/>
          <w:szCs w:val="36"/>
          <w:highlight w:val="none"/>
        </w:rPr>
        <w:t xml:space="preserve">六章  </w:t>
      </w:r>
      <w:r>
        <w:rPr>
          <w:rFonts w:ascii="宋体" w:hAnsi="宋体"/>
          <w:bCs/>
          <w:color w:val="000000"/>
          <w:sz w:val="32"/>
          <w:szCs w:val="36"/>
          <w:highlight w:val="none"/>
        </w:rPr>
        <w:t xml:space="preserve"> </w:t>
      </w:r>
      <w:r>
        <w:rPr>
          <w:rFonts w:hint="eastAsia" w:ascii="宋体" w:hAnsi="宋体"/>
          <w:bCs/>
          <w:color w:val="000000"/>
          <w:sz w:val="32"/>
          <w:szCs w:val="36"/>
          <w:highlight w:val="none"/>
        </w:rPr>
        <w:t>响应文件格式</w:t>
      </w:r>
      <w:r>
        <w:rPr>
          <w:rFonts w:ascii="宋体" w:hAnsi="宋体"/>
          <w:color w:val="000000"/>
          <w:sz w:val="32"/>
          <w:szCs w:val="36"/>
          <w:highlight w:val="none"/>
        </w:rPr>
        <w:tab/>
      </w:r>
      <w:r>
        <w:rPr>
          <w:rFonts w:ascii="宋体" w:hAnsi="宋体"/>
          <w:color w:val="000000"/>
          <w:sz w:val="32"/>
          <w:szCs w:val="36"/>
          <w:highlight w:val="none"/>
        </w:rPr>
        <w:fldChar w:fldCharType="end"/>
      </w:r>
      <w:r>
        <w:rPr>
          <w:rFonts w:hint="eastAsia" w:ascii="宋体" w:hAnsi="宋体"/>
          <w:color w:val="000000"/>
          <w:sz w:val="32"/>
          <w:szCs w:val="36"/>
          <w:highlight w:val="none"/>
        </w:rPr>
        <w:t>3</w:t>
      </w:r>
      <w:r>
        <w:rPr>
          <w:rFonts w:hint="eastAsia" w:ascii="宋体" w:hAnsi="宋体"/>
          <w:color w:val="000000"/>
          <w:sz w:val="32"/>
          <w:szCs w:val="36"/>
          <w:highlight w:val="none"/>
          <w:lang w:val="en-US" w:eastAsia="zh-CN"/>
        </w:rPr>
        <w:t>7</w:t>
      </w:r>
    </w:p>
    <w:p w14:paraId="08EB79FD">
      <w:pPr>
        <w:spacing w:line="360" w:lineRule="auto"/>
        <w:ind w:right="-334" w:rightChars="-159"/>
        <w:rPr>
          <w:rFonts w:ascii="宋体" w:hAnsi="宋体" w:cs="宋体"/>
          <w:color w:val="000000"/>
          <w:kern w:val="10"/>
          <w:sz w:val="24"/>
          <w:highlight w:val="none"/>
        </w:rPr>
      </w:pPr>
      <w:r>
        <w:rPr>
          <w:rFonts w:ascii="宋体" w:hAnsi="宋体"/>
          <w:color w:val="000000"/>
          <w:sz w:val="32"/>
          <w:szCs w:val="36"/>
          <w:highlight w:val="none"/>
        </w:rPr>
        <w:fldChar w:fldCharType="end"/>
      </w:r>
    </w:p>
    <w:p w14:paraId="40CE5BC8">
      <w:pPr>
        <w:spacing w:line="360" w:lineRule="auto"/>
        <w:ind w:right="-334" w:rightChars="-159"/>
        <w:rPr>
          <w:rFonts w:ascii="宋体" w:hAnsi="宋体" w:cs="宋体"/>
          <w:color w:val="000000"/>
          <w:kern w:val="10"/>
          <w:szCs w:val="21"/>
          <w:highlight w:val="none"/>
        </w:rPr>
      </w:pPr>
    </w:p>
    <w:p w14:paraId="42719A15">
      <w:pPr>
        <w:spacing w:line="460" w:lineRule="exact"/>
        <w:rPr>
          <w:rFonts w:ascii="宋体" w:hAnsi="宋体"/>
          <w:color w:val="000000"/>
          <w:sz w:val="22"/>
          <w:szCs w:val="24"/>
          <w:highlight w:val="none"/>
        </w:rPr>
      </w:pPr>
    </w:p>
    <w:p w14:paraId="42B03FF8">
      <w:pPr>
        <w:spacing w:line="460" w:lineRule="exact"/>
        <w:rPr>
          <w:rFonts w:ascii="宋体" w:hAnsi="宋体"/>
          <w:color w:val="000000"/>
          <w:sz w:val="22"/>
          <w:szCs w:val="24"/>
          <w:highlight w:val="none"/>
        </w:rPr>
      </w:pPr>
    </w:p>
    <w:p w14:paraId="79BE6BDD">
      <w:pPr>
        <w:spacing w:line="460" w:lineRule="exact"/>
        <w:rPr>
          <w:rFonts w:ascii="宋体" w:hAnsi="宋体"/>
          <w:color w:val="000000"/>
          <w:sz w:val="22"/>
          <w:szCs w:val="24"/>
          <w:highlight w:val="none"/>
        </w:rPr>
      </w:pPr>
    </w:p>
    <w:p w14:paraId="591772DB">
      <w:pPr>
        <w:spacing w:line="460" w:lineRule="exact"/>
        <w:rPr>
          <w:rFonts w:ascii="宋体" w:hAnsi="宋体"/>
          <w:color w:val="000000"/>
          <w:sz w:val="22"/>
          <w:szCs w:val="24"/>
          <w:highlight w:val="none"/>
        </w:rPr>
      </w:pPr>
    </w:p>
    <w:p w14:paraId="71694693">
      <w:pPr>
        <w:spacing w:line="460" w:lineRule="exact"/>
        <w:rPr>
          <w:rFonts w:ascii="宋体" w:hAnsi="宋体"/>
          <w:color w:val="000000"/>
          <w:sz w:val="22"/>
          <w:szCs w:val="24"/>
          <w:highlight w:val="none"/>
        </w:rPr>
      </w:pPr>
    </w:p>
    <w:p w14:paraId="76F9CA6B">
      <w:pPr>
        <w:spacing w:line="460" w:lineRule="exact"/>
        <w:rPr>
          <w:rFonts w:ascii="宋体" w:hAnsi="宋体"/>
          <w:color w:val="000000"/>
          <w:sz w:val="22"/>
          <w:szCs w:val="24"/>
          <w:highlight w:val="none"/>
        </w:rPr>
      </w:pPr>
    </w:p>
    <w:p w14:paraId="0BDBFF17">
      <w:pPr>
        <w:spacing w:line="460" w:lineRule="exact"/>
        <w:rPr>
          <w:rFonts w:ascii="宋体" w:hAnsi="宋体"/>
          <w:color w:val="000000"/>
          <w:sz w:val="22"/>
          <w:szCs w:val="24"/>
          <w:highlight w:val="none"/>
        </w:rPr>
      </w:pPr>
    </w:p>
    <w:p w14:paraId="6013E342">
      <w:pPr>
        <w:spacing w:line="460" w:lineRule="exact"/>
        <w:rPr>
          <w:rFonts w:ascii="宋体" w:hAnsi="宋体"/>
          <w:color w:val="000000"/>
          <w:sz w:val="22"/>
          <w:szCs w:val="24"/>
          <w:highlight w:val="none"/>
        </w:rPr>
      </w:pPr>
    </w:p>
    <w:p w14:paraId="2641C856">
      <w:pPr>
        <w:spacing w:line="460" w:lineRule="exact"/>
        <w:rPr>
          <w:rFonts w:ascii="宋体" w:hAnsi="宋体"/>
          <w:color w:val="000000"/>
          <w:sz w:val="22"/>
          <w:szCs w:val="24"/>
          <w:highlight w:val="none"/>
        </w:rPr>
      </w:pPr>
    </w:p>
    <w:p w14:paraId="40BEB913">
      <w:pPr>
        <w:spacing w:line="460" w:lineRule="exact"/>
        <w:rPr>
          <w:rFonts w:ascii="宋体" w:hAnsi="宋体"/>
          <w:color w:val="000000"/>
          <w:sz w:val="22"/>
          <w:szCs w:val="24"/>
          <w:highlight w:val="none"/>
        </w:rPr>
      </w:pPr>
    </w:p>
    <w:p w14:paraId="0BA5DA6E">
      <w:pPr>
        <w:spacing w:line="460" w:lineRule="exact"/>
        <w:rPr>
          <w:rFonts w:ascii="宋体" w:hAnsi="宋体"/>
          <w:color w:val="000000"/>
          <w:sz w:val="22"/>
          <w:szCs w:val="24"/>
          <w:highlight w:val="none"/>
        </w:rPr>
      </w:pPr>
    </w:p>
    <w:p w14:paraId="0ACEE391">
      <w:pPr>
        <w:spacing w:line="460" w:lineRule="exact"/>
        <w:rPr>
          <w:rFonts w:ascii="宋体" w:hAnsi="宋体"/>
          <w:color w:val="000000"/>
          <w:sz w:val="22"/>
          <w:szCs w:val="24"/>
          <w:highlight w:val="none"/>
        </w:rPr>
      </w:pPr>
    </w:p>
    <w:p w14:paraId="7815BBD4">
      <w:pPr>
        <w:spacing w:line="460" w:lineRule="exact"/>
        <w:rPr>
          <w:rFonts w:ascii="宋体" w:hAnsi="宋体"/>
          <w:color w:val="000000"/>
          <w:sz w:val="22"/>
          <w:szCs w:val="24"/>
          <w:highlight w:val="none"/>
        </w:rPr>
      </w:pPr>
    </w:p>
    <w:p w14:paraId="56944CAD">
      <w:pPr>
        <w:spacing w:line="460" w:lineRule="exact"/>
        <w:rPr>
          <w:rFonts w:ascii="宋体" w:hAnsi="宋体"/>
          <w:color w:val="000000"/>
          <w:sz w:val="22"/>
          <w:szCs w:val="24"/>
          <w:highlight w:val="none"/>
        </w:rPr>
      </w:pPr>
    </w:p>
    <w:p w14:paraId="0BF54522">
      <w:pPr>
        <w:spacing w:line="460" w:lineRule="exact"/>
        <w:jc w:val="center"/>
        <w:rPr>
          <w:rFonts w:hint="eastAsia" w:ascii="宋体" w:hAnsi="宋体" w:cs="宋体"/>
          <w:b/>
          <w:bCs/>
          <w:color w:val="000000"/>
          <w:sz w:val="32"/>
          <w:szCs w:val="32"/>
          <w:highlight w:val="none"/>
        </w:rPr>
      </w:pPr>
    </w:p>
    <w:p w14:paraId="3F3DDC28">
      <w:pPr>
        <w:spacing w:line="460" w:lineRule="exact"/>
        <w:jc w:val="center"/>
        <w:rPr>
          <w:rFonts w:ascii="宋体" w:hAnsi="宋体"/>
          <w:color w:val="000000"/>
          <w:sz w:val="32"/>
          <w:szCs w:val="32"/>
          <w:highlight w:val="none"/>
        </w:rPr>
      </w:pPr>
      <w:r>
        <w:rPr>
          <w:rFonts w:hint="eastAsia" w:ascii="宋体" w:hAnsi="宋体" w:cs="宋体"/>
          <w:b/>
          <w:bCs/>
          <w:color w:val="000000"/>
          <w:sz w:val="32"/>
          <w:szCs w:val="32"/>
          <w:highlight w:val="none"/>
        </w:rPr>
        <w:t>第一章 竞争性谈判公告</w:t>
      </w:r>
    </w:p>
    <w:p w14:paraId="76335C75">
      <w:pPr>
        <w:keepNext w:val="0"/>
        <w:keepLines w:val="0"/>
        <w:pageBreakBefore w:val="0"/>
        <w:kinsoku/>
        <w:wordWrap w:val="0"/>
        <w:overflowPunct/>
        <w:topLinePunct w:val="0"/>
        <w:autoSpaceDE/>
        <w:autoSpaceDN/>
        <w:bidi w:val="0"/>
        <w:spacing w:line="500" w:lineRule="exact"/>
        <w:ind w:firstLine="480" w:firstLineChars="200"/>
        <w:textAlignment w:val="auto"/>
        <w:rPr>
          <w:rFonts w:ascii="宋体" w:hAnsi="宋体"/>
          <w:color w:val="000000"/>
          <w:sz w:val="24"/>
          <w:szCs w:val="28"/>
          <w:highlight w:val="none"/>
        </w:rPr>
      </w:pPr>
      <w:bookmarkStart w:id="0" w:name="_Toc25809"/>
      <w:r>
        <w:rPr>
          <w:rFonts w:hint="eastAsia" w:ascii="宋体" w:hAnsi="宋体"/>
          <w:bCs/>
          <w:color w:val="000000"/>
          <w:sz w:val="24"/>
          <w:szCs w:val="28"/>
          <w:highlight w:val="none"/>
          <w:lang w:eastAsia="zh-CN"/>
        </w:rPr>
        <w:t>卢氏县公安局中兴路电子警察及交通信号灯采购项目</w:t>
      </w:r>
      <w:r>
        <w:rPr>
          <w:rFonts w:hint="eastAsia" w:ascii="宋体" w:hAnsi="宋体"/>
          <w:color w:val="000000"/>
          <w:sz w:val="24"/>
          <w:szCs w:val="28"/>
          <w:highlight w:val="none"/>
        </w:rPr>
        <w:t>已经有关部门批准，本项目已具备谈判条件，</w:t>
      </w:r>
      <w:r>
        <w:rPr>
          <w:rFonts w:hint="eastAsia" w:ascii="宋体" w:hAnsi="宋体"/>
          <w:color w:val="000000"/>
          <w:sz w:val="24"/>
          <w:szCs w:val="28"/>
          <w:highlight w:val="none"/>
          <w:lang w:eastAsia="zh-CN"/>
        </w:rPr>
        <w:t>中伟诚工程管理有限公司</w:t>
      </w:r>
      <w:r>
        <w:rPr>
          <w:rFonts w:hint="eastAsia" w:ascii="宋体" w:hAnsi="宋体"/>
          <w:color w:val="000000"/>
          <w:sz w:val="24"/>
          <w:szCs w:val="28"/>
          <w:highlight w:val="none"/>
        </w:rPr>
        <w:t>受</w:t>
      </w:r>
      <w:r>
        <w:rPr>
          <w:rFonts w:hint="eastAsia" w:ascii="宋体" w:hAnsi="宋体"/>
          <w:bCs/>
          <w:color w:val="000000"/>
          <w:sz w:val="24"/>
          <w:szCs w:val="28"/>
          <w:highlight w:val="none"/>
          <w:lang w:eastAsia="zh-CN"/>
        </w:rPr>
        <w:t>卢氏县公安局</w:t>
      </w:r>
      <w:r>
        <w:rPr>
          <w:rFonts w:hint="eastAsia" w:ascii="宋体" w:hAnsi="宋体"/>
          <w:color w:val="000000"/>
          <w:sz w:val="24"/>
          <w:szCs w:val="28"/>
          <w:highlight w:val="none"/>
        </w:rPr>
        <w:t>的委托，现对该项目进行竞争性谈判。现将有关事项公告如下：</w:t>
      </w:r>
    </w:p>
    <w:p w14:paraId="095E0272">
      <w:pPr>
        <w:keepNext w:val="0"/>
        <w:keepLines w:val="0"/>
        <w:pageBreakBefore w:val="0"/>
        <w:kinsoku/>
        <w:wordWrap w:val="0"/>
        <w:overflowPunct/>
        <w:topLinePunct w:val="0"/>
        <w:autoSpaceDE/>
        <w:autoSpaceDN/>
        <w:bidi w:val="0"/>
        <w:spacing w:line="500" w:lineRule="exact"/>
        <w:ind w:firstLine="480" w:firstLineChars="200"/>
        <w:textAlignment w:val="auto"/>
        <w:rPr>
          <w:rFonts w:ascii="宋体" w:hAnsi="宋体"/>
          <w:color w:val="000000"/>
          <w:sz w:val="24"/>
          <w:szCs w:val="28"/>
          <w:highlight w:val="none"/>
        </w:rPr>
      </w:pPr>
      <w:r>
        <w:rPr>
          <w:rFonts w:hint="eastAsia" w:ascii="宋体" w:hAnsi="宋体"/>
          <w:color w:val="000000"/>
          <w:sz w:val="24"/>
          <w:szCs w:val="28"/>
          <w:highlight w:val="none"/>
        </w:rPr>
        <w:t>一、</w:t>
      </w:r>
      <w:r>
        <w:rPr>
          <w:rFonts w:hint="eastAsia"/>
          <w:color w:val="000000"/>
          <w:sz w:val="24"/>
          <w:szCs w:val="28"/>
          <w:highlight w:val="none"/>
        </w:rPr>
        <w:t>项目概况及采购内容：</w:t>
      </w:r>
    </w:p>
    <w:p w14:paraId="799E52BA">
      <w:pPr>
        <w:keepNext w:val="0"/>
        <w:keepLines w:val="0"/>
        <w:pageBreakBefore w:val="0"/>
        <w:kinsoku/>
        <w:wordWrap w:val="0"/>
        <w:overflowPunct/>
        <w:topLinePunct w:val="0"/>
        <w:autoSpaceDE/>
        <w:autoSpaceDN/>
        <w:bidi w:val="0"/>
        <w:spacing w:line="500" w:lineRule="exact"/>
        <w:ind w:firstLine="480" w:firstLineChars="200"/>
        <w:textAlignment w:val="auto"/>
        <w:rPr>
          <w:rFonts w:hint="eastAsia" w:ascii="宋体" w:hAnsi="宋体" w:eastAsia="宋体"/>
          <w:bCs/>
          <w:color w:val="000000"/>
          <w:sz w:val="24"/>
          <w:szCs w:val="28"/>
          <w:highlight w:val="none"/>
          <w:lang w:eastAsia="zh-CN"/>
        </w:rPr>
      </w:pPr>
      <w:r>
        <w:rPr>
          <w:rFonts w:hint="eastAsia" w:ascii="宋体" w:hAnsi="宋体"/>
          <w:color w:val="000000"/>
          <w:sz w:val="24"/>
          <w:szCs w:val="28"/>
          <w:highlight w:val="none"/>
        </w:rPr>
        <w:t>1、采购人：</w:t>
      </w:r>
      <w:r>
        <w:rPr>
          <w:rFonts w:hint="eastAsia" w:ascii="宋体" w:hAnsi="宋体"/>
          <w:bCs/>
          <w:color w:val="000000"/>
          <w:sz w:val="24"/>
          <w:szCs w:val="28"/>
          <w:highlight w:val="none"/>
          <w:lang w:eastAsia="zh-CN"/>
        </w:rPr>
        <w:t>卢氏县公安局</w:t>
      </w:r>
    </w:p>
    <w:p w14:paraId="4EAFF2EB">
      <w:pPr>
        <w:keepNext w:val="0"/>
        <w:keepLines w:val="0"/>
        <w:pageBreakBefore w:val="0"/>
        <w:kinsoku/>
        <w:wordWrap w:val="0"/>
        <w:overflowPunct/>
        <w:topLinePunct w:val="0"/>
        <w:autoSpaceDE/>
        <w:autoSpaceDN/>
        <w:bidi w:val="0"/>
        <w:spacing w:line="500" w:lineRule="exact"/>
        <w:ind w:firstLine="480" w:firstLineChars="200"/>
        <w:textAlignment w:val="auto"/>
        <w:rPr>
          <w:rFonts w:hint="eastAsia" w:ascii="宋体" w:hAnsi="宋体" w:eastAsia="宋体"/>
          <w:bCs/>
          <w:color w:val="000000"/>
          <w:sz w:val="24"/>
          <w:szCs w:val="28"/>
          <w:highlight w:val="none"/>
          <w:lang w:eastAsia="zh-CN"/>
        </w:rPr>
      </w:pPr>
      <w:r>
        <w:rPr>
          <w:rFonts w:hint="eastAsia" w:ascii="宋体" w:hAnsi="宋体"/>
          <w:color w:val="000000"/>
          <w:sz w:val="24"/>
          <w:szCs w:val="28"/>
          <w:highlight w:val="none"/>
        </w:rPr>
        <w:t>2、项目名称：</w:t>
      </w:r>
      <w:r>
        <w:rPr>
          <w:rFonts w:hint="eastAsia" w:ascii="宋体" w:hAnsi="宋体"/>
          <w:bCs/>
          <w:color w:val="000000"/>
          <w:sz w:val="24"/>
          <w:szCs w:val="28"/>
          <w:highlight w:val="none"/>
          <w:lang w:eastAsia="zh-CN"/>
        </w:rPr>
        <w:t>卢氏县公安局中兴路电子警察及交通信号灯采购项目</w:t>
      </w:r>
    </w:p>
    <w:p w14:paraId="20A5A845">
      <w:pPr>
        <w:keepNext w:val="0"/>
        <w:keepLines w:val="0"/>
        <w:pageBreakBefore w:val="0"/>
        <w:kinsoku/>
        <w:wordWrap w:val="0"/>
        <w:overflowPunct/>
        <w:topLinePunct w:val="0"/>
        <w:autoSpaceDE/>
        <w:autoSpaceDN/>
        <w:bidi w:val="0"/>
        <w:spacing w:line="500" w:lineRule="exact"/>
        <w:ind w:firstLine="480" w:firstLineChars="200"/>
        <w:textAlignment w:val="auto"/>
        <w:rPr>
          <w:rFonts w:hint="eastAsia" w:ascii="宋体" w:hAnsi="宋体"/>
          <w:color w:val="FF0000"/>
          <w:sz w:val="24"/>
          <w:szCs w:val="28"/>
          <w:highlight w:val="none"/>
        </w:rPr>
      </w:pPr>
      <w:r>
        <w:rPr>
          <w:rFonts w:hint="eastAsia" w:ascii="宋体" w:hAnsi="宋体"/>
          <w:color w:val="000000"/>
          <w:sz w:val="24"/>
          <w:szCs w:val="28"/>
          <w:highlight w:val="none"/>
        </w:rPr>
        <w:t>3、项目编号</w:t>
      </w:r>
      <w:r>
        <w:rPr>
          <w:rFonts w:hint="eastAsia" w:ascii="宋体" w:hAnsi="宋体"/>
          <w:bCs/>
          <w:color w:val="000000"/>
          <w:sz w:val="24"/>
          <w:szCs w:val="28"/>
          <w:highlight w:val="none"/>
          <w:lang w:eastAsia="zh-CN"/>
        </w:rPr>
        <w:t>：三卢竞谈采购-202</w:t>
      </w:r>
      <w:r>
        <w:rPr>
          <w:rFonts w:hint="eastAsia" w:ascii="宋体" w:hAnsi="宋体"/>
          <w:bCs/>
          <w:color w:val="000000"/>
          <w:sz w:val="24"/>
          <w:szCs w:val="28"/>
          <w:highlight w:val="none"/>
          <w:lang w:val="en-US" w:eastAsia="zh-CN"/>
        </w:rPr>
        <w:t>5</w:t>
      </w:r>
      <w:r>
        <w:rPr>
          <w:rFonts w:hint="eastAsia" w:ascii="宋体" w:hAnsi="宋体"/>
          <w:bCs/>
          <w:color w:val="000000"/>
          <w:sz w:val="24"/>
          <w:szCs w:val="28"/>
          <w:highlight w:val="none"/>
          <w:lang w:eastAsia="zh-CN"/>
        </w:rPr>
        <w:t>-</w:t>
      </w:r>
      <w:r>
        <w:rPr>
          <w:rFonts w:hint="eastAsia" w:ascii="宋体" w:hAnsi="宋体"/>
          <w:bCs/>
          <w:color w:val="000000"/>
          <w:sz w:val="24"/>
          <w:szCs w:val="28"/>
          <w:highlight w:val="none"/>
          <w:lang w:val="en-US" w:eastAsia="zh-CN"/>
        </w:rPr>
        <w:t>1</w:t>
      </w:r>
      <w:r>
        <w:rPr>
          <w:rFonts w:hint="eastAsia" w:ascii="宋体" w:hAnsi="宋体"/>
          <w:bCs/>
          <w:color w:val="000000"/>
          <w:sz w:val="24"/>
          <w:szCs w:val="28"/>
          <w:highlight w:val="none"/>
          <w:lang w:eastAsia="zh-CN"/>
        </w:rPr>
        <w:t>、LSGZ[2025]176-ZC124</w:t>
      </w:r>
    </w:p>
    <w:p w14:paraId="7277E0A4">
      <w:pPr>
        <w:keepNext w:val="0"/>
        <w:keepLines w:val="0"/>
        <w:pageBreakBefore w:val="0"/>
        <w:kinsoku/>
        <w:wordWrap w:val="0"/>
        <w:overflowPunct/>
        <w:topLinePunct w:val="0"/>
        <w:autoSpaceDE/>
        <w:autoSpaceDN/>
        <w:bidi w:val="0"/>
        <w:spacing w:line="500" w:lineRule="exact"/>
        <w:ind w:firstLine="480" w:firstLineChars="200"/>
        <w:textAlignment w:val="auto"/>
        <w:rPr>
          <w:rFonts w:ascii="宋体" w:hAnsi="宋体"/>
          <w:color w:val="000000"/>
          <w:sz w:val="24"/>
          <w:szCs w:val="28"/>
          <w:highlight w:val="none"/>
        </w:rPr>
      </w:pPr>
      <w:r>
        <w:rPr>
          <w:rFonts w:hint="eastAsia" w:ascii="宋体" w:hAnsi="宋体"/>
          <w:color w:val="000000"/>
          <w:sz w:val="24"/>
          <w:szCs w:val="28"/>
          <w:highlight w:val="none"/>
        </w:rPr>
        <w:t>4、预算金额：¥</w:t>
      </w:r>
      <w:r>
        <w:rPr>
          <w:rFonts w:hint="eastAsia" w:ascii="宋体" w:hAnsi="宋体"/>
          <w:color w:val="000000"/>
          <w:sz w:val="24"/>
          <w:szCs w:val="28"/>
          <w:highlight w:val="none"/>
          <w:lang w:val="en-US" w:eastAsia="zh-CN"/>
        </w:rPr>
        <w:t>445530.00</w:t>
      </w:r>
      <w:r>
        <w:rPr>
          <w:rFonts w:hint="eastAsia" w:ascii="宋体" w:hAnsi="宋体"/>
          <w:color w:val="000000"/>
          <w:sz w:val="24"/>
          <w:szCs w:val="28"/>
          <w:highlight w:val="none"/>
        </w:rPr>
        <w:t>元；</w:t>
      </w:r>
    </w:p>
    <w:p w14:paraId="140738E1">
      <w:pPr>
        <w:keepNext w:val="0"/>
        <w:keepLines w:val="0"/>
        <w:pageBreakBefore w:val="0"/>
        <w:kinsoku/>
        <w:wordWrap w:val="0"/>
        <w:overflowPunct/>
        <w:topLinePunct w:val="0"/>
        <w:autoSpaceDE/>
        <w:autoSpaceDN/>
        <w:bidi w:val="0"/>
        <w:spacing w:line="500" w:lineRule="exact"/>
        <w:ind w:firstLine="480" w:firstLineChars="200"/>
        <w:textAlignment w:val="auto"/>
        <w:rPr>
          <w:rFonts w:ascii="宋体" w:hAnsi="宋体"/>
          <w:bCs/>
          <w:color w:val="000000"/>
          <w:sz w:val="24"/>
          <w:szCs w:val="28"/>
          <w:highlight w:val="none"/>
        </w:rPr>
      </w:pPr>
      <w:r>
        <w:rPr>
          <w:rFonts w:hint="eastAsia" w:ascii="宋体" w:hAnsi="宋体"/>
          <w:color w:val="000000"/>
          <w:sz w:val="24"/>
          <w:szCs w:val="28"/>
          <w:highlight w:val="none"/>
        </w:rPr>
        <w:t>5、采购内容：</w:t>
      </w:r>
      <w:r>
        <w:rPr>
          <w:rFonts w:hint="eastAsia" w:ascii="宋体" w:hAnsi="宋体"/>
          <w:bCs/>
          <w:color w:val="000000"/>
          <w:sz w:val="24"/>
          <w:szCs w:val="28"/>
          <w:highlight w:val="none"/>
        </w:rPr>
        <w:t>采购</w:t>
      </w:r>
      <w:r>
        <w:rPr>
          <w:rFonts w:hint="eastAsia" w:ascii="宋体" w:hAnsi="宋体"/>
          <w:bCs/>
          <w:color w:val="000000"/>
          <w:sz w:val="24"/>
          <w:szCs w:val="28"/>
          <w:highlight w:val="none"/>
          <w:lang w:eastAsia="zh-CN"/>
        </w:rPr>
        <w:t>一批电子警察和交通信号灯设备，</w:t>
      </w:r>
      <w:r>
        <w:rPr>
          <w:rFonts w:hint="eastAsia" w:ascii="宋体" w:hAnsi="宋体"/>
          <w:color w:val="000000"/>
          <w:sz w:val="24"/>
          <w:szCs w:val="28"/>
          <w:highlight w:val="none"/>
        </w:rPr>
        <w:t>具体内容详见第四章采购</w:t>
      </w:r>
      <w:r>
        <w:rPr>
          <w:rFonts w:hint="eastAsia" w:ascii="宋体" w:hAnsi="宋体"/>
          <w:color w:val="000000"/>
          <w:sz w:val="24"/>
          <w:szCs w:val="28"/>
          <w:highlight w:val="none"/>
          <w:lang w:eastAsia="zh-CN"/>
        </w:rPr>
        <w:t>内容及技术要求</w:t>
      </w:r>
      <w:r>
        <w:rPr>
          <w:rFonts w:hint="eastAsia" w:ascii="宋体" w:hAnsi="宋体"/>
          <w:color w:val="000000"/>
          <w:sz w:val="24"/>
          <w:szCs w:val="28"/>
          <w:highlight w:val="none"/>
        </w:rPr>
        <w:t>；</w:t>
      </w:r>
    </w:p>
    <w:p w14:paraId="3E96DE6F">
      <w:pPr>
        <w:keepNext w:val="0"/>
        <w:keepLines w:val="0"/>
        <w:pageBreakBefore w:val="0"/>
        <w:kinsoku/>
        <w:wordWrap w:val="0"/>
        <w:overflowPunct/>
        <w:topLinePunct w:val="0"/>
        <w:autoSpaceDE/>
        <w:autoSpaceDN/>
        <w:bidi w:val="0"/>
        <w:spacing w:line="500" w:lineRule="exact"/>
        <w:ind w:firstLine="480" w:firstLineChars="200"/>
        <w:textAlignment w:val="auto"/>
        <w:rPr>
          <w:rFonts w:ascii="宋体" w:hAnsi="宋体"/>
          <w:color w:val="000000"/>
          <w:sz w:val="24"/>
          <w:szCs w:val="28"/>
          <w:highlight w:val="none"/>
        </w:rPr>
      </w:pPr>
      <w:r>
        <w:rPr>
          <w:rFonts w:hint="eastAsia" w:ascii="宋体" w:hAnsi="宋体"/>
          <w:color w:val="000000"/>
          <w:sz w:val="24"/>
          <w:szCs w:val="28"/>
          <w:highlight w:val="none"/>
        </w:rPr>
        <w:t>6、资金来源：财政资金，已落实；</w:t>
      </w:r>
    </w:p>
    <w:p w14:paraId="6D71B0B7">
      <w:pPr>
        <w:keepNext w:val="0"/>
        <w:keepLines w:val="0"/>
        <w:pageBreakBefore w:val="0"/>
        <w:kinsoku/>
        <w:wordWrap w:val="0"/>
        <w:overflowPunct/>
        <w:topLinePunct w:val="0"/>
        <w:autoSpaceDE/>
        <w:autoSpaceDN/>
        <w:bidi w:val="0"/>
        <w:spacing w:line="500" w:lineRule="exact"/>
        <w:ind w:firstLine="480" w:firstLineChars="200"/>
        <w:textAlignment w:val="auto"/>
        <w:rPr>
          <w:rFonts w:ascii="宋体" w:hAnsi="宋体"/>
          <w:color w:val="000000"/>
          <w:sz w:val="24"/>
          <w:szCs w:val="28"/>
          <w:highlight w:val="none"/>
        </w:rPr>
      </w:pPr>
      <w:r>
        <w:rPr>
          <w:rFonts w:hint="eastAsia" w:ascii="宋体" w:hAnsi="宋体"/>
          <w:color w:val="000000"/>
          <w:sz w:val="24"/>
          <w:szCs w:val="28"/>
          <w:highlight w:val="none"/>
        </w:rPr>
        <w:t>7、标段划分：本项目不划分标段；</w:t>
      </w:r>
    </w:p>
    <w:p w14:paraId="7DB51C45">
      <w:pPr>
        <w:keepNext w:val="0"/>
        <w:keepLines w:val="0"/>
        <w:pageBreakBefore w:val="0"/>
        <w:kinsoku/>
        <w:wordWrap w:val="0"/>
        <w:overflowPunct/>
        <w:topLinePunct w:val="0"/>
        <w:autoSpaceDE/>
        <w:autoSpaceDN/>
        <w:bidi w:val="0"/>
        <w:spacing w:line="500" w:lineRule="exact"/>
        <w:ind w:firstLine="480" w:firstLineChars="200"/>
        <w:textAlignment w:val="auto"/>
        <w:rPr>
          <w:rFonts w:hint="eastAsia" w:ascii="宋体" w:hAnsi="宋体" w:eastAsia="宋体"/>
          <w:color w:val="000000"/>
          <w:sz w:val="24"/>
          <w:szCs w:val="28"/>
          <w:highlight w:val="none"/>
          <w:lang w:eastAsia="zh-CN"/>
        </w:rPr>
      </w:pPr>
      <w:r>
        <w:rPr>
          <w:rFonts w:hint="eastAsia" w:ascii="宋体" w:hAnsi="宋体"/>
          <w:color w:val="000000"/>
          <w:sz w:val="24"/>
          <w:szCs w:val="28"/>
          <w:highlight w:val="none"/>
        </w:rPr>
        <w:t>8、供货期：合同签订后</w:t>
      </w:r>
      <w:r>
        <w:rPr>
          <w:rFonts w:hint="eastAsia" w:ascii="宋体" w:hAnsi="宋体"/>
          <w:color w:val="000000"/>
          <w:sz w:val="24"/>
          <w:szCs w:val="28"/>
          <w:highlight w:val="none"/>
          <w:lang w:val="en-US" w:eastAsia="zh-CN"/>
        </w:rPr>
        <w:t>15</w:t>
      </w:r>
      <w:r>
        <w:rPr>
          <w:rFonts w:hint="eastAsia" w:ascii="宋体" w:hAnsi="宋体"/>
          <w:color w:val="000000"/>
          <w:sz w:val="24"/>
          <w:szCs w:val="28"/>
          <w:highlight w:val="none"/>
        </w:rPr>
        <w:t>日历天内完成交货、安装、调试、验收</w:t>
      </w:r>
      <w:r>
        <w:rPr>
          <w:rFonts w:hint="eastAsia" w:ascii="宋体" w:hAnsi="宋体"/>
          <w:color w:val="000000"/>
          <w:sz w:val="24"/>
          <w:szCs w:val="28"/>
          <w:highlight w:val="none"/>
          <w:lang w:eastAsia="zh-CN"/>
        </w:rPr>
        <w:t>；</w:t>
      </w:r>
    </w:p>
    <w:p w14:paraId="6305F165">
      <w:pPr>
        <w:keepNext w:val="0"/>
        <w:keepLines w:val="0"/>
        <w:pageBreakBefore w:val="0"/>
        <w:kinsoku/>
        <w:wordWrap w:val="0"/>
        <w:overflowPunct/>
        <w:topLinePunct w:val="0"/>
        <w:autoSpaceDE/>
        <w:autoSpaceDN/>
        <w:bidi w:val="0"/>
        <w:spacing w:line="500" w:lineRule="exact"/>
        <w:ind w:firstLine="480" w:firstLineChars="200"/>
        <w:textAlignment w:val="auto"/>
        <w:rPr>
          <w:rFonts w:hint="eastAsia" w:ascii="宋体" w:hAnsi="宋体"/>
          <w:color w:val="000000"/>
          <w:sz w:val="24"/>
          <w:szCs w:val="28"/>
          <w:highlight w:val="none"/>
          <w:lang w:eastAsia="zh-CN"/>
        </w:rPr>
      </w:pPr>
      <w:r>
        <w:rPr>
          <w:rFonts w:hint="eastAsia" w:ascii="宋体" w:hAnsi="宋体"/>
          <w:color w:val="000000"/>
          <w:sz w:val="24"/>
          <w:szCs w:val="28"/>
          <w:highlight w:val="none"/>
        </w:rPr>
        <w:t>9、供货地点：采购人指定地点</w:t>
      </w:r>
      <w:r>
        <w:rPr>
          <w:rFonts w:hint="eastAsia" w:ascii="宋体" w:hAnsi="宋体"/>
          <w:color w:val="000000"/>
          <w:sz w:val="24"/>
          <w:szCs w:val="28"/>
          <w:highlight w:val="none"/>
          <w:lang w:eastAsia="zh-CN"/>
        </w:rPr>
        <w:t>；</w:t>
      </w:r>
    </w:p>
    <w:p w14:paraId="2BB42FD3">
      <w:pPr>
        <w:keepNext w:val="0"/>
        <w:keepLines w:val="0"/>
        <w:pageBreakBefore w:val="0"/>
        <w:kinsoku/>
        <w:wordWrap w:val="0"/>
        <w:overflowPunct/>
        <w:topLinePunct w:val="0"/>
        <w:autoSpaceDE/>
        <w:autoSpaceDN/>
        <w:bidi w:val="0"/>
        <w:spacing w:line="500" w:lineRule="exact"/>
        <w:ind w:firstLine="480" w:firstLineChars="200"/>
        <w:textAlignment w:val="auto"/>
        <w:rPr>
          <w:rFonts w:hint="eastAsia" w:ascii="宋体" w:hAnsi="宋体" w:eastAsia="宋体"/>
          <w:color w:val="000000"/>
          <w:sz w:val="24"/>
          <w:szCs w:val="28"/>
          <w:highlight w:val="none"/>
          <w:lang w:eastAsia="zh-CN"/>
        </w:rPr>
      </w:pPr>
      <w:r>
        <w:rPr>
          <w:rFonts w:hint="eastAsia" w:ascii="宋体" w:hAnsi="宋体" w:eastAsia="宋体"/>
          <w:color w:val="000000"/>
          <w:sz w:val="24"/>
          <w:szCs w:val="28"/>
          <w:highlight w:val="none"/>
          <w:lang w:val="en-US" w:eastAsia="zh-CN"/>
        </w:rPr>
        <w:t>10、质保期：3年</w:t>
      </w:r>
      <w:r>
        <w:rPr>
          <w:rFonts w:hint="eastAsia" w:ascii="宋体" w:hAnsi="宋体"/>
          <w:color w:val="000000"/>
          <w:sz w:val="24"/>
          <w:szCs w:val="28"/>
          <w:highlight w:val="none"/>
        </w:rPr>
        <w:t>；</w:t>
      </w:r>
    </w:p>
    <w:p w14:paraId="65FD9B90">
      <w:pPr>
        <w:keepNext w:val="0"/>
        <w:keepLines w:val="0"/>
        <w:pageBreakBefore w:val="0"/>
        <w:kinsoku/>
        <w:wordWrap w:val="0"/>
        <w:overflowPunct/>
        <w:topLinePunct w:val="0"/>
        <w:autoSpaceDE/>
        <w:autoSpaceDN/>
        <w:bidi w:val="0"/>
        <w:spacing w:line="500" w:lineRule="exact"/>
        <w:ind w:firstLine="480" w:firstLineChars="200"/>
        <w:textAlignment w:val="auto"/>
        <w:rPr>
          <w:rFonts w:hint="eastAsia" w:ascii="宋体" w:hAnsi="宋体"/>
          <w:color w:val="000000"/>
          <w:sz w:val="24"/>
          <w:szCs w:val="28"/>
          <w:highlight w:val="none"/>
          <w:lang w:eastAsia="zh-CN"/>
        </w:rPr>
      </w:pPr>
      <w:r>
        <w:rPr>
          <w:rFonts w:hint="eastAsia" w:ascii="宋体" w:hAnsi="宋体"/>
          <w:color w:val="000000"/>
          <w:sz w:val="24"/>
          <w:szCs w:val="28"/>
          <w:highlight w:val="none"/>
        </w:rPr>
        <w:t>1</w:t>
      </w:r>
      <w:r>
        <w:rPr>
          <w:rFonts w:hint="eastAsia" w:ascii="宋体" w:hAnsi="宋体"/>
          <w:color w:val="000000"/>
          <w:sz w:val="24"/>
          <w:szCs w:val="28"/>
          <w:highlight w:val="none"/>
          <w:lang w:val="en-US" w:eastAsia="zh-CN"/>
        </w:rPr>
        <w:t>1</w:t>
      </w:r>
      <w:r>
        <w:rPr>
          <w:rFonts w:hint="eastAsia" w:ascii="宋体" w:hAnsi="宋体"/>
          <w:color w:val="000000"/>
          <w:sz w:val="24"/>
          <w:szCs w:val="28"/>
          <w:highlight w:val="none"/>
        </w:rPr>
        <w:t>、质量要求：合</w:t>
      </w:r>
      <w:r>
        <w:rPr>
          <w:rFonts w:hint="eastAsia" w:ascii="宋体" w:hAnsi="宋体"/>
          <w:color w:val="000000"/>
          <w:sz w:val="24"/>
          <w:szCs w:val="28"/>
          <w:highlight w:val="none"/>
          <w:lang w:val="en-US" w:eastAsia="zh-CN"/>
        </w:rPr>
        <w:t>格，</w:t>
      </w:r>
      <w:r>
        <w:rPr>
          <w:rFonts w:hint="eastAsia" w:ascii="宋体" w:hAnsi="宋体"/>
          <w:color w:val="000000"/>
          <w:sz w:val="24"/>
          <w:szCs w:val="24"/>
          <w:highlight w:val="none"/>
        </w:rPr>
        <w:t>符合国家及行业标准</w:t>
      </w:r>
      <w:r>
        <w:rPr>
          <w:rFonts w:hint="eastAsia" w:ascii="宋体" w:hAnsi="宋体"/>
          <w:color w:val="000000"/>
          <w:sz w:val="24"/>
          <w:szCs w:val="28"/>
          <w:highlight w:val="none"/>
          <w:lang w:eastAsia="zh-CN"/>
        </w:rPr>
        <w:t>；</w:t>
      </w:r>
    </w:p>
    <w:p w14:paraId="6130B659">
      <w:pPr>
        <w:keepNext w:val="0"/>
        <w:keepLines w:val="0"/>
        <w:pageBreakBefore w:val="0"/>
        <w:kinsoku/>
        <w:wordWrap w:val="0"/>
        <w:overflowPunct/>
        <w:topLinePunct w:val="0"/>
        <w:autoSpaceDE/>
        <w:autoSpaceDN/>
        <w:bidi w:val="0"/>
        <w:spacing w:line="500" w:lineRule="exact"/>
        <w:ind w:firstLine="480" w:firstLineChars="200"/>
        <w:textAlignment w:val="auto"/>
        <w:rPr>
          <w:rFonts w:hint="default" w:ascii="宋体" w:hAnsi="宋体"/>
          <w:color w:val="000000"/>
          <w:sz w:val="24"/>
          <w:szCs w:val="28"/>
          <w:highlight w:val="none"/>
          <w:lang w:val="en-US" w:eastAsia="zh-CN"/>
        </w:rPr>
      </w:pPr>
      <w:r>
        <w:rPr>
          <w:rFonts w:hint="eastAsia" w:ascii="宋体" w:hAnsi="宋体"/>
          <w:color w:val="000000"/>
          <w:sz w:val="24"/>
          <w:szCs w:val="28"/>
          <w:highlight w:val="none"/>
          <w:lang w:val="en-US" w:eastAsia="zh-CN"/>
        </w:rPr>
        <w:t>12、本项目执行促进中小型企业发展政策（残疾人福利性企业、监狱企业视同小微企业）、优先采购节能环保产品等政府采购政策。</w:t>
      </w:r>
    </w:p>
    <w:p w14:paraId="0032E165">
      <w:pPr>
        <w:keepNext w:val="0"/>
        <w:keepLines w:val="0"/>
        <w:pageBreakBefore w:val="0"/>
        <w:kinsoku/>
        <w:wordWrap w:val="0"/>
        <w:overflowPunct/>
        <w:topLinePunct w:val="0"/>
        <w:autoSpaceDE/>
        <w:autoSpaceDN/>
        <w:bidi w:val="0"/>
        <w:spacing w:line="500" w:lineRule="exact"/>
        <w:ind w:firstLine="480" w:firstLineChars="200"/>
        <w:textAlignment w:val="auto"/>
        <w:rPr>
          <w:rFonts w:ascii="宋体" w:hAnsi="宋体"/>
          <w:color w:val="000000"/>
          <w:sz w:val="24"/>
          <w:szCs w:val="28"/>
          <w:highlight w:val="none"/>
        </w:rPr>
      </w:pPr>
      <w:r>
        <w:rPr>
          <w:rFonts w:hint="eastAsia" w:ascii="宋体" w:hAnsi="宋体"/>
          <w:color w:val="000000"/>
          <w:sz w:val="24"/>
          <w:szCs w:val="28"/>
          <w:highlight w:val="none"/>
        </w:rPr>
        <w:t>二、供应商资质要求</w:t>
      </w:r>
    </w:p>
    <w:p w14:paraId="44DC7311">
      <w:pPr>
        <w:keepNext w:val="0"/>
        <w:keepLines w:val="0"/>
        <w:pageBreakBefore w:val="0"/>
        <w:widowControl/>
        <w:kinsoku/>
        <w:wordWrap w:val="0"/>
        <w:overflowPunct/>
        <w:topLinePunct w:val="0"/>
        <w:autoSpaceDE/>
        <w:autoSpaceDN/>
        <w:bidi w:val="0"/>
        <w:adjustRightInd w:val="0"/>
        <w:snapToGrid w:val="0"/>
        <w:spacing w:line="500" w:lineRule="exact"/>
        <w:ind w:firstLine="480" w:firstLineChars="200"/>
        <w:jc w:val="left"/>
        <w:textAlignment w:val="auto"/>
        <w:rPr>
          <w:rFonts w:ascii="宋体" w:hAnsi="宋体"/>
          <w:kern w:val="0"/>
          <w:sz w:val="24"/>
          <w:szCs w:val="24"/>
          <w:highlight w:val="none"/>
        </w:rPr>
      </w:pPr>
      <w:r>
        <w:rPr>
          <w:rFonts w:hint="eastAsia" w:ascii="宋体" w:hAnsi="宋体"/>
          <w:kern w:val="0"/>
          <w:sz w:val="24"/>
          <w:szCs w:val="24"/>
          <w:highlight w:val="none"/>
        </w:rPr>
        <w:t>符合《中华人民共和国政府采购法》的第二十二条的规定并具备以下条件：</w:t>
      </w:r>
    </w:p>
    <w:p w14:paraId="36659EE5">
      <w:pPr>
        <w:keepNext w:val="0"/>
        <w:keepLines w:val="0"/>
        <w:pageBreakBefore w:val="0"/>
        <w:widowControl/>
        <w:numPr>
          <w:ilvl w:val="0"/>
          <w:numId w:val="3"/>
        </w:numPr>
        <w:kinsoku/>
        <w:wordWrap w:val="0"/>
        <w:overflowPunct/>
        <w:topLinePunct w:val="0"/>
        <w:autoSpaceDE/>
        <w:autoSpaceDN/>
        <w:bidi w:val="0"/>
        <w:adjustRightInd w:val="0"/>
        <w:snapToGrid w:val="0"/>
        <w:spacing w:line="500" w:lineRule="exact"/>
        <w:ind w:left="150" w:leftChars="0" w:firstLine="480" w:firstLineChars="0"/>
        <w:jc w:val="left"/>
        <w:textAlignment w:val="auto"/>
        <w:rPr>
          <w:rFonts w:ascii="宋体" w:hAnsi="宋体"/>
          <w:kern w:val="0"/>
          <w:sz w:val="24"/>
          <w:szCs w:val="24"/>
          <w:highlight w:val="none"/>
        </w:rPr>
      </w:pPr>
      <w:r>
        <w:rPr>
          <w:rFonts w:hint="eastAsia" w:ascii="宋体" w:hAnsi="宋体"/>
          <w:kern w:val="0"/>
          <w:sz w:val="24"/>
          <w:szCs w:val="24"/>
          <w:highlight w:val="none"/>
        </w:rPr>
        <w:t>具有在中华人民共和国境内注册的能够独立承担民事责任的独立法人；具有合法有效的营业执照、组织机构代码证、税务登记证或三证合一的营业执照；</w:t>
      </w:r>
    </w:p>
    <w:p w14:paraId="6E0E9924">
      <w:pPr>
        <w:keepNext w:val="0"/>
        <w:keepLines w:val="0"/>
        <w:pageBreakBefore w:val="0"/>
        <w:widowControl/>
        <w:numPr>
          <w:ilvl w:val="0"/>
          <w:numId w:val="3"/>
        </w:numPr>
        <w:kinsoku/>
        <w:wordWrap w:val="0"/>
        <w:overflowPunct/>
        <w:topLinePunct w:val="0"/>
        <w:autoSpaceDE/>
        <w:autoSpaceDN/>
        <w:bidi w:val="0"/>
        <w:adjustRightInd w:val="0"/>
        <w:snapToGrid w:val="0"/>
        <w:spacing w:line="500" w:lineRule="exact"/>
        <w:ind w:left="150" w:leftChars="0" w:firstLine="480" w:firstLineChars="0"/>
        <w:jc w:val="left"/>
        <w:textAlignment w:val="auto"/>
        <w:rPr>
          <w:rFonts w:hint="eastAsia" w:ascii="宋体" w:hAnsi="宋体" w:eastAsia="宋体"/>
          <w:kern w:val="0"/>
          <w:sz w:val="24"/>
          <w:szCs w:val="24"/>
          <w:highlight w:val="none"/>
        </w:rPr>
      </w:pPr>
      <w:r>
        <w:rPr>
          <w:rFonts w:hint="eastAsia" w:ascii="宋体" w:hAnsi="宋体" w:eastAsia="宋体"/>
          <w:kern w:val="0"/>
          <w:sz w:val="24"/>
          <w:szCs w:val="24"/>
          <w:highlight w:val="none"/>
        </w:rPr>
        <w:t>具有履行本项目采购内容所必须的设备和专业技术服务能力；(提供证明材料或承诺书)</w:t>
      </w:r>
    </w:p>
    <w:p w14:paraId="0E74AD42">
      <w:pPr>
        <w:keepNext w:val="0"/>
        <w:keepLines w:val="0"/>
        <w:pageBreakBefore w:val="0"/>
        <w:widowControl/>
        <w:numPr>
          <w:ilvl w:val="0"/>
          <w:numId w:val="3"/>
        </w:numPr>
        <w:kinsoku/>
        <w:wordWrap w:val="0"/>
        <w:overflowPunct/>
        <w:topLinePunct w:val="0"/>
        <w:autoSpaceDE/>
        <w:autoSpaceDN/>
        <w:bidi w:val="0"/>
        <w:adjustRightInd w:val="0"/>
        <w:snapToGrid w:val="0"/>
        <w:spacing w:line="500" w:lineRule="exact"/>
        <w:ind w:left="150" w:leftChars="0" w:firstLine="480" w:firstLineChars="0"/>
        <w:jc w:val="left"/>
        <w:textAlignment w:val="auto"/>
        <w:rPr>
          <w:rFonts w:hint="eastAsia" w:ascii="宋体" w:hAnsi="宋体" w:eastAsia="宋体"/>
          <w:kern w:val="0"/>
          <w:sz w:val="24"/>
          <w:szCs w:val="24"/>
          <w:highlight w:val="none"/>
        </w:rPr>
      </w:pPr>
      <w:r>
        <w:rPr>
          <w:rFonts w:hint="eastAsia" w:ascii="宋体" w:hAnsi="宋体"/>
          <w:color w:val="000000"/>
          <w:sz w:val="24"/>
          <w:szCs w:val="24"/>
          <w:highlight w:val="none"/>
        </w:rPr>
        <w:t>依法缴纳税收（提供202</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01月以来</w:t>
      </w:r>
      <w:r>
        <w:rPr>
          <w:rFonts w:hint="eastAsia" w:ascii="宋体" w:hAnsi="宋体"/>
          <w:color w:val="000000"/>
          <w:sz w:val="24"/>
          <w:szCs w:val="24"/>
          <w:highlight w:val="none"/>
        </w:rPr>
        <w:t>连续三个月企业依法缴纳税收证明材料）和缴纳社会保障资金（提供202</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01月以来</w:t>
      </w:r>
      <w:r>
        <w:rPr>
          <w:rFonts w:hint="eastAsia" w:ascii="宋体" w:hAnsi="宋体"/>
          <w:color w:val="000000"/>
          <w:sz w:val="24"/>
          <w:szCs w:val="24"/>
          <w:highlight w:val="none"/>
        </w:rPr>
        <w:t>连续三个月拟派项目负责人依法缴纳社会养老保险证明材料）</w:t>
      </w:r>
      <w:r>
        <w:rPr>
          <w:rFonts w:hint="eastAsia" w:ascii="宋体" w:hAnsi="宋体" w:eastAsia="宋体"/>
          <w:kern w:val="0"/>
          <w:sz w:val="24"/>
          <w:szCs w:val="24"/>
          <w:highlight w:val="none"/>
          <w:lang w:eastAsia="zh-CN"/>
        </w:rPr>
        <w:t>；</w:t>
      </w:r>
    </w:p>
    <w:p w14:paraId="23E927ED">
      <w:pPr>
        <w:keepNext w:val="0"/>
        <w:keepLines w:val="0"/>
        <w:pageBreakBefore w:val="0"/>
        <w:widowControl/>
        <w:numPr>
          <w:ilvl w:val="0"/>
          <w:numId w:val="3"/>
        </w:numPr>
        <w:kinsoku/>
        <w:wordWrap w:val="0"/>
        <w:overflowPunct/>
        <w:topLinePunct w:val="0"/>
        <w:autoSpaceDE/>
        <w:autoSpaceDN/>
        <w:bidi w:val="0"/>
        <w:adjustRightInd w:val="0"/>
        <w:snapToGrid w:val="0"/>
        <w:spacing w:line="500" w:lineRule="exact"/>
        <w:ind w:left="150" w:leftChars="0" w:firstLine="480" w:firstLineChars="0"/>
        <w:jc w:val="left"/>
        <w:textAlignment w:val="auto"/>
        <w:rPr>
          <w:rFonts w:hint="eastAsia" w:ascii="宋体" w:hAnsi="宋体" w:eastAsia="宋体"/>
          <w:kern w:val="0"/>
          <w:sz w:val="24"/>
          <w:szCs w:val="24"/>
          <w:highlight w:val="none"/>
          <w:lang w:val="en-US" w:eastAsia="zh-CN"/>
        </w:rPr>
      </w:pPr>
      <w:r>
        <w:rPr>
          <w:rFonts w:hint="eastAsia" w:ascii="宋体" w:hAnsi="宋体"/>
          <w:sz w:val="24"/>
          <w:szCs w:val="24"/>
          <w:highlight w:val="none"/>
        </w:rPr>
        <w:t>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起始日期为本项目公告发布之后，查询截止时间为开标时间同一时间）</w:t>
      </w:r>
      <w:r>
        <w:rPr>
          <w:rFonts w:hint="eastAsia" w:ascii="宋体" w:hAnsi="宋体" w:eastAsia="宋体"/>
          <w:kern w:val="0"/>
          <w:sz w:val="24"/>
          <w:szCs w:val="24"/>
          <w:highlight w:val="none"/>
          <w:lang w:val="en-US" w:eastAsia="zh-CN"/>
        </w:rPr>
        <w:t>；</w:t>
      </w:r>
    </w:p>
    <w:p w14:paraId="7E89BFEA">
      <w:pPr>
        <w:keepNext w:val="0"/>
        <w:keepLines w:val="0"/>
        <w:pageBreakBefore w:val="0"/>
        <w:widowControl/>
        <w:numPr>
          <w:ilvl w:val="0"/>
          <w:numId w:val="3"/>
        </w:numPr>
        <w:kinsoku/>
        <w:wordWrap w:val="0"/>
        <w:overflowPunct/>
        <w:topLinePunct w:val="0"/>
        <w:autoSpaceDE/>
        <w:autoSpaceDN/>
        <w:bidi w:val="0"/>
        <w:adjustRightInd w:val="0"/>
        <w:snapToGrid w:val="0"/>
        <w:spacing w:line="500" w:lineRule="exact"/>
        <w:ind w:left="150" w:leftChars="0" w:firstLine="480" w:firstLineChars="0"/>
        <w:jc w:val="left"/>
        <w:textAlignment w:val="auto"/>
        <w:rPr>
          <w:rFonts w:hint="default" w:ascii="宋体" w:hAnsi="宋体" w:eastAsia="宋体"/>
          <w:kern w:val="0"/>
          <w:sz w:val="24"/>
          <w:szCs w:val="24"/>
          <w:highlight w:val="none"/>
          <w:lang w:val="en-US" w:eastAsia="zh-CN"/>
        </w:rPr>
      </w:pPr>
      <w:r>
        <w:rPr>
          <w:rFonts w:hint="eastAsia" w:ascii="宋体" w:hAnsi="宋体" w:eastAsia="宋体"/>
          <w:kern w:val="0"/>
          <w:sz w:val="24"/>
          <w:szCs w:val="24"/>
          <w:highlight w:val="none"/>
          <w:lang w:eastAsia="zh-CN"/>
        </w:rPr>
        <w:t>具有良好的商业信誉和健全的财务会计制度，</w:t>
      </w:r>
      <w:r>
        <w:rPr>
          <w:rFonts w:hint="eastAsia" w:ascii="宋体" w:hAnsi="宋体" w:eastAsia="宋体"/>
          <w:kern w:val="0"/>
          <w:sz w:val="24"/>
          <w:szCs w:val="24"/>
          <w:highlight w:val="none"/>
          <w:lang w:val="en-US" w:eastAsia="zh-CN"/>
        </w:rPr>
        <w:t>提供2022年以来任意一年经审计的财务报告；新成立公司无审计报告应附最新的财务报表说明</w:t>
      </w:r>
      <w:r>
        <w:rPr>
          <w:rFonts w:hint="eastAsia" w:ascii="宋体" w:hAnsi="宋体" w:eastAsia="宋体"/>
          <w:kern w:val="0"/>
          <w:sz w:val="24"/>
          <w:szCs w:val="24"/>
          <w:highlight w:val="none"/>
          <w:lang w:eastAsia="zh-CN"/>
        </w:rPr>
        <w:t>；</w:t>
      </w:r>
    </w:p>
    <w:p w14:paraId="2C8D1CD5">
      <w:pPr>
        <w:keepNext w:val="0"/>
        <w:keepLines w:val="0"/>
        <w:pageBreakBefore w:val="0"/>
        <w:widowControl/>
        <w:numPr>
          <w:ilvl w:val="0"/>
          <w:numId w:val="3"/>
        </w:numPr>
        <w:kinsoku/>
        <w:wordWrap w:val="0"/>
        <w:overflowPunct/>
        <w:topLinePunct w:val="0"/>
        <w:autoSpaceDE/>
        <w:autoSpaceDN/>
        <w:bidi w:val="0"/>
        <w:adjustRightInd w:val="0"/>
        <w:snapToGrid w:val="0"/>
        <w:spacing w:line="500" w:lineRule="exact"/>
        <w:ind w:left="150" w:leftChars="0" w:firstLine="480" w:firstLineChars="0"/>
        <w:jc w:val="left"/>
        <w:textAlignment w:val="auto"/>
        <w:rPr>
          <w:rFonts w:hint="eastAsia" w:ascii="宋体" w:hAnsi="宋体" w:eastAsia="宋体"/>
          <w:kern w:val="0"/>
          <w:sz w:val="24"/>
          <w:szCs w:val="24"/>
          <w:highlight w:val="none"/>
          <w:lang w:eastAsia="zh-CN"/>
        </w:rPr>
      </w:pPr>
      <w:r>
        <w:rPr>
          <w:rFonts w:hint="eastAsia" w:ascii="宋体" w:hAnsi="宋体" w:eastAsia="宋体"/>
          <w:kern w:val="0"/>
          <w:sz w:val="24"/>
          <w:szCs w:val="24"/>
          <w:highlight w:val="none"/>
          <w:lang w:eastAsia="zh-CN"/>
        </w:rPr>
        <w:t>参加政府采购活动前3年内无行贿犯罪记录，（开标时提供《中国裁判文书网》查询结果网页截图或企业自行承诺的无行贿犯罪承诺书，查询&lt;承诺&gt;对象为“企业</w:t>
      </w:r>
      <w:r>
        <w:rPr>
          <w:rFonts w:hint="eastAsia" w:ascii="宋体" w:hAnsi="宋体"/>
          <w:kern w:val="0"/>
          <w:sz w:val="24"/>
          <w:szCs w:val="24"/>
          <w:highlight w:val="none"/>
          <w:lang w:eastAsia="zh-CN"/>
        </w:rPr>
        <w:t>、</w:t>
      </w:r>
      <w:r>
        <w:rPr>
          <w:rFonts w:hint="eastAsia" w:ascii="宋体" w:hAnsi="宋体" w:eastAsia="宋体"/>
          <w:kern w:val="0"/>
          <w:sz w:val="24"/>
          <w:szCs w:val="24"/>
          <w:highlight w:val="none"/>
          <w:lang w:eastAsia="zh-CN"/>
        </w:rPr>
        <w:t>法定代表人</w:t>
      </w:r>
      <w:r>
        <w:rPr>
          <w:rFonts w:hint="eastAsia" w:ascii="宋体" w:hAnsi="宋体"/>
          <w:bCs/>
          <w:color w:val="000000"/>
          <w:sz w:val="24"/>
          <w:szCs w:val="28"/>
          <w:highlight w:val="none"/>
          <w:lang w:eastAsia="zh-CN"/>
        </w:rPr>
        <w:t>、</w:t>
      </w:r>
      <w:r>
        <w:rPr>
          <w:rFonts w:hint="eastAsia" w:ascii="宋体" w:hAnsi="宋体"/>
          <w:bCs/>
          <w:color w:val="000000"/>
          <w:sz w:val="24"/>
          <w:szCs w:val="28"/>
          <w:highlight w:val="none"/>
        </w:rPr>
        <w:t>项目负责人</w:t>
      </w:r>
      <w:r>
        <w:rPr>
          <w:rFonts w:hint="eastAsia" w:ascii="宋体" w:hAnsi="宋体" w:eastAsia="宋体"/>
          <w:kern w:val="0"/>
          <w:sz w:val="24"/>
          <w:szCs w:val="24"/>
          <w:highlight w:val="none"/>
          <w:lang w:eastAsia="zh-CN"/>
        </w:rPr>
        <w:t>”）；</w:t>
      </w:r>
    </w:p>
    <w:p w14:paraId="035F6653">
      <w:pPr>
        <w:keepNext w:val="0"/>
        <w:keepLines w:val="0"/>
        <w:pageBreakBefore w:val="0"/>
        <w:widowControl/>
        <w:numPr>
          <w:ilvl w:val="0"/>
          <w:numId w:val="3"/>
        </w:numPr>
        <w:kinsoku/>
        <w:wordWrap w:val="0"/>
        <w:overflowPunct/>
        <w:topLinePunct w:val="0"/>
        <w:autoSpaceDE/>
        <w:autoSpaceDN/>
        <w:bidi w:val="0"/>
        <w:adjustRightInd w:val="0"/>
        <w:snapToGrid w:val="0"/>
        <w:spacing w:line="500" w:lineRule="exact"/>
        <w:ind w:left="150" w:leftChars="0" w:firstLine="480" w:firstLineChars="0"/>
        <w:jc w:val="left"/>
        <w:textAlignment w:val="auto"/>
        <w:rPr>
          <w:rFonts w:hint="eastAsia" w:ascii="宋体" w:hAnsi="宋体" w:eastAsia="宋体"/>
          <w:kern w:val="0"/>
          <w:sz w:val="24"/>
          <w:szCs w:val="24"/>
          <w:highlight w:val="none"/>
        </w:rPr>
      </w:pPr>
      <w:r>
        <w:rPr>
          <w:rFonts w:hint="eastAsia" w:ascii="宋体" w:hAnsi="宋体" w:eastAsia="宋体"/>
          <w:kern w:val="0"/>
          <w:sz w:val="24"/>
          <w:szCs w:val="24"/>
          <w:highlight w:val="none"/>
          <w:lang w:val="en-US"/>
        </w:rPr>
        <w:t>参加政府采购活动前3年内无商业贿赂、不正当竞争行为、骗取中标、严重违约及重大工程质量等问题</w:t>
      </w:r>
      <w:r>
        <w:rPr>
          <w:rFonts w:hint="eastAsia" w:ascii="宋体" w:hAnsi="宋体" w:eastAsia="宋体"/>
          <w:kern w:val="0"/>
          <w:sz w:val="24"/>
          <w:szCs w:val="24"/>
          <w:highlight w:val="none"/>
          <w:lang w:val="en-US" w:eastAsia="zh-CN"/>
        </w:rPr>
        <w:t>，</w:t>
      </w:r>
      <w:r>
        <w:rPr>
          <w:rFonts w:hint="eastAsia" w:ascii="宋体" w:hAnsi="宋体" w:eastAsia="宋体"/>
          <w:kern w:val="0"/>
          <w:sz w:val="24"/>
          <w:szCs w:val="24"/>
          <w:highlight w:val="none"/>
          <w:lang w:val="en-US"/>
        </w:rPr>
        <w:t>（</w:t>
      </w:r>
      <w:r>
        <w:rPr>
          <w:rFonts w:hint="eastAsia" w:ascii="宋体" w:hAnsi="宋体" w:eastAsia="宋体"/>
          <w:kern w:val="0"/>
          <w:sz w:val="24"/>
          <w:szCs w:val="24"/>
          <w:highlight w:val="none"/>
          <w:lang w:val="en-US" w:eastAsia="zh-CN"/>
        </w:rPr>
        <w:t>投标人</w:t>
      </w:r>
      <w:r>
        <w:rPr>
          <w:rFonts w:hint="eastAsia" w:ascii="宋体" w:hAnsi="宋体" w:eastAsia="宋体"/>
          <w:kern w:val="0"/>
          <w:sz w:val="24"/>
          <w:szCs w:val="24"/>
          <w:highlight w:val="none"/>
          <w:lang w:val="en-US"/>
        </w:rPr>
        <w:t>须自行出具承诺书）；</w:t>
      </w:r>
    </w:p>
    <w:p w14:paraId="0BD8578B">
      <w:pPr>
        <w:keepNext w:val="0"/>
        <w:keepLines w:val="0"/>
        <w:pageBreakBefore w:val="0"/>
        <w:widowControl/>
        <w:numPr>
          <w:ilvl w:val="0"/>
          <w:numId w:val="3"/>
        </w:numPr>
        <w:kinsoku/>
        <w:wordWrap w:val="0"/>
        <w:overflowPunct/>
        <w:topLinePunct w:val="0"/>
        <w:autoSpaceDE/>
        <w:autoSpaceDN/>
        <w:bidi w:val="0"/>
        <w:adjustRightInd w:val="0"/>
        <w:snapToGrid w:val="0"/>
        <w:spacing w:line="500" w:lineRule="exact"/>
        <w:ind w:left="150" w:leftChars="0" w:firstLine="480" w:firstLineChars="0"/>
        <w:jc w:val="left"/>
        <w:textAlignment w:val="auto"/>
        <w:rPr>
          <w:rFonts w:hint="eastAsia" w:ascii="宋体" w:hAnsi="宋体" w:eastAsia="宋体"/>
          <w:kern w:val="0"/>
          <w:sz w:val="24"/>
          <w:szCs w:val="24"/>
          <w:highlight w:val="none"/>
        </w:rPr>
      </w:pPr>
      <w:r>
        <w:rPr>
          <w:rFonts w:hint="eastAsia" w:ascii="宋体" w:hAnsi="宋体" w:eastAsia="宋体"/>
          <w:kern w:val="0"/>
          <w:sz w:val="24"/>
          <w:szCs w:val="24"/>
          <w:highlight w:val="none"/>
        </w:rPr>
        <w:t>根据《关于在政府采购活动中查询及使用信用记录有关问题的通知》(财库[2016]125号) 和豫财购【2016】15号的规定，对列入失信被执行人</w:t>
      </w:r>
      <w:r>
        <w:rPr>
          <w:rFonts w:hint="eastAsia" w:ascii="宋体" w:hAnsi="宋体" w:eastAsia="宋体"/>
          <w:kern w:val="0"/>
          <w:sz w:val="24"/>
          <w:szCs w:val="24"/>
          <w:highlight w:val="none"/>
          <w:lang w:val="en-US" w:eastAsia="zh-CN"/>
        </w:rPr>
        <w:t>、</w:t>
      </w:r>
      <w:r>
        <w:rPr>
          <w:rFonts w:hint="eastAsia" w:ascii="宋体" w:hAnsi="宋体" w:eastAsia="宋体"/>
          <w:kern w:val="0"/>
          <w:sz w:val="24"/>
          <w:szCs w:val="24"/>
          <w:highlight w:val="none"/>
        </w:rPr>
        <w:t>重大税收违法失信主体、</w:t>
      </w:r>
      <w:r>
        <w:rPr>
          <w:rFonts w:hint="eastAsia" w:ascii="宋体" w:hAnsi="宋体" w:eastAsia="宋体"/>
          <w:kern w:val="0"/>
          <w:sz w:val="24"/>
          <w:szCs w:val="24"/>
          <w:highlight w:val="none"/>
          <w:lang w:val="en-US" w:eastAsia="zh-CN"/>
        </w:rPr>
        <w:t xml:space="preserve"> </w:t>
      </w:r>
      <w:r>
        <w:rPr>
          <w:rFonts w:hint="eastAsia" w:ascii="宋体" w:hAnsi="宋体" w:eastAsia="宋体"/>
          <w:kern w:val="0"/>
          <w:sz w:val="24"/>
          <w:szCs w:val="24"/>
          <w:highlight w:val="none"/>
        </w:rPr>
        <w:t>政府采购严重违法失信行为记录名单的供应商，拒绝参与本项目采购活动；（查询渠道：“信用中国”网站（www.creditchina.gov.cn）、中国政府采购网（www.ccgp.gov.cn）</w:t>
      </w:r>
      <w:r>
        <w:rPr>
          <w:rFonts w:hint="eastAsia" w:ascii="宋体" w:hAnsi="宋体" w:cs="宋体"/>
          <w:color w:val="000000"/>
          <w:sz w:val="24"/>
          <w:highlight w:val="none"/>
        </w:rPr>
        <w:t>（提供“信用中国”和“中国政府采购网”网站的查询信息截图，查询时间须在本项目自发布公告之日起至项目开标之日范围内）</w:t>
      </w:r>
      <w:r>
        <w:rPr>
          <w:rFonts w:hint="eastAsia" w:ascii="宋体" w:hAnsi="宋体" w:eastAsia="宋体"/>
          <w:kern w:val="0"/>
          <w:sz w:val="24"/>
          <w:szCs w:val="24"/>
          <w:highlight w:val="none"/>
        </w:rPr>
        <w:t>；</w:t>
      </w:r>
    </w:p>
    <w:p w14:paraId="034B8BDC">
      <w:pPr>
        <w:keepNext w:val="0"/>
        <w:keepLines w:val="0"/>
        <w:pageBreakBefore w:val="0"/>
        <w:widowControl/>
        <w:numPr>
          <w:ilvl w:val="0"/>
          <w:numId w:val="3"/>
        </w:numPr>
        <w:kinsoku/>
        <w:wordWrap w:val="0"/>
        <w:overflowPunct/>
        <w:topLinePunct w:val="0"/>
        <w:autoSpaceDE/>
        <w:autoSpaceDN/>
        <w:bidi w:val="0"/>
        <w:adjustRightInd w:val="0"/>
        <w:snapToGrid w:val="0"/>
        <w:spacing w:line="500" w:lineRule="exact"/>
        <w:ind w:left="150" w:leftChars="0" w:firstLine="480" w:firstLineChars="0"/>
        <w:jc w:val="left"/>
        <w:textAlignment w:val="auto"/>
        <w:rPr>
          <w:rFonts w:hint="eastAsia" w:ascii="宋体" w:hAnsi="宋体" w:eastAsia="宋体"/>
          <w:kern w:val="0"/>
          <w:sz w:val="24"/>
          <w:szCs w:val="24"/>
          <w:highlight w:val="none"/>
        </w:rPr>
      </w:pPr>
      <w:r>
        <w:rPr>
          <w:rFonts w:hint="eastAsia" w:ascii="宋体" w:hAnsi="宋体" w:eastAsia="宋体"/>
          <w:kern w:val="0"/>
          <w:sz w:val="24"/>
          <w:szCs w:val="24"/>
          <w:highlight w:val="none"/>
        </w:rPr>
        <w:t>本招标不接受联合体投标</w:t>
      </w:r>
      <w:r>
        <w:rPr>
          <w:rFonts w:hint="eastAsia" w:ascii="宋体" w:hAnsi="宋体" w:eastAsia="宋体"/>
          <w:kern w:val="0"/>
          <w:sz w:val="24"/>
          <w:szCs w:val="24"/>
          <w:highlight w:val="none"/>
          <w:lang w:eastAsia="zh-CN"/>
        </w:rPr>
        <w:t>，</w:t>
      </w:r>
      <w:r>
        <w:rPr>
          <w:rFonts w:hint="eastAsia" w:ascii="宋体" w:hAnsi="宋体"/>
          <w:bCs/>
          <w:color w:val="000000"/>
          <w:sz w:val="24"/>
          <w:szCs w:val="28"/>
          <w:highlight w:val="none"/>
        </w:rPr>
        <w:t>提供非联合体承诺，格式自拟</w:t>
      </w:r>
      <w:r>
        <w:rPr>
          <w:rFonts w:hint="eastAsia" w:ascii="宋体" w:hAnsi="宋体" w:eastAsia="宋体"/>
          <w:kern w:val="0"/>
          <w:sz w:val="24"/>
          <w:szCs w:val="24"/>
          <w:highlight w:val="none"/>
        </w:rPr>
        <w:t>；</w:t>
      </w:r>
    </w:p>
    <w:p w14:paraId="56E3E117">
      <w:pPr>
        <w:keepNext w:val="0"/>
        <w:keepLines w:val="0"/>
        <w:pageBreakBefore w:val="0"/>
        <w:widowControl/>
        <w:numPr>
          <w:ilvl w:val="0"/>
          <w:numId w:val="3"/>
        </w:numPr>
        <w:kinsoku/>
        <w:wordWrap w:val="0"/>
        <w:overflowPunct/>
        <w:topLinePunct w:val="0"/>
        <w:autoSpaceDE/>
        <w:autoSpaceDN/>
        <w:bidi w:val="0"/>
        <w:adjustRightInd w:val="0"/>
        <w:snapToGrid w:val="0"/>
        <w:spacing w:line="500" w:lineRule="exact"/>
        <w:ind w:left="150" w:leftChars="0" w:firstLine="480" w:firstLineChars="0"/>
        <w:jc w:val="left"/>
        <w:textAlignment w:val="auto"/>
        <w:rPr>
          <w:rFonts w:hint="eastAsia" w:ascii="宋体" w:hAnsi="宋体" w:eastAsia="宋体"/>
          <w:kern w:val="0"/>
          <w:sz w:val="24"/>
          <w:szCs w:val="24"/>
          <w:highlight w:val="none"/>
          <w:lang w:eastAsia="zh-CN"/>
        </w:rPr>
      </w:pPr>
      <w:r>
        <w:rPr>
          <w:rFonts w:hint="eastAsia" w:ascii="宋体" w:hAnsi="宋体" w:eastAsia="宋体"/>
          <w:kern w:val="0"/>
          <w:sz w:val="24"/>
          <w:szCs w:val="24"/>
          <w:highlight w:val="none"/>
        </w:rPr>
        <w:t>本项目实行资格后审</w:t>
      </w:r>
      <w:r>
        <w:rPr>
          <w:rFonts w:hint="eastAsia" w:ascii="宋体" w:hAnsi="宋体"/>
          <w:kern w:val="0"/>
          <w:sz w:val="24"/>
          <w:szCs w:val="24"/>
          <w:highlight w:val="none"/>
          <w:lang w:eastAsia="zh-CN"/>
        </w:rPr>
        <w:t>。</w:t>
      </w:r>
    </w:p>
    <w:p w14:paraId="1BCD9C8B">
      <w:pPr>
        <w:keepNext w:val="0"/>
        <w:keepLines w:val="0"/>
        <w:pageBreakBefore w:val="0"/>
        <w:widowControl/>
        <w:numPr>
          <w:ilvl w:val="0"/>
          <w:numId w:val="0"/>
        </w:numPr>
        <w:kinsoku/>
        <w:wordWrap w:val="0"/>
        <w:overflowPunct/>
        <w:topLinePunct w:val="0"/>
        <w:autoSpaceDE/>
        <w:autoSpaceDN/>
        <w:bidi w:val="0"/>
        <w:adjustRightInd w:val="0"/>
        <w:snapToGrid w:val="0"/>
        <w:spacing w:line="500" w:lineRule="exact"/>
        <w:ind w:firstLine="720" w:firstLineChars="300"/>
        <w:jc w:val="left"/>
        <w:textAlignment w:val="auto"/>
        <w:rPr>
          <w:rFonts w:hint="eastAsia" w:ascii="宋体" w:hAnsi="宋体" w:eastAsia="宋体"/>
          <w:kern w:val="0"/>
          <w:sz w:val="24"/>
          <w:szCs w:val="24"/>
          <w:highlight w:val="none"/>
          <w:lang w:eastAsia="zh-CN"/>
        </w:rPr>
      </w:pPr>
      <w:r>
        <w:rPr>
          <w:rFonts w:hint="eastAsia" w:ascii="宋体" w:hAnsi="宋体" w:eastAsia="宋体"/>
          <w:kern w:val="0"/>
          <w:sz w:val="24"/>
          <w:szCs w:val="24"/>
          <w:highlight w:val="none"/>
        </w:rPr>
        <w:t>注：被列入失信被执行人及重大税收违法失信主体的企业做无效标处理。</w:t>
      </w:r>
      <w:r>
        <w:rPr>
          <w:rFonts w:hint="eastAsia" w:ascii="宋体" w:hAnsi="宋体" w:eastAsia="宋体"/>
          <w:kern w:val="0"/>
          <w:sz w:val="24"/>
          <w:szCs w:val="24"/>
          <w:highlight w:val="none"/>
          <w:lang w:eastAsia="zh-CN"/>
        </w:rPr>
        <w:t>招标人</w:t>
      </w:r>
      <w:r>
        <w:rPr>
          <w:rFonts w:hint="eastAsia" w:ascii="宋体" w:hAnsi="宋体" w:eastAsia="宋体"/>
          <w:kern w:val="0"/>
          <w:sz w:val="24"/>
          <w:szCs w:val="24"/>
          <w:highlight w:val="none"/>
        </w:rPr>
        <w:t>或</w:t>
      </w:r>
      <w:r>
        <w:rPr>
          <w:rFonts w:hint="eastAsia" w:ascii="宋体" w:hAnsi="宋体" w:eastAsia="宋体"/>
          <w:kern w:val="0"/>
          <w:sz w:val="24"/>
          <w:szCs w:val="24"/>
          <w:highlight w:val="none"/>
          <w:lang w:eastAsia="zh-CN"/>
        </w:rPr>
        <w:t>招标</w:t>
      </w:r>
      <w:r>
        <w:rPr>
          <w:rFonts w:hint="eastAsia" w:ascii="宋体" w:hAnsi="宋体" w:eastAsia="宋体"/>
          <w:kern w:val="0"/>
          <w:sz w:val="24"/>
          <w:szCs w:val="24"/>
          <w:highlight w:val="none"/>
        </w:rPr>
        <w:t>代理机构有权对投标人信用记录进行甄别和复查</w:t>
      </w:r>
      <w:r>
        <w:rPr>
          <w:rFonts w:hint="eastAsia" w:ascii="宋体" w:hAnsi="宋体" w:eastAsia="宋体"/>
          <w:kern w:val="0"/>
          <w:sz w:val="24"/>
          <w:szCs w:val="24"/>
          <w:highlight w:val="none"/>
          <w:lang w:eastAsia="zh-CN"/>
        </w:rPr>
        <w:t>。</w:t>
      </w:r>
    </w:p>
    <w:p w14:paraId="4792AC4A">
      <w:pPr>
        <w:keepNext w:val="0"/>
        <w:keepLines w:val="0"/>
        <w:pageBreakBefore w:val="0"/>
        <w:widowControl w:val="0"/>
        <w:numPr>
          <w:ilvl w:val="0"/>
          <w:numId w:val="4"/>
        </w:numPr>
        <w:kinsoku/>
        <w:wordWrap w:val="0"/>
        <w:overflowPunct/>
        <w:topLinePunct w:val="0"/>
        <w:autoSpaceDE/>
        <w:autoSpaceDN/>
        <w:bidi w:val="0"/>
        <w:adjustRightInd/>
        <w:snapToGrid/>
        <w:spacing w:line="500" w:lineRule="exact"/>
        <w:ind w:firstLine="480" w:firstLineChars="200"/>
        <w:textAlignment w:val="auto"/>
        <w:rPr>
          <w:rFonts w:hint="eastAsia" w:ascii="宋体" w:hAnsi="宋体"/>
          <w:bCs/>
          <w:color w:val="000000"/>
          <w:sz w:val="24"/>
          <w:szCs w:val="28"/>
          <w:highlight w:val="none"/>
        </w:rPr>
      </w:pPr>
      <w:r>
        <w:rPr>
          <w:rFonts w:hint="eastAsia" w:ascii="宋体" w:hAnsi="宋体"/>
          <w:bCs/>
          <w:color w:val="000000"/>
          <w:sz w:val="24"/>
          <w:szCs w:val="28"/>
          <w:highlight w:val="none"/>
        </w:rPr>
        <w:t>竞争性谈判文件下载：</w:t>
      </w:r>
      <w:r>
        <w:rPr>
          <w:rFonts w:hint="eastAsia" w:ascii="宋体" w:hAnsi="宋体"/>
          <w:bCs/>
          <w:color w:val="000000"/>
          <w:sz w:val="24"/>
          <w:szCs w:val="28"/>
          <w:highlight w:val="none"/>
        </w:rPr>
        <w:br w:type="textWrapping"/>
      </w:r>
      <w:r>
        <w:rPr>
          <w:rFonts w:hint="eastAsia" w:ascii="宋体" w:hAnsi="宋体" w:eastAsia="宋体"/>
          <w:kern w:val="0"/>
          <w:sz w:val="24"/>
          <w:szCs w:val="24"/>
          <w:highlight w:val="none"/>
          <w:lang w:val="en-US" w:eastAsia="zh-CN"/>
        </w:rPr>
        <w:t>1、时间：2025年07月26日08时00分至2025年07月31日09时10分。</w:t>
      </w:r>
      <w:r>
        <w:rPr>
          <w:rFonts w:hint="eastAsia" w:ascii="宋体" w:hAnsi="宋体" w:eastAsia="宋体"/>
          <w:kern w:val="0"/>
          <w:sz w:val="24"/>
          <w:szCs w:val="24"/>
          <w:highlight w:val="none"/>
          <w:lang w:val="en-US" w:eastAsia="zh-CN"/>
        </w:rPr>
        <w:br w:type="textWrapping"/>
      </w:r>
      <w:r>
        <w:rPr>
          <w:rFonts w:hint="eastAsia" w:ascii="宋体" w:hAnsi="宋体" w:eastAsia="宋体"/>
          <w:kern w:val="0"/>
          <w:sz w:val="24"/>
          <w:szCs w:val="24"/>
          <w:highlight w:val="none"/>
          <w:lang w:val="en-US" w:eastAsia="zh-CN"/>
        </w:rPr>
        <w:t>2、地点：三门峡市公共资源交易中心网下载</w:t>
      </w:r>
      <w:r>
        <w:rPr>
          <w:rFonts w:hint="eastAsia" w:ascii="宋体" w:hAnsi="宋体"/>
          <w:bCs/>
          <w:color w:val="000000"/>
          <w:sz w:val="24"/>
          <w:szCs w:val="28"/>
          <w:highlight w:val="none"/>
        </w:rPr>
        <w:br w:type="textWrapping"/>
      </w:r>
      <w:r>
        <w:rPr>
          <w:rFonts w:hint="eastAsia" w:ascii="宋体" w:hAnsi="宋体"/>
          <w:bCs/>
          <w:color w:val="000000"/>
          <w:sz w:val="24"/>
          <w:szCs w:val="28"/>
          <w:highlight w:val="none"/>
          <w:lang w:val="en-US" w:eastAsia="zh-CN"/>
        </w:rPr>
        <w:t xml:space="preserve">    </w:t>
      </w:r>
      <w:r>
        <w:rPr>
          <w:rFonts w:hint="eastAsia" w:ascii="宋体" w:hAnsi="宋体"/>
          <w:bCs/>
          <w:color w:val="000000"/>
          <w:sz w:val="24"/>
          <w:szCs w:val="28"/>
          <w:highlight w:val="none"/>
        </w:rPr>
        <w:t>3、方式：投标供应商凭CA数字证书通过三门峡市公共资源交易中心网（网址：http://gzjy.smx.gov.cn/），点击公共资源交易平台选择“交易主体登录”，在所参与项目右侧点击参与投标，即可直接下载本项目谈判文件。</w:t>
      </w:r>
      <w:r>
        <w:rPr>
          <w:rFonts w:hint="eastAsia" w:ascii="宋体" w:hAnsi="宋体"/>
          <w:bCs/>
          <w:color w:val="000000"/>
          <w:sz w:val="24"/>
          <w:szCs w:val="28"/>
          <w:highlight w:val="none"/>
        </w:rPr>
        <w:br w:type="textWrapping"/>
      </w:r>
      <w:r>
        <w:rPr>
          <w:rFonts w:hint="eastAsia" w:ascii="宋体" w:hAnsi="宋体"/>
          <w:bCs/>
          <w:color w:val="000000"/>
          <w:sz w:val="24"/>
          <w:szCs w:val="28"/>
          <w:highlight w:val="none"/>
        </w:rPr>
        <w:t>办理CA证书</w:t>
      </w:r>
      <w:r>
        <w:rPr>
          <w:rFonts w:hint="eastAsia" w:ascii="宋体" w:hAnsi="宋体"/>
          <w:bCs/>
          <w:color w:val="auto"/>
          <w:sz w:val="24"/>
          <w:szCs w:val="28"/>
          <w:highlight w:val="none"/>
        </w:rPr>
        <w:t>：</w:t>
      </w:r>
      <w:r>
        <w:rPr>
          <w:rFonts w:hint="eastAsia" w:ascii="宋体" w:hAnsi="宋体"/>
          <w:bCs/>
          <w:color w:val="auto"/>
          <w:sz w:val="24"/>
          <w:szCs w:val="28"/>
          <w:highlight w:val="none"/>
        </w:rPr>
        <w:fldChar w:fldCharType="begin"/>
      </w:r>
      <w:r>
        <w:rPr>
          <w:rFonts w:hint="eastAsia" w:ascii="宋体" w:hAnsi="宋体"/>
          <w:bCs/>
          <w:color w:val="auto"/>
          <w:sz w:val="24"/>
          <w:szCs w:val="28"/>
          <w:highlight w:val="none"/>
        </w:rPr>
        <w:instrText xml:space="preserve"> HYPERLINK "http://gzjy.smx.gov.cn/fwzn/004003/20201019/a8fae6a0-baed-499b-bb50-8ecc8828a2ca.html" </w:instrText>
      </w:r>
      <w:r>
        <w:rPr>
          <w:rFonts w:hint="eastAsia" w:ascii="宋体" w:hAnsi="宋体"/>
          <w:bCs/>
          <w:color w:val="auto"/>
          <w:sz w:val="24"/>
          <w:szCs w:val="28"/>
          <w:highlight w:val="none"/>
        </w:rPr>
        <w:fldChar w:fldCharType="separate"/>
      </w:r>
      <w:r>
        <w:rPr>
          <w:rStyle w:val="31"/>
          <w:rFonts w:hint="eastAsia" w:ascii="宋体" w:hAnsi="宋体"/>
          <w:bCs/>
          <w:color w:val="auto"/>
          <w:sz w:val="24"/>
          <w:szCs w:val="28"/>
          <w:highlight w:val="none"/>
        </w:rPr>
        <w:t>http://gzjy.smx.gov.cn/fwzn/004003/20201019/a8fae6a0-baed-499b-bb50-8ecc8828a2ca.html</w:t>
      </w:r>
      <w:r>
        <w:rPr>
          <w:rFonts w:hint="eastAsia" w:ascii="宋体" w:hAnsi="宋体"/>
          <w:bCs/>
          <w:color w:val="auto"/>
          <w:sz w:val="24"/>
          <w:szCs w:val="28"/>
          <w:highlight w:val="none"/>
        </w:rPr>
        <w:fldChar w:fldCharType="end"/>
      </w:r>
    </w:p>
    <w:p w14:paraId="3783C7FA">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left="239" w:leftChars="114" w:firstLine="240" w:firstLineChars="100"/>
        <w:textAlignment w:val="auto"/>
        <w:rPr>
          <w:rFonts w:hint="eastAsia" w:ascii="宋体" w:hAnsi="宋体"/>
          <w:bCs/>
          <w:color w:val="000000"/>
          <w:sz w:val="24"/>
          <w:szCs w:val="28"/>
          <w:highlight w:val="none"/>
        </w:rPr>
      </w:pPr>
      <w:r>
        <w:rPr>
          <w:rFonts w:hint="eastAsia" w:ascii="宋体" w:hAnsi="宋体" w:eastAsia="宋体"/>
          <w:kern w:val="0"/>
          <w:sz w:val="24"/>
          <w:szCs w:val="24"/>
          <w:highlight w:val="none"/>
        </w:rPr>
        <w:t>4、售价：0元</w:t>
      </w:r>
      <w:r>
        <w:rPr>
          <w:rFonts w:hint="eastAsia" w:ascii="宋体" w:hAnsi="宋体" w:eastAsia="宋体"/>
          <w:kern w:val="0"/>
          <w:sz w:val="24"/>
          <w:szCs w:val="24"/>
          <w:highlight w:val="none"/>
        </w:rPr>
        <w:br w:type="textWrapping"/>
      </w:r>
      <w:r>
        <w:rPr>
          <w:rFonts w:hint="eastAsia" w:ascii="宋体" w:hAnsi="宋体" w:eastAsia="宋体"/>
          <w:kern w:val="0"/>
          <w:sz w:val="24"/>
          <w:szCs w:val="24"/>
          <w:highlight w:val="none"/>
        </w:rPr>
        <w:t>注：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因供应商原因未能解密、解密失败或解密超时的将被拒绝。</w:t>
      </w:r>
      <w:r>
        <w:rPr>
          <w:rFonts w:hint="eastAsia" w:ascii="宋体" w:hAnsi="宋体" w:eastAsia="宋体"/>
          <w:kern w:val="0"/>
          <w:sz w:val="24"/>
          <w:szCs w:val="24"/>
          <w:highlight w:val="none"/>
        </w:rPr>
        <w:br w:type="textWrapping"/>
      </w:r>
      <w:r>
        <w:rPr>
          <w:rFonts w:hint="eastAsia" w:ascii="宋体" w:hAnsi="宋体"/>
          <w:bCs/>
          <w:color w:val="000000"/>
          <w:sz w:val="24"/>
          <w:szCs w:val="28"/>
          <w:highlight w:val="none"/>
          <w:lang w:val="en-US" w:eastAsia="zh-CN"/>
        </w:rPr>
        <w:t xml:space="preserve">    </w:t>
      </w:r>
      <w:r>
        <w:rPr>
          <w:rFonts w:hint="eastAsia" w:ascii="宋体" w:hAnsi="宋体"/>
          <w:bCs/>
          <w:color w:val="000000"/>
          <w:sz w:val="24"/>
          <w:szCs w:val="28"/>
          <w:highlight w:val="none"/>
        </w:rPr>
        <w:t>四、谈判截止时间及地点</w:t>
      </w:r>
      <w:r>
        <w:rPr>
          <w:rFonts w:hint="eastAsia" w:ascii="宋体" w:hAnsi="宋体"/>
          <w:bCs/>
          <w:color w:val="000000"/>
          <w:sz w:val="24"/>
          <w:szCs w:val="28"/>
          <w:highlight w:val="none"/>
        </w:rPr>
        <w:br w:type="textWrapping"/>
      </w:r>
      <w:r>
        <w:rPr>
          <w:rFonts w:hint="eastAsia" w:ascii="宋体" w:hAnsi="宋体"/>
          <w:bCs/>
          <w:color w:val="000000"/>
          <w:sz w:val="24"/>
          <w:szCs w:val="28"/>
          <w:highlight w:val="none"/>
          <w:lang w:val="en-US" w:eastAsia="zh-CN"/>
        </w:rPr>
        <w:t xml:space="preserve">  </w:t>
      </w:r>
      <w:r>
        <w:rPr>
          <w:rFonts w:hint="eastAsia" w:ascii="宋体" w:hAnsi="宋体" w:eastAsia="宋体"/>
          <w:kern w:val="0"/>
          <w:sz w:val="24"/>
          <w:szCs w:val="24"/>
          <w:highlight w:val="none"/>
          <w:lang w:val="en-US" w:eastAsia="zh-CN"/>
        </w:rPr>
        <w:t xml:space="preserve"> </w:t>
      </w:r>
      <w:r>
        <w:rPr>
          <w:rFonts w:hint="eastAsia" w:ascii="宋体" w:hAnsi="宋体"/>
          <w:kern w:val="0"/>
          <w:sz w:val="24"/>
          <w:szCs w:val="24"/>
          <w:highlight w:val="none"/>
          <w:lang w:val="en-US" w:eastAsia="zh-CN"/>
        </w:rPr>
        <w:t xml:space="preserve"> </w:t>
      </w:r>
      <w:r>
        <w:rPr>
          <w:rFonts w:hint="eastAsia" w:ascii="宋体" w:hAnsi="宋体" w:eastAsia="宋体"/>
          <w:kern w:val="0"/>
          <w:sz w:val="24"/>
          <w:szCs w:val="24"/>
          <w:highlight w:val="none"/>
        </w:rPr>
        <w:t>1、响应文件递交截止时间及开标时间：202</w:t>
      </w:r>
      <w:r>
        <w:rPr>
          <w:rFonts w:hint="eastAsia" w:ascii="宋体" w:hAnsi="宋体" w:eastAsia="宋体"/>
          <w:kern w:val="0"/>
          <w:sz w:val="24"/>
          <w:szCs w:val="24"/>
          <w:highlight w:val="none"/>
          <w:lang w:val="en-US" w:eastAsia="zh-CN"/>
        </w:rPr>
        <w:t>5</w:t>
      </w:r>
      <w:r>
        <w:rPr>
          <w:rFonts w:hint="eastAsia" w:ascii="宋体" w:hAnsi="宋体" w:eastAsia="宋体"/>
          <w:kern w:val="0"/>
          <w:sz w:val="24"/>
          <w:szCs w:val="24"/>
          <w:highlight w:val="none"/>
        </w:rPr>
        <w:t>年0</w:t>
      </w:r>
      <w:r>
        <w:rPr>
          <w:rFonts w:hint="eastAsia" w:ascii="宋体" w:hAnsi="宋体" w:eastAsia="宋体"/>
          <w:kern w:val="0"/>
          <w:sz w:val="24"/>
          <w:szCs w:val="24"/>
          <w:highlight w:val="none"/>
          <w:lang w:val="en-US" w:eastAsia="zh-CN"/>
        </w:rPr>
        <w:t>7</w:t>
      </w:r>
      <w:r>
        <w:rPr>
          <w:rFonts w:hint="eastAsia" w:ascii="宋体" w:hAnsi="宋体" w:eastAsia="宋体"/>
          <w:kern w:val="0"/>
          <w:sz w:val="24"/>
          <w:szCs w:val="24"/>
          <w:highlight w:val="none"/>
        </w:rPr>
        <w:t>月</w:t>
      </w:r>
      <w:r>
        <w:rPr>
          <w:rFonts w:hint="eastAsia" w:ascii="宋体" w:hAnsi="宋体" w:eastAsia="宋体"/>
          <w:kern w:val="0"/>
          <w:sz w:val="24"/>
          <w:szCs w:val="24"/>
          <w:highlight w:val="none"/>
          <w:lang w:val="en-US" w:eastAsia="zh-CN"/>
        </w:rPr>
        <w:t>31</w:t>
      </w:r>
      <w:r>
        <w:rPr>
          <w:rFonts w:hint="eastAsia" w:ascii="宋体" w:hAnsi="宋体" w:eastAsia="宋体"/>
          <w:kern w:val="0"/>
          <w:sz w:val="24"/>
          <w:szCs w:val="24"/>
          <w:highlight w:val="none"/>
        </w:rPr>
        <w:t>日0</w:t>
      </w:r>
      <w:r>
        <w:rPr>
          <w:rFonts w:hint="eastAsia" w:ascii="宋体" w:hAnsi="宋体" w:eastAsia="宋体"/>
          <w:kern w:val="0"/>
          <w:sz w:val="24"/>
          <w:szCs w:val="24"/>
          <w:highlight w:val="none"/>
          <w:lang w:val="en-US" w:eastAsia="zh-CN"/>
        </w:rPr>
        <w:t>9</w:t>
      </w:r>
      <w:r>
        <w:rPr>
          <w:rFonts w:hint="eastAsia" w:ascii="宋体" w:hAnsi="宋体" w:eastAsia="宋体"/>
          <w:kern w:val="0"/>
          <w:sz w:val="24"/>
          <w:szCs w:val="24"/>
          <w:highlight w:val="none"/>
        </w:rPr>
        <w:t>时</w:t>
      </w:r>
      <w:r>
        <w:rPr>
          <w:rFonts w:hint="eastAsia" w:ascii="宋体" w:hAnsi="宋体" w:eastAsia="宋体"/>
          <w:kern w:val="0"/>
          <w:sz w:val="24"/>
          <w:szCs w:val="24"/>
          <w:highlight w:val="none"/>
          <w:lang w:val="en-US" w:eastAsia="zh-CN"/>
        </w:rPr>
        <w:t>10</w:t>
      </w:r>
      <w:r>
        <w:rPr>
          <w:rFonts w:hint="eastAsia" w:ascii="宋体" w:hAnsi="宋体" w:eastAsia="宋体"/>
          <w:kern w:val="0"/>
          <w:sz w:val="24"/>
          <w:szCs w:val="24"/>
          <w:highlight w:val="none"/>
        </w:rPr>
        <w:t>分</w:t>
      </w:r>
      <w:r>
        <w:rPr>
          <w:rFonts w:hint="eastAsia" w:ascii="宋体" w:hAnsi="宋体" w:eastAsia="宋体"/>
          <w:kern w:val="0"/>
          <w:sz w:val="24"/>
          <w:szCs w:val="24"/>
          <w:highlight w:val="none"/>
        </w:rPr>
        <w:br w:type="textWrapping"/>
      </w:r>
      <w:r>
        <w:rPr>
          <w:rFonts w:hint="eastAsia" w:ascii="宋体" w:hAnsi="宋体" w:eastAsia="宋体"/>
          <w:kern w:val="0"/>
          <w:sz w:val="24"/>
          <w:szCs w:val="24"/>
          <w:highlight w:val="none"/>
          <w:lang w:val="en-US" w:eastAsia="zh-CN"/>
        </w:rPr>
        <w:t xml:space="preserve">   </w:t>
      </w:r>
      <w:r>
        <w:rPr>
          <w:rFonts w:hint="eastAsia" w:ascii="宋体" w:hAnsi="宋体"/>
          <w:kern w:val="0"/>
          <w:sz w:val="24"/>
          <w:szCs w:val="24"/>
          <w:highlight w:val="none"/>
          <w:lang w:val="en-US" w:eastAsia="zh-CN"/>
        </w:rPr>
        <w:t xml:space="preserve"> </w:t>
      </w:r>
      <w:r>
        <w:rPr>
          <w:rFonts w:hint="eastAsia" w:ascii="宋体" w:hAnsi="宋体" w:eastAsia="宋体"/>
          <w:kern w:val="0"/>
          <w:sz w:val="24"/>
          <w:szCs w:val="24"/>
          <w:highlight w:val="none"/>
        </w:rPr>
        <w:t>2、开标地点：卢氏县公共资源交易中心四楼第</w:t>
      </w:r>
      <w:r>
        <w:rPr>
          <w:rFonts w:hint="eastAsia" w:ascii="宋体" w:hAnsi="宋体" w:eastAsia="宋体"/>
          <w:kern w:val="0"/>
          <w:sz w:val="24"/>
          <w:szCs w:val="24"/>
          <w:highlight w:val="none"/>
          <w:lang w:val="en-US" w:eastAsia="zh-CN"/>
        </w:rPr>
        <w:t>一</w:t>
      </w:r>
      <w:r>
        <w:rPr>
          <w:rFonts w:hint="eastAsia" w:ascii="宋体" w:hAnsi="宋体" w:eastAsia="宋体"/>
          <w:kern w:val="0"/>
          <w:sz w:val="24"/>
          <w:szCs w:val="24"/>
          <w:highlight w:val="none"/>
        </w:rPr>
        <w:t>开标室</w:t>
      </w:r>
      <w:r>
        <w:rPr>
          <w:rFonts w:hint="eastAsia" w:ascii="宋体" w:hAnsi="宋体" w:eastAsia="宋体"/>
          <w:kern w:val="0"/>
          <w:sz w:val="24"/>
          <w:szCs w:val="24"/>
          <w:highlight w:val="none"/>
        </w:rPr>
        <w:br w:type="textWrapping"/>
      </w:r>
      <w:r>
        <w:rPr>
          <w:rFonts w:hint="eastAsia" w:ascii="宋体" w:hAnsi="宋体" w:eastAsia="宋体"/>
          <w:kern w:val="0"/>
          <w:sz w:val="24"/>
          <w:szCs w:val="24"/>
          <w:highlight w:val="none"/>
          <w:lang w:val="en-US" w:eastAsia="zh-CN"/>
        </w:rPr>
        <w:t xml:space="preserve">   </w:t>
      </w:r>
      <w:r>
        <w:rPr>
          <w:rFonts w:hint="eastAsia" w:ascii="宋体" w:hAnsi="宋体"/>
          <w:kern w:val="0"/>
          <w:sz w:val="24"/>
          <w:szCs w:val="24"/>
          <w:highlight w:val="none"/>
          <w:lang w:val="en-US" w:eastAsia="zh-CN"/>
        </w:rPr>
        <w:t xml:space="preserve"> </w:t>
      </w:r>
      <w:r>
        <w:rPr>
          <w:rFonts w:hint="eastAsia" w:ascii="宋体" w:hAnsi="宋体" w:eastAsia="宋体"/>
          <w:kern w:val="0"/>
          <w:sz w:val="24"/>
          <w:szCs w:val="24"/>
          <w:highlight w:val="none"/>
          <w:lang w:val="en-US" w:eastAsia="zh-CN"/>
        </w:rPr>
        <w:t>3、</w:t>
      </w:r>
      <w:r>
        <w:rPr>
          <w:rFonts w:hint="eastAsia" w:ascii="宋体" w:hAnsi="宋体" w:eastAsia="宋体"/>
          <w:kern w:val="0"/>
          <w:sz w:val="24"/>
          <w:szCs w:val="24"/>
          <w:highlight w:val="none"/>
        </w:rPr>
        <w:t>评标地点：卢氏县公共资源交易中心二楼第</w:t>
      </w:r>
      <w:r>
        <w:rPr>
          <w:rFonts w:hint="eastAsia" w:ascii="宋体" w:hAnsi="宋体" w:eastAsia="宋体"/>
          <w:kern w:val="0"/>
          <w:sz w:val="24"/>
          <w:szCs w:val="24"/>
          <w:highlight w:val="none"/>
          <w:lang w:val="en-US" w:eastAsia="zh-CN"/>
        </w:rPr>
        <w:t>三</w:t>
      </w:r>
      <w:r>
        <w:rPr>
          <w:rFonts w:hint="eastAsia" w:ascii="宋体" w:hAnsi="宋体" w:eastAsia="宋体"/>
          <w:kern w:val="0"/>
          <w:sz w:val="24"/>
          <w:szCs w:val="24"/>
          <w:highlight w:val="none"/>
        </w:rPr>
        <w:t>评标室</w:t>
      </w:r>
      <w:r>
        <w:rPr>
          <w:rFonts w:hint="eastAsia" w:ascii="宋体" w:hAnsi="宋体"/>
          <w:bCs/>
          <w:color w:val="0000FF"/>
          <w:sz w:val="24"/>
          <w:szCs w:val="28"/>
          <w:highlight w:val="none"/>
        </w:rPr>
        <w:br w:type="textWrapping"/>
      </w:r>
      <w:r>
        <w:rPr>
          <w:rFonts w:hint="eastAsia" w:ascii="宋体" w:hAnsi="宋体"/>
          <w:bCs/>
          <w:color w:val="000000"/>
          <w:sz w:val="24"/>
          <w:szCs w:val="28"/>
          <w:highlight w:val="none"/>
          <w:lang w:val="en-US" w:eastAsia="zh-CN"/>
        </w:rPr>
        <w:t xml:space="preserve">    4</w:t>
      </w:r>
      <w:r>
        <w:rPr>
          <w:rFonts w:hint="eastAsia" w:ascii="宋体" w:hAnsi="宋体"/>
          <w:bCs/>
          <w:color w:val="000000"/>
          <w:sz w:val="24"/>
          <w:szCs w:val="28"/>
          <w:highlight w:val="none"/>
        </w:rPr>
        <w:t>、供应商应仔细阅读操作手册，在本公告中要求的截止时间前完成网上投标等工作。因供应商操作不当等问题造成的无法下载谈判文件、无法开标等一切后果，由供应商自行承担。</w:t>
      </w:r>
      <w:r>
        <w:rPr>
          <w:rFonts w:hint="eastAsia" w:ascii="宋体" w:hAnsi="宋体"/>
          <w:bCs/>
          <w:color w:val="000000"/>
          <w:sz w:val="24"/>
          <w:szCs w:val="28"/>
          <w:highlight w:val="none"/>
        </w:rPr>
        <w:br w:type="textWrapping"/>
      </w:r>
      <w:r>
        <w:rPr>
          <w:rFonts w:hint="eastAsia" w:ascii="宋体" w:hAnsi="宋体"/>
          <w:bCs/>
          <w:color w:val="000000"/>
          <w:sz w:val="24"/>
          <w:szCs w:val="28"/>
          <w:highlight w:val="none"/>
          <w:lang w:val="en-US" w:eastAsia="zh-CN"/>
        </w:rPr>
        <w:t xml:space="preserve">    5</w:t>
      </w:r>
      <w:r>
        <w:rPr>
          <w:rFonts w:hint="eastAsia" w:ascii="宋体" w:hAnsi="宋体"/>
          <w:bCs/>
          <w:color w:val="000000"/>
          <w:sz w:val="24"/>
          <w:szCs w:val="28"/>
          <w:highlight w:val="none"/>
        </w:rPr>
        <w:t>、开标所发生的一切费用由各供应商自行承担，并承担相应的风险和责任。</w:t>
      </w:r>
      <w:r>
        <w:rPr>
          <w:rFonts w:hint="eastAsia" w:ascii="宋体" w:hAnsi="宋体"/>
          <w:bCs/>
          <w:color w:val="000000"/>
          <w:sz w:val="24"/>
          <w:szCs w:val="28"/>
          <w:highlight w:val="none"/>
        </w:rPr>
        <w:br w:type="textWrapping"/>
      </w:r>
      <w:r>
        <w:rPr>
          <w:rFonts w:hint="eastAsia" w:ascii="宋体" w:hAnsi="宋体"/>
          <w:bCs/>
          <w:color w:val="000000"/>
          <w:sz w:val="24"/>
          <w:szCs w:val="28"/>
          <w:highlight w:val="none"/>
          <w:lang w:val="en-US" w:eastAsia="zh-CN"/>
        </w:rPr>
        <w:t xml:space="preserve">    6</w:t>
      </w:r>
      <w:r>
        <w:rPr>
          <w:rFonts w:hint="eastAsia" w:ascii="宋体" w:hAnsi="宋体"/>
          <w:bCs/>
          <w:color w:val="000000"/>
          <w:sz w:val="24"/>
          <w:szCs w:val="28"/>
          <w:highlight w:val="none"/>
        </w:rPr>
        <w:t>、是否退还投标文件：否；</w:t>
      </w:r>
      <w:r>
        <w:rPr>
          <w:rFonts w:hint="eastAsia" w:ascii="宋体" w:hAnsi="宋体"/>
          <w:bCs/>
          <w:color w:val="000000"/>
          <w:sz w:val="24"/>
          <w:szCs w:val="28"/>
          <w:highlight w:val="none"/>
        </w:rPr>
        <w:br w:type="textWrapping"/>
      </w:r>
      <w:r>
        <w:rPr>
          <w:rFonts w:hint="eastAsia" w:ascii="宋体" w:hAnsi="宋体"/>
          <w:bCs/>
          <w:color w:val="000000"/>
          <w:sz w:val="24"/>
          <w:szCs w:val="28"/>
          <w:highlight w:val="none"/>
          <w:lang w:val="en-US" w:eastAsia="zh-CN"/>
        </w:rPr>
        <w:t xml:space="preserve">    五</w:t>
      </w:r>
      <w:r>
        <w:rPr>
          <w:rFonts w:hint="eastAsia" w:ascii="宋体" w:hAnsi="宋体"/>
          <w:bCs/>
          <w:color w:val="000000"/>
          <w:sz w:val="24"/>
          <w:szCs w:val="28"/>
          <w:highlight w:val="none"/>
        </w:rPr>
        <w:t>、投标资料的提交</w:t>
      </w:r>
      <w:r>
        <w:rPr>
          <w:rFonts w:hint="eastAsia" w:ascii="宋体" w:hAnsi="宋体"/>
          <w:bCs/>
          <w:color w:val="000000"/>
          <w:sz w:val="24"/>
          <w:szCs w:val="28"/>
          <w:highlight w:val="none"/>
        </w:rPr>
        <w:br w:type="textWrapping"/>
      </w:r>
      <w:r>
        <w:rPr>
          <w:rFonts w:hint="eastAsia" w:ascii="宋体" w:hAnsi="宋体"/>
          <w:bCs/>
          <w:color w:val="000000"/>
          <w:sz w:val="24"/>
          <w:szCs w:val="28"/>
          <w:highlight w:val="none"/>
          <w:lang w:val="en-US" w:eastAsia="zh-CN"/>
        </w:rPr>
        <w:t xml:space="preserve">    </w:t>
      </w:r>
      <w:r>
        <w:rPr>
          <w:rFonts w:hint="eastAsia" w:ascii="宋体" w:hAnsi="宋体"/>
          <w:bCs/>
          <w:color w:val="000000"/>
          <w:sz w:val="24"/>
          <w:szCs w:val="28"/>
          <w:highlight w:val="none"/>
        </w:rPr>
        <w:t>本项目实行资格后审，审查内容以投标截止时间前在三门峡市公共资源交易中心网提交投标文件的信息为准。其上传资料真实性由投标人自行承担，同时，投标人要完善主体库。原件扫描件清晰可辨。否则，由此造成应得分而未得分或资格审查不合格等情况的，由投标人承担责任。</w:t>
      </w:r>
      <w:r>
        <w:rPr>
          <w:rFonts w:hint="eastAsia" w:ascii="宋体" w:hAnsi="宋体"/>
          <w:bCs/>
          <w:color w:val="000000"/>
          <w:sz w:val="24"/>
          <w:szCs w:val="28"/>
          <w:highlight w:val="none"/>
        </w:rPr>
        <w:br w:type="textWrapping"/>
      </w:r>
      <w:r>
        <w:rPr>
          <w:rFonts w:hint="eastAsia" w:ascii="宋体" w:hAnsi="宋体"/>
          <w:bCs/>
          <w:color w:val="000000"/>
          <w:sz w:val="24"/>
          <w:szCs w:val="28"/>
          <w:highlight w:val="none"/>
        </w:rPr>
        <w:t>温馨提示：本项目为电子化、无纸化交易项目，开标时不再接受任何纸质资料，为保证您能开标成功，请需仔细阅读谈判文件和三门峡市公共资源交易中心官网业务办理指南。</w:t>
      </w:r>
      <w:r>
        <w:rPr>
          <w:rFonts w:hint="eastAsia" w:ascii="宋体" w:hAnsi="宋体"/>
          <w:bCs/>
          <w:color w:val="000000"/>
          <w:sz w:val="24"/>
          <w:szCs w:val="28"/>
          <w:highlight w:val="none"/>
        </w:rPr>
        <w:br w:type="textWrapping"/>
      </w:r>
      <w:r>
        <w:rPr>
          <w:rFonts w:hint="eastAsia" w:ascii="宋体" w:hAnsi="宋体"/>
          <w:bCs/>
          <w:color w:val="000000"/>
          <w:sz w:val="24"/>
          <w:szCs w:val="28"/>
          <w:highlight w:val="none"/>
          <w:lang w:val="en-US" w:eastAsia="zh-CN"/>
        </w:rPr>
        <w:t xml:space="preserve">    六</w:t>
      </w:r>
      <w:r>
        <w:rPr>
          <w:rFonts w:hint="eastAsia" w:ascii="宋体" w:hAnsi="宋体"/>
          <w:bCs/>
          <w:color w:val="000000"/>
          <w:sz w:val="24"/>
          <w:szCs w:val="28"/>
          <w:highlight w:val="none"/>
        </w:rPr>
        <w:t>、发布公告的媒介</w:t>
      </w:r>
      <w:r>
        <w:rPr>
          <w:rFonts w:hint="eastAsia" w:ascii="宋体" w:hAnsi="宋体"/>
          <w:bCs/>
          <w:color w:val="000000"/>
          <w:sz w:val="24"/>
          <w:szCs w:val="28"/>
          <w:highlight w:val="none"/>
        </w:rPr>
        <w:br w:type="textWrapping"/>
      </w:r>
      <w:r>
        <w:rPr>
          <w:rFonts w:hint="eastAsia" w:ascii="宋体" w:hAnsi="宋体"/>
          <w:bCs/>
          <w:color w:val="000000"/>
          <w:sz w:val="24"/>
          <w:szCs w:val="28"/>
          <w:highlight w:val="none"/>
          <w:lang w:val="en-US" w:eastAsia="zh-CN"/>
        </w:rPr>
        <w:t xml:space="preserve">    </w:t>
      </w:r>
      <w:r>
        <w:rPr>
          <w:rFonts w:hint="eastAsia" w:ascii="宋体" w:hAnsi="宋体"/>
          <w:bCs/>
          <w:color w:val="000000"/>
          <w:sz w:val="24"/>
          <w:szCs w:val="28"/>
          <w:highlight w:val="none"/>
        </w:rPr>
        <w:t>本次竞争性谈判公告同时在《中国招标投标公共服务平台》、《河南省政府采购网》、《三门峡市公共资源交易中心网》发布。</w:t>
      </w:r>
    </w:p>
    <w:p w14:paraId="49A95814">
      <w:pPr>
        <w:keepNext w:val="0"/>
        <w:keepLines w:val="0"/>
        <w:pageBreakBefore w:val="0"/>
        <w:numPr>
          <w:ilvl w:val="0"/>
          <w:numId w:val="0"/>
        </w:numPr>
        <w:kinsoku/>
        <w:wordWrap w:val="0"/>
        <w:overflowPunct/>
        <w:topLinePunct w:val="0"/>
        <w:autoSpaceDE/>
        <w:autoSpaceDN/>
        <w:bidi w:val="0"/>
        <w:spacing w:line="500" w:lineRule="exact"/>
        <w:ind w:firstLine="480" w:firstLineChars="200"/>
        <w:textAlignment w:val="auto"/>
        <w:rPr>
          <w:rFonts w:ascii="宋体" w:hAnsi="宋体"/>
          <w:bCs/>
          <w:color w:val="000000"/>
          <w:sz w:val="24"/>
          <w:szCs w:val="28"/>
          <w:highlight w:val="none"/>
        </w:rPr>
      </w:pPr>
      <w:r>
        <w:rPr>
          <w:rFonts w:hint="eastAsia" w:ascii="宋体" w:hAnsi="宋体"/>
          <w:bCs/>
          <w:color w:val="000000"/>
          <w:sz w:val="24"/>
          <w:szCs w:val="28"/>
          <w:highlight w:val="none"/>
        </w:rPr>
        <w:t>七、联系方式</w:t>
      </w:r>
    </w:p>
    <w:p w14:paraId="33D51CB3">
      <w:pPr>
        <w:keepNext w:val="0"/>
        <w:keepLines w:val="0"/>
        <w:pageBreakBefore w:val="0"/>
        <w:numPr>
          <w:ilvl w:val="0"/>
          <w:numId w:val="0"/>
        </w:numPr>
        <w:kinsoku/>
        <w:wordWrap w:val="0"/>
        <w:overflowPunct/>
        <w:topLinePunct w:val="0"/>
        <w:autoSpaceDE/>
        <w:autoSpaceDN/>
        <w:bidi w:val="0"/>
        <w:spacing w:line="500" w:lineRule="exact"/>
        <w:ind w:firstLine="480" w:firstLineChars="200"/>
        <w:textAlignment w:val="auto"/>
        <w:rPr>
          <w:rFonts w:ascii="宋体" w:hAnsi="宋体"/>
          <w:bCs/>
          <w:color w:val="000000"/>
          <w:sz w:val="24"/>
          <w:szCs w:val="28"/>
          <w:highlight w:val="none"/>
        </w:rPr>
      </w:pPr>
      <w:r>
        <w:rPr>
          <w:rFonts w:hint="eastAsia" w:ascii="宋体" w:hAnsi="宋体"/>
          <w:bCs/>
          <w:color w:val="000000"/>
          <w:sz w:val="24"/>
          <w:szCs w:val="28"/>
          <w:highlight w:val="none"/>
        </w:rPr>
        <w:t>监督单位：卢氏县政府采购办公室</w:t>
      </w:r>
    </w:p>
    <w:p w14:paraId="19D3B115">
      <w:pPr>
        <w:keepNext w:val="0"/>
        <w:keepLines w:val="0"/>
        <w:pageBreakBefore w:val="0"/>
        <w:numPr>
          <w:ilvl w:val="0"/>
          <w:numId w:val="0"/>
        </w:numPr>
        <w:kinsoku/>
        <w:wordWrap w:val="0"/>
        <w:overflowPunct/>
        <w:topLinePunct w:val="0"/>
        <w:autoSpaceDE/>
        <w:autoSpaceDN/>
        <w:bidi w:val="0"/>
        <w:spacing w:line="500" w:lineRule="exact"/>
        <w:ind w:firstLine="480" w:firstLineChars="200"/>
        <w:textAlignment w:val="auto"/>
        <w:rPr>
          <w:rFonts w:hint="default" w:ascii="宋体" w:hAnsi="宋体"/>
          <w:bCs/>
          <w:color w:val="000000"/>
          <w:sz w:val="24"/>
          <w:szCs w:val="28"/>
          <w:highlight w:val="none"/>
          <w:lang w:val="en-US" w:eastAsia="zh-CN"/>
        </w:rPr>
      </w:pPr>
      <w:r>
        <w:rPr>
          <w:rFonts w:hint="eastAsia" w:ascii="宋体" w:hAnsi="宋体"/>
          <w:bCs/>
          <w:color w:val="000000"/>
          <w:sz w:val="24"/>
          <w:szCs w:val="28"/>
          <w:highlight w:val="none"/>
          <w:lang w:val="en-US" w:eastAsia="zh-CN"/>
        </w:rPr>
        <w:t>联系人：郭伟静</w:t>
      </w:r>
    </w:p>
    <w:p w14:paraId="1EB8562B">
      <w:pPr>
        <w:keepNext w:val="0"/>
        <w:keepLines w:val="0"/>
        <w:pageBreakBefore w:val="0"/>
        <w:numPr>
          <w:ilvl w:val="0"/>
          <w:numId w:val="0"/>
        </w:numPr>
        <w:kinsoku/>
        <w:wordWrap w:val="0"/>
        <w:overflowPunct/>
        <w:topLinePunct w:val="0"/>
        <w:autoSpaceDE/>
        <w:autoSpaceDN/>
        <w:bidi w:val="0"/>
        <w:spacing w:line="500" w:lineRule="exact"/>
        <w:ind w:firstLine="480" w:firstLineChars="200"/>
        <w:textAlignment w:val="auto"/>
        <w:rPr>
          <w:rFonts w:hint="eastAsia" w:ascii="宋体" w:hAnsi="宋体"/>
          <w:bCs/>
          <w:color w:val="000000"/>
          <w:sz w:val="24"/>
          <w:szCs w:val="28"/>
          <w:highlight w:val="none"/>
        </w:rPr>
      </w:pPr>
      <w:r>
        <w:rPr>
          <w:rFonts w:hint="eastAsia" w:ascii="宋体" w:hAnsi="宋体"/>
          <w:bCs/>
          <w:color w:val="000000"/>
          <w:sz w:val="24"/>
          <w:szCs w:val="28"/>
          <w:highlight w:val="none"/>
        </w:rPr>
        <w:t xml:space="preserve">电话：0398-7863556 </w:t>
      </w:r>
    </w:p>
    <w:p w14:paraId="0F93575E">
      <w:pPr>
        <w:keepNext w:val="0"/>
        <w:keepLines w:val="0"/>
        <w:pageBreakBefore w:val="0"/>
        <w:numPr>
          <w:ilvl w:val="0"/>
          <w:numId w:val="0"/>
        </w:numPr>
        <w:kinsoku/>
        <w:wordWrap w:val="0"/>
        <w:overflowPunct/>
        <w:topLinePunct w:val="0"/>
        <w:autoSpaceDE/>
        <w:autoSpaceDN/>
        <w:bidi w:val="0"/>
        <w:spacing w:line="500" w:lineRule="exact"/>
        <w:ind w:firstLine="480" w:firstLineChars="200"/>
        <w:textAlignment w:val="auto"/>
        <w:rPr>
          <w:rFonts w:hint="eastAsia" w:ascii="宋体" w:hAnsi="宋体"/>
          <w:bCs/>
          <w:color w:val="000000"/>
          <w:sz w:val="24"/>
          <w:szCs w:val="28"/>
          <w:highlight w:val="none"/>
        </w:rPr>
      </w:pPr>
      <w:r>
        <w:rPr>
          <w:rFonts w:hint="eastAsia" w:ascii="宋体" w:hAnsi="宋体"/>
          <w:bCs/>
          <w:color w:val="000000"/>
          <w:sz w:val="24"/>
          <w:szCs w:val="28"/>
          <w:highlight w:val="none"/>
        </w:rPr>
        <w:t>地址：卢氏县城关镇解放路中段</w:t>
      </w:r>
    </w:p>
    <w:p w14:paraId="3E9907F5">
      <w:pPr>
        <w:keepNext w:val="0"/>
        <w:keepLines w:val="0"/>
        <w:pageBreakBefore w:val="0"/>
        <w:numPr>
          <w:ilvl w:val="0"/>
          <w:numId w:val="0"/>
        </w:numPr>
        <w:kinsoku/>
        <w:wordWrap w:val="0"/>
        <w:overflowPunct/>
        <w:topLinePunct w:val="0"/>
        <w:autoSpaceDE/>
        <w:autoSpaceDN/>
        <w:bidi w:val="0"/>
        <w:spacing w:line="500" w:lineRule="exact"/>
        <w:ind w:firstLine="480" w:firstLineChars="200"/>
        <w:textAlignment w:val="auto"/>
        <w:rPr>
          <w:rFonts w:hint="eastAsia" w:ascii="宋体" w:hAnsi="宋体"/>
          <w:bCs/>
          <w:color w:val="000000"/>
          <w:sz w:val="24"/>
          <w:szCs w:val="28"/>
          <w:highlight w:val="none"/>
        </w:rPr>
      </w:pPr>
      <w:r>
        <w:rPr>
          <w:rFonts w:hint="eastAsia" w:ascii="宋体" w:hAnsi="宋体"/>
          <w:bCs/>
          <w:color w:val="000000"/>
          <w:sz w:val="24"/>
          <w:szCs w:val="28"/>
          <w:highlight w:val="none"/>
        </w:rPr>
        <w:t>监督单位：卢氏县公安局警务督察大队</w:t>
      </w:r>
    </w:p>
    <w:p w14:paraId="4A734335">
      <w:pPr>
        <w:keepNext w:val="0"/>
        <w:keepLines w:val="0"/>
        <w:pageBreakBefore w:val="0"/>
        <w:numPr>
          <w:ilvl w:val="0"/>
          <w:numId w:val="0"/>
        </w:numPr>
        <w:kinsoku/>
        <w:wordWrap w:val="0"/>
        <w:overflowPunct/>
        <w:topLinePunct w:val="0"/>
        <w:autoSpaceDE/>
        <w:autoSpaceDN/>
        <w:bidi w:val="0"/>
        <w:spacing w:line="500" w:lineRule="exact"/>
        <w:ind w:firstLine="480" w:firstLineChars="200"/>
        <w:textAlignment w:val="auto"/>
        <w:rPr>
          <w:rFonts w:hint="eastAsia" w:ascii="宋体" w:hAnsi="宋体"/>
          <w:bCs/>
          <w:color w:val="000000"/>
          <w:sz w:val="24"/>
          <w:szCs w:val="28"/>
          <w:highlight w:val="none"/>
        </w:rPr>
      </w:pPr>
      <w:r>
        <w:rPr>
          <w:rFonts w:hint="eastAsia" w:ascii="宋体" w:hAnsi="宋体"/>
          <w:bCs/>
          <w:color w:val="000000"/>
          <w:sz w:val="24"/>
          <w:szCs w:val="28"/>
          <w:highlight w:val="none"/>
        </w:rPr>
        <w:t>联系人：杨晓娟</w:t>
      </w:r>
    </w:p>
    <w:p w14:paraId="2A5C8FB6">
      <w:pPr>
        <w:keepNext w:val="0"/>
        <w:keepLines w:val="0"/>
        <w:pageBreakBefore w:val="0"/>
        <w:numPr>
          <w:ilvl w:val="0"/>
          <w:numId w:val="0"/>
        </w:numPr>
        <w:kinsoku/>
        <w:wordWrap w:val="0"/>
        <w:overflowPunct/>
        <w:topLinePunct w:val="0"/>
        <w:autoSpaceDE/>
        <w:autoSpaceDN/>
        <w:bidi w:val="0"/>
        <w:spacing w:line="500" w:lineRule="exact"/>
        <w:ind w:firstLine="480" w:firstLineChars="200"/>
        <w:textAlignment w:val="auto"/>
        <w:rPr>
          <w:rFonts w:hint="eastAsia" w:ascii="宋体" w:hAnsi="宋体"/>
          <w:bCs/>
          <w:color w:val="000000"/>
          <w:sz w:val="24"/>
          <w:szCs w:val="28"/>
          <w:highlight w:val="none"/>
        </w:rPr>
      </w:pPr>
      <w:r>
        <w:rPr>
          <w:rFonts w:hint="eastAsia" w:ascii="宋体" w:hAnsi="宋体"/>
          <w:bCs/>
          <w:color w:val="000000"/>
          <w:sz w:val="24"/>
          <w:szCs w:val="28"/>
          <w:highlight w:val="none"/>
        </w:rPr>
        <w:t>电话：0398-3687301、18639876116</w:t>
      </w:r>
    </w:p>
    <w:p w14:paraId="3435BD81">
      <w:pPr>
        <w:keepNext w:val="0"/>
        <w:keepLines w:val="0"/>
        <w:pageBreakBefore w:val="0"/>
        <w:numPr>
          <w:ilvl w:val="0"/>
          <w:numId w:val="0"/>
        </w:numPr>
        <w:kinsoku/>
        <w:wordWrap w:val="0"/>
        <w:overflowPunct/>
        <w:topLinePunct w:val="0"/>
        <w:autoSpaceDE/>
        <w:autoSpaceDN/>
        <w:bidi w:val="0"/>
        <w:spacing w:line="500" w:lineRule="exact"/>
        <w:ind w:firstLine="480" w:firstLineChars="200"/>
        <w:textAlignment w:val="auto"/>
        <w:rPr>
          <w:rFonts w:hint="eastAsia" w:ascii="宋体" w:hAnsi="宋体"/>
          <w:bCs/>
          <w:color w:val="000000"/>
          <w:sz w:val="24"/>
          <w:szCs w:val="28"/>
          <w:highlight w:val="none"/>
        </w:rPr>
      </w:pPr>
      <w:r>
        <w:rPr>
          <w:rFonts w:hint="eastAsia" w:ascii="宋体" w:hAnsi="宋体"/>
          <w:bCs/>
          <w:color w:val="000000"/>
          <w:sz w:val="24"/>
          <w:szCs w:val="28"/>
          <w:highlight w:val="none"/>
        </w:rPr>
        <w:t>地址：卢氏县靖华西路南侧</w:t>
      </w:r>
    </w:p>
    <w:p w14:paraId="752AA86C">
      <w:pPr>
        <w:keepNext w:val="0"/>
        <w:keepLines w:val="0"/>
        <w:pageBreakBefore w:val="0"/>
        <w:numPr>
          <w:ilvl w:val="0"/>
          <w:numId w:val="0"/>
        </w:numPr>
        <w:kinsoku/>
        <w:wordWrap w:val="0"/>
        <w:overflowPunct/>
        <w:topLinePunct w:val="0"/>
        <w:autoSpaceDE/>
        <w:autoSpaceDN/>
        <w:bidi w:val="0"/>
        <w:spacing w:line="500" w:lineRule="exact"/>
        <w:ind w:firstLine="480" w:firstLineChars="200"/>
        <w:textAlignment w:val="auto"/>
        <w:rPr>
          <w:rFonts w:hint="eastAsia" w:ascii="宋体" w:hAnsi="宋体"/>
          <w:bCs/>
          <w:color w:val="000000"/>
          <w:sz w:val="24"/>
          <w:szCs w:val="28"/>
          <w:highlight w:val="none"/>
        </w:rPr>
      </w:pPr>
      <w:r>
        <w:rPr>
          <w:rFonts w:hint="eastAsia" w:ascii="宋体" w:hAnsi="宋体"/>
          <w:bCs/>
          <w:color w:val="000000"/>
          <w:sz w:val="24"/>
          <w:szCs w:val="28"/>
          <w:highlight w:val="none"/>
        </w:rPr>
        <w:t>招标人：卢氏县公安局</w:t>
      </w:r>
    </w:p>
    <w:p w14:paraId="247DB84B">
      <w:pPr>
        <w:keepNext w:val="0"/>
        <w:keepLines w:val="0"/>
        <w:pageBreakBefore w:val="0"/>
        <w:numPr>
          <w:ilvl w:val="0"/>
          <w:numId w:val="0"/>
        </w:numPr>
        <w:kinsoku/>
        <w:wordWrap w:val="0"/>
        <w:overflowPunct/>
        <w:topLinePunct w:val="0"/>
        <w:autoSpaceDE/>
        <w:autoSpaceDN/>
        <w:bidi w:val="0"/>
        <w:spacing w:line="500" w:lineRule="exact"/>
        <w:ind w:firstLine="480" w:firstLineChars="200"/>
        <w:textAlignment w:val="auto"/>
        <w:rPr>
          <w:rFonts w:hint="eastAsia" w:ascii="宋体" w:hAnsi="宋体"/>
          <w:bCs/>
          <w:color w:val="000000"/>
          <w:sz w:val="24"/>
          <w:szCs w:val="28"/>
          <w:highlight w:val="none"/>
        </w:rPr>
      </w:pPr>
      <w:r>
        <w:rPr>
          <w:rFonts w:hint="eastAsia" w:ascii="宋体" w:hAnsi="宋体"/>
          <w:bCs/>
          <w:color w:val="000000"/>
          <w:sz w:val="24"/>
          <w:szCs w:val="28"/>
          <w:highlight w:val="none"/>
        </w:rPr>
        <w:t>联系人：强林海</w:t>
      </w:r>
    </w:p>
    <w:p w14:paraId="090C30C2">
      <w:pPr>
        <w:keepNext w:val="0"/>
        <w:keepLines w:val="0"/>
        <w:pageBreakBefore w:val="0"/>
        <w:numPr>
          <w:ilvl w:val="0"/>
          <w:numId w:val="0"/>
        </w:numPr>
        <w:kinsoku/>
        <w:wordWrap w:val="0"/>
        <w:overflowPunct/>
        <w:topLinePunct w:val="0"/>
        <w:autoSpaceDE/>
        <w:autoSpaceDN/>
        <w:bidi w:val="0"/>
        <w:spacing w:line="500" w:lineRule="exact"/>
        <w:ind w:firstLine="480" w:firstLineChars="200"/>
        <w:textAlignment w:val="auto"/>
        <w:rPr>
          <w:rFonts w:hint="eastAsia" w:ascii="宋体" w:hAnsi="宋体"/>
          <w:bCs/>
          <w:color w:val="000000"/>
          <w:sz w:val="24"/>
          <w:szCs w:val="28"/>
          <w:highlight w:val="none"/>
        </w:rPr>
      </w:pPr>
      <w:r>
        <w:rPr>
          <w:rFonts w:hint="eastAsia" w:ascii="宋体" w:hAnsi="宋体"/>
          <w:bCs/>
          <w:color w:val="000000"/>
          <w:sz w:val="24"/>
          <w:szCs w:val="28"/>
          <w:highlight w:val="none"/>
        </w:rPr>
        <w:t>电话： 0398-3687020、18639899021</w:t>
      </w:r>
    </w:p>
    <w:p w14:paraId="367B94EE">
      <w:pPr>
        <w:keepNext w:val="0"/>
        <w:keepLines w:val="0"/>
        <w:pageBreakBefore w:val="0"/>
        <w:numPr>
          <w:ilvl w:val="0"/>
          <w:numId w:val="0"/>
        </w:numPr>
        <w:kinsoku/>
        <w:wordWrap w:val="0"/>
        <w:overflowPunct/>
        <w:topLinePunct w:val="0"/>
        <w:autoSpaceDE/>
        <w:autoSpaceDN/>
        <w:bidi w:val="0"/>
        <w:spacing w:line="500" w:lineRule="exact"/>
        <w:ind w:firstLine="480" w:firstLineChars="200"/>
        <w:textAlignment w:val="auto"/>
        <w:rPr>
          <w:rFonts w:hint="eastAsia" w:ascii="宋体" w:hAnsi="宋体"/>
          <w:bCs/>
          <w:color w:val="000000"/>
          <w:sz w:val="24"/>
          <w:szCs w:val="28"/>
          <w:highlight w:val="none"/>
        </w:rPr>
      </w:pPr>
      <w:r>
        <w:rPr>
          <w:rFonts w:hint="eastAsia" w:ascii="宋体" w:hAnsi="宋体"/>
          <w:bCs/>
          <w:color w:val="000000"/>
          <w:sz w:val="24"/>
          <w:szCs w:val="28"/>
          <w:highlight w:val="none"/>
        </w:rPr>
        <w:t>地址：卢氏县靖华西路南侧</w:t>
      </w:r>
    </w:p>
    <w:p w14:paraId="341BD5F2">
      <w:pPr>
        <w:keepNext w:val="0"/>
        <w:keepLines w:val="0"/>
        <w:pageBreakBefore w:val="0"/>
        <w:numPr>
          <w:ilvl w:val="0"/>
          <w:numId w:val="0"/>
        </w:numPr>
        <w:kinsoku/>
        <w:wordWrap w:val="0"/>
        <w:overflowPunct/>
        <w:topLinePunct w:val="0"/>
        <w:autoSpaceDE/>
        <w:autoSpaceDN/>
        <w:bidi w:val="0"/>
        <w:spacing w:line="500" w:lineRule="exact"/>
        <w:ind w:firstLine="480" w:firstLineChars="200"/>
        <w:textAlignment w:val="auto"/>
        <w:rPr>
          <w:rFonts w:hint="eastAsia" w:ascii="宋体" w:hAnsi="宋体"/>
          <w:bCs/>
          <w:color w:val="000000"/>
          <w:sz w:val="24"/>
          <w:szCs w:val="28"/>
          <w:highlight w:val="none"/>
        </w:rPr>
      </w:pPr>
      <w:r>
        <w:rPr>
          <w:rFonts w:hint="eastAsia" w:ascii="宋体" w:hAnsi="宋体"/>
          <w:bCs/>
          <w:color w:val="000000"/>
          <w:sz w:val="24"/>
          <w:szCs w:val="28"/>
          <w:highlight w:val="none"/>
        </w:rPr>
        <w:t>招标代理机构：中伟诚工程管理有限公司</w:t>
      </w:r>
    </w:p>
    <w:p w14:paraId="2E3CC015">
      <w:pPr>
        <w:keepNext w:val="0"/>
        <w:keepLines w:val="0"/>
        <w:pageBreakBefore w:val="0"/>
        <w:numPr>
          <w:ilvl w:val="0"/>
          <w:numId w:val="0"/>
        </w:numPr>
        <w:kinsoku/>
        <w:wordWrap w:val="0"/>
        <w:overflowPunct/>
        <w:topLinePunct w:val="0"/>
        <w:autoSpaceDE/>
        <w:autoSpaceDN/>
        <w:bidi w:val="0"/>
        <w:spacing w:line="500" w:lineRule="exact"/>
        <w:ind w:firstLine="480" w:firstLineChars="200"/>
        <w:textAlignment w:val="auto"/>
        <w:rPr>
          <w:rFonts w:hint="eastAsia" w:ascii="宋体" w:hAnsi="宋体"/>
          <w:bCs/>
          <w:color w:val="000000"/>
          <w:sz w:val="24"/>
          <w:szCs w:val="28"/>
          <w:highlight w:val="none"/>
        </w:rPr>
      </w:pPr>
      <w:r>
        <w:rPr>
          <w:rFonts w:hint="eastAsia" w:ascii="宋体" w:hAnsi="宋体"/>
          <w:bCs/>
          <w:color w:val="000000"/>
          <w:sz w:val="24"/>
          <w:szCs w:val="28"/>
          <w:highlight w:val="none"/>
        </w:rPr>
        <w:t>联系人：张凯丽</w:t>
      </w:r>
    </w:p>
    <w:p w14:paraId="475E978A">
      <w:pPr>
        <w:keepNext w:val="0"/>
        <w:keepLines w:val="0"/>
        <w:pageBreakBefore w:val="0"/>
        <w:numPr>
          <w:ilvl w:val="0"/>
          <w:numId w:val="0"/>
        </w:numPr>
        <w:kinsoku/>
        <w:wordWrap w:val="0"/>
        <w:overflowPunct/>
        <w:topLinePunct w:val="0"/>
        <w:autoSpaceDE/>
        <w:autoSpaceDN/>
        <w:bidi w:val="0"/>
        <w:spacing w:line="500" w:lineRule="exact"/>
        <w:ind w:firstLine="480" w:firstLineChars="200"/>
        <w:textAlignment w:val="auto"/>
        <w:rPr>
          <w:rFonts w:hint="eastAsia" w:ascii="宋体" w:hAnsi="宋体"/>
          <w:bCs/>
          <w:color w:val="000000"/>
          <w:sz w:val="24"/>
          <w:szCs w:val="28"/>
          <w:highlight w:val="none"/>
          <w:lang w:eastAsia="zh-CN"/>
        </w:rPr>
      </w:pPr>
      <w:r>
        <w:rPr>
          <w:rFonts w:hint="eastAsia" w:ascii="宋体" w:hAnsi="宋体"/>
          <w:bCs/>
          <w:color w:val="000000"/>
          <w:sz w:val="24"/>
          <w:szCs w:val="28"/>
          <w:highlight w:val="none"/>
        </w:rPr>
        <w:t>电话：15139802041</w:t>
      </w:r>
      <w:r>
        <w:rPr>
          <w:rFonts w:hint="eastAsia" w:ascii="宋体" w:hAnsi="宋体"/>
          <w:bCs/>
          <w:color w:val="000000"/>
          <w:sz w:val="24"/>
          <w:szCs w:val="28"/>
          <w:highlight w:val="none"/>
          <w:lang w:eastAsia="zh-CN"/>
        </w:rPr>
        <w:t>、</w:t>
      </w:r>
      <w:r>
        <w:rPr>
          <w:rFonts w:hint="eastAsia" w:ascii="宋体" w:hAnsi="宋体"/>
          <w:bCs/>
          <w:color w:val="000000"/>
          <w:sz w:val="24"/>
          <w:szCs w:val="28"/>
          <w:highlight w:val="none"/>
        </w:rPr>
        <w:t>13643982722</w:t>
      </w:r>
    </w:p>
    <w:p w14:paraId="47C5540C">
      <w:pPr>
        <w:keepNext w:val="0"/>
        <w:keepLines w:val="0"/>
        <w:pageBreakBefore w:val="0"/>
        <w:numPr>
          <w:ilvl w:val="0"/>
          <w:numId w:val="0"/>
        </w:numPr>
        <w:kinsoku/>
        <w:wordWrap w:val="0"/>
        <w:overflowPunct/>
        <w:topLinePunct w:val="0"/>
        <w:autoSpaceDE/>
        <w:autoSpaceDN/>
        <w:bidi w:val="0"/>
        <w:spacing w:line="500" w:lineRule="exact"/>
        <w:ind w:firstLine="480" w:firstLineChars="200"/>
        <w:textAlignment w:val="auto"/>
        <w:rPr>
          <w:rFonts w:hint="eastAsia" w:ascii="宋体" w:hAnsi="宋体"/>
          <w:bCs/>
          <w:color w:val="000000"/>
          <w:sz w:val="24"/>
          <w:szCs w:val="28"/>
          <w:highlight w:val="none"/>
        </w:rPr>
      </w:pPr>
      <w:r>
        <w:rPr>
          <w:rFonts w:hint="eastAsia" w:ascii="宋体" w:hAnsi="宋体"/>
          <w:bCs/>
          <w:color w:val="000000"/>
          <w:sz w:val="24"/>
          <w:szCs w:val="28"/>
          <w:highlight w:val="none"/>
        </w:rPr>
        <w:t>地址：河南自贸试验区郑州片区（郑东）金水东路88-1号1号楼3层307</w:t>
      </w:r>
    </w:p>
    <w:p w14:paraId="6CDD2372">
      <w:pPr>
        <w:spacing w:line="500" w:lineRule="exact"/>
        <w:ind w:firstLine="3092" w:firstLineChars="700"/>
        <w:rPr>
          <w:rFonts w:hint="eastAsia" w:ascii="宋体" w:hAnsi="宋体"/>
          <w:b/>
          <w:bCs/>
          <w:color w:val="000000"/>
          <w:sz w:val="44"/>
          <w:szCs w:val="32"/>
          <w:highlight w:val="none"/>
        </w:rPr>
      </w:pPr>
    </w:p>
    <w:p w14:paraId="1F221511">
      <w:pPr>
        <w:rPr>
          <w:rFonts w:hint="eastAsia" w:ascii="宋体" w:hAnsi="宋体"/>
          <w:b/>
          <w:bCs/>
          <w:color w:val="000000"/>
          <w:sz w:val="44"/>
          <w:szCs w:val="32"/>
          <w:highlight w:val="none"/>
        </w:rPr>
      </w:pPr>
      <w:r>
        <w:rPr>
          <w:rFonts w:hint="eastAsia" w:ascii="宋体" w:hAnsi="宋体"/>
          <w:b/>
          <w:bCs/>
          <w:color w:val="000000"/>
          <w:sz w:val="44"/>
          <w:szCs w:val="32"/>
          <w:highlight w:val="none"/>
        </w:rPr>
        <w:br w:type="page"/>
      </w:r>
    </w:p>
    <w:p w14:paraId="2CA1EA96">
      <w:pPr>
        <w:spacing w:line="500" w:lineRule="exact"/>
        <w:ind w:firstLine="3092" w:firstLineChars="700"/>
        <w:rPr>
          <w:rFonts w:ascii="宋体" w:hAnsi="宋体"/>
          <w:b/>
          <w:color w:val="000000"/>
          <w:sz w:val="44"/>
          <w:szCs w:val="32"/>
          <w:highlight w:val="none"/>
        </w:rPr>
      </w:pPr>
      <w:r>
        <w:rPr>
          <w:rFonts w:hint="eastAsia" w:ascii="宋体" w:hAnsi="宋体"/>
          <w:b/>
          <w:bCs/>
          <w:color w:val="000000"/>
          <w:sz w:val="44"/>
          <w:szCs w:val="32"/>
          <w:highlight w:val="none"/>
        </w:rPr>
        <w:t>第二章  供应商</w:t>
      </w:r>
      <w:r>
        <w:rPr>
          <w:rFonts w:hint="eastAsia" w:ascii="宋体" w:hAnsi="宋体"/>
          <w:b/>
          <w:color w:val="000000"/>
          <w:sz w:val="44"/>
          <w:szCs w:val="32"/>
          <w:highlight w:val="none"/>
        </w:rPr>
        <w:t>须知</w:t>
      </w:r>
      <w:bookmarkEnd w:id="0"/>
    </w:p>
    <w:p w14:paraId="02AB618E">
      <w:pPr>
        <w:spacing w:line="360" w:lineRule="auto"/>
        <w:jc w:val="center"/>
        <w:outlineLvl w:val="0"/>
        <w:rPr>
          <w:rFonts w:ascii="宋体" w:hAnsi="宋体"/>
          <w:b/>
          <w:color w:val="000000"/>
          <w:sz w:val="32"/>
          <w:szCs w:val="32"/>
          <w:highlight w:val="none"/>
        </w:rPr>
      </w:pPr>
      <w:r>
        <w:rPr>
          <w:rFonts w:hint="eastAsia" w:ascii="宋体" w:hAnsi="宋体"/>
          <w:b/>
          <w:color w:val="000000"/>
          <w:sz w:val="32"/>
          <w:szCs w:val="32"/>
          <w:highlight w:val="none"/>
        </w:rPr>
        <w:t>供应商须知前附表</w:t>
      </w:r>
    </w:p>
    <w:tbl>
      <w:tblPr>
        <w:tblStyle w:val="21"/>
        <w:tblW w:w="95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2008"/>
        <w:gridCol w:w="6480"/>
      </w:tblGrid>
      <w:tr w14:paraId="0657A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1101" w:type="dxa"/>
          </w:tcPr>
          <w:p w14:paraId="4E8DE948">
            <w:pPr>
              <w:spacing w:line="360" w:lineRule="auto"/>
              <w:jc w:val="center"/>
              <w:rPr>
                <w:rFonts w:ascii="宋体" w:hAnsi="宋体"/>
                <w:color w:val="000000"/>
                <w:sz w:val="24"/>
                <w:szCs w:val="24"/>
                <w:highlight w:val="none"/>
              </w:rPr>
            </w:pPr>
            <w:bookmarkStart w:id="1" w:name="1.1.1__本项目采购人：见供应商须知前附表。"/>
            <w:bookmarkEnd w:id="1"/>
            <w:bookmarkStart w:id="2" w:name="1.1__工程概况"/>
            <w:bookmarkEnd w:id="2"/>
            <w:bookmarkStart w:id="3" w:name="根据《中华人民共和国政府采购法》等有关法律、法规和规章的规定，本谈判项目已具备谈"/>
            <w:bookmarkEnd w:id="3"/>
            <w:r>
              <w:rPr>
                <w:rFonts w:ascii="宋体" w:hAnsi="宋体"/>
                <w:color w:val="000000"/>
                <w:sz w:val="24"/>
                <w:szCs w:val="24"/>
                <w:highlight w:val="none"/>
              </w:rPr>
              <w:t>条款号</w:t>
            </w:r>
          </w:p>
        </w:tc>
        <w:tc>
          <w:tcPr>
            <w:tcW w:w="2008" w:type="dxa"/>
          </w:tcPr>
          <w:p w14:paraId="0237D247">
            <w:pPr>
              <w:spacing w:line="360" w:lineRule="auto"/>
              <w:jc w:val="center"/>
              <w:rPr>
                <w:rFonts w:ascii="宋体" w:hAnsi="宋体"/>
                <w:color w:val="000000"/>
                <w:sz w:val="24"/>
                <w:szCs w:val="24"/>
                <w:highlight w:val="none"/>
              </w:rPr>
            </w:pPr>
            <w:r>
              <w:rPr>
                <w:rFonts w:ascii="宋体" w:hAnsi="宋体"/>
                <w:color w:val="000000"/>
                <w:sz w:val="24"/>
                <w:szCs w:val="24"/>
                <w:highlight w:val="none"/>
              </w:rPr>
              <w:t>条款名称</w:t>
            </w:r>
          </w:p>
        </w:tc>
        <w:tc>
          <w:tcPr>
            <w:tcW w:w="6480" w:type="dxa"/>
          </w:tcPr>
          <w:p w14:paraId="7D90CE34">
            <w:pPr>
              <w:spacing w:line="360" w:lineRule="auto"/>
              <w:jc w:val="center"/>
              <w:rPr>
                <w:rFonts w:ascii="宋体" w:hAnsi="宋体"/>
                <w:color w:val="000000"/>
                <w:sz w:val="24"/>
                <w:szCs w:val="24"/>
                <w:highlight w:val="none"/>
              </w:rPr>
            </w:pPr>
            <w:r>
              <w:rPr>
                <w:rFonts w:ascii="宋体" w:hAnsi="宋体"/>
                <w:color w:val="000000"/>
                <w:sz w:val="24"/>
                <w:szCs w:val="24"/>
                <w:highlight w:val="none"/>
              </w:rPr>
              <w:t>编列内容</w:t>
            </w:r>
          </w:p>
        </w:tc>
      </w:tr>
      <w:tr w14:paraId="0E709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1101" w:type="dxa"/>
          </w:tcPr>
          <w:p w14:paraId="1CBA2EB5">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1.1.1</w:t>
            </w:r>
          </w:p>
        </w:tc>
        <w:tc>
          <w:tcPr>
            <w:tcW w:w="2008" w:type="dxa"/>
          </w:tcPr>
          <w:p w14:paraId="3E8160B6">
            <w:pPr>
              <w:spacing w:line="360" w:lineRule="auto"/>
              <w:jc w:val="center"/>
              <w:rPr>
                <w:rFonts w:ascii="宋体" w:hAnsi="宋体"/>
                <w:color w:val="000000"/>
                <w:sz w:val="24"/>
                <w:szCs w:val="24"/>
                <w:highlight w:val="none"/>
              </w:rPr>
            </w:pPr>
          </w:p>
          <w:p w14:paraId="6C1A2509">
            <w:pPr>
              <w:spacing w:line="360" w:lineRule="auto"/>
              <w:jc w:val="center"/>
              <w:rPr>
                <w:rFonts w:ascii="宋体" w:hAnsi="宋体"/>
                <w:color w:val="000000"/>
                <w:sz w:val="24"/>
                <w:szCs w:val="24"/>
                <w:highlight w:val="none"/>
              </w:rPr>
            </w:pPr>
          </w:p>
          <w:p w14:paraId="08D5E2A2">
            <w:pPr>
              <w:spacing w:line="360" w:lineRule="auto"/>
              <w:jc w:val="center"/>
              <w:rPr>
                <w:rFonts w:ascii="宋体" w:hAnsi="宋体"/>
                <w:color w:val="000000"/>
                <w:sz w:val="24"/>
                <w:szCs w:val="24"/>
                <w:highlight w:val="none"/>
              </w:rPr>
            </w:pPr>
          </w:p>
          <w:p w14:paraId="00F73A37">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监督单位</w:t>
            </w:r>
          </w:p>
        </w:tc>
        <w:tc>
          <w:tcPr>
            <w:tcW w:w="6480" w:type="dxa"/>
          </w:tcPr>
          <w:p w14:paraId="28B03328">
            <w:pPr>
              <w:spacing w:line="360" w:lineRule="auto"/>
              <w:ind w:firstLine="240" w:firstLineChars="100"/>
              <w:rPr>
                <w:rFonts w:hint="eastAsia" w:ascii="宋体" w:hAnsi="宋体"/>
                <w:color w:val="000000"/>
                <w:sz w:val="24"/>
                <w:szCs w:val="24"/>
                <w:highlight w:val="none"/>
              </w:rPr>
            </w:pPr>
            <w:r>
              <w:rPr>
                <w:rFonts w:hint="eastAsia" w:ascii="宋体" w:hAnsi="宋体"/>
                <w:color w:val="000000"/>
                <w:sz w:val="24"/>
                <w:szCs w:val="24"/>
                <w:highlight w:val="none"/>
              </w:rPr>
              <w:t>监督单位：卢氏县政府采购办公室</w:t>
            </w:r>
          </w:p>
          <w:p w14:paraId="6B0C2B56">
            <w:pPr>
              <w:spacing w:line="360" w:lineRule="auto"/>
              <w:ind w:firstLine="240" w:firstLineChars="100"/>
              <w:rPr>
                <w:rFonts w:hint="default"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联系人：郭伟静</w:t>
            </w:r>
          </w:p>
          <w:p w14:paraId="6199542F">
            <w:pPr>
              <w:spacing w:line="360" w:lineRule="auto"/>
              <w:ind w:firstLine="240" w:firstLineChars="100"/>
              <w:rPr>
                <w:rFonts w:hint="eastAsia" w:ascii="宋体" w:hAnsi="宋体"/>
                <w:color w:val="000000"/>
                <w:sz w:val="24"/>
                <w:szCs w:val="24"/>
                <w:highlight w:val="none"/>
              </w:rPr>
            </w:pPr>
            <w:r>
              <w:rPr>
                <w:rFonts w:hint="eastAsia" w:ascii="宋体" w:hAnsi="宋体"/>
                <w:color w:val="000000"/>
                <w:sz w:val="24"/>
                <w:szCs w:val="24"/>
                <w:highlight w:val="none"/>
              </w:rPr>
              <w:t xml:space="preserve">电话：0398-7863556 </w:t>
            </w:r>
          </w:p>
          <w:p w14:paraId="35E6CAA8">
            <w:pPr>
              <w:spacing w:line="360" w:lineRule="auto"/>
              <w:ind w:firstLine="240" w:firstLineChars="100"/>
              <w:rPr>
                <w:rFonts w:hint="eastAsia" w:ascii="宋体" w:hAnsi="宋体"/>
                <w:color w:val="000000"/>
                <w:sz w:val="24"/>
                <w:szCs w:val="24"/>
                <w:highlight w:val="none"/>
              </w:rPr>
            </w:pPr>
            <w:r>
              <w:rPr>
                <w:rFonts w:hint="eastAsia" w:ascii="宋体" w:hAnsi="宋体"/>
                <w:color w:val="000000"/>
                <w:sz w:val="24"/>
                <w:szCs w:val="24"/>
                <w:highlight w:val="none"/>
              </w:rPr>
              <w:t>地址：卢氏县城关镇解放路中段</w:t>
            </w:r>
          </w:p>
          <w:p w14:paraId="4CE6883F">
            <w:pPr>
              <w:spacing w:line="360" w:lineRule="auto"/>
              <w:ind w:firstLine="240" w:firstLineChars="100"/>
              <w:rPr>
                <w:rFonts w:hint="eastAsia" w:ascii="宋体" w:hAnsi="宋体"/>
                <w:color w:val="000000"/>
                <w:sz w:val="24"/>
                <w:szCs w:val="24"/>
                <w:highlight w:val="none"/>
              </w:rPr>
            </w:pPr>
            <w:r>
              <w:rPr>
                <w:rFonts w:hint="eastAsia" w:ascii="宋体" w:hAnsi="宋体"/>
                <w:color w:val="000000"/>
                <w:sz w:val="24"/>
                <w:szCs w:val="24"/>
                <w:highlight w:val="none"/>
              </w:rPr>
              <w:t>监督单位：卢氏县公安局警务督察大队</w:t>
            </w:r>
          </w:p>
          <w:p w14:paraId="7291DEBB">
            <w:pPr>
              <w:spacing w:line="360" w:lineRule="auto"/>
              <w:ind w:firstLine="240" w:firstLineChars="100"/>
              <w:rPr>
                <w:rFonts w:hint="eastAsia" w:ascii="宋体" w:hAnsi="宋体"/>
                <w:color w:val="000000"/>
                <w:sz w:val="24"/>
                <w:szCs w:val="24"/>
                <w:highlight w:val="none"/>
              </w:rPr>
            </w:pPr>
            <w:r>
              <w:rPr>
                <w:rFonts w:hint="eastAsia" w:ascii="宋体" w:hAnsi="宋体"/>
                <w:color w:val="000000"/>
                <w:sz w:val="24"/>
                <w:szCs w:val="24"/>
                <w:highlight w:val="none"/>
              </w:rPr>
              <w:t>联系人：杨晓娟</w:t>
            </w:r>
          </w:p>
          <w:p w14:paraId="63299B57">
            <w:pPr>
              <w:spacing w:line="360" w:lineRule="auto"/>
              <w:ind w:firstLine="240" w:firstLineChars="100"/>
              <w:rPr>
                <w:rFonts w:hint="eastAsia" w:ascii="宋体" w:hAnsi="宋体"/>
                <w:color w:val="000000"/>
                <w:sz w:val="24"/>
                <w:szCs w:val="24"/>
                <w:highlight w:val="none"/>
              </w:rPr>
            </w:pPr>
            <w:r>
              <w:rPr>
                <w:rFonts w:hint="eastAsia" w:ascii="宋体" w:hAnsi="宋体"/>
                <w:color w:val="000000"/>
                <w:sz w:val="24"/>
                <w:szCs w:val="24"/>
                <w:highlight w:val="none"/>
              </w:rPr>
              <w:t>电话：0398-3687301、18639876116</w:t>
            </w:r>
          </w:p>
          <w:p w14:paraId="3E2AF6D8">
            <w:pPr>
              <w:spacing w:line="360" w:lineRule="auto"/>
              <w:ind w:firstLine="240" w:firstLineChars="100"/>
              <w:rPr>
                <w:rFonts w:ascii="宋体" w:hAnsi="宋体"/>
                <w:color w:val="000000"/>
                <w:sz w:val="24"/>
                <w:szCs w:val="24"/>
                <w:highlight w:val="none"/>
              </w:rPr>
            </w:pPr>
            <w:r>
              <w:rPr>
                <w:rFonts w:hint="eastAsia" w:ascii="宋体" w:hAnsi="宋体"/>
                <w:color w:val="000000"/>
                <w:sz w:val="24"/>
                <w:szCs w:val="24"/>
                <w:highlight w:val="none"/>
              </w:rPr>
              <w:t>地址：卢氏县靖华西路南侧</w:t>
            </w:r>
          </w:p>
        </w:tc>
      </w:tr>
      <w:tr w14:paraId="4EC5D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jc w:val="center"/>
        </w:trPr>
        <w:tc>
          <w:tcPr>
            <w:tcW w:w="1101" w:type="dxa"/>
            <w:vAlign w:val="center"/>
          </w:tcPr>
          <w:p w14:paraId="5F0DC258">
            <w:pPr>
              <w:spacing w:line="360" w:lineRule="auto"/>
              <w:jc w:val="center"/>
              <w:rPr>
                <w:rFonts w:ascii="宋体" w:hAnsi="宋体"/>
                <w:color w:val="000000"/>
                <w:sz w:val="24"/>
                <w:szCs w:val="24"/>
                <w:highlight w:val="none"/>
              </w:rPr>
            </w:pPr>
            <w:r>
              <w:rPr>
                <w:rFonts w:ascii="宋体" w:hAnsi="宋体"/>
                <w:color w:val="000000"/>
                <w:sz w:val="24"/>
                <w:szCs w:val="24"/>
                <w:highlight w:val="none"/>
              </w:rPr>
              <w:t>1.1.2</w:t>
            </w:r>
          </w:p>
        </w:tc>
        <w:tc>
          <w:tcPr>
            <w:tcW w:w="2008" w:type="dxa"/>
            <w:vAlign w:val="center"/>
          </w:tcPr>
          <w:p w14:paraId="24BEA89C">
            <w:pPr>
              <w:spacing w:line="360" w:lineRule="auto"/>
              <w:jc w:val="center"/>
              <w:rPr>
                <w:rFonts w:ascii="宋体" w:hAnsi="宋体"/>
                <w:color w:val="000000"/>
                <w:sz w:val="24"/>
                <w:szCs w:val="24"/>
                <w:highlight w:val="none"/>
              </w:rPr>
            </w:pPr>
            <w:r>
              <w:rPr>
                <w:rFonts w:ascii="宋体" w:hAnsi="宋体"/>
                <w:color w:val="000000"/>
                <w:sz w:val="24"/>
                <w:szCs w:val="24"/>
                <w:highlight w:val="none"/>
              </w:rPr>
              <w:t>采购人</w:t>
            </w:r>
          </w:p>
        </w:tc>
        <w:tc>
          <w:tcPr>
            <w:tcW w:w="6480" w:type="dxa"/>
          </w:tcPr>
          <w:p w14:paraId="3A51218B">
            <w:pPr>
              <w:spacing w:line="360" w:lineRule="auto"/>
              <w:ind w:firstLine="240" w:firstLineChars="100"/>
              <w:rPr>
                <w:rFonts w:hint="eastAsia" w:ascii="宋体" w:hAnsi="宋体"/>
                <w:color w:val="000000"/>
                <w:sz w:val="24"/>
                <w:szCs w:val="24"/>
                <w:highlight w:val="none"/>
              </w:rPr>
            </w:pPr>
            <w:r>
              <w:rPr>
                <w:rFonts w:hint="eastAsia" w:ascii="宋体" w:hAnsi="宋体"/>
                <w:color w:val="000000"/>
                <w:sz w:val="24"/>
                <w:szCs w:val="24"/>
                <w:highlight w:val="none"/>
              </w:rPr>
              <w:t>招标人：卢氏县公安局</w:t>
            </w:r>
          </w:p>
          <w:p w14:paraId="1DB14F9E">
            <w:pPr>
              <w:spacing w:line="360" w:lineRule="auto"/>
              <w:ind w:firstLine="240" w:firstLineChars="100"/>
              <w:rPr>
                <w:rFonts w:hint="eastAsia" w:ascii="宋体" w:hAnsi="宋体"/>
                <w:color w:val="000000"/>
                <w:sz w:val="24"/>
                <w:szCs w:val="24"/>
                <w:highlight w:val="none"/>
              </w:rPr>
            </w:pPr>
            <w:r>
              <w:rPr>
                <w:rFonts w:hint="eastAsia" w:ascii="宋体" w:hAnsi="宋体"/>
                <w:color w:val="000000"/>
                <w:sz w:val="24"/>
                <w:szCs w:val="24"/>
                <w:highlight w:val="none"/>
              </w:rPr>
              <w:t>联系人：强林海</w:t>
            </w:r>
          </w:p>
          <w:p w14:paraId="1550AA95">
            <w:pPr>
              <w:spacing w:line="360" w:lineRule="auto"/>
              <w:ind w:firstLine="240" w:firstLineChars="100"/>
              <w:rPr>
                <w:rFonts w:ascii="宋体" w:hAnsi="宋体"/>
                <w:color w:val="000000"/>
                <w:sz w:val="24"/>
                <w:szCs w:val="24"/>
                <w:highlight w:val="none"/>
              </w:rPr>
            </w:pPr>
            <w:r>
              <w:rPr>
                <w:rFonts w:hint="eastAsia" w:ascii="宋体" w:hAnsi="宋体"/>
                <w:color w:val="000000"/>
                <w:sz w:val="24"/>
                <w:szCs w:val="24"/>
                <w:highlight w:val="none"/>
              </w:rPr>
              <w:t>电话： 0398-3687020、18639899021</w:t>
            </w:r>
          </w:p>
        </w:tc>
      </w:tr>
      <w:tr w14:paraId="2B336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4" w:hRule="atLeast"/>
          <w:jc w:val="center"/>
        </w:trPr>
        <w:tc>
          <w:tcPr>
            <w:tcW w:w="1101" w:type="dxa"/>
            <w:vAlign w:val="center"/>
          </w:tcPr>
          <w:p w14:paraId="700CF959">
            <w:pPr>
              <w:spacing w:line="360" w:lineRule="auto"/>
              <w:jc w:val="center"/>
              <w:rPr>
                <w:rFonts w:ascii="宋体" w:hAnsi="宋体"/>
                <w:color w:val="000000"/>
                <w:sz w:val="24"/>
                <w:szCs w:val="24"/>
                <w:highlight w:val="none"/>
              </w:rPr>
            </w:pPr>
            <w:r>
              <w:rPr>
                <w:rFonts w:ascii="宋体" w:hAnsi="宋体"/>
                <w:color w:val="000000"/>
                <w:sz w:val="24"/>
                <w:szCs w:val="24"/>
                <w:highlight w:val="none"/>
              </w:rPr>
              <w:t>1.1.3</w:t>
            </w:r>
          </w:p>
        </w:tc>
        <w:tc>
          <w:tcPr>
            <w:tcW w:w="2008" w:type="dxa"/>
            <w:vAlign w:val="center"/>
          </w:tcPr>
          <w:p w14:paraId="11329749">
            <w:pPr>
              <w:spacing w:line="360" w:lineRule="auto"/>
              <w:jc w:val="center"/>
              <w:rPr>
                <w:rFonts w:ascii="宋体" w:hAnsi="宋体"/>
                <w:color w:val="000000"/>
                <w:sz w:val="24"/>
                <w:szCs w:val="24"/>
                <w:highlight w:val="none"/>
              </w:rPr>
            </w:pPr>
            <w:r>
              <w:rPr>
                <w:rFonts w:ascii="宋体" w:hAnsi="宋体"/>
                <w:color w:val="000000"/>
                <w:sz w:val="24"/>
                <w:szCs w:val="24"/>
                <w:highlight w:val="none"/>
              </w:rPr>
              <w:t>代理机构</w:t>
            </w:r>
          </w:p>
        </w:tc>
        <w:tc>
          <w:tcPr>
            <w:tcW w:w="6480" w:type="dxa"/>
          </w:tcPr>
          <w:p w14:paraId="689E3E4E">
            <w:pPr>
              <w:spacing w:line="360" w:lineRule="auto"/>
              <w:ind w:firstLine="240" w:firstLineChars="100"/>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rPr>
              <w:t>代理公司：</w:t>
            </w:r>
            <w:r>
              <w:rPr>
                <w:rFonts w:hint="eastAsia" w:ascii="宋体" w:hAnsi="宋体"/>
                <w:color w:val="000000"/>
                <w:sz w:val="24"/>
                <w:szCs w:val="24"/>
                <w:highlight w:val="none"/>
                <w:lang w:eastAsia="zh-CN"/>
              </w:rPr>
              <w:t>中伟诚工程管理有限公司</w:t>
            </w:r>
          </w:p>
          <w:p w14:paraId="2CA97ACB">
            <w:pPr>
              <w:keepNext w:val="0"/>
              <w:keepLines w:val="0"/>
              <w:pageBreakBefore w:val="0"/>
              <w:kinsoku/>
              <w:wordWrap w:val="0"/>
              <w:overflowPunct/>
              <w:topLinePunct w:val="0"/>
              <w:autoSpaceDE/>
              <w:autoSpaceDN/>
              <w:bidi w:val="0"/>
              <w:spacing w:line="500" w:lineRule="exact"/>
              <w:ind w:firstLine="240" w:firstLineChars="100"/>
              <w:textAlignment w:val="auto"/>
              <w:rPr>
                <w:rFonts w:hint="eastAsia" w:ascii="宋体" w:hAnsi="宋体"/>
                <w:bCs/>
                <w:color w:val="000000"/>
                <w:sz w:val="24"/>
                <w:szCs w:val="28"/>
                <w:highlight w:val="none"/>
              </w:rPr>
            </w:pPr>
            <w:r>
              <w:rPr>
                <w:rFonts w:hint="eastAsia" w:ascii="宋体" w:hAnsi="宋体"/>
                <w:bCs/>
                <w:color w:val="000000"/>
                <w:sz w:val="24"/>
                <w:szCs w:val="28"/>
                <w:highlight w:val="none"/>
              </w:rPr>
              <w:t>联系人：张凯丽</w:t>
            </w:r>
          </w:p>
          <w:p w14:paraId="6F52408A">
            <w:pPr>
              <w:keepNext w:val="0"/>
              <w:keepLines w:val="0"/>
              <w:pageBreakBefore w:val="0"/>
              <w:kinsoku/>
              <w:wordWrap w:val="0"/>
              <w:overflowPunct/>
              <w:topLinePunct w:val="0"/>
              <w:autoSpaceDE/>
              <w:autoSpaceDN/>
              <w:bidi w:val="0"/>
              <w:spacing w:line="500" w:lineRule="exact"/>
              <w:ind w:firstLine="240" w:firstLineChars="100"/>
              <w:textAlignment w:val="auto"/>
              <w:rPr>
                <w:rFonts w:hint="eastAsia" w:ascii="宋体" w:hAnsi="宋体" w:eastAsia="宋体"/>
                <w:bCs/>
                <w:color w:val="000000"/>
                <w:sz w:val="24"/>
                <w:szCs w:val="28"/>
                <w:highlight w:val="none"/>
                <w:lang w:eastAsia="zh-CN"/>
              </w:rPr>
            </w:pPr>
            <w:r>
              <w:rPr>
                <w:rFonts w:hint="eastAsia" w:ascii="宋体" w:hAnsi="宋体"/>
                <w:bCs/>
                <w:color w:val="000000"/>
                <w:sz w:val="24"/>
                <w:szCs w:val="28"/>
                <w:highlight w:val="none"/>
              </w:rPr>
              <w:t>电话：15139802041</w:t>
            </w:r>
            <w:r>
              <w:rPr>
                <w:rFonts w:hint="eastAsia" w:ascii="宋体" w:hAnsi="宋体"/>
                <w:bCs/>
                <w:color w:val="000000"/>
                <w:sz w:val="24"/>
                <w:szCs w:val="28"/>
                <w:highlight w:val="none"/>
                <w:lang w:eastAsia="zh-CN"/>
              </w:rPr>
              <w:t>、</w:t>
            </w:r>
            <w:r>
              <w:rPr>
                <w:rFonts w:hint="eastAsia" w:ascii="宋体" w:hAnsi="宋体"/>
                <w:bCs/>
                <w:color w:val="000000"/>
                <w:sz w:val="24"/>
                <w:szCs w:val="28"/>
                <w:highlight w:val="none"/>
              </w:rPr>
              <w:t>13643982722</w:t>
            </w:r>
          </w:p>
          <w:p w14:paraId="5A82815F">
            <w:pPr>
              <w:keepNext w:val="0"/>
              <w:keepLines w:val="0"/>
              <w:pageBreakBefore w:val="0"/>
              <w:kinsoku/>
              <w:wordWrap w:val="0"/>
              <w:overflowPunct/>
              <w:topLinePunct w:val="0"/>
              <w:autoSpaceDE/>
              <w:autoSpaceDN/>
              <w:bidi w:val="0"/>
              <w:spacing w:line="500" w:lineRule="exact"/>
              <w:ind w:firstLine="240" w:firstLineChars="100"/>
              <w:textAlignment w:val="auto"/>
              <w:rPr>
                <w:rFonts w:ascii="宋体" w:hAnsi="宋体"/>
                <w:color w:val="000000"/>
                <w:sz w:val="24"/>
                <w:szCs w:val="24"/>
                <w:highlight w:val="none"/>
              </w:rPr>
            </w:pPr>
            <w:r>
              <w:rPr>
                <w:rFonts w:hint="eastAsia" w:ascii="宋体" w:hAnsi="宋体"/>
                <w:bCs/>
                <w:color w:val="000000"/>
                <w:sz w:val="24"/>
                <w:szCs w:val="28"/>
                <w:highlight w:val="none"/>
              </w:rPr>
              <w:t>地址：河南自贸试验区郑州片区（郑东）金水东路88-1号1号楼3层307</w:t>
            </w:r>
          </w:p>
        </w:tc>
      </w:tr>
      <w:tr w14:paraId="7BA69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101" w:type="dxa"/>
            <w:vAlign w:val="center"/>
          </w:tcPr>
          <w:p w14:paraId="2F5D737E">
            <w:pPr>
              <w:spacing w:line="360" w:lineRule="auto"/>
              <w:jc w:val="center"/>
              <w:rPr>
                <w:rFonts w:ascii="宋体" w:hAnsi="宋体"/>
                <w:color w:val="000000"/>
                <w:sz w:val="24"/>
                <w:szCs w:val="24"/>
                <w:highlight w:val="none"/>
              </w:rPr>
            </w:pPr>
            <w:r>
              <w:rPr>
                <w:rFonts w:ascii="宋体" w:hAnsi="宋体"/>
                <w:color w:val="000000"/>
                <w:sz w:val="24"/>
                <w:szCs w:val="24"/>
                <w:highlight w:val="none"/>
              </w:rPr>
              <w:t>1.</w:t>
            </w:r>
            <w:r>
              <w:rPr>
                <w:rFonts w:hint="eastAsia" w:ascii="宋体" w:hAnsi="宋体"/>
                <w:color w:val="000000"/>
                <w:sz w:val="24"/>
                <w:szCs w:val="24"/>
                <w:highlight w:val="none"/>
              </w:rPr>
              <w:t>2</w:t>
            </w:r>
            <w:r>
              <w:rPr>
                <w:rFonts w:ascii="宋体" w:hAnsi="宋体"/>
                <w:color w:val="000000"/>
                <w:sz w:val="24"/>
                <w:szCs w:val="24"/>
                <w:highlight w:val="none"/>
              </w:rPr>
              <w:t>.</w:t>
            </w:r>
            <w:r>
              <w:rPr>
                <w:rFonts w:hint="eastAsia" w:ascii="宋体" w:hAnsi="宋体"/>
                <w:color w:val="000000"/>
                <w:sz w:val="24"/>
                <w:szCs w:val="24"/>
                <w:highlight w:val="none"/>
              </w:rPr>
              <w:t>1</w:t>
            </w:r>
          </w:p>
        </w:tc>
        <w:tc>
          <w:tcPr>
            <w:tcW w:w="2008" w:type="dxa"/>
            <w:vAlign w:val="center"/>
          </w:tcPr>
          <w:p w14:paraId="5D647988">
            <w:pPr>
              <w:spacing w:line="360" w:lineRule="auto"/>
              <w:jc w:val="center"/>
              <w:rPr>
                <w:rFonts w:ascii="宋体" w:hAnsi="宋体"/>
                <w:color w:val="000000"/>
                <w:sz w:val="24"/>
                <w:szCs w:val="24"/>
                <w:highlight w:val="none"/>
              </w:rPr>
            </w:pPr>
            <w:r>
              <w:rPr>
                <w:rFonts w:ascii="宋体" w:hAnsi="宋体"/>
                <w:color w:val="000000"/>
                <w:sz w:val="24"/>
                <w:szCs w:val="24"/>
                <w:highlight w:val="none"/>
              </w:rPr>
              <w:t>项目名称</w:t>
            </w:r>
          </w:p>
        </w:tc>
        <w:tc>
          <w:tcPr>
            <w:tcW w:w="6480" w:type="dxa"/>
            <w:vAlign w:val="center"/>
          </w:tcPr>
          <w:p w14:paraId="0D97F5FC">
            <w:pPr>
              <w:spacing w:line="360" w:lineRule="auto"/>
              <w:ind w:firstLine="240" w:firstLineChars="100"/>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lang w:eastAsia="zh-CN"/>
              </w:rPr>
              <w:t>卢氏县公安局中兴路电子警察及交通信号灯采购项目</w:t>
            </w:r>
          </w:p>
        </w:tc>
      </w:tr>
      <w:tr w14:paraId="746D6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101" w:type="dxa"/>
            <w:vAlign w:val="center"/>
          </w:tcPr>
          <w:p w14:paraId="52A7A62A">
            <w:pPr>
              <w:spacing w:line="360" w:lineRule="auto"/>
              <w:jc w:val="center"/>
              <w:rPr>
                <w:rFonts w:ascii="宋体" w:hAnsi="宋体"/>
                <w:color w:val="000000"/>
                <w:sz w:val="24"/>
                <w:szCs w:val="24"/>
                <w:highlight w:val="none"/>
              </w:rPr>
            </w:pPr>
            <w:r>
              <w:rPr>
                <w:rFonts w:ascii="宋体" w:hAnsi="宋体"/>
                <w:color w:val="000000"/>
                <w:sz w:val="24"/>
                <w:szCs w:val="24"/>
                <w:highlight w:val="none"/>
              </w:rPr>
              <w:t>1.</w:t>
            </w:r>
            <w:r>
              <w:rPr>
                <w:rFonts w:hint="eastAsia" w:ascii="宋体" w:hAnsi="宋体"/>
                <w:color w:val="000000"/>
                <w:sz w:val="24"/>
                <w:szCs w:val="24"/>
                <w:highlight w:val="none"/>
              </w:rPr>
              <w:t>2</w:t>
            </w:r>
            <w:r>
              <w:rPr>
                <w:rFonts w:ascii="宋体" w:hAnsi="宋体"/>
                <w:color w:val="000000"/>
                <w:sz w:val="24"/>
                <w:szCs w:val="24"/>
                <w:highlight w:val="none"/>
              </w:rPr>
              <w:t>.</w:t>
            </w:r>
            <w:r>
              <w:rPr>
                <w:rFonts w:hint="eastAsia" w:ascii="宋体" w:hAnsi="宋体"/>
                <w:color w:val="000000"/>
                <w:sz w:val="24"/>
                <w:szCs w:val="24"/>
                <w:highlight w:val="none"/>
              </w:rPr>
              <w:t>2</w:t>
            </w:r>
          </w:p>
        </w:tc>
        <w:tc>
          <w:tcPr>
            <w:tcW w:w="2008" w:type="dxa"/>
            <w:vAlign w:val="center"/>
          </w:tcPr>
          <w:p w14:paraId="38E59400">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采购</w:t>
            </w:r>
            <w:r>
              <w:rPr>
                <w:rFonts w:ascii="宋体" w:hAnsi="宋体"/>
                <w:color w:val="000000"/>
                <w:sz w:val="24"/>
                <w:szCs w:val="24"/>
                <w:highlight w:val="none"/>
              </w:rPr>
              <w:t>内容</w:t>
            </w:r>
          </w:p>
        </w:tc>
        <w:tc>
          <w:tcPr>
            <w:tcW w:w="6480" w:type="dxa"/>
            <w:vAlign w:val="center"/>
          </w:tcPr>
          <w:p w14:paraId="51FF8CA7">
            <w:pPr>
              <w:spacing w:line="360" w:lineRule="auto"/>
              <w:ind w:firstLine="240" w:firstLineChars="100"/>
              <w:rPr>
                <w:rFonts w:ascii="宋体" w:hAnsi="宋体"/>
                <w:color w:val="000000"/>
                <w:sz w:val="24"/>
                <w:szCs w:val="24"/>
                <w:highlight w:val="none"/>
              </w:rPr>
            </w:pPr>
            <w:r>
              <w:rPr>
                <w:rFonts w:hint="eastAsia" w:ascii="宋体" w:hAnsi="宋体"/>
                <w:bCs/>
                <w:color w:val="000000"/>
                <w:sz w:val="24"/>
                <w:szCs w:val="28"/>
                <w:highlight w:val="none"/>
              </w:rPr>
              <w:t>采购</w:t>
            </w:r>
            <w:r>
              <w:rPr>
                <w:rFonts w:hint="eastAsia" w:ascii="宋体" w:hAnsi="宋体"/>
                <w:bCs/>
                <w:color w:val="000000"/>
                <w:sz w:val="24"/>
                <w:szCs w:val="28"/>
                <w:highlight w:val="none"/>
                <w:lang w:eastAsia="zh-CN"/>
              </w:rPr>
              <w:t>一批电子警察和交通信号灯设备，</w:t>
            </w:r>
            <w:r>
              <w:rPr>
                <w:rFonts w:hint="eastAsia" w:ascii="宋体" w:hAnsi="宋体"/>
                <w:color w:val="000000"/>
                <w:sz w:val="24"/>
                <w:szCs w:val="28"/>
                <w:highlight w:val="none"/>
              </w:rPr>
              <w:t>具体内容详见第四章采购</w:t>
            </w:r>
            <w:r>
              <w:rPr>
                <w:rFonts w:hint="eastAsia" w:ascii="宋体" w:hAnsi="宋体"/>
                <w:color w:val="000000"/>
                <w:sz w:val="24"/>
                <w:szCs w:val="28"/>
                <w:highlight w:val="none"/>
                <w:lang w:eastAsia="zh-CN"/>
              </w:rPr>
              <w:t>内容及技术要求。</w:t>
            </w:r>
          </w:p>
        </w:tc>
      </w:tr>
      <w:tr w14:paraId="0E75A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1101" w:type="dxa"/>
            <w:vAlign w:val="center"/>
          </w:tcPr>
          <w:p w14:paraId="6FD20432">
            <w:pPr>
              <w:spacing w:line="360" w:lineRule="auto"/>
              <w:jc w:val="center"/>
              <w:rPr>
                <w:rFonts w:ascii="宋体" w:hAnsi="宋体"/>
                <w:color w:val="000000"/>
                <w:sz w:val="24"/>
                <w:szCs w:val="24"/>
                <w:highlight w:val="none"/>
              </w:rPr>
            </w:pPr>
            <w:r>
              <w:rPr>
                <w:rFonts w:ascii="宋体" w:hAnsi="宋体"/>
                <w:color w:val="000000"/>
                <w:sz w:val="24"/>
                <w:szCs w:val="24"/>
                <w:highlight w:val="none"/>
              </w:rPr>
              <w:t>1.</w:t>
            </w:r>
            <w:r>
              <w:rPr>
                <w:rFonts w:hint="eastAsia" w:ascii="宋体" w:hAnsi="宋体"/>
                <w:color w:val="000000"/>
                <w:sz w:val="24"/>
                <w:szCs w:val="24"/>
                <w:highlight w:val="none"/>
              </w:rPr>
              <w:t>2</w:t>
            </w:r>
            <w:r>
              <w:rPr>
                <w:rFonts w:ascii="宋体" w:hAnsi="宋体"/>
                <w:color w:val="000000"/>
                <w:sz w:val="24"/>
                <w:szCs w:val="24"/>
                <w:highlight w:val="none"/>
              </w:rPr>
              <w:t>.</w:t>
            </w:r>
            <w:r>
              <w:rPr>
                <w:rFonts w:hint="eastAsia" w:ascii="宋体" w:hAnsi="宋体"/>
                <w:color w:val="000000"/>
                <w:sz w:val="24"/>
                <w:szCs w:val="24"/>
                <w:highlight w:val="none"/>
              </w:rPr>
              <w:t>3</w:t>
            </w:r>
          </w:p>
        </w:tc>
        <w:tc>
          <w:tcPr>
            <w:tcW w:w="2008" w:type="dxa"/>
            <w:vAlign w:val="center"/>
          </w:tcPr>
          <w:p w14:paraId="56E9452D">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采购预算</w:t>
            </w:r>
          </w:p>
        </w:tc>
        <w:tc>
          <w:tcPr>
            <w:tcW w:w="6480" w:type="dxa"/>
          </w:tcPr>
          <w:p w14:paraId="1A6EA9E5">
            <w:pPr>
              <w:spacing w:line="360" w:lineRule="auto"/>
              <w:ind w:firstLine="240" w:firstLineChars="100"/>
              <w:rPr>
                <w:rFonts w:ascii="宋体" w:hAnsi="宋体"/>
                <w:color w:val="000000"/>
                <w:sz w:val="24"/>
                <w:szCs w:val="24"/>
                <w:highlight w:val="none"/>
              </w:rPr>
            </w:pPr>
            <w:r>
              <w:rPr>
                <w:rFonts w:hint="eastAsia" w:ascii="宋体" w:hAnsi="宋体"/>
                <w:color w:val="000000"/>
                <w:sz w:val="24"/>
                <w:szCs w:val="24"/>
                <w:highlight w:val="none"/>
              </w:rPr>
              <w:t>¥4</w:t>
            </w:r>
            <w:r>
              <w:rPr>
                <w:rFonts w:hint="eastAsia" w:ascii="宋体" w:hAnsi="宋体"/>
                <w:color w:val="000000"/>
                <w:sz w:val="24"/>
                <w:szCs w:val="28"/>
                <w:highlight w:val="none"/>
                <w:lang w:val="en-US" w:eastAsia="zh-CN"/>
              </w:rPr>
              <w:t>45530.00</w:t>
            </w:r>
            <w:r>
              <w:rPr>
                <w:rFonts w:hint="eastAsia" w:ascii="宋体" w:hAnsi="宋体"/>
                <w:color w:val="000000"/>
                <w:sz w:val="24"/>
                <w:szCs w:val="24"/>
                <w:highlight w:val="none"/>
              </w:rPr>
              <w:t>元</w:t>
            </w:r>
          </w:p>
        </w:tc>
      </w:tr>
      <w:tr w14:paraId="3CF69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1101" w:type="dxa"/>
            <w:vAlign w:val="center"/>
          </w:tcPr>
          <w:p w14:paraId="43B0BEB8">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1.2.4</w:t>
            </w:r>
          </w:p>
        </w:tc>
        <w:tc>
          <w:tcPr>
            <w:tcW w:w="2008" w:type="dxa"/>
            <w:vAlign w:val="center"/>
          </w:tcPr>
          <w:p w14:paraId="23948D8E">
            <w:pPr>
              <w:spacing w:line="360" w:lineRule="auto"/>
              <w:jc w:val="center"/>
              <w:rPr>
                <w:rFonts w:ascii="宋体" w:hAnsi="宋体"/>
                <w:color w:val="000000"/>
                <w:sz w:val="24"/>
                <w:szCs w:val="24"/>
                <w:highlight w:val="none"/>
              </w:rPr>
            </w:pPr>
            <w:r>
              <w:rPr>
                <w:rFonts w:ascii="宋体" w:hAnsi="宋体"/>
                <w:color w:val="000000"/>
                <w:sz w:val="24"/>
                <w:szCs w:val="24"/>
                <w:highlight w:val="none"/>
              </w:rPr>
              <w:t>资金来源</w:t>
            </w:r>
          </w:p>
        </w:tc>
        <w:tc>
          <w:tcPr>
            <w:tcW w:w="6480" w:type="dxa"/>
            <w:vAlign w:val="center"/>
          </w:tcPr>
          <w:p w14:paraId="17F9DE1F">
            <w:pPr>
              <w:spacing w:line="360" w:lineRule="auto"/>
              <w:ind w:firstLine="240" w:firstLineChars="100"/>
              <w:rPr>
                <w:rFonts w:ascii="宋体" w:hAnsi="宋体"/>
                <w:color w:val="000000"/>
                <w:sz w:val="24"/>
                <w:szCs w:val="24"/>
                <w:highlight w:val="none"/>
              </w:rPr>
            </w:pPr>
            <w:r>
              <w:rPr>
                <w:rFonts w:hint="eastAsia" w:ascii="宋体" w:hAnsi="宋体"/>
                <w:color w:val="000000"/>
                <w:sz w:val="24"/>
                <w:szCs w:val="24"/>
                <w:highlight w:val="none"/>
              </w:rPr>
              <w:t>财政资金</w:t>
            </w:r>
          </w:p>
        </w:tc>
      </w:tr>
      <w:tr w14:paraId="64CF5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101" w:type="dxa"/>
            <w:vAlign w:val="center"/>
          </w:tcPr>
          <w:p w14:paraId="132482F9">
            <w:pPr>
              <w:spacing w:line="360" w:lineRule="auto"/>
              <w:jc w:val="center"/>
              <w:rPr>
                <w:rFonts w:ascii="宋体" w:hAnsi="宋体"/>
                <w:color w:val="000000"/>
                <w:sz w:val="24"/>
                <w:szCs w:val="24"/>
                <w:highlight w:val="none"/>
              </w:rPr>
            </w:pPr>
            <w:r>
              <w:rPr>
                <w:rFonts w:ascii="宋体" w:hAnsi="宋体"/>
                <w:color w:val="000000"/>
                <w:sz w:val="24"/>
                <w:szCs w:val="24"/>
                <w:highlight w:val="none"/>
              </w:rPr>
              <w:t>1.</w:t>
            </w:r>
            <w:r>
              <w:rPr>
                <w:rFonts w:hint="eastAsia" w:ascii="宋体" w:hAnsi="宋体"/>
                <w:color w:val="000000"/>
                <w:sz w:val="24"/>
                <w:szCs w:val="24"/>
                <w:highlight w:val="none"/>
              </w:rPr>
              <w:t>2.5</w:t>
            </w:r>
          </w:p>
        </w:tc>
        <w:tc>
          <w:tcPr>
            <w:tcW w:w="2008" w:type="dxa"/>
            <w:vAlign w:val="center"/>
          </w:tcPr>
          <w:p w14:paraId="7876168B">
            <w:pPr>
              <w:spacing w:line="360" w:lineRule="auto"/>
              <w:jc w:val="center"/>
              <w:rPr>
                <w:rFonts w:ascii="宋体" w:hAnsi="宋体"/>
                <w:color w:val="000000"/>
                <w:sz w:val="24"/>
                <w:szCs w:val="24"/>
                <w:highlight w:val="none"/>
              </w:rPr>
            </w:pPr>
            <w:r>
              <w:rPr>
                <w:rFonts w:ascii="宋体" w:hAnsi="宋体"/>
                <w:color w:val="000000"/>
                <w:sz w:val="24"/>
                <w:szCs w:val="24"/>
                <w:highlight w:val="none"/>
              </w:rPr>
              <w:t>资金落实情况</w:t>
            </w:r>
          </w:p>
        </w:tc>
        <w:tc>
          <w:tcPr>
            <w:tcW w:w="6480" w:type="dxa"/>
            <w:vAlign w:val="center"/>
          </w:tcPr>
          <w:p w14:paraId="2CDFA17E">
            <w:pPr>
              <w:spacing w:line="360" w:lineRule="auto"/>
              <w:ind w:firstLine="240" w:firstLineChars="100"/>
              <w:rPr>
                <w:rFonts w:ascii="宋体" w:hAnsi="宋体"/>
                <w:color w:val="000000"/>
                <w:sz w:val="24"/>
                <w:szCs w:val="24"/>
                <w:highlight w:val="none"/>
              </w:rPr>
            </w:pPr>
            <w:r>
              <w:rPr>
                <w:rFonts w:hint="eastAsia" w:ascii="宋体" w:hAnsi="宋体"/>
                <w:color w:val="000000"/>
                <w:sz w:val="24"/>
                <w:szCs w:val="24"/>
                <w:highlight w:val="none"/>
              </w:rPr>
              <w:t>已落实</w:t>
            </w:r>
          </w:p>
        </w:tc>
      </w:tr>
      <w:tr w14:paraId="674D0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1101" w:type="dxa"/>
            <w:vAlign w:val="center"/>
          </w:tcPr>
          <w:p w14:paraId="15FA272D">
            <w:pPr>
              <w:spacing w:line="360" w:lineRule="auto"/>
              <w:jc w:val="center"/>
              <w:rPr>
                <w:rFonts w:ascii="宋体" w:hAnsi="宋体"/>
                <w:color w:val="000000"/>
                <w:sz w:val="24"/>
                <w:szCs w:val="24"/>
                <w:highlight w:val="none"/>
              </w:rPr>
            </w:pPr>
            <w:r>
              <w:rPr>
                <w:rFonts w:ascii="宋体" w:hAnsi="宋体"/>
                <w:color w:val="000000"/>
                <w:sz w:val="24"/>
                <w:szCs w:val="24"/>
                <w:highlight w:val="none"/>
              </w:rPr>
              <w:t>1.</w:t>
            </w:r>
            <w:r>
              <w:rPr>
                <w:rFonts w:hint="eastAsia" w:ascii="宋体" w:hAnsi="宋体"/>
                <w:color w:val="000000"/>
                <w:sz w:val="24"/>
                <w:szCs w:val="24"/>
                <w:highlight w:val="none"/>
              </w:rPr>
              <w:t>2.6</w:t>
            </w:r>
          </w:p>
        </w:tc>
        <w:tc>
          <w:tcPr>
            <w:tcW w:w="2008" w:type="dxa"/>
            <w:vAlign w:val="center"/>
          </w:tcPr>
          <w:p w14:paraId="3A25B21E">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供货期</w:t>
            </w:r>
          </w:p>
        </w:tc>
        <w:tc>
          <w:tcPr>
            <w:tcW w:w="6480" w:type="dxa"/>
            <w:vAlign w:val="center"/>
          </w:tcPr>
          <w:p w14:paraId="7D4276FD">
            <w:pPr>
              <w:spacing w:line="360" w:lineRule="auto"/>
              <w:ind w:firstLine="240" w:firstLineChars="100"/>
              <w:rPr>
                <w:rFonts w:ascii="宋体" w:hAnsi="宋体"/>
                <w:color w:val="000000"/>
                <w:sz w:val="24"/>
                <w:szCs w:val="24"/>
                <w:highlight w:val="none"/>
              </w:rPr>
            </w:pPr>
            <w:r>
              <w:rPr>
                <w:rFonts w:hint="eastAsia" w:ascii="宋体" w:hAnsi="宋体"/>
                <w:color w:val="000000"/>
                <w:sz w:val="24"/>
                <w:szCs w:val="28"/>
                <w:highlight w:val="none"/>
              </w:rPr>
              <w:t>合同签订后</w:t>
            </w:r>
            <w:r>
              <w:rPr>
                <w:rFonts w:hint="eastAsia" w:ascii="宋体" w:hAnsi="宋体"/>
                <w:color w:val="000000"/>
                <w:sz w:val="24"/>
                <w:szCs w:val="28"/>
                <w:highlight w:val="none"/>
                <w:lang w:val="en-US" w:eastAsia="zh-CN"/>
              </w:rPr>
              <w:t>15</w:t>
            </w:r>
            <w:r>
              <w:rPr>
                <w:rFonts w:hint="eastAsia" w:ascii="宋体" w:hAnsi="宋体"/>
                <w:color w:val="000000"/>
                <w:sz w:val="24"/>
                <w:szCs w:val="28"/>
                <w:highlight w:val="none"/>
              </w:rPr>
              <w:t>日历天内完成交货、安装、调试、验收</w:t>
            </w:r>
          </w:p>
        </w:tc>
      </w:tr>
      <w:tr w14:paraId="6808E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01" w:type="dxa"/>
          </w:tcPr>
          <w:p w14:paraId="0F8464DF">
            <w:pPr>
              <w:spacing w:line="360" w:lineRule="auto"/>
              <w:jc w:val="center"/>
              <w:rPr>
                <w:rFonts w:ascii="宋体" w:hAnsi="宋体"/>
                <w:color w:val="000000"/>
                <w:sz w:val="24"/>
                <w:szCs w:val="24"/>
                <w:highlight w:val="none"/>
              </w:rPr>
            </w:pPr>
            <w:r>
              <w:rPr>
                <w:rFonts w:ascii="宋体" w:hAnsi="宋体"/>
                <w:color w:val="000000"/>
                <w:sz w:val="24"/>
                <w:szCs w:val="24"/>
                <w:highlight w:val="none"/>
              </w:rPr>
              <w:t>1.</w:t>
            </w:r>
            <w:r>
              <w:rPr>
                <w:rFonts w:hint="eastAsia" w:ascii="宋体" w:hAnsi="宋体"/>
                <w:color w:val="000000"/>
                <w:sz w:val="24"/>
                <w:szCs w:val="24"/>
                <w:highlight w:val="none"/>
              </w:rPr>
              <w:t>2.7</w:t>
            </w:r>
          </w:p>
        </w:tc>
        <w:tc>
          <w:tcPr>
            <w:tcW w:w="2008" w:type="dxa"/>
            <w:vAlign w:val="center"/>
          </w:tcPr>
          <w:p w14:paraId="0BEB5FB6">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供货地点</w:t>
            </w:r>
          </w:p>
        </w:tc>
        <w:tc>
          <w:tcPr>
            <w:tcW w:w="6480" w:type="dxa"/>
            <w:vAlign w:val="center"/>
          </w:tcPr>
          <w:p w14:paraId="0182E6D6">
            <w:pPr>
              <w:spacing w:line="360" w:lineRule="auto"/>
              <w:ind w:firstLine="240" w:firstLineChars="100"/>
              <w:rPr>
                <w:rFonts w:ascii="宋体" w:hAnsi="宋体"/>
                <w:color w:val="000000"/>
                <w:sz w:val="24"/>
                <w:szCs w:val="24"/>
                <w:highlight w:val="none"/>
              </w:rPr>
            </w:pPr>
            <w:r>
              <w:rPr>
                <w:rFonts w:hint="eastAsia" w:ascii="宋体" w:hAnsi="宋体"/>
                <w:color w:val="000000"/>
                <w:sz w:val="24"/>
                <w:szCs w:val="24"/>
                <w:highlight w:val="none"/>
              </w:rPr>
              <w:t>采购人指定地点</w:t>
            </w:r>
          </w:p>
        </w:tc>
      </w:tr>
      <w:tr w14:paraId="22C11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01" w:type="dxa"/>
          </w:tcPr>
          <w:p w14:paraId="0B212907">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1.2.8</w:t>
            </w:r>
          </w:p>
        </w:tc>
        <w:tc>
          <w:tcPr>
            <w:tcW w:w="2008" w:type="dxa"/>
          </w:tcPr>
          <w:p w14:paraId="6883968D">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质量要求</w:t>
            </w:r>
          </w:p>
        </w:tc>
        <w:tc>
          <w:tcPr>
            <w:tcW w:w="6480" w:type="dxa"/>
            <w:vAlign w:val="center"/>
          </w:tcPr>
          <w:p w14:paraId="55E4BEF1">
            <w:pPr>
              <w:wordWrap w:val="0"/>
              <w:spacing w:line="550" w:lineRule="exact"/>
              <w:rPr>
                <w:rFonts w:ascii="宋体" w:hAnsi="宋体"/>
                <w:color w:val="000000"/>
                <w:sz w:val="24"/>
                <w:szCs w:val="24"/>
                <w:highlight w:val="none"/>
              </w:rPr>
            </w:pPr>
            <w:r>
              <w:rPr>
                <w:rFonts w:hint="eastAsia" w:ascii="宋体" w:hAnsi="宋体"/>
                <w:color w:val="000000"/>
                <w:sz w:val="24"/>
                <w:szCs w:val="28"/>
                <w:highlight w:val="none"/>
              </w:rPr>
              <w:t>合</w:t>
            </w:r>
            <w:r>
              <w:rPr>
                <w:rFonts w:hint="eastAsia" w:ascii="宋体" w:hAnsi="宋体"/>
                <w:color w:val="000000"/>
                <w:sz w:val="24"/>
                <w:szCs w:val="28"/>
                <w:highlight w:val="none"/>
                <w:lang w:val="en-US" w:eastAsia="zh-CN"/>
              </w:rPr>
              <w:t>格，</w:t>
            </w:r>
            <w:r>
              <w:rPr>
                <w:rFonts w:hint="eastAsia" w:ascii="宋体" w:hAnsi="宋体"/>
                <w:color w:val="000000"/>
                <w:sz w:val="24"/>
                <w:szCs w:val="24"/>
                <w:highlight w:val="none"/>
              </w:rPr>
              <w:t>符合国家及行业标准</w:t>
            </w:r>
          </w:p>
        </w:tc>
      </w:tr>
      <w:tr w14:paraId="00184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01" w:type="dxa"/>
            <w:vAlign w:val="center"/>
          </w:tcPr>
          <w:p w14:paraId="442AF1E7">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1.2.9</w:t>
            </w:r>
          </w:p>
        </w:tc>
        <w:tc>
          <w:tcPr>
            <w:tcW w:w="2008" w:type="dxa"/>
            <w:vAlign w:val="center"/>
          </w:tcPr>
          <w:p w14:paraId="4FD6507D">
            <w:pPr>
              <w:spacing w:line="360" w:lineRule="auto"/>
              <w:jc w:val="center"/>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lang w:eastAsia="zh-CN"/>
              </w:rPr>
              <w:t>质保期</w:t>
            </w:r>
          </w:p>
        </w:tc>
        <w:tc>
          <w:tcPr>
            <w:tcW w:w="6480" w:type="dxa"/>
            <w:vAlign w:val="center"/>
          </w:tcPr>
          <w:p w14:paraId="6ACF7244">
            <w:pPr>
              <w:spacing w:line="360" w:lineRule="auto"/>
              <w:ind w:firstLine="240" w:firstLineChars="100"/>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lang w:val="en-US" w:eastAsia="zh-CN"/>
              </w:rPr>
              <w:t>3年</w:t>
            </w:r>
          </w:p>
        </w:tc>
      </w:tr>
      <w:tr w14:paraId="4FAFF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jc w:val="center"/>
        </w:trPr>
        <w:tc>
          <w:tcPr>
            <w:tcW w:w="1101" w:type="dxa"/>
            <w:vAlign w:val="center"/>
          </w:tcPr>
          <w:p w14:paraId="54511CAA">
            <w:pPr>
              <w:spacing w:line="360" w:lineRule="auto"/>
              <w:jc w:val="center"/>
              <w:rPr>
                <w:rFonts w:hint="eastAsia" w:ascii="宋体" w:hAnsi="宋体" w:eastAsia="宋体"/>
                <w:color w:val="000000"/>
                <w:sz w:val="24"/>
                <w:szCs w:val="24"/>
                <w:highlight w:val="none"/>
                <w:lang w:eastAsia="zh-CN"/>
              </w:rPr>
            </w:pPr>
            <w:r>
              <w:rPr>
                <w:rFonts w:ascii="宋体" w:hAnsi="宋体"/>
                <w:color w:val="000000"/>
                <w:sz w:val="24"/>
                <w:szCs w:val="24"/>
                <w:highlight w:val="none"/>
              </w:rPr>
              <w:t>1.</w:t>
            </w:r>
            <w:r>
              <w:rPr>
                <w:rFonts w:hint="eastAsia" w:ascii="宋体" w:hAnsi="宋体"/>
                <w:color w:val="000000"/>
                <w:sz w:val="24"/>
                <w:szCs w:val="24"/>
                <w:highlight w:val="none"/>
              </w:rPr>
              <w:t>3.</w:t>
            </w:r>
            <w:r>
              <w:rPr>
                <w:rFonts w:hint="eastAsia" w:ascii="宋体" w:hAnsi="宋体"/>
                <w:color w:val="000000"/>
                <w:sz w:val="24"/>
                <w:szCs w:val="24"/>
                <w:highlight w:val="none"/>
                <w:lang w:val="en-US" w:eastAsia="zh-CN"/>
              </w:rPr>
              <w:t>0</w:t>
            </w:r>
          </w:p>
        </w:tc>
        <w:tc>
          <w:tcPr>
            <w:tcW w:w="2008" w:type="dxa"/>
            <w:vAlign w:val="center"/>
          </w:tcPr>
          <w:p w14:paraId="32E3CCBA">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付款办法</w:t>
            </w:r>
          </w:p>
        </w:tc>
        <w:tc>
          <w:tcPr>
            <w:tcW w:w="6480" w:type="dxa"/>
            <w:vAlign w:val="center"/>
          </w:tcPr>
          <w:p w14:paraId="3189C8C0">
            <w:pPr>
              <w:spacing w:line="360" w:lineRule="auto"/>
              <w:ind w:firstLine="240" w:firstLineChars="100"/>
              <w:rPr>
                <w:rFonts w:ascii="宋体" w:hAnsi="宋体"/>
                <w:color w:val="000000"/>
                <w:sz w:val="24"/>
                <w:szCs w:val="24"/>
                <w:highlight w:val="none"/>
              </w:rPr>
            </w:pPr>
            <w:r>
              <w:rPr>
                <w:rFonts w:hint="eastAsia" w:ascii="宋体" w:hAnsi="宋体"/>
                <w:color w:val="FF0000"/>
                <w:sz w:val="24"/>
                <w:szCs w:val="24"/>
                <w:highlight w:val="none"/>
              </w:rPr>
              <w:t>以《中华人民共和国合同法》、《民法典》等相关法律法规为准，甲乙双方协定。</w:t>
            </w:r>
          </w:p>
        </w:tc>
      </w:tr>
      <w:tr w14:paraId="4597E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jc w:val="center"/>
        </w:trPr>
        <w:tc>
          <w:tcPr>
            <w:tcW w:w="1101" w:type="dxa"/>
            <w:vAlign w:val="center"/>
          </w:tcPr>
          <w:p w14:paraId="7CDF7346">
            <w:pPr>
              <w:spacing w:line="360" w:lineRule="auto"/>
              <w:jc w:val="center"/>
              <w:rPr>
                <w:rFonts w:ascii="宋体" w:hAnsi="宋体"/>
                <w:color w:val="000000"/>
                <w:sz w:val="24"/>
                <w:szCs w:val="24"/>
                <w:highlight w:val="none"/>
              </w:rPr>
            </w:pPr>
            <w:r>
              <w:rPr>
                <w:rFonts w:ascii="宋体" w:hAnsi="宋体"/>
                <w:color w:val="000000"/>
                <w:sz w:val="24"/>
                <w:szCs w:val="24"/>
                <w:highlight w:val="none"/>
              </w:rPr>
              <w:t>1.4.1</w:t>
            </w:r>
          </w:p>
        </w:tc>
        <w:tc>
          <w:tcPr>
            <w:tcW w:w="2008" w:type="dxa"/>
            <w:vAlign w:val="center"/>
          </w:tcPr>
          <w:p w14:paraId="7BEF1B09">
            <w:pPr>
              <w:spacing w:line="360" w:lineRule="auto"/>
              <w:jc w:val="center"/>
              <w:rPr>
                <w:rFonts w:ascii="宋体" w:hAnsi="宋体"/>
                <w:color w:val="000000"/>
                <w:sz w:val="24"/>
                <w:szCs w:val="24"/>
                <w:highlight w:val="none"/>
              </w:rPr>
            </w:pPr>
            <w:r>
              <w:rPr>
                <w:rFonts w:ascii="宋体" w:hAnsi="宋体"/>
                <w:color w:val="000000"/>
                <w:sz w:val="24"/>
                <w:szCs w:val="24"/>
                <w:highlight w:val="none"/>
              </w:rPr>
              <w:t>供应商资质条件、能力和信誉</w:t>
            </w:r>
          </w:p>
        </w:tc>
        <w:tc>
          <w:tcPr>
            <w:tcW w:w="6480" w:type="dxa"/>
            <w:vAlign w:val="center"/>
          </w:tcPr>
          <w:p w14:paraId="7FA82839">
            <w:pPr>
              <w:spacing w:line="360" w:lineRule="auto"/>
              <w:ind w:firstLine="240" w:firstLineChars="100"/>
              <w:rPr>
                <w:rFonts w:ascii="宋体" w:hAnsi="宋体"/>
                <w:color w:val="000000"/>
                <w:sz w:val="24"/>
                <w:szCs w:val="24"/>
                <w:highlight w:val="none"/>
              </w:rPr>
            </w:pPr>
            <w:r>
              <w:rPr>
                <w:rFonts w:hint="eastAsia" w:ascii="宋体" w:hAnsi="宋体"/>
                <w:color w:val="000000"/>
                <w:sz w:val="24"/>
                <w:szCs w:val="24"/>
                <w:highlight w:val="none"/>
              </w:rPr>
              <w:t xml:space="preserve">  符合《中华人民共和国政府采购法》的第二十二条的规定并具备以下条件：</w:t>
            </w:r>
          </w:p>
          <w:p w14:paraId="3AEF121A">
            <w:pPr>
              <w:spacing w:line="360" w:lineRule="auto"/>
              <w:ind w:firstLine="240" w:firstLineChars="100"/>
              <w:rPr>
                <w:rFonts w:hint="eastAsia" w:ascii="宋体" w:hAnsi="宋体" w:eastAsia="宋体"/>
                <w:color w:val="000000"/>
                <w:sz w:val="24"/>
                <w:szCs w:val="24"/>
                <w:highlight w:val="none"/>
              </w:rPr>
            </w:pPr>
            <w:r>
              <w:rPr>
                <w:rFonts w:hint="eastAsia" w:ascii="宋体" w:hAnsi="宋体"/>
                <w:kern w:val="0"/>
                <w:sz w:val="24"/>
                <w:szCs w:val="24"/>
                <w:highlight w:val="none"/>
                <w:lang w:val="en-US" w:eastAsia="zh-CN"/>
              </w:rPr>
              <w:t>1、</w:t>
            </w:r>
            <w:r>
              <w:rPr>
                <w:rFonts w:hint="eastAsia" w:ascii="宋体" w:hAnsi="宋体" w:eastAsia="宋体"/>
                <w:color w:val="000000"/>
                <w:sz w:val="24"/>
                <w:szCs w:val="24"/>
                <w:highlight w:val="none"/>
              </w:rPr>
              <w:t>具有在中华人民共和国境内注册的能够独立承担民事责任的独立法人；具有合法有效的营业执照、组织机构代码证、税务登记证或三证合一的营业执照；</w:t>
            </w:r>
          </w:p>
          <w:p w14:paraId="0100DF42">
            <w:pPr>
              <w:spacing w:line="360" w:lineRule="auto"/>
              <w:ind w:firstLine="240" w:firstLineChars="100"/>
              <w:rPr>
                <w:rFonts w:hint="eastAsia" w:ascii="宋体" w:hAnsi="宋体" w:eastAsia="宋体"/>
                <w:color w:val="000000"/>
                <w:sz w:val="24"/>
                <w:szCs w:val="24"/>
                <w:highlight w:val="none"/>
              </w:rPr>
            </w:pPr>
            <w:r>
              <w:rPr>
                <w:rFonts w:hint="eastAsia" w:ascii="宋体" w:hAnsi="宋体" w:eastAsia="宋体"/>
                <w:color w:val="000000"/>
                <w:sz w:val="24"/>
                <w:szCs w:val="24"/>
                <w:highlight w:val="none"/>
                <w:lang w:val="en-US" w:eastAsia="zh-CN"/>
              </w:rPr>
              <w:t>2、</w:t>
            </w:r>
            <w:r>
              <w:rPr>
                <w:rFonts w:hint="eastAsia" w:ascii="宋体" w:hAnsi="宋体"/>
                <w:bCs/>
                <w:color w:val="000000"/>
                <w:sz w:val="24"/>
                <w:szCs w:val="28"/>
                <w:highlight w:val="none"/>
              </w:rPr>
              <w:t>具有履行本项目采购内容所必须的设备和专业技术服务能力</w:t>
            </w:r>
            <w:r>
              <w:rPr>
                <w:rFonts w:hint="eastAsia" w:ascii="宋体" w:hAnsi="宋体" w:eastAsia="宋体"/>
                <w:color w:val="000000"/>
                <w:sz w:val="24"/>
                <w:szCs w:val="24"/>
                <w:highlight w:val="none"/>
              </w:rPr>
              <w:t>；(提供证明材料或承诺书)</w:t>
            </w:r>
          </w:p>
          <w:p w14:paraId="771CC12F">
            <w:pPr>
              <w:spacing w:line="360" w:lineRule="auto"/>
              <w:ind w:firstLine="240" w:firstLineChars="100"/>
              <w:rPr>
                <w:rFonts w:hint="eastAsia" w:ascii="宋体" w:hAnsi="宋体" w:eastAsia="宋体"/>
                <w:color w:val="000000"/>
                <w:sz w:val="24"/>
                <w:szCs w:val="24"/>
                <w:highlight w:val="none"/>
              </w:rPr>
            </w:pPr>
            <w:r>
              <w:rPr>
                <w:rFonts w:hint="eastAsia" w:ascii="宋体" w:hAnsi="宋体" w:eastAsia="宋体"/>
                <w:color w:val="000000"/>
                <w:sz w:val="24"/>
                <w:szCs w:val="24"/>
                <w:highlight w:val="none"/>
                <w:lang w:val="en-US" w:eastAsia="zh-CN"/>
              </w:rPr>
              <w:t>3、</w:t>
            </w:r>
            <w:r>
              <w:rPr>
                <w:rFonts w:hint="eastAsia" w:ascii="宋体" w:hAnsi="宋体" w:eastAsia="宋体"/>
                <w:color w:val="000000"/>
                <w:sz w:val="24"/>
                <w:szCs w:val="24"/>
                <w:highlight w:val="none"/>
              </w:rPr>
              <w:t>依法缴纳税收（提供202</w:t>
            </w:r>
            <w:r>
              <w:rPr>
                <w:rFonts w:hint="eastAsia" w:ascii="宋体" w:hAnsi="宋体" w:eastAsia="宋体"/>
                <w:color w:val="000000"/>
                <w:sz w:val="24"/>
                <w:szCs w:val="24"/>
                <w:highlight w:val="none"/>
                <w:lang w:val="en-US" w:eastAsia="zh-CN"/>
              </w:rPr>
              <w:t>5</w:t>
            </w:r>
            <w:r>
              <w:rPr>
                <w:rFonts w:hint="eastAsia" w:ascii="宋体" w:hAnsi="宋体" w:eastAsia="宋体"/>
                <w:color w:val="000000"/>
                <w:sz w:val="24"/>
                <w:szCs w:val="24"/>
                <w:highlight w:val="none"/>
              </w:rPr>
              <w:t>年</w:t>
            </w:r>
            <w:r>
              <w:rPr>
                <w:rFonts w:hint="eastAsia" w:ascii="宋体" w:hAnsi="宋体" w:eastAsia="宋体"/>
                <w:color w:val="000000"/>
                <w:sz w:val="24"/>
                <w:szCs w:val="24"/>
                <w:highlight w:val="none"/>
                <w:lang w:val="en-US" w:eastAsia="zh-CN"/>
              </w:rPr>
              <w:t>01月以来</w:t>
            </w:r>
            <w:r>
              <w:rPr>
                <w:rFonts w:hint="eastAsia" w:ascii="宋体" w:hAnsi="宋体" w:eastAsia="宋体"/>
                <w:color w:val="000000"/>
                <w:sz w:val="24"/>
                <w:szCs w:val="24"/>
                <w:highlight w:val="none"/>
              </w:rPr>
              <w:t>连续三个月企业依法缴纳税收证明材料）和缴纳社会保障资金（提供202</w:t>
            </w:r>
            <w:r>
              <w:rPr>
                <w:rFonts w:hint="eastAsia" w:ascii="宋体" w:hAnsi="宋体"/>
                <w:color w:val="000000"/>
                <w:sz w:val="24"/>
                <w:szCs w:val="24"/>
                <w:highlight w:val="none"/>
                <w:lang w:val="en-US" w:eastAsia="zh-CN"/>
              </w:rPr>
              <w:t>5</w:t>
            </w:r>
            <w:r>
              <w:rPr>
                <w:rFonts w:hint="eastAsia" w:ascii="宋体" w:hAnsi="宋体" w:eastAsia="宋体"/>
                <w:color w:val="000000"/>
                <w:sz w:val="24"/>
                <w:szCs w:val="24"/>
                <w:highlight w:val="none"/>
              </w:rPr>
              <w:t>年</w:t>
            </w:r>
            <w:r>
              <w:rPr>
                <w:rFonts w:hint="eastAsia" w:ascii="宋体" w:hAnsi="宋体" w:eastAsia="宋体"/>
                <w:color w:val="000000"/>
                <w:sz w:val="24"/>
                <w:szCs w:val="24"/>
                <w:highlight w:val="none"/>
                <w:lang w:val="en-US" w:eastAsia="zh-CN"/>
              </w:rPr>
              <w:t>01月以来</w:t>
            </w:r>
            <w:r>
              <w:rPr>
                <w:rFonts w:hint="eastAsia" w:ascii="宋体" w:hAnsi="宋体" w:eastAsia="宋体"/>
                <w:color w:val="000000"/>
                <w:sz w:val="24"/>
                <w:szCs w:val="24"/>
                <w:highlight w:val="none"/>
              </w:rPr>
              <w:t>连续三个月拟派项目负责人依法缴纳社会养老保险证明材料）</w:t>
            </w:r>
          </w:p>
          <w:p w14:paraId="0C57B014">
            <w:pPr>
              <w:spacing w:line="360" w:lineRule="auto"/>
              <w:ind w:firstLine="240" w:firstLineChars="100"/>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4、</w:t>
            </w:r>
            <w:r>
              <w:rPr>
                <w:rFonts w:hint="eastAsia" w:ascii="宋体" w:hAnsi="宋体"/>
                <w:sz w:val="24"/>
                <w:szCs w:val="24"/>
                <w:highlight w:val="none"/>
              </w:rPr>
              <w:t>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起始日期为本项目公告发布之后，查询截止时间为开标时间同一时间）</w:t>
            </w:r>
            <w:r>
              <w:rPr>
                <w:rFonts w:hint="eastAsia" w:ascii="宋体" w:hAnsi="宋体" w:eastAsia="宋体"/>
                <w:color w:val="000000"/>
                <w:sz w:val="24"/>
                <w:szCs w:val="24"/>
                <w:highlight w:val="none"/>
                <w:lang w:val="en-US" w:eastAsia="zh-CN"/>
              </w:rPr>
              <w:t>；</w:t>
            </w:r>
          </w:p>
          <w:p w14:paraId="039F8303">
            <w:pPr>
              <w:spacing w:line="360" w:lineRule="auto"/>
              <w:ind w:firstLine="240" w:firstLineChars="100"/>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5、</w:t>
            </w:r>
            <w:r>
              <w:rPr>
                <w:rFonts w:hint="eastAsia" w:ascii="宋体" w:hAnsi="宋体" w:eastAsia="宋体"/>
                <w:color w:val="000000"/>
                <w:sz w:val="24"/>
                <w:szCs w:val="24"/>
                <w:highlight w:val="none"/>
                <w:lang w:eastAsia="zh-CN"/>
              </w:rPr>
              <w:t>具有良好的商业信誉和健全的财务会计制度，</w:t>
            </w:r>
            <w:r>
              <w:rPr>
                <w:rFonts w:hint="eastAsia" w:ascii="宋体" w:hAnsi="宋体" w:eastAsia="宋体"/>
                <w:color w:val="000000"/>
                <w:sz w:val="24"/>
                <w:szCs w:val="24"/>
                <w:highlight w:val="none"/>
                <w:lang w:val="en-US" w:eastAsia="zh-CN"/>
              </w:rPr>
              <w:t>提供2022年以来任意一年经审计的财务报告；新成立公司无审计报告应附最新的财务报表说明</w:t>
            </w:r>
            <w:r>
              <w:rPr>
                <w:rFonts w:hint="eastAsia" w:ascii="宋体" w:hAnsi="宋体" w:eastAsia="宋体"/>
                <w:color w:val="000000"/>
                <w:sz w:val="24"/>
                <w:szCs w:val="24"/>
                <w:highlight w:val="none"/>
                <w:lang w:eastAsia="zh-CN"/>
              </w:rPr>
              <w:t>；</w:t>
            </w:r>
          </w:p>
          <w:p w14:paraId="16460825">
            <w:pPr>
              <w:spacing w:line="360" w:lineRule="auto"/>
              <w:ind w:firstLine="240" w:firstLineChars="100"/>
              <w:rPr>
                <w:rFonts w:hint="eastAsia" w:ascii="宋体" w:hAnsi="宋体" w:eastAsia="宋体"/>
                <w:color w:val="000000"/>
                <w:sz w:val="24"/>
                <w:szCs w:val="24"/>
                <w:highlight w:val="none"/>
                <w:lang w:eastAsia="zh-CN"/>
              </w:rPr>
            </w:pPr>
            <w:r>
              <w:rPr>
                <w:rFonts w:hint="eastAsia" w:ascii="宋体" w:hAnsi="宋体" w:eastAsia="宋体"/>
                <w:color w:val="000000"/>
                <w:sz w:val="24"/>
                <w:szCs w:val="24"/>
                <w:highlight w:val="none"/>
                <w:lang w:val="en-US" w:eastAsia="zh-CN"/>
              </w:rPr>
              <w:t>6、</w:t>
            </w:r>
            <w:r>
              <w:rPr>
                <w:rFonts w:hint="eastAsia" w:ascii="宋体" w:hAnsi="宋体" w:eastAsia="宋体"/>
                <w:color w:val="000000"/>
                <w:sz w:val="24"/>
                <w:szCs w:val="24"/>
                <w:highlight w:val="none"/>
                <w:lang w:eastAsia="zh-CN"/>
              </w:rPr>
              <w:t>参加政府采购活动前3年内无行贿犯罪记录，（开标时提供《中国裁判文书网》查询结果网页截图或企业自行承诺的无行贿犯罪承诺书，查询&lt;承诺&gt;对象为“企业，法定代表人</w:t>
            </w:r>
            <w:r>
              <w:rPr>
                <w:rFonts w:hint="eastAsia" w:ascii="宋体" w:hAnsi="宋体"/>
                <w:bCs/>
                <w:color w:val="000000"/>
                <w:sz w:val="24"/>
                <w:szCs w:val="28"/>
                <w:highlight w:val="none"/>
                <w:lang w:eastAsia="zh-CN"/>
              </w:rPr>
              <w:t>、</w:t>
            </w:r>
            <w:r>
              <w:rPr>
                <w:rFonts w:hint="eastAsia" w:ascii="宋体" w:hAnsi="宋体"/>
                <w:bCs/>
                <w:color w:val="000000"/>
                <w:sz w:val="24"/>
                <w:szCs w:val="28"/>
                <w:highlight w:val="none"/>
              </w:rPr>
              <w:t>项目负责人</w:t>
            </w:r>
            <w:r>
              <w:rPr>
                <w:rFonts w:hint="eastAsia" w:ascii="宋体" w:hAnsi="宋体" w:eastAsia="宋体"/>
                <w:color w:val="000000"/>
                <w:sz w:val="24"/>
                <w:szCs w:val="24"/>
                <w:highlight w:val="none"/>
                <w:lang w:eastAsia="zh-CN"/>
              </w:rPr>
              <w:t>”）；</w:t>
            </w:r>
          </w:p>
          <w:p w14:paraId="4E7323FA">
            <w:pPr>
              <w:spacing w:line="360" w:lineRule="auto"/>
              <w:ind w:firstLine="240" w:firstLineChars="100"/>
              <w:rPr>
                <w:rFonts w:hint="eastAsia" w:ascii="宋体" w:hAnsi="宋体" w:eastAsia="宋体"/>
                <w:color w:val="000000"/>
                <w:sz w:val="24"/>
                <w:szCs w:val="24"/>
                <w:highlight w:val="none"/>
              </w:rPr>
            </w:pPr>
            <w:r>
              <w:rPr>
                <w:rFonts w:hint="eastAsia" w:ascii="宋体" w:hAnsi="宋体" w:eastAsia="宋体"/>
                <w:color w:val="000000"/>
                <w:sz w:val="24"/>
                <w:szCs w:val="24"/>
                <w:highlight w:val="none"/>
                <w:lang w:val="en-US" w:eastAsia="zh-CN"/>
              </w:rPr>
              <w:t>7、</w:t>
            </w:r>
            <w:r>
              <w:rPr>
                <w:rFonts w:hint="eastAsia" w:ascii="宋体" w:hAnsi="宋体" w:eastAsia="宋体"/>
                <w:color w:val="000000"/>
                <w:sz w:val="24"/>
                <w:szCs w:val="24"/>
                <w:highlight w:val="none"/>
                <w:lang w:val="en-US"/>
              </w:rPr>
              <w:t>参加政府采购活动前3年内无商业贿赂、不正当竞争行为、骗取中标、严重违约及重大工程质量等问题</w:t>
            </w:r>
            <w:r>
              <w:rPr>
                <w:rFonts w:hint="eastAsia" w:ascii="宋体" w:hAnsi="宋体" w:eastAsia="宋体"/>
                <w:color w:val="000000"/>
                <w:sz w:val="24"/>
                <w:szCs w:val="24"/>
                <w:highlight w:val="none"/>
                <w:lang w:val="en-US" w:eastAsia="zh-CN"/>
              </w:rPr>
              <w:t>，</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lang w:val="en-US" w:eastAsia="zh-CN"/>
              </w:rPr>
              <w:t>投标人</w:t>
            </w:r>
            <w:r>
              <w:rPr>
                <w:rFonts w:hint="eastAsia" w:ascii="宋体" w:hAnsi="宋体" w:eastAsia="宋体"/>
                <w:color w:val="000000"/>
                <w:sz w:val="24"/>
                <w:szCs w:val="24"/>
                <w:highlight w:val="none"/>
                <w:lang w:val="en-US"/>
              </w:rPr>
              <w:t>须自行出具承诺书）；</w:t>
            </w:r>
          </w:p>
          <w:p w14:paraId="0FA5472F">
            <w:pPr>
              <w:spacing w:line="360" w:lineRule="auto"/>
              <w:ind w:firstLine="240" w:firstLineChars="100"/>
              <w:rPr>
                <w:rFonts w:hint="eastAsia" w:ascii="宋体" w:hAnsi="宋体" w:eastAsia="宋体"/>
                <w:color w:val="000000"/>
                <w:sz w:val="24"/>
                <w:szCs w:val="24"/>
                <w:highlight w:val="none"/>
              </w:rPr>
            </w:pPr>
            <w:r>
              <w:rPr>
                <w:rFonts w:hint="eastAsia" w:ascii="宋体" w:hAnsi="宋体" w:eastAsia="宋体"/>
                <w:color w:val="000000"/>
                <w:sz w:val="24"/>
                <w:szCs w:val="24"/>
                <w:highlight w:val="none"/>
                <w:lang w:val="en-US" w:eastAsia="zh-CN"/>
              </w:rPr>
              <w:t>8、</w:t>
            </w:r>
            <w:r>
              <w:rPr>
                <w:rFonts w:hint="eastAsia" w:ascii="宋体" w:hAnsi="宋体" w:eastAsia="宋体"/>
                <w:color w:val="000000"/>
                <w:sz w:val="24"/>
                <w:szCs w:val="24"/>
                <w:highlight w:val="none"/>
              </w:rPr>
              <w:t>根据《关于在政府采购活动中查询及使用信用记录有关问题的通知》(财库[2016]125号) 和豫财购【2016】15号的规定，对列入失信被执行人</w:t>
            </w:r>
            <w:r>
              <w:rPr>
                <w:rFonts w:hint="eastAsia" w:ascii="宋体" w:hAnsi="宋体" w:eastAsia="宋体"/>
                <w:color w:val="000000"/>
                <w:sz w:val="24"/>
                <w:szCs w:val="24"/>
                <w:highlight w:val="none"/>
                <w:lang w:val="en-US" w:eastAsia="zh-CN"/>
              </w:rPr>
              <w:t>、</w:t>
            </w:r>
            <w:r>
              <w:rPr>
                <w:rFonts w:hint="eastAsia" w:ascii="宋体" w:hAnsi="宋体" w:eastAsia="宋体"/>
                <w:color w:val="000000"/>
                <w:sz w:val="24"/>
                <w:szCs w:val="24"/>
                <w:highlight w:val="none"/>
              </w:rPr>
              <w:t>重大税收违法失信主体、</w:t>
            </w:r>
            <w:r>
              <w:rPr>
                <w:rFonts w:hint="eastAsia" w:ascii="宋体" w:hAnsi="宋体" w:eastAsia="宋体"/>
                <w:color w:val="000000"/>
                <w:sz w:val="24"/>
                <w:szCs w:val="24"/>
                <w:highlight w:val="none"/>
                <w:lang w:val="en-US" w:eastAsia="zh-CN"/>
              </w:rPr>
              <w:t xml:space="preserve"> </w:t>
            </w:r>
            <w:r>
              <w:rPr>
                <w:rFonts w:hint="eastAsia" w:ascii="宋体" w:hAnsi="宋体" w:eastAsia="宋体"/>
                <w:color w:val="000000"/>
                <w:sz w:val="24"/>
                <w:szCs w:val="24"/>
                <w:highlight w:val="none"/>
              </w:rPr>
              <w:t>政府采购严重违法失信行为记录名单的供应商，拒绝参与本项目采购活动；（查询渠道：“信用中国”网站（www.creditchina.gov.cn）、中国政府采购网（www.ccgp.gov.cn）</w:t>
            </w:r>
            <w:r>
              <w:rPr>
                <w:rFonts w:hint="eastAsia" w:ascii="宋体" w:hAnsi="宋体" w:cs="宋体"/>
                <w:color w:val="000000"/>
                <w:sz w:val="24"/>
                <w:highlight w:val="none"/>
              </w:rPr>
              <w:t>（提供“信用中国”和“中国政府采购网”网站的查询信息截图，查询时间须在本项目自发布公告之日起至项目开标之日范围内）</w:t>
            </w:r>
            <w:r>
              <w:rPr>
                <w:rFonts w:hint="eastAsia" w:ascii="宋体" w:hAnsi="宋体" w:eastAsia="宋体"/>
                <w:color w:val="000000"/>
                <w:sz w:val="24"/>
                <w:szCs w:val="24"/>
                <w:highlight w:val="none"/>
              </w:rPr>
              <w:t>；</w:t>
            </w:r>
          </w:p>
          <w:p w14:paraId="28BD79C5">
            <w:pPr>
              <w:spacing w:line="360" w:lineRule="auto"/>
              <w:ind w:firstLine="240" w:firstLineChars="100"/>
              <w:rPr>
                <w:rFonts w:hint="eastAsia" w:ascii="宋体" w:hAnsi="宋体" w:eastAsia="宋体"/>
                <w:kern w:val="0"/>
                <w:sz w:val="24"/>
                <w:szCs w:val="24"/>
                <w:highlight w:val="none"/>
                <w:lang w:val="en-US" w:eastAsia="zh-CN"/>
              </w:rPr>
            </w:pPr>
            <w:r>
              <w:rPr>
                <w:rFonts w:hint="eastAsia" w:ascii="宋体" w:hAnsi="宋体" w:eastAsia="宋体"/>
                <w:kern w:val="0"/>
                <w:sz w:val="24"/>
                <w:szCs w:val="24"/>
                <w:highlight w:val="none"/>
                <w:lang w:val="en-US" w:eastAsia="zh-CN"/>
              </w:rPr>
              <w:t>9、本招标不接受联合体投标，提供非联合体承诺，格式自拟；</w:t>
            </w:r>
          </w:p>
          <w:p w14:paraId="70128857">
            <w:pPr>
              <w:spacing w:line="360" w:lineRule="auto"/>
              <w:ind w:firstLine="240" w:firstLineChars="100"/>
              <w:rPr>
                <w:rFonts w:hint="eastAsia" w:ascii="宋体" w:hAnsi="宋体" w:eastAsia="宋体"/>
                <w:kern w:val="0"/>
                <w:sz w:val="24"/>
                <w:szCs w:val="24"/>
                <w:highlight w:val="none"/>
                <w:lang w:val="en-US" w:eastAsia="zh-CN"/>
              </w:rPr>
            </w:pPr>
            <w:r>
              <w:rPr>
                <w:rFonts w:hint="eastAsia" w:ascii="宋体" w:hAnsi="宋体" w:eastAsia="宋体"/>
                <w:kern w:val="0"/>
                <w:sz w:val="24"/>
                <w:szCs w:val="24"/>
                <w:highlight w:val="none"/>
                <w:lang w:val="en-US" w:eastAsia="zh-CN"/>
              </w:rPr>
              <w:t>10、本项目实行资格后审</w:t>
            </w:r>
          </w:p>
          <w:p w14:paraId="2AFBD6A0">
            <w:pPr>
              <w:spacing w:line="360" w:lineRule="auto"/>
              <w:ind w:firstLine="240" w:firstLineChars="100"/>
              <w:rPr>
                <w:rFonts w:ascii="宋体" w:hAnsi="宋体"/>
                <w:color w:val="000000"/>
                <w:sz w:val="24"/>
                <w:szCs w:val="24"/>
                <w:highlight w:val="none"/>
              </w:rPr>
            </w:pPr>
            <w:r>
              <w:rPr>
                <w:rFonts w:hint="eastAsia" w:ascii="宋体" w:hAnsi="宋体" w:eastAsia="宋体"/>
                <w:kern w:val="0"/>
                <w:sz w:val="24"/>
                <w:szCs w:val="24"/>
                <w:highlight w:val="none"/>
                <w:lang w:val="en-US" w:eastAsia="zh-CN"/>
              </w:rPr>
              <w:t>注：被列入失信被执行人及重大税收违法失信主体的企业做无效标处理。招标人或招标代理机构有权对投标人信用记录进行甄别和复查。</w:t>
            </w:r>
          </w:p>
        </w:tc>
      </w:tr>
      <w:tr w14:paraId="56BE3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1101" w:type="dxa"/>
          </w:tcPr>
          <w:p w14:paraId="4EF20727">
            <w:pPr>
              <w:spacing w:line="360" w:lineRule="auto"/>
              <w:jc w:val="center"/>
              <w:rPr>
                <w:rFonts w:ascii="宋体" w:hAnsi="宋体"/>
                <w:color w:val="000000"/>
                <w:sz w:val="24"/>
                <w:szCs w:val="24"/>
                <w:highlight w:val="none"/>
              </w:rPr>
            </w:pPr>
            <w:r>
              <w:rPr>
                <w:rFonts w:ascii="宋体" w:hAnsi="宋体"/>
                <w:color w:val="000000"/>
                <w:sz w:val="24"/>
                <w:szCs w:val="24"/>
                <w:highlight w:val="none"/>
              </w:rPr>
              <w:t>1.</w:t>
            </w:r>
            <w:r>
              <w:rPr>
                <w:rFonts w:hint="eastAsia" w:ascii="宋体" w:hAnsi="宋体"/>
                <w:color w:val="000000"/>
                <w:sz w:val="24"/>
                <w:szCs w:val="24"/>
                <w:highlight w:val="none"/>
              </w:rPr>
              <w:t>5</w:t>
            </w:r>
            <w:r>
              <w:rPr>
                <w:rFonts w:ascii="宋体" w:hAnsi="宋体"/>
                <w:color w:val="000000"/>
                <w:sz w:val="24"/>
                <w:szCs w:val="24"/>
                <w:highlight w:val="none"/>
              </w:rPr>
              <w:t>.</w:t>
            </w:r>
            <w:r>
              <w:rPr>
                <w:rFonts w:hint="eastAsia" w:ascii="宋体" w:hAnsi="宋体"/>
                <w:color w:val="000000"/>
                <w:sz w:val="24"/>
                <w:szCs w:val="24"/>
                <w:highlight w:val="none"/>
              </w:rPr>
              <w:t>1</w:t>
            </w:r>
          </w:p>
        </w:tc>
        <w:tc>
          <w:tcPr>
            <w:tcW w:w="2008" w:type="dxa"/>
          </w:tcPr>
          <w:p w14:paraId="6922237A">
            <w:pPr>
              <w:spacing w:line="360" w:lineRule="auto"/>
              <w:jc w:val="center"/>
              <w:rPr>
                <w:rFonts w:ascii="宋体" w:hAnsi="宋体"/>
                <w:color w:val="000000"/>
                <w:sz w:val="24"/>
                <w:szCs w:val="24"/>
                <w:highlight w:val="none"/>
              </w:rPr>
            </w:pPr>
            <w:r>
              <w:rPr>
                <w:rFonts w:ascii="宋体" w:hAnsi="宋体"/>
                <w:color w:val="000000"/>
                <w:sz w:val="24"/>
                <w:szCs w:val="24"/>
                <w:highlight w:val="none"/>
              </w:rPr>
              <w:t>是否接受联合体谈判</w:t>
            </w:r>
          </w:p>
        </w:tc>
        <w:tc>
          <w:tcPr>
            <w:tcW w:w="6480" w:type="dxa"/>
          </w:tcPr>
          <w:p w14:paraId="0587FD0C">
            <w:pPr>
              <w:spacing w:line="360" w:lineRule="auto"/>
              <w:ind w:firstLine="240" w:firstLineChars="100"/>
              <w:rPr>
                <w:rFonts w:ascii="宋体" w:hAnsi="宋体"/>
                <w:color w:val="000000"/>
                <w:sz w:val="24"/>
                <w:szCs w:val="24"/>
                <w:highlight w:val="none"/>
              </w:rPr>
            </w:pPr>
            <w:r>
              <w:rPr>
                <w:rFonts w:ascii="宋体" w:hAnsi="宋体"/>
                <w:color w:val="000000"/>
                <w:sz w:val="24"/>
                <w:szCs w:val="24"/>
                <w:highlight w:val="none"/>
              </w:rPr>
              <w:t>不接受</w:t>
            </w:r>
          </w:p>
        </w:tc>
      </w:tr>
      <w:tr w14:paraId="16AB7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1101" w:type="dxa"/>
          </w:tcPr>
          <w:p w14:paraId="323CFEE5">
            <w:pPr>
              <w:spacing w:line="360" w:lineRule="auto"/>
              <w:jc w:val="center"/>
              <w:rPr>
                <w:rFonts w:ascii="宋体" w:hAnsi="宋体"/>
                <w:color w:val="000000"/>
                <w:sz w:val="24"/>
                <w:szCs w:val="24"/>
                <w:highlight w:val="none"/>
              </w:rPr>
            </w:pPr>
            <w:r>
              <w:rPr>
                <w:rFonts w:ascii="宋体" w:hAnsi="宋体"/>
                <w:color w:val="000000"/>
                <w:sz w:val="24"/>
                <w:szCs w:val="24"/>
                <w:highlight w:val="none"/>
              </w:rPr>
              <w:t>1.</w:t>
            </w:r>
            <w:r>
              <w:rPr>
                <w:rFonts w:hint="eastAsia" w:ascii="宋体" w:hAnsi="宋体"/>
                <w:color w:val="000000"/>
                <w:sz w:val="24"/>
                <w:szCs w:val="24"/>
                <w:highlight w:val="none"/>
              </w:rPr>
              <w:t>6</w:t>
            </w:r>
            <w:r>
              <w:rPr>
                <w:rFonts w:ascii="宋体" w:hAnsi="宋体"/>
                <w:color w:val="000000"/>
                <w:sz w:val="24"/>
                <w:szCs w:val="24"/>
                <w:highlight w:val="none"/>
              </w:rPr>
              <w:t>.1</w:t>
            </w:r>
          </w:p>
        </w:tc>
        <w:tc>
          <w:tcPr>
            <w:tcW w:w="2008" w:type="dxa"/>
          </w:tcPr>
          <w:p w14:paraId="76CD2602">
            <w:pPr>
              <w:spacing w:line="360" w:lineRule="auto"/>
              <w:jc w:val="center"/>
              <w:rPr>
                <w:rFonts w:ascii="宋体" w:hAnsi="宋体"/>
                <w:color w:val="000000"/>
                <w:sz w:val="24"/>
                <w:szCs w:val="24"/>
                <w:highlight w:val="none"/>
              </w:rPr>
            </w:pPr>
            <w:r>
              <w:rPr>
                <w:rFonts w:ascii="宋体" w:hAnsi="宋体"/>
                <w:color w:val="000000"/>
                <w:sz w:val="24"/>
                <w:szCs w:val="24"/>
                <w:highlight w:val="none"/>
              </w:rPr>
              <w:t>踏勘现场</w:t>
            </w:r>
          </w:p>
        </w:tc>
        <w:tc>
          <w:tcPr>
            <w:tcW w:w="6480" w:type="dxa"/>
          </w:tcPr>
          <w:p w14:paraId="22A5CEB3">
            <w:pPr>
              <w:spacing w:line="360" w:lineRule="auto"/>
              <w:ind w:firstLine="240" w:firstLineChars="100"/>
              <w:rPr>
                <w:rFonts w:ascii="宋体" w:hAnsi="宋体"/>
                <w:color w:val="000000"/>
                <w:sz w:val="24"/>
                <w:szCs w:val="24"/>
                <w:highlight w:val="none"/>
              </w:rPr>
            </w:pPr>
            <w:r>
              <w:rPr>
                <w:rFonts w:ascii="宋体" w:hAnsi="宋体"/>
                <w:color w:val="000000"/>
                <w:sz w:val="24"/>
                <w:szCs w:val="24"/>
                <w:highlight w:val="none"/>
              </w:rPr>
              <w:t>不组织，供应商自行前往现场踏勘</w:t>
            </w:r>
          </w:p>
        </w:tc>
      </w:tr>
      <w:tr w14:paraId="2549B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1101" w:type="dxa"/>
          </w:tcPr>
          <w:p w14:paraId="582FDACC">
            <w:pPr>
              <w:spacing w:line="360" w:lineRule="auto"/>
              <w:jc w:val="center"/>
              <w:rPr>
                <w:rFonts w:ascii="宋体" w:hAnsi="宋体"/>
                <w:color w:val="000000"/>
                <w:sz w:val="24"/>
                <w:szCs w:val="24"/>
                <w:highlight w:val="none"/>
              </w:rPr>
            </w:pPr>
            <w:r>
              <w:rPr>
                <w:rFonts w:ascii="宋体" w:hAnsi="宋体"/>
                <w:color w:val="000000"/>
                <w:sz w:val="24"/>
                <w:szCs w:val="24"/>
                <w:highlight w:val="none"/>
              </w:rPr>
              <w:t>1.</w:t>
            </w:r>
            <w:r>
              <w:rPr>
                <w:rFonts w:hint="eastAsia" w:ascii="宋体" w:hAnsi="宋体"/>
                <w:color w:val="000000"/>
                <w:sz w:val="24"/>
                <w:szCs w:val="24"/>
                <w:highlight w:val="none"/>
              </w:rPr>
              <w:t>7</w:t>
            </w:r>
            <w:r>
              <w:rPr>
                <w:rFonts w:ascii="宋体" w:hAnsi="宋体"/>
                <w:color w:val="000000"/>
                <w:sz w:val="24"/>
                <w:szCs w:val="24"/>
                <w:highlight w:val="none"/>
              </w:rPr>
              <w:t>.</w:t>
            </w:r>
            <w:r>
              <w:rPr>
                <w:rFonts w:hint="eastAsia" w:ascii="宋体" w:hAnsi="宋体"/>
                <w:color w:val="000000"/>
                <w:sz w:val="24"/>
                <w:szCs w:val="24"/>
                <w:highlight w:val="none"/>
              </w:rPr>
              <w:t>1</w:t>
            </w:r>
          </w:p>
        </w:tc>
        <w:tc>
          <w:tcPr>
            <w:tcW w:w="2008" w:type="dxa"/>
          </w:tcPr>
          <w:p w14:paraId="75A93DF4">
            <w:pPr>
              <w:spacing w:line="360" w:lineRule="auto"/>
              <w:jc w:val="center"/>
              <w:rPr>
                <w:rFonts w:ascii="宋体" w:hAnsi="宋体"/>
                <w:color w:val="000000"/>
                <w:sz w:val="24"/>
                <w:szCs w:val="24"/>
                <w:highlight w:val="none"/>
              </w:rPr>
            </w:pPr>
            <w:r>
              <w:rPr>
                <w:rFonts w:ascii="宋体" w:hAnsi="宋体"/>
                <w:color w:val="000000"/>
                <w:sz w:val="24"/>
                <w:szCs w:val="24"/>
                <w:highlight w:val="none"/>
              </w:rPr>
              <w:t>投标答疑会</w:t>
            </w:r>
          </w:p>
        </w:tc>
        <w:tc>
          <w:tcPr>
            <w:tcW w:w="6480" w:type="dxa"/>
          </w:tcPr>
          <w:p w14:paraId="0BFC9CEC">
            <w:pPr>
              <w:spacing w:line="360" w:lineRule="auto"/>
              <w:ind w:firstLine="240" w:firstLineChars="100"/>
              <w:rPr>
                <w:rFonts w:ascii="宋体" w:hAnsi="宋体"/>
                <w:color w:val="000000"/>
                <w:sz w:val="24"/>
                <w:szCs w:val="24"/>
                <w:highlight w:val="none"/>
              </w:rPr>
            </w:pPr>
            <w:r>
              <w:rPr>
                <w:rFonts w:ascii="宋体" w:hAnsi="宋体"/>
                <w:color w:val="000000"/>
                <w:sz w:val="24"/>
                <w:szCs w:val="24"/>
                <w:highlight w:val="none"/>
              </w:rPr>
              <w:t>不召开</w:t>
            </w:r>
          </w:p>
        </w:tc>
      </w:tr>
      <w:tr w14:paraId="14672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1101" w:type="dxa"/>
          </w:tcPr>
          <w:p w14:paraId="0D20ECB7">
            <w:pPr>
              <w:spacing w:line="360" w:lineRule="auto"/>
              <w:jc w:val="center"/>
              <w:rPr>
                <w:rFonts w:ascii="宋体" w:hAnsi="宋体"/>
                <w:color w:val="000000"/>
                <w:sz w:val="24"/>
                <w:szCs w:val="24"/>
                <w:highlight w:val="none"/>
              </w:rPr>
            </w:pPr>
            <w:r>
              <w:rPr>
                <w:rFonts w:ascii="宋体" w:hAnsi="宋体"/>
                <w:color w:val="000000"/>
                <w:sz w:val="24"/>
                <w:szCs w:val="24"/>
                <w:highlight w:val="none"/>
              </w:rPr>
              <w:t>1.</w:t>
            </w:r>
            <w:r>
              <w:rPr>
                <w:rFonts w:hint="eastAsia" w:ascii="宋体" w:hAnsi="宋体"/>
                <w:color w:val="000000"/>
                <w:sz w:val="24"/>
                <w:szCs w:val="24"/>
                <w:highlight w:val="none"/>
              </w:rPr>
              <w:t>8.1</w:t>
            </w:r>
          </w:p>
        </w:tc>
        <w:tc>
          <w:tcPr>
            <w:tcW w:w="2008" w:type="dxa"/>
          </w:tcPr>
          <w:p w14:paraId="2D3A5EA1">
            <w:pPr>
              <w:spacing w:line="360" w:lineRule="auto"/>
              <w:jc w:val="center"/>
              <w:rPr>
                <w:rFonts w:ascii="宋体" w:hAnsi="宋体"/>
                <w:color w:val="000000"/>
                <w:sz w:val="24"/>
                <w:szCs w:val="24"/>
                <w:highlight w:val="none"/>
              </w:rPr>
            </w:pPr>
            <w:r>
              <w:rPr>
                <w:rFonts w:ascii="宋体" w:hAnsi="宋体"/>
                <w:color w:val="000000"/>
                <w:sz w:val="24"/>
                <w:szCs w:val="24"/>
                <w:highlight w:val="none"/>
              </w:rPr>
              <w:t>分包</w:t>
            </w:r>
          </w:p>
        </w:tc>
        <w:tc>
          <w:tcPr>
            <w:tcW w:w="6480" w:type="dxa"/>
          </w:tcPr>
          <w:p w14:paraId="41A3DAD9">
            <w:pPr>
              <w:spacing w:line="360" w:lineRule="auto"/>
              <w:ind w:firstLine="240" w:firstLineChars="100"/>
              <w:rPr>
                <w:rFonts w:ascii="宋体" w:hAnsi="宋体"/>
                <w:color w:val="000000"/>
                <w:sz w:val="24"/>
                <w:szCs w:val="24"/>
                <w:highlight w:val="none"/>
              </w:rPr>
            </w:pPr>
            <w:r>
              <w:rPr>
                <w:rFonts w:ascii="宋体" w:hAnsi="宋体"/>
                <w:color w:val="000000"/>
                <w:sz w:val="24"/>
                <w:szCs w:val="24"/>
                <w:highlight w:val="none"/>
              </w:rPr>
              <w:t>不允许</w:t>
            </w:r>
          </w:p>
        </w:tc>
      </w:tr>
      <w:tr w14:paraId="46FDC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1101" w:type="dxa"/>
          </w:tcPr>
          <w:p w14:paraId="014E88DA">
            <w:pPr>
              <w:spacing w:line="360" w:lineRule="auto"/>
              <w:jc w:val="center"/>
              <w:rPr>
                <w:rFonts w:ascii="宋体" w:hAnsi="宋体"/>
                <w:color w:val="000000"/>
                <w:sz w:val="24"/>
                <w:szCs w:val="24"/>
                <w:highlight w:val="none"/>
              </w:rPr>
            </w:pPr>
            <w:r>
              <w:rPr>
                <w:rFonts w:ascii="宋体" w:hAnsi="宋体"/>
                <w:color w:val="000000"/>
                <w:sz w:val="24"/>
                <w:szCs w:val="24"/>
                <w:highlight w:val="none"/>
              </w:rPr>
              <w:t>1.</w:t>
            </w:r>
            <w:r>
              <w:rPr>
                <w:rFonts w:hint="eastAsia" w:ascii="宋体" w:hAnsi="宋体"/>
                <w:color w:val="000000"/>
                <w:sz w:val="24"/>
                <w:szCs w:val="24"/>
                <w:highlight w:val="none"/>
              </w:rPr>
              <w:t>9.1</w:t>
            </w:r>
          </w:p>
        </w:tc>
        <w:tc>
          <w:tcPr>
            <w:tcW w:w="2008" w:type="dxa"/>
          </w:tcPr>
          <w:p w14:paraId="028BC191">
            <w:pPr>
              <w:spacing w:line="360" w:lineRule="auto"/>
              <w:jc w:val="center"/>
              <w:rPr>
                <w:rFonts w:ascii="宋体" w:hAnsi="宋体"/>
                <w:color w:val="000000"/>
                <w:sz w:val="24"/>
                <w:szCs w:val="24"/>
                <w:highlight w:val="none"/>
              </w:rPr>
            </w:pPr>
            <w:r>
              <w:rPr>
                <w:rFonts w:ascii="宋体" w:hAnsi="宋体"/>
                <w:color w:val="000000"/>
                <w:sz w:val="24"/>
                <w:szCs w:val="24"/>
                <w:highlight w:val="none"/>
              </w:rPr>
              <w:t>偏离</w:t>
            </w:r>
          </w:p>
        </w:tc>
        <w:tc>
          <w:tcPr>
            <w:tcW w:w="6480" w:type="dxa"/>
          </w:tcPr>
          <w:p w14:paraId="215B978D">
            <w:pPr>
              <w:spacing w:line="360" w:lineRule="auto"/>
              <w:ind w:firstLine="240" w:firstLineChars="100"/>
              <w:rPr>
                <w:rFonts w:ascii="宋体" w:hAnsi="宋体"/>
                <w:color w:val="000000"/>
                <w:sz w:val="24"/>
                <w:szCs w:val="24"/>
                <w:highlight w:val="none"/>
              </w:rPr>
            </w:pPr>
            <w:r>
              <w:rPr>
                <w:rFonts w:ascii="宋体" w:hAnsi="宋体"/>
                <w:color w:val="000000"/>
                <w:sz w:val="24"/>
                <w:szCs w:val="24"/>
                <w:highlight w:val="none"/>
              </w:rPr>
              <w:t>正偏离</w:t>
            </w:r>
          </w:p>
        </w:tc>
      </w:tr>
      <w:tr w14:paraId="3140E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1101" w:type="dxa"/>
            <w:vAlign w:val="center"/>
          </w:tcPr>
          <w:p w14:paraId="3C3F604E">
            <w:pPr>
              <w:spacing w:line="360" w:lineRule="auto"/>
              <w:jc w:val="center"/>
              <w:rPr>
                <w:rFonts w:ascii="宋体" w:hAnsi="宋体"/>
                <w:color w:val="000000"/>
                <w:sz w:val="24"/>
                <w:szCs w:val="24"/>
                <w:highlight w:val="none"/>
              </w:rPr>
            </w:pPr>
            <w:r>
              <w:rPr>
                <w:rFonts w:ascii="宋体" w:hAnsi="宋体"/>
                <w:color w:val="000000"/>
                <w:sz w:val="24"/>
                <w:szCs w:val="24"/>
                <w:highlight w:val="none"/>
              </w:rPr>
              <w:t>2.1</w:t>
            </w:r>
            <w:r>
              <w:rPr>
                <w:rFonts w:hint="eastAsia" w:ascii="宋体" w:hAnsi="宋体"/>
                <w:color w:val="000000"/>
                <w:sz w:val="24"/>
                <w:szCs w:val="24"/>
                <w:highlight w:val="none"/>
              </w:rPr>
              <w:t>.1</w:t>
            </w:r>
          </w:p>
        </w:tc>
        <w:tc>
          <w:tcPr>
            <w:tcW w:w="2008" w:type="dxa"/>
            <w:vAlign w:val="center"/>
          </w:tcPr>
          <w:p w14:paraId="5058CF25">
            <w:pPr>
              <w:spacing w:line="360" w:lineRule="auto"/>
              <w:jc w:val="center"/>
              <w:rPr>
                <w:rFonts w:ascii="宋体" w:hAnsi="宋体"/>
                <w:color w:val="000000"/>
                <w:sz w:val="24"/>
                <w:szCs w:val="24"/>
                <w:highlight w:val="none"/>
              </w:rPr>
            </w:pPr>
            <w:r>
              <w:rPr>
                <w:rFonts w:ascii="宋体" w:hAnsi="宋体"/>
                <w:color w:val="000000"/>
                <w:sz w:val="24"/>
                <w:szCs w:val="24"/>
                <w:highlight w:val="none"/>
              </w:rPr>
              <w:t>构成竞争性谈判文件的其他材料</w:t>
            </w:r>
          </w:p>
        </w:tc>
        <w:tc>
          <w:tcPr>
            <w:tcW w:w="6480" w:type="dxa"/>
          </w:tcPr>
          <w:p w14:paraId="75ECC5BB">
            <w:pPr>
              <w:spacing w:line="360" w:lineRule="auto"/>
              <w:ind w:firstLine="240" w:firstLineChars="100"/>
              <w:rPr>
                <w:rFonts w:ascii="宋体" w:hAnsi="宋体"/>
                <w:color w:val="000000"/>
                <w:sz w:val="24"/>
                <w:szCs w:val="24"/>
                <w:highlight w:val="none"/>
              </w:rPr>
            </w:pPr>
            <w:r>
              <w:rPr>
                <w:rFonts w:ascii="宋体" w:hAnsi="宋体"/>
                <w:color w:val="000000"/>
                <w:sz w:val="24"/>
                <w:szCs w:val="24"/>
                <w:highlight w:val="none"/>
              </w:rPr>
              <w:t>采购人在招标期间发出的有编号的补遗书和其它有效正式函件等均是竞争性谈判文件的组成部分。</w:t>
            </w:r>
          </w:p>
        </w:tc>
      </w:tr>
      <w:tr w14:paraId="28894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jc w:val="center"/>
        </w:trPr>
        <w:tc>
          <w:tcPr>
            <w:tcW w:w="1101" w:type="dxa"/>
            <w:vAlign w:val="center"/>
          </w:tcPr>
          <w:p w14:paraId="222DD516">
            <w:pPr>
              <w:spacing w:line="360" w:lineRule="auto"/>
              <w:jc w:val="center"/>
              <w:rPr>
                <w:rFonts w:ascii="宋体" w:hAnsi="宋体"/>
                <w:color w:val="000000"/>
                <w:sz w:val="24"/>
                <w:szCs w:val="24"/>
                <w:highlight w:val="none"/>
              </w:rPr>
            </w:pPr>
            <w:r>
              <w:rPr>
                <w:rFonts w:ascii="宋体" w:hAnsi="宋体"/>
                <w:color w:val="000000"/>
                <w:sz w:val="24"/>
                <w:szCs w:val="24"/>
                <w:highlight w:val="none"/>
              </w:rPr>
              <w:t>2.2.</w:t>
            </w:r>
            <w:r>
              <w:rPr>
                <w:rFonts w:hint="eastAsia" w:ascii="宋体" w:hAnsi="宋体"/>
                <w:color w:val="000000"/>
                <w:sz w:val="24"/>
                <w:szCs w:val="24"/>
                <w:highlight w:val="none"/>
              </w:rPr>
              <w:t>1</w:t>
            </w:r>
          </w:p>
        </w:tc>
        <w:tc>
          <w:tcPr>
            <w:tcW w:w="2008" w:type="dxa"/>
            <w:vAlign w:val="center"/>
          </w:tcPr>
          <w:p w14:paraId="1D45A249">
            <w:pPr>
              <w:spacing w:line="360" w:lineRule="auto"/>
              <w:jc w:val="center"/>
              <w:rPr>
                <w:rFonts w:ascii="宋体" w:hAnsi="宋体"/>
                <w:color w:val="000000"/>
                <w:sz w:val="24"/>
                <w:szCs w:val="24"/>
                <w:highlight w:val="none"/>
              </w:rPr>
            </w:pPr>
            <w:r>
              <w:rPr>
                <w:rFonts w:ascii="宋体" w:hAnsi="宋体"/>
                <w:color w:val="000000"/>
                <w:sz w:val="24"/>
                <w:szCs w:val="24"/>
                <w:highlight w:val="none"/>
              </w:rPr>
              <w:t>响应截止时间</w:t>
            </w:r>
            <w:r>
              <w:rPr>
                <w:rFonts w:hint="eastAsia" w:ascii="宋体" w:hAnsi="宋体"/>
                <w:color w:val="000000"/>
                <w:sz w:val="24"/>
                <w:szCs w:val="24"/>
                <w:highlight w:val="none"/>
              </w:rPr>
              <w:t>及开标、评标</w:t>
            </w:r>
            <w:r>
              <w:rPr>
                <w:rFonts w:ascii="宋体" w:hAnsi="宋体"/>
                <w:color w:val="000000"/>
                <w:sz w:val="24"/>
                <w:szCs w:val="24"/>
                <w:highlight w:val="none"/>
              </w:rPr>
              <w:t>地点</w:t>
            </w:r>
          </w:p>
        </w:tc>
        <w:tc>
          <w:tcPr>
            <w:tcW w:w="6480" w:type="dxa"/>
            <w:vAlign w:val="center"/>
          </w:tcPr>
          <w:p w14:paraId="09B962D8">
            <w:pPr>
              <w:spacing w:line="360" w:lineRule="auto"/>
              <w:ind w:firstLine="240" w:firstLineChars="100"/>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lang w:eastAsia="en-US"/>
              </w:rPr>
              <w:t>响应文件递交截止时间及开标时间：202</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lang w:eastAsia="en-US"/>
              </w:rPr>
              <w:t>年0</w:t>
            </w:r>
            <w:r>
              <w:rPr>
                <w:rFonts w:hint="eastAsia" w:ascii="宋体" w:hAnsi="宋体"/>
                <w:color w:val="000000"/>
                <w:sz w:val="24"/>
                <w:szCs w:val="24"/>
                <w:highlight w:val="none"/>
                <w:lang w:val="en-US" w:eastAsia="zh-CN"/>
              </w:rPr>
              <w:t>7</w:t>
            </w:r>
            <w:r>
              <w:rPr>
                <w:rFonts w:hint="eastAsia" w:ascii="宋体" w:hAnsi="宋体"/>
                <w:color w:val="000000"/>
                <w:sz w:val="24"/>
                <w:szCs w:val="24"/>
                <w:highlight w:val="none"/>
                <w:lang w:eastAsia="en-US"/>
              </w:rPr>
              <w:t>月</w:t>
            </w:r>
            <w:r>
              <w:rPr>
                <w:rFonts w:hint="eastAsia" w:ascii="宋体" w:hAnsi="宋体"/>
                <w:color w:val="000000"/>
                <w:sz w:val="24"/>
                <w:szCs w:val="24"/>
                <w:highlight w:val="none"/>
                <w:lang w:val="en-US" w:eastAsia="zh-CN"/>
              </w:rPr>
              <w:t>31</w:t>
            </w:r>
            <w:r>
              <w:rPr>
                <w:rFonts w:hint="eastAsia" w:ascii="宋体" w:hAnsi="宋体"/>
                <w:color w:val="000000"/>
                <w:sz w:val="24"/>
                <w:szCs w:val="24"/>
                <w:highlight w:val="none"/>
                <w:lang w:eastAsia="en-US"/>
              </w:rPr>
              <w:t>日0</w:t>
            </w:r>
            <w:r>
              <w:rPr>
                <w:rFonts w:hint="eastAsia" w:ascii="宋体" w:hAnsi="宋体"/>
                <w:color w:val="000000"/>
                <w:sz w:val="24"/>
                <w:szCs w:val="24"/>
                <w:highlight w:val="none"/>
                <w:lang w:val="en-US" w:eastAsia="zh-CN"/>
              </w:rPr>
              <w:t>9</w:t>
            </w:r>
            <w:r>
              <w:rPr>
                <w:rFonts w:hint="eastAsia" w:ascii="宋体" w:hAnsi="宋体"/>
                <w:color w:val="000000"/>
                <w:sz w:val="24"/>
                <w:szCs w:val="24"/>
                <w:highlight w:val="none"/>
                <w:lang w:eastAsia="en-US"/>
              </w:rPr>
              <w:t>时</w:t>
            </w:r>
            <w:r>
              <w:rPr>
                <w:rFonts w:hint="eastAsia" w:ascii="宋体" w:hAnsi="宋体"/>
                <w:color w:val="000000"/>
                <w:sz w:val="24"/>
                <w:szCs w:val="24"/>
                <w:highlight w:val="none"/>
                <w:lang w:val="en-US" w:eastAsia="zh-CN"/>
              </w:rPr>
              <w:t>10</w:t>
            </w:r>
            <w:r>
              <w:rPr>
                <w:rFonts w:hint="eastAsia" w:ascii="宋体" w:hAnsi="宋体"/>
                <w:color w:val="000000"/>
                <w:sz w:val="24"/>
                <w:szCs w:val="24"/>
                <w:highlight w:val="none"/>
                <w:lang w:eastAsia="en-US"/>
              </w:rPr>
              <w:t>分</w:t>
            </w:r>
            <w:r>
              <w:rPr>
                <w:rFonts w:hint="eastAsia" w:ascii="宋体" w:hAnsi="宋体"/>
                <w:color w:val="000000"/>
                <w:sz w:val="24"/>
                <w:szCs w:val="24"/>
                <w:highlight w:val="none"/>
                <w:lang w:val="en-US" w:eastAsia="zh-CN"/>
              </w:rPr>
              <w:t>；</w:t>
            </w:r>
          </w:p>
          <w:p w14:paraId="7E12222A">
            <w:pPr>
              <w:spacing w:line="360" w:lineRule="auto"/>
              <w:ind w:firstLine="240" w:firstLineChars="100"/>
              <w:rPr>
                <w:rFonts w:ascii="宋体" w:hAnsi="宋体"/>
                <w:color w:val="000000"/>
                <w:sz w:val="24"/>
                <w:szCs w:val="24"/>
                <w:highlight w:val="none"/>
                <w:lang w:eastAsia="en-US"/>
              </w:rPr>
            </w:pPr>
            <w:r>
              <w:rPr>
                <w:rFonts w:hint="eastAsia" w:ascii="宋体" w:hAnsi="宋体"/>
                <w:color w:val="000000"/>
                <w:sz w:val="24"/>
                <w:szCs w:val="24"/>
                <w:highlight w:val="none"/>
                <w:lang w:eastAsia="en-US"/>
              </w:rPr>
              <w:t>2、开标地点：卢氏县公共资源交易中心</w:t>
            </w:r>
            <w:r>
              <w:rPr>
                <w:rFonts w:hint="eastAsia" w:ascii="宋体" w:hAnsi="宋体"/>
                <w:color w:val="000000"/>
                <w:sz w:val="24"/>
                <w:szCs w:val="24"/>
                <w:highlight w:val="none"/>
              </w:rPr>
              <w:t>四</w:t>
            </w:r>
            <w:r>
              <w:rPr>
                <w:rFonts w:hint="eastAsia" w:ascii="宋体" w:hAnsi="宋体"/>
                <w:color w:val="000000"/>
                <w:sz w:val="24"/>
                <w:szCs w:val="24"/>
                <w:highlight w:val="none"/>
                <w:lang w:eastAsia="en-US"/>
              </w:rPr>
              <w:t>楼第</w:t>
            </w:r>
            <w:r>
              <w:rPr>
                <w:rFonts w:hint="eastAsia" w:ascii="宋体" w:hAnsi="宋体"/>
                <w:color w:val="000000"/>
                <w:sz w:val="24"/>
                <w:szCs w:val="24"/>
                <w:highlight w:val="none"/>
                <w:lang w:val="en-US" w:eastAsia="zh-CN"/>
              </w:rPr>
              <w:t>一</w:t>
            </w:r>
            <w:r>
              <w:rPr>
                <w:rFonts w:hint="eastAsia" w:ascii="宋体" w:hAnsi="宋体"/>
                <w:color w:val="000000"/>
                <w:sz w:val="24"/>
                <w:szCs w:val="24"/>
                <w:highlight w:val="none"/>
                <w:lang w:eastAsia="en-US"/>
              </w:rPr>
              <w:t>开标室</w:t>
            </w:r>
            <w:r>
              <w:rPr>
                <w:rFonts w:hint="eastAsia" w:ascii="宋体" w:hAnsi="宋体"/>
                <w:color w:val="000000"/>
                <w:sz w:val="24"/>
                <w:szCs w:val="24"/>
                <w:highlight w:val="none"/>
                <w:lang w:val="en-US" w:eastAsia="zh-CN"/>
              </w:rPr>
              <w:t>；</w:t>
            </w:r>
          </w:p>
          <w:p w14:paraId="52FFA1D2">
            <w:pPr>
              <w:spacing w:line="360" w:lineRule="auto"/>
              <w:ind w:firstLine="240" w:firstLineChars="100"/>
              <w:rPr>
                <w:rFonts w:ascii="宋体" w:hAnsi="宋体"/>
                <w:color w:val="000000"/>
                <w:sz w:val="24"/>
                <w:szCs w:val="24"/>
                <w:highlight w:val="none"/>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lang w:eastAsia="en-US"/>
              </w:rPr>
              <w:t>评标地点：卢氏县公共资源交易中心二楼第</w:t>
            </w:r>
            <w:r>
              <w:rPr>
                <w:rFonts w:hint="eastAsia" w:ascii="宋体" w:hAnsi="宋体"/>
                <w:color w:val="000000"/>
                <w:sz w:val="24"/>
                <w:szCs w:val="24"/>
                <w:highlight w:val="none"/>
                <w:lang w:val="en-US" w:eastAsia="zh-CN"/>
              </w:rPr>
              <w:t>三</w:t>
            </w:r>
            <w:r>
              <w:rPr>
                <w:rFonts w:hint="eastAsia" w:ascii="宋体" w:hAnsi="宋体"/>
                <w:color w:val="000000"/>
                <w:sz w:val="24"/>
                <w:szCs w:val="24"/>
                <w:highlight w:val="none"/>
                <w:lang w:eastAsia="en-US"/>
              </w:rPr>
              <w:t>评标室</w:t>
            </w:r>
            <w:r>
              <w:rPr>
                <w:rFonts w:hint="eastAsia" w:ascii="宋体" w:hAnsi="宋体"/>
                <w:color w:val="000000"/>
                <w:sz w:val="24"/>
                <w:szCs w:val="24"/>
                <w:highlight w:val="none"/>
                <w:lang w:val="en-US" w:eastAsia="zh-CN"/>
              </w:rPr>
              <w:t>；</w:t>
            </w:r>
          </w:p>
        </w:tc>
      </w:tr>
      <w:tr w14:paraId="69C1F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101" w:type="dxa"/>
          </w:tcPr>
          <w:p w14:paraId="0A6290A8">
            <w:pPr>
              <w:spacing w:line="360" w:lineRule="auto"/>
              <w:jc w:val="center"/>
              <w:rPr>
                <w:rFonts w:ascii="宋体" w:hAnsi="宋体"/>
                <w:color w:val="000000"/>
                <w:sz w:val="24"/>
                <w:szCs w:val="24"/>
                <w:highlight w:val="none"/>
              </w:rPr>
            </w:pPr>
            <w:r>
              <w:rPr>
                <w:rFonts w:ascii="宋体" w:hAnsi="宋体"/>
                <w:color w:val="000000"/>
                <w:sz w:val="24"/>
                <w:szCs w:val="24"/>
                <w:highlight w:val="none"/>
              </w:rPr>
              <w:t>2.2.</w:t>
            </w:r>
            <w:r>
              <w:rPr>
                <w:rFonts w:hint="eastAsia" w:ascii="宋体" w:hAnsi="宋体"/>
                <w:color w:val="000000"/>
                <w:sz w:val="24"/>
                <w:szCs w:val="24"/>
                <w:highlight w:val="none"/>
              </w:rPr>
              <w:t>2</w:t>
            </w:r>
          </w:p>
        </w:tc>
        <w:tc>
          <w:tcPr>
            <w:tcW w:w="2008" w:type="dxa"/>
          </w:tcPr>
          <w:p w14:paraId="062BEBFF">
            <w:pPr>
              <w:spacing w:line="360" w:lineRule="auto"/>
              <w:jc w:val="center"/>
              <w:rPr>
                <w:rFonts w:ascii="宋体" w:hAnsi="宋体"/>
                <w:color w:val="000000"/>
                <w:sz w:val="24"/>
                <w:szCs w:val="24"/>
                <w:highlight w:val="none"/>
              </w:rPr>
            </w:pPr>
            <w:r>
              <w:rPr>
                <w:rFonts w:ascii="宋体" w:hAnsi="宋体"/>
                <w:color w:val="000000"/>
                <w:sz w:val="24"/>
                <w:szCs w:val="24"/>
                <w:highlight w:val="none"/>
              </w:rPr>
              <w:t>供应商确认收到竞争性谈判文件澄清的时间</w:t>
            </w:r>
          </w:p>
        </w:tc>
        <w:tc>
          <w:tcPr>
            <w:tcW w:w="6480" w:type="dxa"/>
            <w:vAlign w:val="center"/>
          </w:tcPr>
          <w:p w14:paraId="06268579">
            <w:pPr>
              <w:spacing w:line="360" w:lineRule="auto"/>
              <w:ind w:firstLine="240" w:firstLineChars="100"/>
              <w:rPr>
                <w:rFonts w:ascii="宋体" w:hAnsi="宋体"/>
                <w:color w:val="000000"/>
                <w:sz w:val="24"/>
                <w:szCs w:val="24"/>
                <w:highlight w:val="none"/>
              </w:rPr>
            </w:pPr>
            <w:r>
              <w:rPr>
                <w:rFonts w:ascii="宋体" w:hAnsi="宋体"/>
                <w:color w:val="000000"/>
                <w:sz w:val="24"/>
                <w:szCs w:val="24"/>
                <w:highlight w:val="none"/>
              </w:rPr>
              <w:t>供应商在收到竞争性谈判文件澄清文件后24小时内</w:t>
            </w:r>
          </w:p>
        </w:tc>
      </w:tr>
      <w:tr w14:paraId="4F74B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101" w:type="dxa"/>
          </w:tcPr>
          <w:p w14:paraId="7F6146B9">
            <w:pPr>
              <w:spacing w:line="360" w:lineRule="auto"/>
              <w:jc w:val="center"/>
              <w:rPr>
                <w:rFonts w:ascii="宋体" w:hAnsi="宋体"/>
                <w:color w:val="000000"/>
                <w:sz w:val="24"/>
                <w:szCs w:val="24"/>
                <w:highlight w:val="none"/>
              </w:rPr>
            </w:pPr>
            <w:r>
              <w:rPr>
                <w:rFonts w:ascii="宋体" w:hAnsi="宋体"/>
                <w:color w:val="000000"/>
                <w:sz w:val="24"/>
                <w:szCs w:val="24"/>
                <w:highlight w:val="none"/>
              </w:rPr>
              <w:t>2.3.</w:t>
            </w:r>
            <w:r>
              <w:rPr>
                <w:rFonts w:hint="eastAsia" w:ascii="宋体" w:hAnsi="宋体"/>
                <w:color w:val="000000"/>
                <w:sz w:val="24"/>
                <w:szCs w:val="24"/>
                <w:highlight w:val="none"/>
              </w:rPr>
              <w:t>1</w:t>
            </w:r>
          </w:p>
        </w:tc>
        <w:tc>
          <w:tcPr>
            <w:tcW w:w="2008" w:type="dxa"/>
          </w:tcPr>
          <w:p w14:paraId="37FCB039">
            <w:pPr>
              <w:spacing w:line="360" w:lineRule="auto"/>
              <w:jc w:val="center"/>
              <w:rPr>
                <w:rFonts w:ascii="宋体" w:hAnsi="宋体"/>
                <w:color w:val="000000"/>
                <w:sz w:val="24"/>
                <w:szCs w:val="24"/>
                <w:highlight w:val="none"/>
              </w:rPr>
            </w:pPr>
            <w:r>
              <w:rPr>
                <w:rFonts w:ascii="宋体" w:hAnsi="宋体"/>
                <w:color w:val="000000"/>
                <w:sz w:val="24"/>
                <w:szCs w:val="24"/>
                <w:highlight w:val="none"/>
              </w:rPr>
              <w:t>供应商确认收到竞争性谈判文件修改的时间</w:t>
            </w:r>
          </w:p>
        </w:tc>
        <w:tc>
          <w:tcPr>
            <w:tcW w:w="6480" w:type="dxa"/>
            <w:vAlign w:val="center"/>
          </w:tcPr>
          <w:p w14:paraId="77016EA6">
            <w:pPr>
              <w:spacing w:line="360" w:lineRule="auto"/>
              <w:ind w:firstLine="240" w:firstLineChars="100"/>
              <w:rPr>
                <w:rFonts w:ascii="宋体" w:hAnsi="宋体"/>
                <w:color w:val="000000"/>
                <w:sz w:val="24"/>
                <w:szCs w:val="24"/>
                <w:highlight w:val="none"/>
              </w:rPr>
            </w:pPr>
            <w:r>
              <w:rPr>
                <w:rFonts w:ascii="宋体" w:hAnsi="宋体"/>
                <w:color w:val="000000"/>
                <w:sz w:val="24"/>
                <w:szCs w:val="24"/>
                <w:highlight w:val="none"/>
              </w:rPr>
              <w:t>供应商在收到竞争性谈判文件修改文件后24小时内</w:t>
            </w:r>
          </w:p>
        </w:tc>
      </w:tr>
      <w:tr w14:paraId="3DAD3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101" w:type="dxa"/>
          </w:tcPr>
          <w:p w14:paraId="7C223425">
            <w:pPr>
              <w:spacing w:line="360" w:lineRule="auto"/>
              <w:jc w:val="center"/>
              <w:rPr>
                <w:rFonts w:ascii="宋体" w:hAnsi="宋体"/>
                <w:color w:val="000000"/>
                <w:sz w:val="24"/>
                <w:szCs w:val="24"/>
                <w:highlight w:val="none"/>
              </w:rPr>
            </w:pPr>
            <w:r>
              <w:rPr>
                <w:rFonts w:ascii="宋体" w:hAnsi="宋体"/>
                <w:color w:val="000000"/>
                <w:sz w:val="24"/>
                <w:szCs w:val="24"/>
                <w:highlight w:val="none"/>
              </w:rPr>
              <w:t>3.1.1</w:t>
            </w:r>
          </w:p>
        </w:tc>
        <w:tc>
          <w:tcPr>
            <w:tcW w:w="2008" w:type="dxa"/>
          </w:tcPr>
          <w:p w14:paraId="287BF895">
            <w:pPr>
              <w:spacing w:line="360" w:lineRule="auto"/>
              <w:jc w:val="center"/>
              <w:rPr>
                <w:rFonts w:ascii="宋体" w:hAnsi="宋体"/>
                <w:color w:val="000000"/>
                <w:sz w:val="24"/>
                <w:szCs w:val="24"/>
                <w:highlight w:val="none"/>
              </w:rPr>
            </w:pPr>
            <w:r>
              <w:rPr>
                <w:rFonts w:ascii="宋体" w:hAnsi="宋体"/>
                <w:color w:val="000000"/>
                <w:sz w:val="24"/>
                <w:szCs w:val="24"/>
                <w:highlight w:val="none"/>
              </w:rPr>
              <w:t>响应文件的组成</w:t>
            </w:r>
          </w:p>
        </w:tc>
        <w:tc>
          <w:tcPr>
            <w:tcW w:w="6480" w:type="dxa"/>
          </w:tcPr>
          <w:p w14:paraId="7563573F">
            <w:pPr>
              <w:spacing w:line="360" w:lineRule="auto"/>
              <w:ind w:firstLine="240" w:firstLineChars="100"/>
              <w:rPr>
                <w:rFonts w:ascii="宋体" w:hAnsi="宋体"/>
                <w:color w:val="000000"/>
                <w:sz w:val="24"/>
                <w:szCs w:val="24"/>
                <w:highlight w:val="none"/>
              </w:rPr>
            </w:pPr>
            <w:r>
              <w:rPr>
                <w:rFonts w:ascii="宋体" w:hAnsi="宋体"/>
                <w:color w:val="000000"/>
                <w:sz w:val="24"/>
                <w:szCs w:val="24"/>
                <w:highlight w:val="none"/>
              </w:rPr>
              <w:t>见竞争性谈判文件本章第</w:t>
            </w:r>
            <w:r>
              <w:rPr>
                <w:rFonts w:hint="eastAsia" w:ascii="宋体" w:hAnsi="宋体"/>
                <w:color w:val="000000"/>
                <w:sz w:val="24"/>
                <w:szCs w:val="24"/>
                <w:highlight w:val="none"/>
              </w:rPr>
              <w:t>6项规定</w:t>
            </w:r>
          </w:p>
        </w:tc>
      </w:tr>
      <w:tr w14:paraId="25AFC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101" w:type="dxa"/>
          </w:tcPr>
          <w:p w14:paraId="4A83CE84">
            <w:pPr>
              <w:spacing w:line="360" w:lineRule="auto"/>
              <w:jc w:val="center"/>
              <w:rPr>
                <w:rFonts w:ascii="宋体" w:hAnsi="宋体"/>
                <w:color w:val="000000"/>
                <w:sz w:val="24"/>
                <w:szCs w:val="24"/>
                <w:highlight w:val="none"/>
              </w:rPr>
            </w:pPr>
            <w:r>
              <w:rPr>
                <w:rFonts w:ascii="宋体" w:hAnsi="宋体"/>
                <w:color w:val="000000"/>
                <w:sz w:val="24"/>
                <w:szCs w:val="24"/>
                <w:highlight w:val="none"/>
              </w:rPr>
              <w:t>3.1.2</w:t>
            </w:r>
          </w:p>
        </w:tc>
        <w:tc>
          <w:tcPr>
            <w:tcW w:w="2008" w:type="dxa"/>
          </w:tcPr>
          <w:p w14:paraId="78AFA1DD">
            <w:pPr>
              <w:spacing w:line="360" w:lineRule="auto"/>
              <w:jc w:val="center"/>
              <w:rPr>
                <w:rFonts w:ascii="宋体" w:hAnsi="宋体"/>
                <w:color w:val="000000"/>
                <w:sz w:val="24"/>
                <w:szCs w:val="24"/>
                <w:highlight w:val="none"/>
              </w:rPr>
            </w:pPr>
            <w:r>
              <w:rPr>
                <w:rFonts w:ascii="宋体" w:hAnsi="宋体"/>
                <w:color w:val="000000"/>
                <w:sz w:val="24"/>
                <w:szCs w:val="24"/>
                <w:highlight w:val="none"/>
              </w:rPr>
              <w:t>谈判有效期</w:t>
            </w:r>
          </w:p>
        </w:tc>
        <w:tc>
          <w:tcPr>
            <w:tcW w:w="6480" w:type="dxa"/>
          </w:tcPr>
          <w:p w14:paraId="795FECB6">
            <w:pPr>
              <w:spacing w:line="360" w:lineRule="auto"/>
              <w:ind w:firstLine="240" w:firstLineChars="100"/>
              <w:rPr>
                <w:rFonts w:ascii="宋体" w:hAnsi="宋体"/>
                <w:color w:val="000000"/>
                <w:sz w:val="24"/>
                <w:szCs w:val="24"/>
                <w:highlight w:val="none"/>
              </w:rPr>
            </w:pPr>
            <w:r>
              <w:rPr>
                <w:rFonts w:ascii="宋体" w:hAnsi="宋体"/>
                <w:color w:val="000000"/>
                <w:sz w:val="24"/>
                <w:szCs w:val="24"/>
                <w:highlight w:val="none"/>
              </w:rPr>
              <w:t>60日历天（从谈判截止之日算起）</w:t>
            </w:r>
          </w:p>
        </w:tc>
      </w:tr>
      <w:tr w14:paraId="3FA2E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1101" w:type="dxa"/>
          </w:tcPr>
          <w:p w14:paraId="39F0F3EC">
            <w:pPr>
              <w:spacing w:line="360" w:lineRule="auto"/>
              <w:jc w:val="center"/>
              <w:rPr>
                <w:rFonts w:ascii="宋体" w:hAnsi="宋体"/>
                <w:color w:val="000000"/>
                <w:sz w:val="24"/>
                <w:szCs w:val="24"/>
                <w:highlight w:val="none"/>
              </w:rPr>
            </w:pPr>
            <w:r>
              <w:rPr>
                <w:rFonts w:ascii="宋体" w:hAnsi="宋体"/>
                <w:color w:val="000000"/>
                <w:sz w:val="24"/>
                <w:szCs w:val="24"/>
                <w:highlight w:val="none"/>
              </w:rPr>
              <w:t>3.2</w:t>
            </w:r>
            <w:r>
              <w:rPr>
                <w:rFonts w:hint="eastAsia" w:ascii="宋体" w:hAnsi="宋体"/>
                <w:color w:val="000000"/>
                <w:sz w:val="24"/>
                <w:szCs w:val="24"/>
                <w:highlight w:val="none"/>
              </w:rPr>
              <w:t>.1</w:t>
            </w:r>
          </w:p>
        </w:tc>
        <w:tc>
          <w:tcPr>
            <w:tcW w:w="2008" w:type="dxa"/>
          </w:tcPr>
          <w:p w14:paraId="26BBC072">
            <w:pPr>
              <w:spacing w:line="360" w:lineRule="auto"/>
              <w:jc w:val="center"/>
              <w:rPr>
                <w:rFonts w:ascii="宋体" w:hAnsi="宋体"/>
                <w:color w:val="000000"/>
                <w:sz w:val="24"/>
                <w:szCs w:val="24"/>
                <w:highlight w:val="none"/>
              </w:rPr>
            </w:pPr>
            <w:r>
              <w:rPr>
                <w:rFonts w:ascii="宋体" w:hAnsi="宋体"/>
                <w:color w:val="000000"/>
                <w:sz w:val="24"/>
                <w:szCs w:val="24"/>
                <w:highlight w:val="none"/>
              </w:rPr>
              <w:t>是否允许递交备选投标方案</w:t>
            </w:r>
          </w:p>
        </w:tc>
        <w:tc>
          <w:tcPr>
            <w:tcW w:w="6480" w:type="dxa"/>
            <w:vAlign w:val="center"/>
          </w:tcPr>
          <w:p w14:paraId="72C628B0">
            <w:pPr>
              <w:spacing w:line="360" w:lineRule="auto"/>
              <w:ind w:firstLine="240" w:firstLineChars="100"/>
              <w:rPr>
                <w:rFonts w:ascii="宋体" w:hAnsi="宋体"/>
                <w:color w:val="000000"/>
                <w:sz w:val="24"/>
                <w:szCs w:val="24"/>
                <w:highlight w:val="none"/>
              </w:rPr>
            </w:pPr>
            <w:r>
              <w:rPr>
                <w:rFonts w:ascii="宋体" w:hAnsi="宋体"/>
                <w:color w:val="000000"/>
                <w:sz w:val="24"/>
                <w:szCs w:val="24"/>
                <w:highlight w:val="none"/>
              </w:rPr>
              <w:t>不允许</w:t>
            </w:r>
          </w:p>
        </w:tc>
      </w:tr>
      <w:tr w14:paraId="4F5CF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jc w:val="center"/>
        </w:trPr>
        <w:tc>
          <w:tcPr>
            <w:tcW w:w="1101" w:type="dxa"/>
            <w:vAlign w:val="center"/>
          </w:tcPr>
          <w:p w14:paraId="788A4040">
            <w:pPr>
              <w:spacing w:line="360" w:lineRule="auto"/>
              <w:jc w:val="center"/>
              <w:rPr>
                <w:rFonts w:ascii="宋体" w:hAnsi="宋体"/>
                <w:color w:val="000000"/>
                <w:sz w:val="24"/>
                <w:szCs w:val="24"/>
                <w:highlight w:val="none"/>
              </w:rPr>
            </w:pPr>
            <w:r>
              <w:rPr>
                <w:rFonts w:ascii="宋体" w:hAnsi="宋体"/>
                <w:color w:val="000000"/>
                <w:sz w:val="24"/>
                <w:szCs w:val="24"/>
                <w:highlight w:val="none"/>
              </w:rPr>
              <w:t>3.3.1</w:t>
            </w:r>
          </w:p>
        </w:tc>
        <w:tc>
          <w:tcPr>
            <w:tcW w:w="2008" w:type="dxa"/>
            <w:vAlign w:val="center"/>
          </w:tcPr>
          <w:p w14:paraId="221EB58A">
            <w:pPr>
              <w:spacing w:line="360" w:lineRule="auto"/>
              <w:jc w:val="center"/>
              <w:rPr>
                <w:rFonts w:ascii="宋体" w:hAnsi="宋体"/>
                <w:color w:val="000000"/>
                <w:sz w:val="24"/>
                <w:szCs w:val="24"/>
                <w:highlight w:val="none"/>
              </w:rPr>
            </w:pPr>
            <w:r>
              <w:rPr>
                <w:rFonts w:ascii="宋体" w:hAnsi="宋体"/>
                <w:color w:val="000000"/>
                <w:sz w:val="24"/>
                <w:szCs w:val="24"/>
                <w:highlight w:val="none"/>
              </w:rPr>
              <w:t>谈判保证金</w:t>
            </w:r>
          </w:p>
        </w:tc>
        <w:tc>
          <w:tcPr>
            <w:tcW w:w="6480" w:type="dxa"/>
          </w:tcPr>
          <w:p w14:paraId="241B4577">
            <w:pPr>
              <w:spacing w:line="360" w:lineRule="auto"/>
              <w:ind w:firstLine="240" w:firstLineChars="100"/>
              <w:rPr>
                <w:rFonts w:ascii="宋体" w:hAnsi="宋体"/>
                <w:color w:val="000000"/>
                <w:sz w:val="24"/>
                <w:szCs w:val="24"/>
                <w:highlight w:val="none"/>
              </w:rPr>
            </w:pPr>
            <w:r>
              <w:rPr>
                <w:rFonts w:hint="eastAsia" w:ascii="宋体" w:hAnsi="宋体"/>
                <w:bCs/>
                <w:color w:val="000000"/>
                <w:sz w:val="24"/>
                <w:szCs w:val="24"/>
                <w:highlight w:val="none"/>
              </w:rPr>
              <w:t>按照《河南省财政厅</w:t>
            </w:r>
            <w:r>
              <w:rPr>
                <w:rFonts w:ascii="宋体" w:hAnsi="宋体"/>
                <w:bCs/>
                <w:color w:val="000000"/>
                <w:sz w:val="24"/>
                <w:szCs w:val="24"/>
                <w:highlight w:val="none"/>
              </w:rPr>
              <w:t>关于优化政府采购营商环境有关问题的通知</w:t>
            </w:r>
            <w:r>
              <w:rPr>
                <w:rFonts w:hint="eastAsia" w:ascii="宋体" w:hAnsi="宋体"/>
                <w:bCs/>
                <w:color w:val="000000"/>
                <w:sz w:val="24"/>
                <w:szCs w:val="24"/>
                <w:highlight w:val="none"/>
              </w:rPr>
              <w:t>》（豫财购[2019]4号文）的要求本项目不再收取谈判保证金。供应商应提供</w:t>
            </w:r>
            <w:r>
              <w:rPr>
                <w:rFonts w:hint="eastAsia" w:ascii="宋体" w:hAnsi="宋体"/>
                <w:bCs/>
                <w:color w:val="000000"/>
                <w:sz w:val="24"/>
                <w:szCs w:val="24"/>
                <w:highlight w:val="none"/>
                <w:lang w:val="en-US" w:eastAsia="zh-CN"/>
              </w:rPr>
              <w:t>谈判</w:t>
            </w:r>
            <w:r>
              <w:rPr>
                <w:rFonts w:hint="eastAsia" w:ascii="宋体" w:hAnsi="宋体"/>
                <w:bCs/>
                <w:color w:val="000000"/>
                <w:sz w:val="24"/>
                <w:szCs w:val="24"/>
                <w:highlight w:val="none"/>
              </w:rPr>
              <w:t>承诺函，作为响应文件的组成部分</w:t>
            </w:r>
          </w:p>
        </w:tc>
      </w:tr>
      <w:tr w14:paraId="702AA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jc w:val="center"/>
        </w:trPr>
        <w:tc>
          <w:tcPr>
            <w:tcW w:w="1101" w:type="dxa"/>
            <w:vAlign w:val="center"/>
          </w:tcPr>
          <w:p w14:paraId="09F1C1A9">
            <w:pPr>
              <w:spacing w:line="360" w:lineRule="auto"/>
              <w:jc w:val="center"/>
              <w:rPr>
                <w:rFonts w:ascii="宋体" w:hAnsi="宋体"/>
                <w:color w:val="000000"/>
                <w:sz w:val="24"/>
                <w:szCs w:val="24"/>
                <w:highlight w:val="none"/>
              </w:rPr>
            </w:pPr>
            <w:r>
              <w:rPr>
                <w:rFonts w:ascii="宋体" w:hAnsi="宋体"/>
                <w:color w:val="000000"/>
                <w:sz w:val="24"/>
                <w:szCs w:val="24"/>
                <w:highlight w:val="none"/>
              </w:rPr>
              <w:t>3.3.</w:t>
            </w:r>
            <w:r>
              <w:rPr>
                <w:rFonts w:hint="eastAsia" w:ascii="宋体" w:hAnsi="宋体"/>
                <w:color w:val="000000"/>
                <w:sz w:val="24"/>
                <w:szCs w:val="24"/>
                <w:highlight w:val="none"/>
              </w:rPr>
              <w:t>2</w:t>
            </w:r>
          </w:p>
        </w:tc>
        <w:tc>
          <w:tcPr>
            <w:tcW w:w="2008" w:type="dxa"/>
            <w:vAlign w:val="center"/>
          </w:tcPr>
          <w:p w14:paraId="7DB70EE8">
            <w:pPr>
              <w:spacing w:line="360" w:lineRule="auto"/>
              <w:jc w:val="center"/>
              <w:rPr>
                <w:rFonts w:ascii="宋体" w:hAnsi="宋体"/>
                <w:color w:val="000000"/>
                <w:sz w:val="24"/>
                <w:szCs w:val="24"/>
                <w:highlight w:val="none"/>
              </w:rPr>
            </w:pPr>
            <w:r>
              <w:rPr>
                <w:rFonts w:ascii="宋体" w:hAnsi="宋体"/>
                <w:color w:val="000000"/>
                <w:sz w:val="24"/>
                <w:szCs w:val="24"/>
                <w:highlight w:val="none"/>
              </w:rPr>
              <w:t>电子</w:t>
            </w:r>
            <w:r>
              <w:rPr>
                <w:rFonts w:hint="eastAsia" w:ascii="宋体" w:hAnsi="宋体"/>
                <w:color w:val="000000"/>
                <w:sz w:val="24"/>
                <w:szCs w:val="24"/>
                <w:highlight w:val="none"/>
              </w:rPr>
              <w:t>响应文件</w:t>
            </w:r>
            <w:r>
              <w:rPr>
                <w:rFonts w:ascii="宋体" w:hAnsi="宋体"/>
                <w:color w:val="000000"/>
                <w:sz w:val="24"/>
                <w:szCs w:val="24"/>
                <w:highlight w:val="none"/>
              </w:rPr>
              <w:t>签章</w:t>
            </w:r>
          </w:p>
        </w:tc>
        <w:tc>
          <w:tcPr>
            <w:tcW w:w="6480" w:type="dxa"/>
          </w:tcPr>
          <w:p w14:paraId="0A9C4632">
            <w:pPr>
              <w:spacing w:line="360" w:lineRule="auto"/>
              <w:ind w:firstLine="240" w:firstLineChars="100"/>
              <w:rPr>
                <w:rFonts w:ascii="宋体" w:hAnsi="宋体"/>
                <w:color w:val="000000"/>
                <w:sz w:val="24"/>
                <w:szCs w:val="24"/>
                <w:highlight w:val="none"/>
              </w:rPr>
            </w:pPr>
            <w:r>
              <w:rPr>
                <w:rFonts w:hint="eastAsia" w:ascii="宋体" w:hAnsi="宋体"/>
                <w:color w:val="000000"/>
                <w:sz w:val="24"/>
                <w:szCs w:val="24"/>
                <w:highlight w:val="none"/>
              </w:rPr>
              <w:t>1、供应商在生成电子化响应文件后，应对电子化响应文件进行签章，未对电子化文件进行签章的视为无效投标。</w:t>
            </w:r>
          </w:p>
          <w:p w14:paraId="4C35FF63">
            <w:pPr>
              <w:spacing w:line="360" w:lineRule="auto"/>
              <w:ind w:firstLine="240" w:firstLineChars="100"/>
              <w:jc w:val="left"/>
              <w:rPr>
                <w:rFonts w:ascii="宋体" w:hAnsi="宋体"/>
                <w:color w:val="000000"/>
                <w:sz w:val="24"/>
                <w:szCs w:val="24"/>
                <w:highlight w:val="none"/>
              </w:rPr>
            </w:pPr>
            <w:r>
              <w:rPr>
                <w:rFonts w:hint="eastAsia" w:ascii="宋体" w:hAnsi="宋体"/>
                <w:color w:val="000000"/>
                <w:sz w:val="24"/>
                <w:szCs w:val="24"/>
                <w:highlight w:val="none"/>
              </w:rPr>
              <w:t>2、响应文件中要求法定代表人或授权委托人签字或盖章的，供应商在进行电子化响应文件签章时，以签盖法定代表人签章为准。电子化响应文件具体制作教材请投标人通过 CA 证书登录三门峡市公共资源电子化交易系统在右上角“交易智库”中查看。电子化响应文件工具请点http://gzjy.smx.gov.cn/SMX/InformationCenter/NewsDetail.do?CID=fdd6c8fc-bb0a-4c07-8715-d29609fc7a80&amp;ID=3061a14f-cf3f-4cdd-aad4-7e2873151413 进行下载。</w:t>
            </w:r>
          </w:p>
        </w:tc>
      </w:tr>
      <w:tr w14:paraId="08173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1101" w:type="dxa"/>
            <w:vAlign w:val="center"/>
          </w:tcPr>
          <w:p w14:paraId="20B81631">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4.4.1</w:t>
            </w:r>
          </w:p>
        </w:tc>
        <w:tc>
          <w:tcPr>
            <w:tcW w:w="2008" w:type="dxa"/>
            <w:vAlign w:val="center"/>
          </w:tcPr>
          <w:p w14:paraId="16E69B58">
            <w:pPr>
              <w:spacing w:line="360" w:lineRule="auto"/>
              <w:jc w:val="center"/>
              <w:rPr>
                <w:rFonts w:ascii="宋体" w:hAnsi="宋体"/>
                <w:color w:val="000000"/>
                <w:sz w:val="24"/>
                <w:szCs w:val="24"/>
                <w:highlight w:val="none"/>
              </w:rPr>
            </w:pPr>
            <w:r>
              <w:rPr>
                <w:rFonts w:ascii="宋体" w:hAnsi="宋体"/>
                <w:color w:val="000000"/>
                <w:sz w:val="24"/>
                <w:szCs w:val="24"/>
                <w:highlight w:val="none"/>
              </w:rPr>
              <w:t>响应文件</w:t>
            </w:r>
          </w:p>
        </w:tc>
        <w:tc>
          <w:tcPr>
            <w:tcW w:w="6480" w:type="dxa"/>
          </w:tcPr>
          <w:p w14:paraId="5EC3DF78">
            <w:pPr>
              <w:spacing w:line="360" w:lineRule="auto"/>
              <w:ind w:firstLine="240" w:firstLineChars="100"/>
              <w:rPr>
                <w:rFonts w:ascii="宋体" w:hAnsi="宋体"/>
                <w:color w:val="000000"/>
                <w:sz w:val="24"/>
                <w:szCs w:val="24"/>
                <w:highlight w:val="none"/>
              </w:rPr>
            </w:pPr>
            <w:r>
              <w:rPr>
                <w:rFonts w:hint="eastAsia" w:ascii="宋体" w:hAnsi="宋体"/>
                <w:color w:val="000000"/>
                <w:sz w:val="24"/>
                <w:szCs w:val="24"/>
                <w:highlight w:val="none"/>
              </w:rPr>
              <w:t>在规定时间内，将电子响应文件上传至三门峡市公共资源交易中心平台。</w:t>
            </w:r>
          </w:p>
        </w:tc>
      </w:tr>
      <w:tr w14:paraId="056ED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1101" w:type="dxa"/>
          </w:tcPr>
          <w:p w14:paraId="3F999C95">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5</w:t>
            </w:r>
            <w:r>
              <w:rPr>
                <w:rFonts w:ascii="宋体" w:hAnsi="宋体"/>
                <w:color w:val="000000"/>
                <w:sz w:val="24"/>
                <w:szCs w:val="24"/>
                <w:highlight w:val="none"/>
              </w:rPr>
              <w:t>.</w:t>
            </w:r>
            <w:r>
              <w:rPr>
                <w:rFonts w:hint="eastAsia" w:ascii="宋体" w:hAnsi="宋体"/>
                <w:color w:val="000000"/>
                <w:sz w:val="24"/>
                <w:szCs w:val="24"/>
                <w:highlight w:val="none"/>
              </w:rPr>
              <w:t>1</w:t>
            </w:r>
            <w:r>
              <w:rPr>
                <w:rFonts w:ascii="宋体" w:hAnsi="宋体"/>
                <w:color w:val="000000"/>
                <w:sz w:val="24"/>
                <w:szCs w:val="24"/>
                <w:highlight w:val="none"/>
              </w:rPr>
              <w:t>.</w:t>
            </w:r>
            <w:r>
              <w:rPr>
                <w:rFonts w:hint="eastAsia" w:ascii="宋体" w:hAnsi="宋体"/>
                <w:color w:val="000000"/>
                <w:sz w:val="24"/>
                <w:szCs w:val="24"/>
                <w:highlight w:val="none"/>
              </w:rPr>
              <w:t>1</w:t>
            </w:r>
          </w:p>
        </w:tc>
        <w:tc>
          <w:tcPr>
            <w:tcW w:w="2008" w:type="dxa"/>
          </w:tcPr>
          <w:p w14:paraId="777468B6">
            <w:pPr>
              <w:spacing w:line="360" w:lineRule="auto"/>
              <w:jc w:val="center"/>
              <w:rPr>
                <w:rFonts w:ascii="宋体" w:hAnsi="宋体"/>
                <w:color w:val="000000"/>
                <w:sz w:val="24"/>
                <w:szCs w:val="24"/>
                <w:highlight w:val="none"/>
              </w:rPr>
            </w:pPr>
            <w:r>
              <w:rPr>
                <w:rFonts w:ascii="宋体" w:hAnsi="宋体"/>
                <w:color w:val="000000"/>
                <w:sz w:val="24"/>
                <w:szCs w:val="24"/>
                <w:highlight w:val="none"/>
              </w:rPr>
              <w:t>是否退还响应文件</w:t>
            </w:r>
          </w:p>
        </w:tc>
        <w:tc>
          <w:tcPr>
            <w:tcW w:w="6480" w:type="dxa"/>
          </w:tcPr>
          <w:p w14:paraId="67CE037B">
            <w:pPr>
              <w:spacing w:line="360" w:lineRule="auto"/>
              <w:ind w:firstLine="240" w:firstLineChars="100"/>
              <w:rPr>
                <w:rFonts w:ascii="宋体" w:hAnsi="宋体"/>
                <w:color w:val="000000"/>
                <w:sz w:val="24"/>
                <w:szCs w:val="24"/>
                <w:highlight w:val="none"/>
              </w:rPr>
            </w:pPr>
            <w:r>
              <w:rPr>
                <w:rFonts w:ascii="宋体" w:hAnsi="宋体"/>
                <w:color w:val="000000"/>
                <w:sz w:val="24"/>
                <w:szCs w:val="24"/>
                <w:highlight w:val="none"/>
              </w:rPr>
              <w:t>否</w:t>
            </w:r>
          </w:p>
        </w:tc>
      </w:tr>
      <w:tr w14:paraId="0C292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1101" w:type="dxa"/>
            <w:vAlign w:val="center"/>
          </w:tcPr>
          <w:p w14:paraId="4AA63A62">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6.1.1</w:t>
            </w:r>
          </w:p>
        </w:tc>
        <w:tc>
          <w:tcPr>
            <w:tcW w:w="2008" w:type="dxa"/>
            <w:vAlign w:val="center"/>
          </w:tcPr>
          <w:p w14:paraId="14699613">
            <w:pPr>
              <w:spacing w:line="360" w:lineRule="auto"/>
              <w:jc w:val="center"/>
              <w:rPr>
                <w:rFonts w:ascii="宋体" w:hAnsi="宋体"/>
                <w:color w:val="000000"/>
                <w:sz w:val="24"/>
                <w:szCs w:val="24"/>
                <w:highlight w:val="none"/>
              </w:rPr>
            </w:pPr>
            <w:r>
              <w:rPr>
                <w:rFonts w:ascii="宋体" w:hAnsi="宋体"/>
                <w:color w:val="000000"/>
                <w:sz w:val="24"/>
                <w:szCs w:val="24"/>
                <w:highlight w:val="none"/>
              </w:rPr>
              <w:t>谈判小组的组建</w:t>
            </w:r>
          </w:p>
        </w:tc>
        <w:tc>
          <w:tcPr>
            <w:tcW w:w="6480" w:type="dxa"/>
          </w:tcPr>
          <w:p w14:paraId="775356F6">
            <w:pPr>
              <w:spacing w:line="360" w:lineRule="auto"/>
              <w:ind w:firstLine="240" w:firstLineChars="100"/>
              <w:rPr>
                <w:rFonts w:ascii="宋体" w:hAnsi="宋体"/>
                <w:color w:val="000000"/>
                <w:sz w:val="24"/>
                <w:szCs w:val="24"/>
                <w:highlight w:val="none"/>
              </w:rPr>
            </w:pPr>
            <w:r>
              <w:rPr>
                <w:rFonts w:hint="eastAsia" w:ascii="宋体" w:hAnsi="宋体"/>
                <w:color w:val="000000"/>
                <w:sz w:val="24"/>
                <w:szCs w:val="24"/>
                <w:highlight w:val="none"/>
              </w:rPr>
              <w:t>谈判工作由谈判小组独立进行，谈判小组由3人组成，其中采购人代表1名，其他从相关专家库中随机抽取。</w:t>
            </w:r>
          </w:p>
        </w:tc>
      </w:tr>
      <w:tr w14:paraId="32158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101" w:type="dxa"/>
          </w:tcPr>
          <w:p w14:paraId="31B2E5BA">
            <w:pPr>
              <w:spacing w:line="360" w:lineRule="auto"/>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rPr>
              <w:t>7.</w:t>
            </w:r>
            <w:r>
              <w:rPr>
                <w:rFonts w:hint="eastAsia" w:ascii="宋体" w:hAnsi="宋体"/>
                <w:color w:val="000000"/>
                <w:sz w:val="24"/>
                <w:szCs w:val="24"/>
                <w:highlight w:val="none"/>
                <w:lang w:val="en-US" w:eastAsia="zh-CN"/>
              </w:rPr>
              <w:t>1.0</w:t>
            </w:r>
          </w:p>
        </w:tc>
        <w:tc>
          <w:tcPr>
            <w:tcW w:w="8488" w:type="dxa"/>
            <w:gridSpan w:val="2"/>
          </w:tcPr>
          <w:p w14:paraId="2573A792">
            <w:pPr>
              <w:spacing w:line="360" w:lineRule="auto"/>
              <w:ind w:firstLine="240" w:firstLineChars="100"/>
              <w:jc w:val="center"/>
              <w:rPr>
                <w:rFonts w:ascii="宋体" w:hAnsi="宋体"/>
                <w:color w:val="000000"/>
                <w:sz w:val="24"/>
                <w:szCs w:val="24"/>
                <w:highlight w:val="none"/>
              </w:rPr>
            </w:pPr>
            <w:r>
              <w:rPr>
                <w:rFonts w:ascii="宋体" w:hAnsi="宋体"/>
                <w:color w:val="000000"/>
                <w:sz w:val="24"/>
                <w:szCs w:val="24"/>
                <w:highlight w:val="none"/>
              </w:rPr>
              <w:t>需要补充的其他内容</w:t>
            </w:r>
          </w:p>
        </w:tc>
      </w:tr>
      <w:tr w14:paraId="1DCAF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jc w:val="center"/>
        </w:trPr>
        <w:tc>
          <w:tcPr>
            <w:tcW w:w="1101" w:type="dxa"/>
            <w:tcBorders>
              <w:bottom w:val="single" w:color="auto" w:sz="4" w:space="0"/>
            </w:tcBorders>
            <w:vAlign w:val="center"/>
          </w:tcPr>
          <w:p w14:paraId="6B6D4402">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.1</w:t>
            </w:r>
            <w:r>
              <w:rPr>
                <w:rFonts w:hint="eastAsia" w:ascii="宋体" w:hAnsi="宋体"/>
                <w:color w:val="000000"/>
                <w:sz w:val="24"/>
                <w:szCs w:val="24"/>
                <w:highlight w:val="none"/>
              </w:rPr>
              <w:t>.1</w:t>
            </w:r>
          </w:p>
        </w:tc>
        <w:tc>
          <w:tcPr>
            <w:tcW w:w="2008" w:type="dxa"/>
            <w:tcBorders>
              <w:right w:val="single" w:color="auto" w:sz="4" w:space="0"/>
            </w:tcBorders>
            <w:vAlign w:val="center"/>
          </w:tcPr>
          <w:p w14:paraId="21425DD1">
            <w:pPr>
              <w:spacing w:line="360" w:lineRule="auto"/>
              <w:ind w:firstLine="240" w:firstLineChars="100"/>
              <w:jc w:val="center"/>
              <w:rPr>
                <w:rFonts w:ascii="宋体" w:hAnsi="宋体"/>
                <w:color w:val="000000"/>
                <w:sz w:val="24"/>
                <w:szCs w:val="24"/>
                <w:highlight w:val="none"/>
              </w:rPr>
            </w:pPr>
            <w:r>
              <w:rPr>
                <w:rFonts w:ascii="宋体" w:hAnsi="宋体"/>
                <w:color w:val="000000"/>
                <w:sz w:val="24"/>
                <w:szCs w:val="24"/>
                <w:highlight w:val="none"/>
              </w:rPr>
              <w:t>响应文件要求</w:t>
            </w:r>
          </w:p>
        </w:tc>
        <w:tc>
          <w:tcPr>
            <w:tcW w:w="6480" w:type="dxa"/>
            <w:tcBorders>
              <w:top w:val="single" w:color="auto" w:sz="4" w:space="0"/>
              <w:left w:val="single" w:color="auto" w:sz="4" w:space="0"/>
              <w:bottom w:val="single" w:color="auto" w:sz="4" w:space="0"/>
              <w:right w:val="single" w:color="auto" w:sz="4" w:space="0"/>
            </w:tcBorders>
          </w:tcPr>
          <w:p w14:paraId="1FCBBA06">
            <w:pPr>
              <w:spacing w:line="360" w:lineRule="auto"/>
              <w:ind w:firstLine="240" w:firstLineChars="100"/>
              <w:rPr>
                <w:rFonts w:ascii="宋体" w:hAnsi="宋体"/>
                <w:color w:val="000000"/>
                <w:sz w:val="24"/>
                <w:szCs w:val="24"/>
                <w:highlight w:val="none"/>
              </w:rPr>
            </w:pPr>
            <w:r>
              <w:rPr>
                <w:rFonts w:ascii="宋体" w:hAnsi="宋体"/>
                <w:color w:val="000000"/>
                <w:sz w:val="24"/>
                <w:szCs w:val="24"/>
                <w:highlight w:val="none"/>
              </w:rPr>
              <w:t>电子化</w:t>
            </w:r>
            <w:r>
              <w:rPr>
                <w:rFonts w:hint="eastAsia" w:ascii="宋体" w:hAnsi="宋体"/>
                <w:color w:val="000000"/>
                <w:sz w:val="24"/>
                <w:szCs w:val="24"/>
                <w:highlight w:val="none"/>
              </w:rPr>
              <w:t>响应文件</w:t>
            </w:r>
            <w:r>
              <w:rPr>
                <w:rFonts w:ascii="宋体" w:hAnsi="宋体"/>
                <w:color w:val="000000"/>
                <w:sz w:val="24"/>
                <w:szCs w:val="24"/>
                <w:highlight w:val="none"/>
              </w:rPr>
              <w:t>应在投标截止时间前成功上传至三门峡市公共资源电子化交易系统。至投标截止时间止，仍未上传成功的电子化</w:t>
            </w:r>
            <w:r>
              <w:rPr>
                <w:rFonts w:hint="eastAsia" w:ascii="宋体" w:hAnsi="宋体"/>
                <w:color w:val="000000"/>
                <w:sz w:val="24"/>
                <w:szCs w:val="24"/>
                <w:highlight w:val="none"/>
              </w:rPr>
              <w:t>响应文件</w:t>
            </w:r>
            <w:r>
              <w:rPr>
                <w:rFonts w:ascii="宋体" w:hAnsi="宋体"/>
                <w:color w:val="000000"/>
                <w:sz w:val="24"/>
                <w:szCs w:val="24"/>
                <w:highlight w:val="none"/>
              </w:rPr>
              <w:t>，将不予接受。</w:t>
            </w:r>
          </w:p>
        </w:tc>
      </w:tr>
      <w:tr w14:paraId="023C3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101" w:type="dxa"/>
            <w:tcBorders>
              <w:top w:val="single" w:color="auto" w:sz="4" w:space="0"/>
              <w:left w:val="single" w:color="auto" w:sz="4" w:space="0"/>
              <w:bottom w:val="single" w:color="auto" w:sz="4" w:space="0"/>
              <w:right w:val="single" w:color="auto" w:sz="4" w:space="0"/>
            </w:tcBorders>
          </w:tcPr>
          <w:p w14:paraId="2C3DE088">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8.</w:t>
            </w:r>
          </w:p>
        </w:tc>
        <w:tc>
          <w:tcPr>
            <w:tcW w:w="8488" w:type="dxa"/>
            <w:gridSpan w:val="2"/>
            <w:tcBorders>
              <w:left w:val="single" w:color="auto" w:sz="4" w:space="0"/>
              <w:right w:val="single" w:color="auto" w:sz="4" w:space="0"/>
            </w:tcBorders>
          </w:tcPr>
          <w:p w14:paraId="4493A087">
            <w:pPr>
              <w:spacing w:line="360" w:lineRule="auto"/>
              <w:ind w:firstLine="240" w:firstLineChars="100"/>
              <w:jc w:val="center"/>
              <w:rPr>
                <w:rFonts w:ascii="宋体" w:hAnsi="宋体"/>
                <w:color w:val="000000"/>
                <w:sz w:val="24"/>
                <w:szCs w:val="24"/>
                <w:highlight w:val="none"/>
              </w:rPr>
            </w:pPr>
            <w:r>
              <w:rPr>
                <w:rFonts w:ascii="宋体" w:hAnsi="宋体"/>
                <w:color w:val="000000"/>
                <w:sz w:val="24"/>
                <w:szCs w:val="24"/>
                <w:highlight w:val="none"/>
              </w:rPr>
              <w:t>计算机辅助评标</w:t>
            </w:r>
          </w:p>
        </w:tc>
      </w:tr>
      <w:tr w14:paraId="5FEE4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101" w:type="dxa"/>
            <w:tcBorders>
              <w:top w:val="single" w:color="auto" w:sz="4" w:space="0"/>
            </w:tcBorders>
            <w:vAlign w:val="center"/>
          </w:tcPr>
          <w:p w14:paraId="63AD6175">
            <w:pPr>
              <w:spacing w:line="360" w:lineRule="auto"/>
              <w:jc w:val="center"/>
              <w:rPr>
                <w:rFonts w:ascii="宋体" w:hAnsi="宋体"/>
                <w:color w:val="000000"/>
                <w:sz w:val="24"/>
                <w:szCs w:val="24"/>
                <w:highlight w:val="none"/>
              </w:rPr>
            </w:pPr>
          </w:p>
        </w:tc>
        <w:tc>
          <w:tcPr>
            <w:tcW w:w="2008" w:type="dxa"/>
            <w:vAlign w:val="center"/>
          </w:tcPr>
          <w:p w14:paraId="1D650A47">
            <w:pPr>
              <w:spacing w:line="360" w:lineRule="auto"/>
              <w:ind w:firstLine="240" w:firstLineChars="100"/>
              <w:jc w:val="center"/>
              <w:rPr>
                <w:rFonts w:ascii="宋体" w:hAnsi="宋体"/>
                <w:color w:val="000000"/>
                <w:sz w:val="24"/>
                <w:szCs w:val="24"/>
                <w:highlight w:val="none"/>
              </w:rPr>
            </w:pPr>
            <w:r>
              <w:rPr>
                <w:rFonts w:ascii="宋体" w:hAnsi="宋体"/>
                <w:color w:val="000000"/>
                <w:sz w:val="24"/>
                <w:szCs w:val="24"/>
                <w:highlight w:val="none"/>
              </w:rPr>
              <w:t>是否实行计算机辅助评标</w:t>
            </w:r>
          </w:p>
        </w:tc>
        <w:tc>
          <w:tcPr>
            <w:tcW w:w="6480" w:type="dxa"/>
            <w:tcBorders>
              <w:top w:val="single" w:color="auto" w:sz="4" w:space="0"/>
            </w:tcBorders>
            <w:vAlign w:val="center"/>
          </w:tcPr>
          <w:p w14:paraId="608C99E5">
            <w:pPr>
              <w:spacing w:line="360" w:lineRule="auto"/>
              <w:ind w:firstLine="240" w:firstLineChars="100"/>
              <w:rPr>
                <w:rFonts w:ascii="宋体" w:hAnsi="宋体"/>
                <w:color w:val="000000"/>
                <w:sz w:val="24"/>
                <w:szCs w:val="24"/>
                <w:highlight w:val="none"/>
              </w:rPr>
            </w:pPr>
            <w:r>
              <w:rPr>
                <w:rFonts w:ascii="宋体" w:hAnsi="宋体"/>
                <w:color w:val="000000"/>
                <w:sz w:val="24"/>
                <w:szCs w:val="24"/>
                <w:highlight w:val="none"/>
              </w:rPr>
              <w:t>是</w:t>
            </w:r>
          </w:p>
        </w:tc>
      </w:tr>
      <w:tr w14:paraId="6E099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9589" w:type="dxa"/>
            <w:gridSpan w:val="3"/>
            <w:tcBorders>
              <w:right w:val="nil"/>
            </w:tcBorders>
          </w:tcPr>
          <w:p w14:paraId="2A6BBBAF">
            <w:pPr>
              <w:spacing w:line="360" w:lineRule="auto"/>
              <w:ind w:firstLine="240" w:firstLineChars="100"/>
              <w:jc w:val="center"/>
              <w:rPr>
                <w:rFonts w:ascii="宋体" w:hAnsi="宋体"/>
                <w:color w:val="000000"/>
                <w:sz w:val="24"/>
                <w:szCs w:val="24"/>
                <w:highlight w:val="none"/>
              </w:rPr>
            </w:pPr>
            <w:r>
              <w:rPr>
                <w:rFonts w:hint="eastAsia" w:ascii="宋体" w:hAnsi="宋体"/>
                <w:color w:val="000000"/>
                <w:sz w:val="24"/>
                <w:szCs w:val="24"/>
                <w:highlight w:val="none"/>
              </w:rPr>
              <w:t>8</w:t>
            </w:r>
            <w:r>
              <w:rPr>
                <w:rFonts w:ascii="宋体" w:hAnsi="宋体"/>
                <w:color w:val="000000"/>
                <w:sz w:val="24"/>
                <w:szCs w:val="24"/>
                <w:highlight w:val="none"/>
              </w:rPr>
              <w:t>.</w:t>
            </w:r>
            <w:r>
              <w:rPr>
                <w:rFonts w:hint="eastAsia" w:ascii="宋体" w:hAnsi="宋体"/>
                <w:color w:val="000000"/>
                <w:sz w:val="24"/>
                <w:szCs w:val="24"/>
                <w:highlight w:val="none"/>
              </w:rPr>
              <w:t>1</w:t>
            </w:r>
            <w:r>
              <w:rPr>
                <w:rFonts w:ascii="宋体" w:hAnsi="宋体"/>
                <w:color w:val="000000"/>
                <w:sz w:val="24"/>
                <w:szCs w:val="24"/>
                <w:highlight w:val="none"/>
              </w:rPr>
              <w:t xml:space="preserve"> </w:t>
            </w:r>
            <w:r>
              <w:rPr>
                <w:rFonts w:hint="eastAsia" w:ascii="宋体" w:hAnsi="宋体"/>
                <w:color w:val="000000"/>
                <w:sz w:val="24"/>
                <w:szCs w:val="24"/>
                <w:highlight w:val="none"/>
              </w:rPr>
              <w:t>结果公告</w:t>
            </w:r>
          </w:p>
        </w:tc>
      </w:tr>
      <w:tr w14:paraId="0E66F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jc w:val="center"/>
        </w:trPr>
        <w:tc>
          <w:tcPr>
            <w:tcW w:w="1101" w:type="dxa"/>
          </w:tcPr>
          <w:p w14:paraId="0C30C543">
            <w:pPr>
              <w:spacing w:line="360" w:lineRule="auto"/>
              <w:jc w:val="center"/>
              <w:rPr>
                <w:rFonts w:ascii="宋体" w:hAnsi="宋体"/>
                <w:color w:val="000000"/>
                <w:sz w:val="24"/>
                <w:szCs w:val="24"/>
                <w:highlight w:val="none"/>
              </w:rPr>
            </w:pPr>
          </w:p>
        </w:tc>
        <w:tc>
          <w:tcPr>
            <w:tcW w:w="8488" w:type="dxa"/>
            <w:gridSpan w:val="2"/>
          </w:tcPr>
          <w:p w14:paraId="11DE8BB7">
            <w:pPr>
              <w:spacing w:line="360" w:lineRule="auto"/>
              <w:ind w:firstLine="240" w:firstLineChars="100"/>
              <w:jc w:val="left"/>
              <w:rPr>
                <w:rFonts w:ascii="宋体" w:hAnsi="宋体"/>
                <w:color w:val="000000"/>
                <w:sz w:val="24"/>
                <w:szCs w:val="24"/>
                <w:highlight w:val="none"/>
              </w:rPr>
            </w:pPr>
            <w:r>
              <w:rPr>
                <w:rFonts w:ascii="宋体" w:hAnsi="宋体"/>
                <w:color w:val="000000"/>
                <w:sz w:val="24"/>
                <w:szCs w:val="24"/>
                <w:highlight w:val="none"/>
              </w:rPr>
              <w:t>在</w:t>
            </w:r>
            <w:r>
              <w:rPr>
                <w:rFonts w:hint="eastAsia" w:ascii="宋体" w:hAnsi="宋体"/>
                <w:color w:val="000000"/>
                <w:sz w:val="24"/>
                <w:szCs w:val="24"/>
                <w:highlight w:val="none"/>
              </w:rPr>
              <w:t>成交</w:t>
            </w:r>
            <w:r>
              <w:rPr>
                <w:rFonts w:ascii="宋体" w:hAnsi="宋体"/>
                <w:color w:val="000000"/>
                <w:sz w:val="24"/>
                <w:szCs w:val="24"/>
                <w:highlight w:val="none"/>
              </w:rPr>
              <w:t>通知书发出前，采购人将</w:t>
            </w:r>
            <w:r>
              <w:rPr>
                <w:rFonts w:hint="eastAsia" w:ascii="宋体" w:hAnsi="宋体"/>
                <w:color w:val="000000"/>
                <w:sz w:val="24"/>
                <w:szCs w:val="24"/>
                <w:highlight w:val="none"/>
              </w:rPr>
              <w:t>成交候选供应商</w:t>
            </w:r>
            <w:r>
              <w:rPr>
                <w:rFonts w:ascii="宋体" w:hAnsi="宋体"/>
                <w:color w:val="000000"/>
                <w:sz w:val="24"/>
                <w:szCs w:val="24"/>
                <w:highlight w:val="none"/>
              </w:rPr>
              <w:t>的情况在本</w:t>
            </w:r>
            <w:r>
              <w:rPr>
                <w:rFonts w:hint="eastAsia" w:ascii="宋体" w:hAnsi="宋体"/>
                <w:color w:val="000000"/>
                <w:sz w:val="24"/>
                <w:szCs w:val="24"/>
                <w:highlight w:val="none"/>
              </w:rPr>
              <w:t>谈判</w:t>
            </w:r>
            <w:r>
              <w:rPr>
                <w:rFonts w:ascii="宋体" w:hAnsi="宋体"/>
                <w:color w:val="000000"/>
                <w:sz w:val="24"/>
                <w:szCs w:val="24"/>
                <w:highlight w:val="none"/>
              </w:rPr>
              <w:t>项目</w:t>
            </w:r>
            <w:r>
              <w:rPr>
                <w:rFonts w:hint="eastAsia" w:ascii="宋体" w:hAnsi="宋体"/>
                <w:color w:val="000000"/>
                <w:sz w:val="24"/>
                <w:szCs w:val="24"/>
                <w:highlight w:val="none"/>
              </w:rPr>
              <w:t>谈判</w:t>
            </w:r>
            <w:r>
              <w:rPr>
                <w:rFonts w:ascii="宋体" w:hAnsi="宋体"/>
                <w:color w:val="000000"/>
                <w:sz w:val="24"/>
                <w:szCs w:val="24"/>
                <w:highlight w:val="none"/>
              </w:rPr>
              <w:t>公告发布的同一媒介予以公</w:t>
            </w:r>
            <w:r>
              <w:rPr>
                <w:rFonts w:hint="eastAsia" w:ascii="宋体" w:hAnsi="宋体"/>
                <w:color w:val="000000"/>
                <w:sz w:val="24"/>
                <w:szCs w:val="24"/>
                <w:highlight w:val="none"/>
              </w:rPr>
              <w:t>告</w:t>
            </w:r>
            <w:r>
              <w:rPr>
                <w:rFonts w:ascii="宋体" w:hAnsi="宋体"/>
                <w:color w:val="000000"/>
                <w:sz w:val="24"/>
                <w:szCs w:val="24"/>
                <w:highlight w:val="none"/>
              </w:rPr>
              <w:t>。</w:t>
            </w:r>
          </w:p>
        </w:tc>
      </w:tr>
      <w:tr w14:paraId="54095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9589" w:type="dxa"/>
            <w:gridSpan w:val="3"/>
          </w:tcPr>
          <w:p w14:paraId="4B557B0D">
            <w:pPr>
              <w:spacing w:line="360" w:lineRule="auto"/>
              <w:ind w:firstLine="240" w:firstLineChars="100"/>
              <w:jc w:val="center"/>
              <w:rPr>
                <w:rFonts w:ascii="宋体" w:hAnsi="宋体"/>
                <w:color w:val="000000"/>
                <w:sz w:val="24"/>
                <w:szCs w:val="24"/>
                <w:highlight w:val="none"/>
              </w:rPr>
            </w:pPr>
            <w:r>
              <w:rPr>
                <w:rFonts w:hint="eastAsia" w:ascii="宋体" w:hAnsi="宋体"/>
                <w:color w:val="000000"/>
                <w:sz w:val="24"/>
                <w:szCs w:val="24"/>
                <w:highlight w:val="none"/>
              </w:rPr>
              <w:t>8.2</w:t>
            </w:r>
            <w:r>
              <w:rPr>
                <w:rFonts w:ascii="宋体" w:hAnsi="宋体"/>
                <w:color w:val="000000"/>
                <w:sz w:val="24"/>
                <w:szCs w:val="24"/>
                <w:highlight w:val="none"/>
              </w:rPr>
              <w:t xml:space="preserve"> 知识产权</w:t>
            </w:r>
          </w:p>
        </w:tc>
      </w:tr>
      <w:tr w14:paraId="375BF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jc w:val="center"/>
        </w:trPr>
        <w:tc>
          <w:tcPr>
            <w:tcW w:w="1101" w:type="dxa"/>
          </w:tcPr>
          <w:p w14:paraId="010705B4">
            <w:pPr>
              <w:spacing w:line="360" w:lineRule="auto"/>
              <w:jc w:val="center"/>
              <w:rPr>
                <w:rFonts w:ascii="宋体" w:hAnsi="宋体"/>
                <w:color w:val="000000"/>
                <w:sz w:val="24"/>
                <w:szCs w:val="24"/>
                <w:highlight w:val="none"/>
              </w:rPr>
            </w:pPr>
          </w:p>
        </w:tc>
        <w:tc>
          <w:tcPr>
            <w:tcW w:w="8488" w:type="dxa"/>
            <w:gridSpan w:val="2"/>
          </w:tcPr>
          <w:p w14:paraId="0C819E8E">
            <w:pPr>
              <w:spacing w:line="360" w:lineRule="auto"/>
              <w:ind w:firstLine="240" w:firstLineChars="100"/>
              <w:jc w:val="left"/>
              <w:rPr>
                <w:rFonts w:ascii="宋体" w:hAnsi="宋体"/>
                <w:color w:val="000000"/>
                <w:sz w:val="24"/>
                <w:szCs w:val="24"/>
                <w:highlight w:val="none"/>
              </w:rPr>
            </w:pPr>
            <w:r>
              <w:rPr>
                <w:rFonts w:ascii="宋体" w:hAnsi="宋体"/>
                <w:color w:val="000000"/>
                <w:sz w:val="24"/>
                <w:szCs w:val="24"/>
                <w:highlight w:val="none"/>
              </w:rPr>
              <w:t>构成本竞争性谈判文件各个组成部分的文件，未经采购人书面同意，供应商不得擅自复印和用于非本招标项目所需的其他目的。采购人全部或者部分使用未</w:t>
            </w:r>
            <w:r>
              <w:rPr>
                <w:rFonts w:hint="eastAsia" w:ascii="宋体" w:hAnsi="宋体"/>
                <w:color w:val="000000"/>
                <w:sz w:val="24"/>
                <w:szCs w:val="24"/>
                <w:highlight w:val="none"/>
              </w:rPr>
              <w:t>成交供应商响应文件</w:t>
            </w:r>
            <w:r>
              <w:rPr>
                <w:rFonts w:ascii="宋体" w:hAnsi="宋体"/>
                <w:color w:val="000000"/>
                <w:sz w:val="24"/>
                <w:szCs w:val="24"/>
                <w:highlight w:val="none"/>
              </w:rPr>
              <w:t>中的技术成果或技术方案时，需征得其书面同意，并不得擅自复印或提供给第三人。</w:t>
            </w:r>
          </w:p>
        </w:tc>
      </w:tr>
      <w:tr w14:paraId="09007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9589" w:type="dxa"/>
            <w:gridSpan w:val="3"/>
          </w:tcPr>
          <w:p w14:paraId="7D1AE612">
            <w:pPr>
              <w:spacing w:line="360" w:lineRule="auto"/>
              <w:ind w:firstLine="240" w:firstLineChars="100"/>
              <w:jc w:val="center"/>
              <w:rPr>
                <w:rFonts w:ascii="宋体" w:hAnsi="宋体"/>
                <w:color w:val="000000"/>
                <w:sz w:val="24"/>
                <w:szCs w:val="24"/>
                <w:highlight w:val="none"/>
              </w:rPr>
            </w:pPr>
            <w:r>
              <w:rPr>
                <w:rFonts w:hint="eastAsia" w:ascii="宋体" w:hAnsi="宋体"/>
                <w:color w:val="000000"/>
                <w:sz w:val="24"/>
                <w:szCs w:val="24"/>
                <w:highlight w:val="none"/>
              </w:rPr>
              <w:t>8.3</w:t>
            </w:r>
            <w:r>
              <w:rPr>
                <w:rFonts w:ascii="宋体" w:hAnsi="宋体"/>
                <w:color w:val="000000"/>
                <w:sz w:val="24"/>
                <w:szCs w:val="24"/>
                <w:highlight w:val="none"/>
              </w:rPr>
              <w:t xml:space="preserve"> 解释权</w:t>
            </w:r>
          </w:p>
        </w:tc>
      </w:tr>
      <w:tr w14:paraId="4EE5E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jc w:val="center"/>
        </w:trPr>
        <w:tc>
          <w:tcPr>
            <w:tcW w:w="1101" w:type="dxa"/>
          </w:tcPr>
          <w:p w14:paraId="1D7DA48B">
            <w:pPr>
              <w:spacing w:line="360" w:lineRule="auto"/>
              <w:jc w:val="center"/>
              <w:rPr>
                <w:rFonts w:ascii="宋体" w:hAnsi="宋体"/>
                <w:color w:val="000000"/>
                <w:sz w:val="24"/>
                <w:szCs w:val="24"/>
                <w:highlight w:val="none"/>
              </w:rPr>
            </w:pPr>
          </w:p>
        </w:tc>
        <w:tc>
          <w:tcPr>
            <w:tcW w:w="8488" w:type="dxa"/>
            <w:gridSpan w:val="2"/>
          </w:tcPr>
          <w:p w14:paraId="5091471C">
            <w:pPr>
              <w:spacing w:line="360" w:lineRule="auto"/>
              <w:ind w:firstLine="240" w:firstLineChars="100"/>
              <w:jc w:val="left"/>
              <w:rPr>
                <w:rFonts w:ascii="宋体" w:hAnsi="宋体"/>
                <w:color w:val="000000"/>
                <w:sz w:val="24"/>
                <w:szCs w:val="24"/>
                <w:highlight w:val="none"/>
              </w:rPr>
            </w:pPr>
            <w:r>
              <w:rPr>
                <w:rFonts w:ascii="宋体" w:hAnsi="宋体"/>
                <w:color w:val="000000"/>
                <w:sz w:val="24"/>
                <w:szCs w:val="24"/>
                <w:highlight w:val="none"/>
              </w:rPr>
              <w:t>构成本竞争性谈判文件的各个组成部分应互为解释，互为说明，如有不明确或不一致， 构成合同文件组成内容，以合同文件约定内容为准，且以专用合同条款约定的合同文件优先顺序解释；除竞争性谈判文件中有特别规定外，仅适用于招标投标阶段的规定， 按</w:t>
            </w:r>
            <w:r>
              <w:rPr>
                <w:rFonts w:hint="eastAsia" w:ascii="宋体" w:hAnsi="宋体"/>
                <w:color w:val="000000"/>
                <w:sz w:val="24"/>
                <w:szCs w:val="24"/>
                <w:highlight w:val="none"/>
              </w:rPr>
              <w:t>谈判</w:t>
            </w:r>
            <w:r>
              <w:rPr>
                <w:rFonts w:ascii="宋体" w:hAnsi="宋体"/>
                <w:color w:val="000000"/>
                <w:sz w:val="24"/>
                <w:szCs w:val="24"/>
                <w:highlight w:val="none"/>
              </w:rPr>
              <w:t>公告（投标邀请书）、评标办法、</w:t>
            </w:r>
            <w:r>
              <w:rPr>
                <w:rFonts w:hint="eastAsia" w:ascii="宋体" w:hAnsi="宋体"/>
                <w:color w:val="000000"/>
                <w:sz w:val="24"/>
                <w:szCs w:val="24"/>
                <w:highlight w:val="none"/>
              </w:rPr>
              <w:t>响应文件</w:t>
            </w:r>
            <w:r>
              <w:rPr>
                <w:rFonts w:ascii="宋体" w:hAnsi="宋体"/>
                <w:color w:val="000000"/>
                <w:sz w:val="24"/>
                <w:szCs w:val="24"/>
                <w:highlight w:val="none"/>
              </w:rPr>
              <w:t>格式的先后顺序解释；同一组成文件中就同一事项的规定或约定不一致的，以编排顺序在后者为准；同一组成文件不同版本之间有不一致的，已形成时间在后者为准。按本款前述规定仍不能形成结论的，有采购人负责解释。</w:t>
            </w:r>
          </w:p>
        </w:tc>
      </w:tr>
      <w:tr w14:paraId="4448C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9589" w:type="dxa"/>
            <w:gridSpan w:val="3"/>
          </w:tcPr>
          <w:p w14:paraId="1A439F0E">
            <w:pPr>
              <w:spacing w:line="360" w:lineRule="auto"/>
              <w:ind w:firstLine="240" w:firstLineChars="100"/>
              <w:jc w:val="center"/>
              <w:rPr>
                <w:rFonts w:ascii="宋体" w:hAnsi="宋体"/>
                <w:color w:val="000000"/>
                <w:sz w:val="24"/>
                <w:szCs w:val="24"/>
                <w:highlight w:val="none"/>
              </w:rPr>
            </w:pPr>
            <w:r>
              <w:rPr>
                <w:rFonts w:hint="eastAsia" w:ascii="宋体" w:hAnsi="宋体"/>
                <w:color w:val="000000"/>
                <w:sz w:val="24"/>
                <w:szCs w:val="24"/>
                <w:highlight w:val="none"/>
              </w:rPr>
              <w:t>8.4 费用</w:t>
            </w:r>
          </w:p>
        </w:tc>
      </w:tr>
      <w:tr w14:paraId="3455A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jc w:val="center"/>
        </w:trPr>
        <w:tc>
          <w:tcPr>
            <w:tcW w:w="1101" w:type="dxa"/>
          </w:tcPr>
          <w:p w14:paraId="34EC94E3">
            <w:pPr>
              <w:spacing w:line="360" w:lineRule="auto"/>
              <w:jc w:val="center"/>
              <w:rPr>
                <w:rFonts w:ascii="宋体" w:hAnsi="宋体"/>
                <w:color w:val="000000"/>
                <w:sz w:val="24"/>
                <w:szCs w:val="24"/>
                <w:highlight w:val="none"/>
              </w:rPr>
            </w:pPr>
          </w:p>
        </w:tc>
        <w:tc>
          <w:tcPr>
            <w:tcW w:w="8488" w:type="dxa"/>
            <w:gridSpan w:val="2"/>
          </w:tcPr>
          <w:p w14:paraId="5D7E64A0">
            <w:pPr>
              <w:spacing w:line="360" w:lineRule="auto"/>
              <w:ind w:firstLine="240" w:firstLineChars="100"/>
              <w:jc w:val="left"/>
              <w:rPr>
                <w:rFonts w:ascii="宋体" w:hAnsi="宋体"/>
                <w:color w:val="000000"/>
                <w:sz w:val="24"/>
                <w:szCs w:val="24"/>
                <w:highlight w:val="none"/>
              </w:rPr>
            </w:pPr>
            <w:r>
              <w:rPr>
                <w:rFonts w:hint="eastAsia" w:ascii="宋体" w:hAnsi="宋体"/>
                <w:color w:val="000000"/>
                <w:sz w:val="24"/>
                <w:szCs w:val="24"/>
                <w:highlight w:val="none"/>
              </w:rPr>
              <w:t>招标代理服务收费参照豫招协[2023]002号河南省招标投标协会关于印发《河南省招标代理服务收费指导意见》规定的收费标准收取中标服务费。该代理服务费在中标人领取中标通知书时向招标代理机构缴纳。</w:t>
            </w:r>
          </w:p>
        </w:tc>
      </w:tr>
      <w:tr w14:paraId="175BC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9589" w:type="dxa"/>
            <w:gridSpan w:val="3"/>
          </w:tcPr>
          <w:p w14:paraId="582E1A89">
            <w:pPr>
              <w:spacing w:line="360" w:lineRule="auto"/>
              <w:ind w:firstLine="240" w:firstLineChars="100"/>
              <w:jc w:val="center"/>
              <w:rPr>
                <w:rFonts w:ascii="宋体" w:hAnsi="宋体"/>
                <w:color w:val="000000"/>
                <w:sz w:val="24"/>
                <w:szCs w:val="24"/>
                <w:highlight w:val="none"/>
              </w:rPr>
            </w:pPr>
            <w:r>
              <w:rPr>
                <w:rFonts w:hint="eastAsia" w:ascii="宋体" w:hAnsi="宋体"/>
                <w:color w:val="000000"/>
                <w:sz w:val="24"/>
                <w:szCs w:val="24"/>
                <w:highlight w:val="none"/>
              </w:rPr>
              <w:t>8.5电子化投标注意事项</w:t>
            </w:r>
          </w:p>
        </w:tc>
      </w:tr>
      <w:tr w14:paraId="33F96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jc w:val="center"/>
        </w:trPr>
        <w:tc>
          <w:tcPr>
            <w:tcW w:w="9589" w:type="dxa"/>
            <w:gridSpan w:val="3"/>
          </w:tcPr>
          <w:p w14:paraId="3D3F8E59">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具体要求：本项目为电子化、无纸化交易项目，响应文件是投标人、供应商（以下简称“投标人”）通过中心响应文件制作系统制作，并经过签章和加密后生成的电子版响应文件。</w:t>
            </w:r>
          </w:p>
          <w:p w14:paraId="173A564C">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电子化响应文件具体制作文件请点击http://gzjy.smx.gov.cn/SMX/InformationCenter/NewsDetail.do?CID=fdd6c8fc-bb0a-4c07-8715-d29609fc7a80&amp;ID=3061a14f-cf3f-4cdd-aad4-7e2873151413进行下载。</w:t>
            </w:r>
          </w:p>
          <w:p w14:paraId="633D4CD7">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温馨提示：本项目为电子化、无纸化交易项目，为保证您能投标成功，请需仔细阅读以下条款。</w:t>
            </w:r>
          </w:p>
          <w:p w14:paraId="128A0A2D">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一、电子化投标</w:t>
            </w:r>
          </w:p>
          <w:p w14:paraId="5AC6D45A">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（一）电子化响应文件的签章</w:t>
            </w:r>
          </w:p>
          <w:p w14:paraId="4AA48A88">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1、投标人在生成电子化响应文件后，应对电子化响应文件进行签章，未进行签章的视为无效投标。</w:t>
            </w:r>
          </w:p>
          <w:p w14:paraId="166488C3">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2、谈判文件中要求法定代表人或授权委托人签字或盖章的，投标人在进行电子化响应文件签章时，以签盖法定代表人签章为准。</w:t>
            </w:r>
          </w:p>
          <w:p w14:paraId="290E82B3">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（二）电子化响应文件的格式及上传响应文件</w:t>
            </w:r>
          </w:p>
          <w:p w14:paraId="44ABCCD8">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1、投标人所上传的电子化响应文件，应是通过中心响应文件制作系统制作的（响应文件制作工具下载地址：http://gzjy.smx.gov.cn/SMX/InformationCenter/NewsDetail.do?CID=fdd6c8fc-bb0a-4c07-8715-d29609fc7a80&amp;ID=3061a14f-cf3f-4cdd-aad4-7e2873151413），经过签章和加密后生成的电子版响应文件。其中包含用于响应文件上传的主文件（后缀为.smxtf）和用于应急补救的响应文件备份文件（后缀为.nsmxtf）。备份文件主要用于电子化开标出现技术问题后的补救，请投标人随身携带。</w:t>
            </w:r>
          </w:p>
          <w:p w14:paraId="216EED26">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注：投标人投报多个标段的，需要每个标段单独制作电子响应文件。</w:t>
            </w:r>
          </w:p>
          <w:p w14:paraId="6506A821">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2、电子化响应文件应在投标截止时间前成功上传至三门峡市公共资源电子化交易系统。至投标截止时间止，仍未上传成功的电子化响应文件将不予接收。</w:t>
            </w:r>
          </w:p>
          <w:p w14:paraId="32802A8D">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注：如按照电子化投标操作教材制作完成的电子化响应文件无法上传的，投标人应在投标截止时间前尽早的联系中心技术人员，以便有充分的时间进行处理。投标人应充分考虑到处理技术问题和上传数据等工作所需的时间问题，响应文件未在投标截止时间前成功上传的，其响应文件不予接收。</w:t>
            </w:r>
          </w:p>
          <w:p w14:paraId="6370DFB7">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技术联系电话：400-998-0000</w:t>
            </w:r>
          </w:p>
          <w:p w14:paraId="7C0612CB">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（三）电子化项目开标、解密、唱标、评标</w:t>
            </w:r>
          </w:p>
          <w:p w14:paraId="3F0A9840">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响应文件解密等</w:t>
            </w:r>
          </w:p>
          <w:p w14:paraId="75ECF074">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2、电子化响应文件采用一次加密方式。开标时，由投标人使用CA 证书，在规定时间内对其电子化响应文件进行解密。每位投标人的解密时间为开标时间起30 分钟内，如在规定时间内未完成解密的，其响应文件不予开标、唱标。</w:t>
            </w:r>
          </w:p>
          <w:p w14:paraId="10799275">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3、电子化响应文件解密异常的处理</w:t>
            </w:r>
          </w:p>
          <w:p w14:paraId="674E4BA0">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如出现投标人的电子响应文件无法解密等异常情况，投标人应及时致电中介服务机构说明。响应文件异常，按以下步骤进行处理：</w:t>
            </w:r>
          </w:p>
          <w:p w14:paraId="6042381A">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（1）首先由技术人员进行问题排查。</w:t>
            </w:r>
          </w:p>
          <w:p w14:paraId="7CEEB834">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（2）经技术人员排查后，是投标人文件自身问题导致响应文件无法解密的，该响应文件将不予接收、解密和唱标。开标会议继续进行。</w:t>
            </w:r>
          </w:p>
          <w:p w14:paraId="24E335E9">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547F2F23">
            <w:pPr>
              <w:spacing w:line="360" w:lineRule="auto"/>
              <w:ind w:firstLine="480" w:firstLineChars="200"/>
              <w:jc w:val="left"/>
              <w:rPr>
                <w:rFonts w:hint="eastAsia" w:ascii="宋体" w:hAnsi="宋体" w:eastAsia="宋体"/>
                <w:bCs/>
                <w:color w:val="000000"/>
                <w:sz w:val="24"/>
                <w:szCs w:val="24"/>
                <w:highlight w:val="none"/>
              </w:rPr>
            </w:pPr>
            <w:r>
              <w:rPr>
                <w:rFonts w:hint="eastAsia" w:ascii="宋体" w:hAnsi="宋体" w:eastAsia="宋体"/>
                <w:bCs/>
                <w:color w:val="000000"/>
                <w:sz w:val="24"/>
                <w:szCs w:val="24"/>
                <w:highlight w:val="none"/>
              </w:rPr>
              <w:t>4、待所有供应商磋商响应文件解密完成后，由中介服务机构操作，对所有已解密磋商响应文件进行唱标。</w:t>
            </w:r>
          </w:p>
          <w:p w14:paraId="661ECA0A">
            <w:pPr>
              <w:spacing w:line="360" w:lineRule="auto"/>
              <w:ind w:firstLine="480" w:firstLineChars="200"/>
              <w:jc w:val="left"/>
              <w:rPr>
                <w:rFonts w:hint="eastAsia" w:ascii="宋体" w:hAnsi="宋体" w:eastAsia="宋体"/>
                <w:bCs/>
                <w:color w:val="000000"/>
                <w:sz w:val="24"/>
                <w:szCs w:val="24"/>
                <w:highlight w:val="none"/>
              </w:rPr>
            </w:pPr>
            <w:r>
              <w:rPr>
                <w:rFonts w:hint="eastAsia" w:ascii="宋体" w:hAnsi="宋体" w:eastAsia="宋体"/>
                <w:bCs/>
                <w:color w:val="000000"/>
                <w:sz w:val="24"/>
                <w:szCs w:val="24"/>
                <w:highlight w:val="none"/>
              </w:rPr>
              <w:t>供应商应保证在开标期间电话、电脑、网络能够正常工作，供应商因停电、电脑病毒、网络堵塞等原因，未在规定的解密时间内对磋商响应文件进行解密的，其磋商响应文件不予接收、唱标。</w:t>
            </w:r>
          </w:p>
          <w:p w14:paraId="53B1C7B7">
            <w:pPr>
              <w:spacing w:line="360" w:lineRule="auto"/>
              <w:ind w:firstLine="480" w:firstLineChars="200"/>
              <w:jc w:val="left"/>
              <w:rPr>
                <w:rFonts w:hint="eastAsia" w:ascii="宋体" w:hAnsi="宋体" w:eastAsia="宋体"/>
                <w:bCs/>
                <w:color w:val="000000"/>
                <w:sz w:val="24"/>
                <w:szCs w:val="24"/>
                <w:highlight w:val="none"/>
                <w:lang w:val="en-US" w:eastAsia="zh-CN"/>
              </w:rPr>
            </w:pPr>
            <w:r>
              <w:rPr>
                <w:rFonts w:hint="eastAsia" w:ascii="宋体" w:hAnsi="宋体" w:eastAsia="宋体"/>
                <w:bCs/>
                <w:color w:val="000000"/>
                <w:sz w:val="24"/>
                <w:szCs w:val="24"/>
                <w:highlight w:val="none"/>
                <w:lang w:val="en-US" w:eastAsia="zh-CN"/>
              </w:rPr>
              <w:t>5、开标时投标人可登录到交易系统中在开标解密栏中点击报价一览表查看自己的投标报价。如对自己的唱标内容有异议的，应在投标人解密成功后10分钟内通过开标大厅对话框向中介服务机构提出质疑。中介服务机构应在监督人员的监督下接受投标人的质疑通过开标大厅对话框进行答复并做好书面记录。投标人未在规定时间内提出质疑的，视为认可唱标内容；</w:t>
            </w:r>
          </w:p>
          <w:p w14:paraId="7014E3A8">
            <w:pPr>
              <w:spacing w:line="360" w:lineRule="auto"/>
              <w:ind w:firstLine="480" w:firstLineChars="200"/>
              <w:jc w:val="left"/>
              <w:rPr>
                <w:rFonts w:hint="eastAsia" w:ascii="宋体" w:hAnsi="宋体" w:eastAsia="宋体"/>
                <w:bCs/>
                <w:color w:val="000000"/>
                <w:sz w:val="24"/>
                <w:szCs w:val="24"/>
                <w:highlight w:val="none"/>
              </w:rPr>
            </w:pPr>
            <w:r>
              <w:rPr>
                <w:rFonts w:hint="eastAsia" w:ascii="宋体" w:hAnsi="宋体" w:eastAsia="宋体"/>
                <w:bCs/>
                <w:color w:val="000000"/>
                <w:sz w:val="24"/>
                <w:szCs w:val="24"/>
                <w:highlight w:val="none"/>
              </w:rPr>
              <w:t>6、评标时，</w:t>
            </w:r>
            <w:r>
              <w:rPr>
                <w:rFonts w:hint="eastAsia" w:ascii="宋体" w:hAnsi="宋体" w:eastAsia="宋体"/>
                <w:bCs/>
                <w:color w:val="000000"/>
                <w:sz w:val="24"/>
                <w:szCs w:val="24"/>
                <w:highlight w:val="none"/>
                <w:lang w:val="en-US" w:eastAsia="zh-CN"/>
              </w:rPr>
              <w:t>评标委员会</w:t>
            </w:r>
            <w:r>
              <w:rPr>
                <w:rFonts w:hint="eastAsia" w:ascii="宋体" w:hAnsi="宋体" w:eastAsia="宋体"/>
                <w:bCs/>
                <w:color w:val="000000"/>
                <w:sz w:val="24"/>
                <w:szCs w:val="24"/>
                <w:highlight w:val="none"/>
              </w:rPr>
              <w:t>对电子化投标文件有质疑的，将通过电子化交易系统向</w:t>
            </w:r>
            <w:r>
              <w:rPr>
                <w:rFonts w:hint="eastAsia" w:ascii="宋体" w:hAnsi="宋体" w:eastAsia="宋体"/>
                <w:bCs/>
                <w:color w:val="000000"/>
                <w:sz w:val="24"/>
                <w:szCs w:val="24"/>
                <w:highlight w:val="none"/>
                <w:lang w:val="en-US" w:eastAsia="zh-CN"/>
              </w:rPr>
              <w:t>投标人</w:t>
            </w:r>
            <w:r>
              <w:rPr>
                <w:rFonts w:hint="eastAsia" w:ascii="宋体" w:hAnsi="宋体" w:eastAsia="宋体"/>
                <w:bCs/>
                <w:color w:val="000000"/>
                <w:sz w:val="24"/>
                <w:szCs w:val="24"/>
                <w:highlight w:val="none"/>
              </w:rPr>
              <w:t>发起质疑。</w:t>
            </w:r>
            <w:r>
              <w:rPr>
                <w:rFonts w:hint="eastAsia" w:ascii="宋体" w:hAnsi="宋体" w:eastAsia="宋体"/>
                <w:bCs/>
                <w:color w:val="000000"/>
                <w:sz w:val="24"/>
                <w:szCs w:val="24"/>
                <w:highlight w:val="none"/>
                <w:lang w:val="en-US" w:eastAsia="zh-CN"/>
              </w:rPr>
              <w:t>投标人</w:t>
            </w:r>
            <w:r>
              <w:rPr>
                <w:rFonts w:hint="eastAsia" w:ascii="宋体" w:hAnsi="宋体" w:eastAsia="宋体"/>
                <w:bCs/>
                <w:color w:val="000000"/>
                <w:sz w:val="24"/>
                <w:szCs w:val="24"/>
                <w:highlight w:val="none"/>
              </w:rPr>
              <w:t>的回复文件必须以经过</w:t>
            </w:r>
            <w:r>
              <w:rPr>
                <w:rFonts w:hint="eastAsia" w:ascii="宋体" w:hAnsi="宋体" w:eastAsia="宋体"/>
                <w:bCs/>
                <w:color w:val="000000"/>
                <w:sz w:val="24"/>
                <w:szCs w:val="24"/>
                <w:highlight w:val="none"/>
                <w:lang w:val="en-US" w:eastAsia="zh-CN"/>
              </w:rPr>
              <w:t>投标单位</w:t>
            </w:r>
            <w:r>
              <w:rPr>
                <w:rFonts w:hint="eastAsia" w:ascii="宋体" w:hAnsi="宋体" w:eastAsia="宋体"/>
                <w:bCs/>
                <w:color w:val="000000"/>
                <w:sz w:val="24"/>
                <w:szCs w:val="24"/>
                <w:highlight w:val="none"/>
              </w:rPr>
              <w:t>和其法定代表人签章的PDF式文件为准，并通过电子化交易系统提交至</w:t>
            </w:r>
            <w:r>
              <w:rPr>
                <w:rFonts w:hint="eastAsia" w:ascii="宋体" w:hAnsi="宋体" w:eastAsia="宋体"/>
                <w:bCs/>
                <w:color w:val="000000"/>
                <w:sz w:val="24"/>
                <w:szCs w:val="24"/>
                <w:highlight w:val="none"/>
                <w:lang w:val="en-US" w:eastAsia="zh-CN"/>
              </w:rPr>
              <w:t>评标委员会；</w:t>
            </w:r>
          </w:p>
          <w:p w14:paraId="6C15FA58">
            <w:pPr>
              <w:spacing w:line="360" w:lineRule="auto"/>
              <w:ind w:firstLine="480" w:firstLineChars="200"/>
              <w:jc w:val="left"/>
              <w:rPr>
                <w:rFonts w:ascii="宋体" w:hAnsi="宋体"/>
                <w:bCs/>
                <w:color w:val="000000"/>
                <w:sz w:val="24"/>
                <w:szCs w:val="24"/>
                <w:highlight w:val="none"/>
              </w:rPr>
            </w:pPr>
            <w:r>
              <w:rPr>
                <w:rFonts w:hint="eastAsia" w:ascii="宋体" w:hAnsi="宋体" w:eastAsia="宋体"/>
                <w:bCs/>
                <w:color w:val="000000"/>
                <w:sz w:val="24"/>
                <w:szCs w:val="24"/>
                <w:highlight w:val="none"/>
              </w:rPr>
              <w:t>7、如评标委员会对需要回复的投标人</w:t>
            </w:r>
            <w:r>
              <w:rPr>
                <w:rFonts w:hint="eastAsia" w:ascii="宋体" w:hAnsi="宋体" w:eastAsia="宋体"/>
                <w:bCs/>
                <w:color w:val="000000"/>
                <w:sz w:val="24"/>
                <w:szCs w:val="24"/>
                <w:highlight w:val="none"/>
                <w:lang w:val="en-US" w:eastAsia="zh-CN"/>
              </w:rPr>
              <w:t>在规定时间内通过电子化交易系统未回复的</w:t>
            </w:r>
            <w:r>
              <w:rPr>
                <w:rFonts w:hint="eastAsia" w:ascii="宋体" w:hAnsi="宋体" w:eastAsia="宋体"/>
                <w:bCs/>
                <w:color w:val="000000"/>
                <w:sz w:val="24"/>
                <w:szCs w:val="24"/>
                <w:highlight w:val="none"/>
              </w:rPr>
              <w:t>，视为投标人放弃回复，评标委员会将自行对需要回复的内容进行认定</w:t>
            </w:r>
            <w:r>
              <w:rPr>
                <w:rFonts w:hint="eastAsia" w:ascii="宋体" w:hAnsi="宋体" w:eastAsia="宋体"/>
                <w:bCs/>
                <w:color w:val="000000"/>
                <w:sz w:val="24"/>
                <w:szCs w:val="24"/>
                <w:highlight w:val="none"/>
                <w:lang w:eastAsia="zh-CN"/>
              </w:rPr>
              <w:t>。</w:t>
            </w:r>
          </w:p>
          <w:p w14:paraId="11FAF3C8">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二、相关证书原件的提交</w:t>
            </w:r>
          </w:p>
          <w:p w14:paraId="67264FA6">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本项目实行资格后审，谈判文件中要求投标人提交相关资料原件的，投标人需将原件扫描件制作到电子响应文件中。评标委员会对原件的核验工作按以下条款进行：</w:t>
            </w:r>
          </w:p>
          <w:p w14:paraId="604C08DB">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（一）评标时，评委先查阅响应文件中是否具有该资料的原件扫描件。</w:t>
            </w:r>
          </w:p>
          <w:p w14:paraId="7FEFAD83">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本项目需要提交的原件扫描件以投标截止前在三门峡市公共资源交易投标人（供应商）诚信库中成功上传的信息为准。规定时间外上传或更改的信息不作为评标依据。</w:t>
            </w:r>
          </w:p>
          <w:p w14:paraId="5AA74F79">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（二）项目评标结果公示时，将同时公示成交候选供应商诚信库信息，接受社会监督。</w:t>
            </w:r>
          </w:p>
          <w:p w14:paraId="571FA555">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（三）投标人需应仔细阅读操作手册，保证上传内容齐全，真实有效，原件扫描件清晰可辨。因投标人上传原因导致应得分项而未得分或资格审查不合格等情况的，由投标人自行承担责任。</w:t>
            </w:r>
          </w:p>
          <w:p w14:paraId="1124DAC1">
            <w:pPr>
              <w:spacing w:line="360" w:lineRule="auto"/>
              <w:ind w:firstLine="480" w:firstLineChars="200"/>
              <w:jc w:val="left"/>
              <w:rPr>
                <w:rFonts w:ascii="宋体" w:hAnsi="宋体"/>
                <w:bCs/>
                <w:color w:val="000000"/>
                <w:sz w:val="24"/>
                <w:szCs w:val="24"/>
                <w:highlight w:val="none"/>
              </w:rPr>
            </w:pPr>
            <w:r>
              <w:rPr>
                <w:rFonts w:hint="eastAsia" w:ascii="宋体" w:hAnsi="宋体"/>
                <w:bCs/>
                <w:color w:val="000000"/>
                <w:sz w:val="24"/>
                <w:szCs w:val="24"/>
                <w:highlight w:val="none"/>
              </w:rPr>
              <w:t>提示：本项目为电子化、无纸化交易项目，为保证您能投标成功，请需仔细阅读以上条款。</w:t>
            </w:r>
          </w:p>
        </w:tc>
      </w:tr>
    </w:tbl>
    <w:p w14:paraId="1F197F0A">
      <w:pPr>
        <w:pStyle w:val="48"/>
        <w:tabs>
          <w:tab w:val="left" w:pos="1341"/>
        </w:tabs>
        <w:autoSpaceDE w:val="0"/>
        <w:autoSpaceDN w:val="0"/>
        <w:ind w:firstLine="0" w:firstLineChars="0"/>
        <w:rPr>
          <w:rFonts w:ascii="宋体" w:hAnsi="宋体" w:cs="宋体"/>
          <w:b/>
          <w:bCs/>
          <w:spacing w:val="-1"/>
          <w:sz w:val="24"/>
          <w:highlight w:val="none"/>
        </w:rPr>
      </w:pPr>
      <w:r>
        <w:rPr>
          <w:rFonts w:hint="eastAsia" w:ascii="宋体" w:hAnsi="宋体" w:cs="宋体"/>
          <w:b/>
          <w:bCs/>
          <w:spacing w:val="-1"/>
          <w:sz w:val="24"/>
          <w:highlight w:val="none"/>
        </w:rPr>
        <w:t>附件：招标代理服务收费参照豫招协[2023]002号河南省招标投标协会关于印发《河南省招标代理服务收费指导意见》规定的收费标准收取中标服务费。</w:t>
      </w:r>
    </w:p>
    <w:p w14:paraId="0E38AFA5">
      <w:pPr>
        <w:pStyle w:val="48"/>
        <w:tabs>
          <w:tab w:val="left" w:pos="1341"/>
        </w:tabs>
        <w:autoSpaceDE w:val="0"/>
        <w:autoSpaceDN w:val="0"/>
        <w:ind w:firstLine="717" w:firstLineChars="300"/>
        <w:rPr>
          <w:rFonts w:ascii="宋体" w:hAnsi="宋体" w:cs="宋体"/>
          <w:b/>
          <w:bCs/>
          <w:spacing w:val="-1"/>
          <w:sz w:val="24"/>
          <w:highlight w:val="none"/>
        </w:rPr>
      </w:pPr>
      <w:r>
        <w:rPr>
          <w:rFonts w:hint="eastAsia" w:ascii="宋体" w:hAnsi="宋体" w:cs="宋体"/>
          <w:b/>
          <w:bCs/>
          <w:spacing w:val="-1"/>
          <w:sz w:val="24"/>
          <w:highlight w:val="none"/>
        </w:rPr>
        <w:t>河南省招标代理服务费计算标准</w:t>
      </w:r>
    </w:p>
    <w:tbl>
      <w:tblPr>
        <w:tblStyle w:val="21"/>
        <w:tblpPr w:leftFromText="180" w:rightFromText="180" w:vertAnchor="text" w:horzAnchor="page" w:tblpX="1421" w:tblpY="481"/>
        <w:tblOverlap w:val="never"/>
        <w:tblW w:w="8780" w:type="dxa"/>
        <w:tblInd w:w="0" w:type="dxa"/>
        <w:tblLayout w:type="fixed"/>
        <w:tblCellMar>
          <w:top w:w="0" w:type="dxa"/>
          <w:left w:w="15" w:type="dxa"/>
          <w:bottom w:w="0" w:type="dxa"/>
          <w:right w:w="15" w:type="dxa"/>
        </w:tblCellMar>
      </w:tblPr>
      <w:tblGrid>
        <w:gridCol w:w="3994"/>
        <w:gridCol w:w="1642"/>
        <w:gridCol w:w="1433"/>
        <w:gridCol w:w="1711"/>
      </w:tblGrid>
      <w:tr w14:paraId="626B2EE2">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305DC669">
            <w:pPr>
              <w:autoSpaceDN w:val="0"/>
              <w:jc w:val="center"/>
              <w:textAlignment w:val="center"/>
              <w:rPr>
                <w:rFonts w:ascii="宋体" w:hAnsi="宋体"/>
                <w:sz w:val="24"/>
                <w:szCs w:val="18"/>
                <w:highlight w:val="none"/>
              </w:rPr>
            </w:pPr>
            <w:r>
              <w:rPr>
                <w:rFonts w:ascii="宋体" w:hAnsi="宋体"/>
                <w:sz w:val="24"/>
                <w:szCs w:val="18"/>
                <w:highlight w:val="none"/>
              </w:rPr>
              <w:t>项目类型/（金额万元）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5F6B3A6A">
            <w:pPr>
              <w:autoSpaceDN w:val="0"/>
              <w:jc w:val="center"/>
              <w:textAlignment w:val="center"/>
              <w:rPr>
                <w:rFonts w:ascii="宋体" w:hAnsi="宋体"/>
                <w:sz w:val="24"/>
                <w:szCs w:val="18"/>
                <w:highlight w:val="none"/>
              </w:rPr>
            </w:pPr>
            <w:r>
              <w:rPr>
                <w:rFonts w:ascii="宋体" w:hAnsi="宋体"/>
                <w:sz w:val="24"/>
                <w:szCs w:val="18"/>
                <w:highlight w:val="none"/>
              </w:rPr>
              <w:t>工程</w:t>
            </w:r>
          </w:p>
        </w:tc>
        <w:tc>
          <w:tcPr>
            <w:tcW w:w="1433" w:type="dxa"/>
            <w:tcBorders>
              <w:top w:val="single" w:color="000000" w:sz="4" w:space="0"/>
              <w:left w:val="single" w:color="000000" w:sz="4" w:space="0"/>
              <w:bottom w:val="single" w:color="000000" w:sz="4" w:space="0"/>
              <w:right w:val="single" w:color="000000" w:sz="4" w:space="0"/>
            </w:tcBorders>
            <w:vAlign w:val="center"/>
          </w:tcPr>
          <w:p w14:paraId="398C1C1B">
            <w:pPr>
              <w:autoSpaceDN w:val="0"/>
              <w:jc w:val="center"/>
              <w:textAlignment w:val="center"/>
              <w:rPr>
                <w:rFonts w:ascii="宋体" w:hAnsi="宋体"/>
                <w:sz w:val="24"/>
                <w:szCs w:val="18"/>
                <w:highlight w:val="none"/>
              </w:rPr>
            </w:pPr>
            <w:r>
              <w:rPr>
                <w:rFonts w:ascii="宋体" w:hAnsi="宋体"/>
                <w:sz w:val="24"/>
                <w:szCs w:val="18"/>
                <w:highlight w:val="none"/>
              </w:rPr>
              <w:t>货物</w:t>
            </w:r>
          </w:p>
        </w:tc>
        <w:tc>
          <w:tcPr>
            <w:tcW w:w="1711" w:type="dxa"/>
            <w:tcBorders>
              <w:top w:val="single" w:color="000000" w:sz="4" w:space="0"/>
              <w:left w:val="single" w:color="000000" w:sz="4" w:space="0"/>
              <w:bottom w:val="single" w:color="000000" w:sz="4" w:space="0"/>
              <w:right w:val="single" w:color="000000" w:sz="4" w:space="0"/>
            </w:tcBorders>
            <w:vAlign w:val="center"/>
          </w:tcPr>
          <w:p w14:paraId="59BEE3D1">
            <w:pPr>
              <w:autoSpaceDN w:val="0"/>
              <w:jc w:val="center"/>
              <w:textAlignment w:val="center"/>
              <w:rPr>
                <w:rFonts w:ascii="宋体" w:hAnsi="宋体"/>
                <w:sz w:val="24"/>
                <w:szCs w:val="18"/>
                <w:highlight w:val="none"/>
              </w:rPr>
            </w:pPr>
            <w:r>
              <w:rPr>
                <w:rFonts w:ascii="宋体" w:hAnsi="宋体"/>
                <w:sz w:val="24"/>
                <w:szCs w:val="18"/>
                <w:highlight w:val="none"/>
              </w:rPr>
              <w:t>服务</w:t>
            </w:r>
          </w:p>
        </w:tc>
      </w:tr>
      <w:tr w14:paraId="56087679">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1247955D">
            <w:pPr>
              <w:autoSpaceDN w:val="0"/>
              <w:jc w:val="left"/>
              <w:textAlignment w:val="center"/>
              <w:rPr>
                <w:rFonts w:ascii="宋体" w:hAnsi="宋体"/>
                <w:sz w:val="24"/>
                <w:szCs w:val="18"/>
                <w:highlight w:val="none"/>
              </w:rPr>
            </w:pPr>
            <w:r>
              <w:rPr>
                <w:rFonts w:ascii="宋体" w:hAnsi="宋体"/>
                <w:sz w:val="24"/>
                <w:szCs w:val="18"/>
                <w:highlight w:val="none"/>
              </w:rPr>
              <w:t>100万元以下（含100万元）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46586FA9">
            <w:pPr>
              <w:autoSpaceDN w:val="0"/>
              <w:jc w:val="center"/>
              <w:textAlignment w:val="center"/>
              <w:rPr>
                <w:rFonts w:ascii="宋体" w:hAnsi="宋体"/>
                <w:sz w:val="24"/>
                <w:szCs w:val="18"/>
                <w:highlight w:val="none"/>
              </w:rPr>
            </w:pPr>
            <w:r>
              <w:rPr>
                <w:rFonts w:ascii="宋体" w:hAnsi="宋体"/>
                <w:sz w:val="24"/>
                <w:szCs w:val="18"/>
                <w:highlight w:val="none"/>
              </w:rPr>
              <w:t>1.20%</w:t>
            </w:r>
          </w:p>
        </w:tc>
        <w:tc>
          <w:tcPr>
            <w:tcW w:w="1433" w:type="dxa"/>
            <w:tcBorders>
              <w:top w:val="single" w:color="000000" w:sz="4" w:space="0"/>
              <w:left w:val="single" w:color="000000" w:sz="4" w:space="0"/>
              <w:bottom w:val="single" w:color="000000" w:sz="4" w:space="0"/>
              <w:right w:val="single" w:color="000000" w:sz="4" w:space="0"/>
            </w:tcBorders>
            <w:vAlign w:val="center"/>
          </w:tcPr>
          <w:p w14:paraId="3324900E">
            <w:pPr>
              <w:autoSpaceDN w:val="0"/>
              <w:jc w:val="center"/>
              <w:textAlignment w:val="center"/>
              <w:rPr>
                <w:rFonts w:ascii="宋体" w:hAnsi="宋体"/>
                <w:sz w:val="24"/>
                <w:szCs w:val="18"/>
                <w:highlight w:val="none"/>
              </w:rPr>
            </w:pPr>
            <w:r>
              <w:rPr>
                <w:rFonts w:ascii="宋体" w:hAnsi="宋体"/>
                <w:sz w:val="24"/>
                <w:szCs w:val="18"/>
                <w:highlight w:val="none"/>
              </w:rPr>
              <w:t>1.70%</w:t>
            </w:r>
          </w:p>
        </w:tc>
        <w:tc>
          <w:tcPr>
            <w:tcW w:w="1711" w:type="dxa"/>
            <w:tcBorders>
              <w:top w:val="single" w:color="000000" w:sz="4" w:space="0"/>
              <w:left w:val="single" w:color="000000" w:sz="4" w:space="0"/>
              <w:bottom w:val="single" w:color="000000" w:sz="4" w:space="0"/>
              <w:right w:val="single" w:color="000000" w:sz="4" w:space="0"/>
            </w:tcBorders>
            <w:vAlign w:val="center"/>
          </w:tcPr>
          <w:p w14:paraId="2DFE5432">
            <w:pPr>
              <w:autoSpaceDN w:val="0"/>
              <w:jc w:val="center"/>
              <w:textAlignment w:val="center"/>
              <w:rPr>
                <w:rFonts w:ascii="宋体" w:hAnsi="宋体"/>
                <w:sz w:val="24"/>
                <w:szCs w:val="18"/>
                <w:highlight w:val="none"/>
              </w:rPr>
            </w:pPr>
            <w:r>
              <w:rPr>
                <w:rFonts w:ascii="宋体" w:hAnsi="宋体"/>
                <w:sz w:val="24"/>
                <w:szCs w:val="18"/>
                <w:highlight w:val="none"/>
              </w:rPr>
              <w:t>1.70%</w:t>
            </w:r>
          </w:p>
        </w:tc>
      </w:tr>
      <w:tr w14:paraId="6AEA1F2D">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03EE9A8F">
            <w:pPr>
              <w:autoSpaceDN w:val="0"/>
              <w:jc w:val="left"/>
              <w:textAlignment w:val="center"/>
              <w:rPr>
                <w:rFonts w:ascii="宋体" w:hAnsi="宋体"/>
                <w:sz w:val="24"/>
                <w:szCs w:val="18"/>
                <w:highlight w:val="none"/>
              </w:rPr>
            </w:pPr>
            <w:r>
              <w:rPr>
                <w:rFonts w:ascii="宋体" w:hAnsi="宋体"/>
                <w:sz w:val="24"/>
                <w:szCs w:val="18"/>
                <w:highlight w:val="none"/>
              </w:rPr>
              <w:t>100-500万元（含500万元）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3160482B">
            <w:pPr>
              <w:autoSpaceDN w:val="0"/>
              <w:jc w:val="center"/>
              <w:textAlignment w:val="center"/>
              <w:rPr>
                <w:rFonts w:ascii="宋体" w:hAnsi="宋体"/>
                <w:sz w:val="24"/>
                <w:szCs w:val="18"/>
                <w:highlight w:val="none"/>
              </w:rPr>
            </w:pPr>
            <w:r>
              <w:rPr>
                <w:rFonts w:ascii="宋体" w:hAnsi="宋体"/>
                <w:sz w:val="24"/>
                <w:szCs w:val="18"/>
                <w:highlight w:val="none"/>
              </w:rPr>
              <w:t>1.00%</w:t>
            </w:r>
          </w:p>
        </w:tc>
        <w:tc>
          <w:tcPr>
            <w:tcW w:w="1433" w:type="dxa"/>
            <w:tcBorders>
              <w:top w:val="single" w:color="000000" w:sz="4" w:space="0"/>
              <w:left w:val="single" w:color="000000" w:sz="4" w:space="0"/>
              <w:bottom w:val="single" w:color="000000" w:sz="4" w:space="0"/>
              <w:right w:val="single" w:color="000000" w:sz="4" w:space="0"/>
            </w:tcBorders>
            <w:vAlign w:val="center"/>
          </w:tcPr>
          <w:p w14:paraId="1FF43D40">
            <w:pPr>
              <w:autoSpaceDN w:val="0"/>
              <w:jc w:val="center"/>
              <w:textAlignment w:val="center"/>
              <w:rPr>
                <w:rFonts w:ascii="宋体" w:hAnsi="宋体"/>
                <w:sz w:val="24"/>
                <w:szCs w:val="18"/>
                <w:highlight w:val="none"/>
              </w:rPr>
            </w:pPr>
            <w:r>
              <w:rPr>
                <w:rFonts w:ascii="宋体" w:hAnsi="宋体"/>
                <w:sz w:val="24"/>
                <w:szCs w:val="18"/>
                <w:highlight w:val="none"/>
              </w:rPr>
              <w:t>1.20%</w:t>
            </w:r>
          </w:p>
        </w:tc>
        <w:tc>
          <w:tcPr>
            <w:tcW w:w="1711" w:type="dxa"/>
            <w:tcBorders>
              <w:top w:val="single" w:color="000000" w:sz="4" w:space="0"/>
              <w:left w:val="single" w:color="000000" w:sz="4" w:space="0"/>
              <w:bottom w:val="single" w:color="000000" w:sz="4" w:space="0"/>
              <w:right w:val="single" w:color="000000" w:sz="4" w:space="0"/>
            </w:tcBorders>
            <w:vAlign w:val="center"/>
          </w:tcPr>
          <w:p w14:paraId="2E734A65">
            <w:pPr>
              <w:autoSpaceDN w:val="0"/>
              <w:jc w:val="center"/>
              <w:textAlignment w:val="center"/>
              <w:rPr>
                <w:rFonts w:ascii="宋体" w:hAnsi="宋体"/>
                <w:sz w:val="24"/>
                <w:szCs w:val="18"/>
                <w:highlight w:val="none"/>
              </w:rPr>
            </w:pPr>
            <w:r>
              <w:rPr>
                <w:rFonts w:ascii="宋体" w:hAnsi="宋体"/>
                <w:sz w:val="24"/>
                <w:szCs w:val="18"/>
                <w:highlight w:val="none"/>
              </w:rPr>
              <w:t>1.20%</w:t>
            </w:r>
          </w:p>
        </w:tc>
      </w:tr>
      <w:tr w14:paraId="4A679657">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2CDA637A">
            <w:pPr>
              <w:autoSpaceDN w:val="0"/>
              <w:jc w:val="left"/>
              <w:textAlignment w:val="center"/>
              <w:rPr>
                <w:rFonts w:ascii="宋体" w:hAnsi="宋体"/>
                <w:sz w:val="24"/>
                <w:szCs w:val="18"/>
                <w:highlight w:val="none"/>
              </w:rPr>
            </w:pPr>
            <w:r>
              <w:rPr>
                <w:rFonts w:ascii="宋体" w:hAnsi="宋体"/>
                <w:sz w:val="24"/>
                <w:szCs w:val="18"/>
                <w:highlight w:val="none"/>
              </w:rPr>
              <w:t>500-1000万元（含1000万元）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4490CC61">
            <w:pPr>
              <w:autoSpaceDN w:val="0"/>
              <w:jc w:val="center"/>
              <w:textAlignment w:val="center"/>
              <w:rPr>
                <w:rFonts w:ascii="宋体" w:hAnsi="宋体"/>
                <w:sz w:val="24"/>
                <w:szCs w:val="18"/>
                <w:highlight w:val="none"/>
              </w:rPr>
            </w:pPr>
            <w:r>
              <w:rPr>
                <w:rFonts w:ascii="宋体" w:hAnsi="宋体"/>
                <w:sz w:val="24"/>
                <w:szCs w:val="18"/>
                <w:highlight w:val="none"/>
              </w:rPr>
              <w:t>0.70%</w:t>
            </w:r>
          </w:p>
        </w:tc>
        <w:tc>
          <w:tcPr>
            <w:tcW w:w="1433" w:type="dxa"/>
            <w:tcBorders>
              <w:top w:val="single" w:color="000000" w:sz="4" w:space="0"/>
              <w:left w:val="single" w:color="000000" w:sz="4" w:space="0"/>
              <w:bottom w:val="single" w:color="000000" w:sz="4" w:space="0"/>
              <w:right w:val="single" w:color="000000" w:sz="4" w:space="0"/>
            </w:tcBorders>
            <w:vAlign w:val="center"/>
          </w:tcPr>
          <w:p w14:paraId="2FFA27C1">
            <w:pPr>
              <w:autoSpaceDN w:val="0"/>
              <w:jc w:val="center"/>
              <w:textAlignment w:val="center"/>
              <w:rPr>
                <w:rFonts w:ascii="宋体" w:hAnsi="宋体"/>
                <w:sz w:val="24"/>
                <w:szCs w:val="18"/>
                <w:highlight w:val="none"/>
              </w:rPr>
            </w:pPr>
            <w:r>
              <w:rPr>
                <w:rFonts w:ascii="宋体" w:hAnsi="宋体"/>
                <w:sz w:val="24"/>
                <w:szCs w:val="18"/>
                <w:highlight w:val="none"/>
              </w:rPr>
              <w:t>0.80%</w:t>
            </w:r>
          </w:p>
        </w:tc>
        <w:tc>
          <w:tcPr>
            <w:tcW w:w="1711" w:type="dxa"/>
            <w:tcBorders>
              <w:top w:val="single" w:color="000000" w:sz="4" w:space="0"/>
              <w:left w:val="single" w:color="000000" w:sz="4" w:space="0"/>
              <w:bottom w:val="single" w:color="000000" w:sz="4" w:space="0"/>
              <w:right w:val="single" w:color="000000" w:sz="4" w:space="0"/>
            </w:tcBorders>
            <w:vAlign w:val="center"/>
          </w:tcPr>
          <w:p w14:paraId="7684FBDB">
            <w:pPr>
              <w:autoSpaceDN w:val="0"/>
              <w:jc w:val="center"/>
              <w:textAlignment w:val="center"/>
              <w:rPr>
                <w:rFonts w:ascii="宋体" w:hAnsi="宋体"/>
                <w:sz w:val="24"/>
                <w:szCs w:val="18"/>
                <w:highlight w:val="none"/>
              </w:rPr>
            </w:pPr>
            <w:r>
              <w:rPr>
                <w:rFonts w:ascii="宋体" w:hAnsi="宋体"/>
                <w:sz w:val="24"/>
                <w:szCs w:val="18"/>
                <w:highlight w:val="none"/>
              </w:rPr>
              <w:t>0.70%</w:t>
            </w:r>
          </w:p>
        </w:tc>
      </w:tr>
      <w:tr w14:paraId="2A625F43">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5EFD0432">
            <w:pPr>
              <w:autoSpaceDN w:val="0"/>
              <w:jc w:val="left"/>
              <w:textAlignment w:val="center"/>
              <w:rPr>
                <w:rFonts w:ascii="宋体" w:hAnsi="宋体"/>
                <w:sz w:val="24"/>
                <w:szCs w:val="18"/>
                <w:highlight w:val="none"/>
              </w:rPr>
            </w:pPr>
            <w:r>
              <w:rPr>
                <w:rFonts w:ascii="宋体" w:hAnsi="宋体"/>
                <w:sz w:val="24"/>
                <w:szCs w:val="18"/>
                <w:highlight w:val="none"/>
              </w:rPr>
              <w:t>1000-5000万元（含5000万元）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55C00922">
            <w:pPr>
              <w:autoSpaceDN w:val="0"/>
              <w:jc w:val="center"/>
              <w:textAlignment w:val="center"/>
              <w:rPr>
                <w:rFonts w:ascii="宋体" w:hAnsi="宋体"/>
                <w:sz w:val="24"/>
                <w:szCs w:val="18"/>
                <w:highlight w:val="none"/>
              </w:rPr>
            </w:pPr>
            <w:r>
              <w:rPr>
                <w:rFonts w:ascii="宋体" w:hAnsi="宋体"/>
                <w:sz w:val="24"/>
                <w:szCs w:val="18"/>
                <w:highlight w:val="none"/>
              </w:rPr>
              <w:t>0.40%</w:t>
            </w:r>
          </w:p>
        </w:tc>
        <w:tc>
          <w:tcPr>
            <w:tcW w:w="1433" w:type="dxa"/>
            <w:tcBorders>
              <w:top w:val="single" w:color="000000" w:sz="4" w:space="0"/>
              <w:left w:val="single" w:color="000000" w:sz="4" w:space="0"/>
              <w:bottom w:val="single" w:color="000000" w:sz="4" w:space="0"/>
              <w:right w:val="single" w:color="000000" w:sz="4" w:space="0"/>
            </w:tcBorders>
            <w:vAlign w:val="center"/>
          </w:tcPr>
          <w:p w14:paraId="191925A7">
            <w:pPr>
              <w:autoSpaceDN w:val="0"/>
              <w:jc w:val="center"/>
              <w:textAlignment w:val="center"/>
              <w:rPr>
                <w:rFonts w:ascii="宋体" w:hAnsi="宋体"/>
                <w:sz w:val="24"/>
                <w:szCs w:val="18"/>
                <w:highlight w:val="none"/>
              </w:rPr>
            </w:pPr>
            <w:r>
              <w:rPr>
                <w:rFonts w:ascii="宋体" w:hAnsi="宋体"/>
                <w:sz w:val="24"/>
                <w:szCs w:val="18"/>
                <w:highlight w:val="none"/>
              </w:rPr>
              <w:t>0.50%</w:t>
            </w:r>
          </w:p>
        </w:tc>
        <w:tc>
          <w:tcPr>
            <w:tcW w:w="1711" w:type="dxa"/>
            <w:tcBorders>
              <w:top w:val="single" w:color="000000" w:sz="4" w:space="0"/>
              <w:left w:val="single" w:color="000000" w:sz="4" w:space="0"/>
              <w:bottom w:val="single" w:color="000000" w:sz="4" w:space="0"/>
              <w:right w:val="single" w:color="000000" w:sz="4" w:space="0"/>
            </w:tcBorders>
            <w:vAlign w:val="center"/>
          </w:tcPr>
          <w:p w14:paraId="16200F35">
            <w:pPr>
              <w:autoSpaceDN w:val="0"/>
              <w:jc w:val="center"/>
              <w:textAlignment w:val="center"/>
              <w:rPr>
                <w:rFonts w:ascii="宋体" w:hAnsi="宋体"/>
                <w:sz w:val="24"/>
                <w:szCs w:val="18"/>
                <w:highlight w:val="none"/>
              </w:rPr>
            </w:pPr>
            <w:r>
              <w:rPr>
                <w:rFonts w:ascii="宋体" w:hAnsi="宋体"/>
                <w:sz w:val="24"/>
                <w:szCs w:val="18"/>
                <w:highlight w:val="none"/>
              </w:rPr>
              <w:t>0.40%</w:t>
            </w:r>
          </w:p>
        </w:tc>
      </w:tr>
      <w:tr w14:paraId="5AB26646">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24518070">
            <w:pPr>
              <w:autoSpaceDN w:val="0"/>
              <w:jc w:val="left"/>
              <w:textAlignment w:val="center"/>
              <w:rPr>
                <w:rFonts w:ascii="宋体" w:hAnsi="宋体"/>
                <w:sz w:val="24"/>
                <w:szCs w:val="18"/>
                <w:highlight w:val="none"/>
              </w:rPr>
            </w:pPr>
            <w:r>
              <w:rPr>
                <w:rFonts w:ascii="宋体" w:hAnsi="宋体"/>
                <w:sz w:val="24"/>
                <w:szCs w:val="18"/>
                <w:highlight w:val="none"/>
              </w:rPr>
              <w:t>5000万元--1亿元（含1亿元）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53D0E893">
            <w:pPr>
              <w:autoSpaceDN w:val="0"/>
              <w:jc w:val="center"/>
              <w:textAlignment w:val="center"/>
              <w:rPr>
                <w:rFonts w:ascii="宋体" w:hAnsi="宋体"/>
                <w:sz w:val="24"/>
                <w:szCs w:val="18"/>
                <w:highlight w:val="none"/>
              </w:rPr>
            </w:pPr>
            <w:r>
              <w:rPr>
                <w:rFonts w:ascii="宋体" w:hAnsi="宋体"/>
                <w:sz w:val="24"/>
                <w:szCs w:val="18"/>
                <w:highlight w:val="none"/>
              </w:rPr>
              <w:t>0.25%</w:t>
            </w:r>
          </w:p>
        </w:tc>
        <w:tc>
          <w:tcPr>
            <w:tcW w:w="1433" w:type="dxa"/>
            <w:tcBorders>
              <w:top w:val="single" w:color="000000" w:sz="4" w:space="0"/>
              <w:left w:val="single" w:color="000000" w:sz="4" w:space="0"/>
              <w:bottom w:val="single" w:color="000000" w:sz="4" w:space="0"/>
              <w:right w:val="single" w:color="000000" w:sz="4" w:space="0"/>
            </w:tcBorders>
            <w:vAlign w:val="center"/>
          </w:tcPr>
          <w:p w14:paraId="41A6D160">
            <w:pPr>
              <w:autoSpaceDN w:val="0"/>
              <w:jc w:val="center"/>
              <w:textAlignment w:val="center"/>
              <w:rPr>
                <w:rFonts w:ascii="宋体" w:hAnsi="宋体"/>
                <w:sz w:val="24"/>
                <w:szCs w:val="18"/>
                <w:highlight w:val="none"/>
              </w:rPr>
            </w:pPr>
            <w:r>
              <w:rPr>
                <w:rFonts w:ascii="宋体" w:hAnsi="宋体"/>
                <w:sz w:val="24"/>
                <w:szCs w:val="18"/>
                <w:highlight w:val="none"/>
              </w:rPr>
              <w:t>0.30%</w:t>
            </w:r>
          </w:p>
        </w:tc>
        <w:tc>
          <w:tcPr>
            <w:tcW w:w="1711" w:type="dxa"/>
            <w:tcBorders>
              <w:top w:val="single" w:color="000000" w:sz="4" w:space="0"/>
              <w:left w:val="single" w:color="000000" w:sz="4" w:space="0"/>
              <w:bottom w:val="single" w:color="000000" w:sz="4" w:space="0"/>
              <w:right w:val="single" w:color="000000" w:sz="4" w:space="0"/>
            </w:tcBorders>
            <w:vAlign w:val="center"/>
          </w:tcPr>
          <w:p w14:paraId="19736749">
            <w:pPr>
              <w:autoSpaceDN w:val="0"/>
              <w:jc w:val="center"/>
              <w:textAlignment w:val="center"/>
              <w:rPr>
                <w:rFonts w:ascii="宋体" w:hAnsi="宋体"/>
                <w:sz w:val="24"/>
                <w:szCs w:val="18"/>
                <w:highlight w:val="none"/>
              </w:rPr>
            </w:pPr>
            <w:r>
              <w:rPr>
                <w:rFonts w:ascii="宋体" w:hAnsi="宋体"/>
                <w:sz w:val="24"/>
                <w:szCs w:val="18"/>
                <w:highlight w:val="none"/>
              </w:rPr>
              <w:t>0.25%</w:t>
            </w:r>
          </w:p>
        </w:tc>
      </w:tr>
      <w:tr w14:paraId="4260E4D5">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5E920AC3">
            <w:pPr>
              <w:autoSpaceDN w:val="0"/>
              <w:jc w:val="left"/>
              <w:textAlignment w:val="center"/>
              <w:rPr>
                <w:rFonts w:ascii="宋体" w:hAnsi="宋体"/>
                <w:sz w:val="24"/>
                <w:szCs w:val="18"/>
                <w:highlight w:val="none"/>
              </w:rPr>
            </w:pPr>
            <w:r>
              <w:rPr>
                <w:rFonts w:ascii="宋体" w:hAnsi="宋体"/>
                <w:sz w:val="24"/>
                <w:szCs w:val="18"/>
                <w:highlight w:val="none"/>
              </w:rPr>
              <w:t>1亿--5亿元（含5亿元）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71034EA6">
            <w:pPr>
              <w:autoSpaceDN w:val="0"/>
              <w:jc w:val="center"/>
              <w:textAlignment w:val="center"/>
              <w:rPr>
                <w:rFonts w:ascii="宋体" w:hAnsi="宋体"/>
                <w:sz w:val="24"/>
                <w:szCs w:val="18"/>
                <w:highlight w:val="none"/>
              </w:rPr>
            </w:pPr>
            <w:r>
              <w:rPr>
                <w:rFonts w:ascii="宋体" w:hAnsi="宋体"/>
                <w:sz w:val="24"/>
                <w:szCs w:val="18"/>
                <w:highlight w:val="none"/>
              </w:rPr>
              <w:t>0.10%</w:t>
            </w:r>
          </w:p>
        </w:tc>
        <w:tc>
          <w:tcPr>
            <w:tcW w:w="1433" w:type="dxa"/>
            <w:tcBorders>
              <w:top w:val="single" w:color="000000" w:sz="4" w:space="0"/>
              <w:left w:val="single" w:color="000000" w:sz="4" w:space="0"/>
              <w:bottom w:val="single" w:color="000000" w:sz="4" w:space="0"/>
              <w:right w:val="single" w:color="000000" w:sz="4" w:space="0"/>
            </w:tcBorders>
            <w:vAlign w:val="center"/>
          </w:tcPr>
          <w:p w14:paraId="4D8CF6E8">
            <w:pPr>
              <w:autoSpaceDN w:val="0"/>
              <w:jc w:val="center"/>
              <w:textAlignment w:val="center"/>
              <w:rPr>
                <w:rFonts w:ascii="宋体" w:hAnsi="宋体"/>
                <w:sz w:val="24"/>
                <w:szCs w:val="18"/>
                <w:highlight w:val="none"/>
              </w:rPr>
            </w:pPr>
            <w:r>
              <w:rPr>
                <w:rFonts w:ascii="宋体" w:hAnsi="宋体"/>
                <w:sz w:val="24"/>
                <w:szCs w:val="18"/>
                <w:highlight w:val="none"/>
              </w:rPr>
              <w:t>0.10%</w:t>
            </w:r>
          </w:p>
        </w:tc>
        <w:tc>
          <w:tcPr>
            <w:tcW w:w="1711" w:type="dxa"/>
            <w:tcBorders>
              <w:top w:val="single" w:color="000000" w:sz="4" w:space="0"/>
              <w:left w:val="single" w:color="000000" w:sz="4" w:space="0"/>
              <w:bottom w:val="single" w:color="000000" w:sz="4" w:space="0"/>
              <w:right w:val="single" w:color="000000" w:sz="4" w:space="0"/>
            </w:tcBorders>
            <w:vAlign w:val="center"/>
          </w:tcPr>
          <w:p w14:paraId="121E63E5">
            <w:pPr>
              <w:autoSpaceDN w:val="0"/>
              <w:jc w:val="center"/>
              <w:textAlignment w:val="center"/>
              <w:rPr>
                <w:rFonts w:ascii="宋体" w:hAnsi="宋体"/>
                <w:sz w:val="24"/>
                <w:szCs w:val="18"/>
                <w:highlight w:val="none"/>
              </w:rPr>
            </w:pPr>
            <w:r>
              <w:rPr>
                <w:rFonts w:ascii="宋体" w:hAnsi="宋体"/>
                <w:sz w:val="24"/>
                <w:szCs w:val="18"/>
                <w:highlight w:val="none"/>
              </w:rPr>
              <w:t>0.10%</w:t>
            </w:r>
          </w:p>
        </w:tc>
      </w:tr>
      <w:tr w14:paraId="5D76E16B">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vAlign w:val="center"/>
          </w:tcPr>
          <w:p w14:paraId="4E019369">
            <w:pPr>
              <w:autoSpaceDN w:val="0"/>
              <w:jc w:val="left"/>
              <w:textAlignment w:val="center"/>
              <w:rPr>
                <w:rFonts w:ascii="宋体" w:hAnsi="宋体"/>
                <w:sz w:val="24"/>
                <w:szCs w:val="18"/>
                <w:highlight w:val="none"/>
              </w:rPr>
            </w:pPr>
            <w:r>
              <w:rPr>
                <w:rFonts w:ascii="宋体" w:hAnsi="宋体"/>
                <w:sz w:val="24"/>
                <w:szCs w:val="18"/>
                <w:highlight w:val="none"/>
              </w:rPr>
              <w:t>5亿--10亿元（含10亿元）</w:t>
            </w:r>
          </w:p>
        </w:tc>
        <w:tc>
          <w:tcPr>
            <w:tcW w:w="1642" w:type="dxa"/>
            <w:tcBorders>
              <w:top w:val="single" w:color="000000" w:sz="4" w:space="0"/>
              <w:left w:val="single" w:color="000000" w:sz="4" w:space="0"/>
              <w:right w:val="single" w:color="000000" w:sz="4" w:space="0"/>
            </w:tcBorders>
            <w:vAlign w:val="center"/>
          </w:tcPr>
          <w:p w14:paraId="3ED8B4DD">
            <w:pPr>
              <w:autoSpaceDN w:val="0"/>
              <w:jc w:val="center"/>
              <w:textAlignment w:val="center"/>
              <w:rPr>
                <w:rFonts w:ascii="宋体" w:hAnsi="宋体"/>
                <w:sz w:val="24"/>
                <w:szCs w:val="18"/>
                <w:highlight w:val="none"/>
              </w:rPr>
            </w:pPr>
            <w:r>
              <w:rPr>
                <w:rFonts w:ascii="宋体" w:hAnsi="宋体"/>
                <w:sz w:val="24"/>
                <w:szCs w:val="18"/>
                <w:highlight w:val="none"/>
              </w:rPr>
              <w:t>0.045%</w:t>
            </w:r>
          </w:p>
        </w:tc>
        <w:tc>
          <w:tcPr>
            <w:tcW w:w="1433" w:type="dxa"/>
            <w:tcBorders>
              <w:top w:val="single" w:color="000000" w:sz="4" w:space="0"/>
              <w:left w:val="single" w:color="000000" w:sz="4" w:space="0"/>
              <w:right w:val="single" w:color="000000" w:sz="4" w:space="0"/>
            </w:tcBorders>
            <w:vAlign w:val="center"/>
          </w:tcPr>
          <w:p w14:paraId="57CDDE4B">
            <w:pPr>
              <w:autoSpaceDN w:val="0"/>
              <w:jc w:val="center"/>
              <w:textAlignment w:val="center"/>
              <w:rPr>
                <w:rFonts w:ascii="宋体" w:hAnsi="宋体"/>
                <w:sz w:val="24"/>
                <w:szCs w:val="18"/>
                <w:highlight w:val="none"/>
              </w:rPr>
            </w:pPr>
            <w:r>
              <w:rPr>
                <w:rFonts w:ascii="宋体" w:hAnsi="宋体"/>
                <w:sz w:val="24"/>
                <w:szCs w:val="18"/>
                <w:highlight w:val="none"/>
              </w:rPr>
              <w:t>0.045%</w:t>
            </w:r>
          </w:p>
        </w:tc>
        <w:tc>
          <w:tcPr>
            <w:tcW w:w="1711" w:type="dxa"/>
            <w:tcBorders>
              <w:top w:val="single" w:color="000000" w:sz="4" w:space="0"/>
              <w:left w:val="single" w:color="000000" w:sz="4" w:space="0"/>
              <w:right w:val="single" w:color="000000" w:sz="4" w:space="0"/>
            </w:tcBorders>
            <w:vAlign w:val="center"/>
          </w:tcPr>
          <w:p w14:paraId="3B0D0138">
            <w:pPr>
              <w:autoSpaceDN w:val="0"/>
              <w:jc w:val="center"/>
              <w:textAlignment w:val="center"/>
              <w:rPr>
                <w:rFonts w:ascii="宋体" w:hAnsi="宋体"/>
                <w:sz w:val="24"/>
                <w:szCs w:val="18"/>
                <w:highlight w:val="none"/>
              </w:rPr>
            </w:pPr>
            <w:r>
              <w:rPr>
                <w:rFonts w:ascii="宋体" w:hAnsi="宋体"/>
                <w:sz w:val="24"/>
                <w:szCs w:val="18"/>
                <w:highlight w:val="none"/>
              </w:rPr>
              <w:t>0.045%</w:t>
            </w:r>
          </w:p>
        </w:tc>
      </w:tr>
      <w:tr w14:paraId="71725009">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212E8A29">
            <w:pPr>
              <w:autoSpaceDN w:val="0"/>
              <w:jc w:val="left"/>
              <w:textAlignment w:val="center"/>
              <w:rPr>
                <w:rFonts w:ascii="宋体" w:hAnsi="宋体"/>
                <w:sz w:val="24"/>
                <w:szCs w:val="18"/>
                <w:highlight w:val="none"/>
              </w:rPr>
            </w:pPr>
            <w:r>
              <w:rPr>
                <w:rFonts w:ascii="宋体" w:hAnsi="宋体"/>
                <w:sz w:val="24"/>
                <w:szCs w:val="18"/>
                <w:highlight w:val="none"/>
              </w:rPr>
              <w:t>10亿--50亿元（含50亿元）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6005F157">
            <w:pPr>
              <w:autoSpaceDN w:val="0"/>
              <w:jc w:val="center"/>
              <w:textAlignment w:val="center"/>
              <w:rPr>
                <w:rFonts w:ascii="宋体" w:hAnsi="宋体"/>
                <w:sz w:val="24"/>
                <w:szCs w:val="18"/>
                <w:highlight w:val="none"/>
              </w:rPr>
            </w:pPr>
            <w:r>
              <w:rPr>
                <w:rFonts w:ascii="宋体" w:hAnsi="宋体"/>
                <w:sz w:val="24"/>
                <w:szCs w:val="18"/>
                <w:highlight w:val="none"/>
              </w:rPr>
              <w:t>0.010%</w:t>
            </w:r>
          </w:p>
        </w:tc>
        <w:tc>
          <w:tcPr>
            <w:tcW w:w="1433" w:type="dxa"/>
            <w:tcBorders>
              <w:top w:val="single" w:color="000000" w:sz="4" w:space="0"/>
              <w:left w:val="single" w:color="000000" w:sz="4" w:space="0"/>
              <w:bottom w:val="single" w:color="000000" w:sz="4" w:space="0"/>
              <w:right w:val="single" w:color="000000" w:sz="4" w:space="0"/>
            </w:tcBorders>
            <w:vAlign w:val="center"/>
          </w:tcPr>
          <w:p w14:paraId="7F06607E">
            <w:pPr>
              <w:autoSpaceDN w:val="0"/>
              <w:jc w:val="center"/>
              <w:textAlignment w:val="center"/>
              <w:rPr>
                <w:rFonts w:ascii="宋体" w:hAnsi="宋体"/>
                <w:sz w:val="24"/>
                <w:szCs w:val="18"/>
                <w:highlight w:val="none"/>
              </w:rPr>
            </w:pPr>
            <w:r>
              <w:rPr>
                <w:rFonts w:ascii="宋体" w:hAnsi="宋体"/>
                <w:sz w:val="24"/>
                <w:szCs w:val="18"/>
                <w:highlight w:val="none"/>
              </w:rPr>
              <w:t>0.010%</w:t>
            </w:r>
          </w:p>
        </w:tc>
        <w:tc>
          <w:tcPr>
            <w:tcW w:w="1711" w:type="dxa"/>
            <w:tcBorders>
              <w:top w:val="single" w:color="000000" w:sz="4" w:space="0"/>
              <w:left w:val="single" w:color="000000" w:sz="4" w:space="0"/>
              <w:bottom w:val="single" w:color="000000" w:sz="4" w:space="0"/>
              <w:right w:val="single" w:color="000000" w:sz="4" w:space="0"/>
            </w:tcBorders>
            <w:vAlign w:val="center"/>
          </w:tcPr>
          <w:p w14:paraId="22D629F2">
            <w:pPr>
              <w:autoSpaceDN w:val="0"/>
              <w:jc w:val="center"/>
              <w:textAlignment w:val="center"/>
              <w:rPr>
                <w:rFonts w:ascii="宋体" w:hAnsi="宋体"/>
                <w:sz w:val="24"/>
                <w:szCs w:val="18"/>
                <w:highlight w:val="none"/>
              </w:rPr>
            </w:pPr>
            <w:r>
              <w:rPr>
                <w:rFonts w:ascii="宋体" w:hAnsi="宋体"/>
                <w:sz w:val="24"/>
                <w:szCs w:val="18"/>
                <w:highlight w:val="none"/>
              </w:rPr>
              <w:t>0.010%</w:t>
            </w:r>
          </w:p>
        </w:tc>
      </w:tr>
      <w:tr w14:paraId="3C235394">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7CCA28E4">
            <w:pPr>
              <w:autoSpaceDN w:val="0"/>
              <w:jc w:val="left"/>
              <w:textAlignment w:val="center"/>
              <w:rPr>
                <w:rFonts w:ascii="宋体" w:hAnsi="宋体"/>
                <w:sz w:val="24"/>
                <w:szCs w:val="18"/>
                <w:highlight w:val="none"/>
              </w:rPr>
            </w:pPr>
            <w:r>
              <w:rPr>
                <w:rFonts w:ascii="宋体" w:hAnsi="宋体"/>
                <w:sz w:val="24"/>
                <w:szCs w:val="18"/>
                <w:highlight w:val="none"/>
              </w:rPr>
              <w:t>50亿--100亿元（含</w:t>
            </w:r>
            <w:r>
              <w:rPr>
                <w:rFonts w:hint="eastAsia" w:ascii="宋体" w:hAnsi="宋体"/>
                <w:sz w:val="24"/>
                <w:szCs w:val="18"/>
                <w:highlight w:val="none"/>
              </w:rPr>
              <w:t>100</w:t>
            </w:r>
            <w:r>
              <w:rPr>
                <w:rFonts w:ascii="宋体" w:hAnsi="宋体"/>
                <w:sz w:val="24"/>
                <w:szCs w:val="18"/>
                <w:highlight w:val="none"/>
              </w:rPr>
              <w:t>亿元）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04B759F4">
            <w:pPr>
              <w:autoSpaceDN w:val="0"/>
              <w:jc w:val="center"/>
              <w:textAlignment w:val="center"/>
              <w:rPr>
                <w:rFonts w:ascii="宋体" w:hAnsi="宋体"/>
                <w:sz w:val="24"/>
                <w:szCs w:val="18"/>
                <w:highlight w:val="none"/>
              </w:rPr>
            </w:pPr>
            <w:r>
              <w:rPr>
                <w:rFonts w:ascii="宋体" w:hAnsi="宋体"/>
                <w:sz w:val="24"/>
                <w:szCs w:val="18"/>
                <w:highlight w:val="none"/>
              </w:rPr>
              <w:t>0.008%</w:t>
            </w:r>
          </w:p>
        </w:tc>
        <w:tc>
          <w:tcPr>
            <w:tcW w:w="1433" w:type="dxa"/>
            <w:tcBorders>
              <w:top w:val="single" w:color="000000" w:sz="4" w:space="0"/>
              <w:left w:val="single" w:color="000000" w:sz="4" w:space="0"/>
              <w:bottom w:val="single" w:color="000000" w:sz="4" w:space="0"/>
              <w:right w:val="single" w:color="000000" w:sz="4" w:space="0"/>
            </w:tcBorders>
            <w:vAlign w:val="center"/>
          </w:tcPr>
          <w:p w14:paraId="6DB59EB0">
            <w:pPr>
              <w:autoSpaceDN w:val="0"/>
              <w:jc w:val="center"/>
              <w:textAlignment w:val="center"/>
              <w:rPr>
                <w:rFonts w:ascii="宋体" w:hAnsi="宋体"/>
                <w:sz w:val="24"/>
                <w:szCs w:val="18"/>
                <w:highlight w:val="none"/>
              </w:rPr>
            </w:pPr>
            <w:r>
              <w:rPr>
                <w:rFonts w:ascii="宋体" w:hAnsi="宋体"/>
                <w:sz w:val="24"/>
                <w:szCs w:val="18"/>
                <w:highlight w:val="none"/>
              </w:rPr>
              <w:t>0.008%</w:t>
            </w:r>
          </w:p>
        </w:tc>
        <w:tc>
          <w:tcPr>
            <w:tcW w:w="1711" w:type="dxa"/>
            <w:tcBorders>
              <w:top w:val="single" w:color="000000" w:sz="4" w:space="0"/>
              <w:left w:val="single" w:color="000000" w:sz="4" w:space="0"/>
              <w:bottom w:val="single" w:color="000000" w:sz="4" w:space="0"/>
              <w:right w:val="single" w:color="000000" w:sz="4" w:space="0"/>
            </w:tcBorders>
            <w:vAlign w:val="center"/>
          </w:tcPr>
          <w:p w14:paraId="69638A01">
            <w:pPr>
              <w:autoSpaceDN w:val="0"/>
              <w:jc w:val="center"/>
              <w:textAlignment w:val="center"/>
              <w:rPr>
                <w:rFonts w:ascii="宋体" w:hAnsi="宋体"/>
                <w:sz w:val="24"/>
                <w:szCs w:val="18"/>
                <w:highlight w:val="none"/>
              </w:rPr>
            </w:pPr>
            <w:r>
              <w:rPr>
                <w:rFonts w:ascii="宋体" w:hAnsi="宋体"/>
                <w:sz w:val="24"/>
                <w:szCs w:val="18"/>
                <w:highlight w:val="none"/>
              </w:rPr>
              <w:t>0.008%</w:t>
            </w:r>
          </w:p>
        </w:tc>
      </w:tr>
      <w:tr w14:paraId="2EC246A0">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5AD048D2">
            <w:pPr>
              <w:autoSpaceDN w:val="0"/>
              <w:jc w:val="left"/>
              <w:textAlignment w:val="center"/>
              <w:rPr>
                <w:rFonts w:ascii="宋体" w:hAnsi="宋体"/>
                <w:sz w:val="24"/>
                <w:szCs w:val="18"/>
                <w:highlight w:val="none"/>
              </w:rPr>
            </w:pPr>
            <w:r>
              <w:rPr>
                <w:rFonts w:ascii="宋体" w:hAnsi="宋体"/>
                <w:sz w:val="24"/>
                <w:szCs w:val="18"/>
                <w:highlight w:val="none"/>
              </w:rPr>
              <w:t>100亿元以上</w:t>
            </w:r>
          </w:p>
        </w:tc>
        <w:tc>
          <w:tcPr>
            <w:tcW w:w="1642" w:type="dxa"/>
            <w:tcBorders>
              <w:top w:val="single" w:color="000000" w:sz="4" w:space="0"/>
              <w:left w:val="single" w:color="000000" w:sz="4" w:space="0"/>
              <w:bottom w:val="single" w:color="000000" w:sz="4" w:space="0"/>
              <w:right w:val="single" w:color="000000" w:sz="4" w:space="0"/>
            </w:tcBorders>
            <w:vAlign w:val="center"/>
          </w:tcPr>
          <w:p w14:paraId="330C3BF7">
            <w:pPr>
              <w:autoSpaceDN w:val="0"/>
              <w:jc w:val="center"/>
              <w:textAlignment w:val="center"/>
              <w:rPr>
                <w:rFonts w:ascii="宋体" w:hAnsi="宋体"/>
                <w:sz w:val="24"/>
                <w:szCs w:val="18"/>
                <w:highlight w:val="none"/>
              </w:rPr>
            </w:pPr>
            <w:r>
              <w:rPr>
                <w:rFonts w:ascii="宋体" w:hAnsi="宋体"/>
                <w:sz w:val="24"/>
                <w:szCs w:val="18"/>
                <w:highlight w:val="none"/>
              </w:rPr>
              <w:t>0.004%</w:t>
            </w:r>
          </w:p>
        </w:tc>
        <w:tc>
          <w:tcPr>
            <w:tcW w:w="1433" w:type="dxa"/>
            <w:tcBorders>
              <w:top w:val="single" w:color="000000" w:sz="4" w:space="0"/>
              <w:left w:val="single" w:color="000000" w:sz="4" w:space="0"/>
              <w:bottom w:val="single" w:color="000000" w:sz="4" w:space="0"/>
              <w:right w:val="single" w:color="000000" w:sz="4" w:space="0"/>
            </w:tcBorders>
            <w:vAlign w:val="center"/>
          </w:tcPr>
          <w:p w14:paraId="332AFEBC">
            <w:pPr>
              <w:autoSpaceDN w:val="0"/>
              <w:jc w:val="center"/>
              <w:textAlignment w:val="center"/>
              <w:rPr>
                <w:rFonts w:ascii="宋体" w:hAnsi="宋体"/>
                <w:sz w:val="24"/>
                <w:szCs w:val="18"/>
                <w:highlight w:val="none"/>
              </w:rPr>
            </w:pPr>
            <w:r>
              <w:rPr>
                <w:rFonts w:ascii="宋体" w:hAnsi="宋体"/>
                <w:sz w:val="24"/>
                <w:szCs w:val="18"/>
                <w:highlight w:val="none"/>
              </w:rPr>
              <w:t>0.004%</w:t>
            </w:r>
          </w:p>
        </w:tc>
        <w:tc>
          <w:tcPr>
            <w:tcW w:w="1711" w:type="dxa"/>
            <w:tcBorders>
              <w:top w:val="single" w:color="000000" w:sz="4" w:space="0"/>
              <w:left w:val="single" w:color="000000" w:sz="4" w:space="0"/>
              <w:bottom w:val="single" w:color="000000" w:sz="4" w:space="0"/>
              <w:right w:val="single" w:color="000000" w:sz="4" w:space="0"/>
            </w:tcBorders>
            <w:vAlign w:val="center"/>
          </w:tcPr>
          <w:p w14:paraId="607D8D62">
            <w:pPr>
              <w:autoSpaceDN w:val="0"/>
              <w:jc w:val="center"/>
              <w:textAlignment w:val="center"/>
              <w:rPr>
                <w:rFonts w:ascii="宋体" w:hAnsi="宋体"/>
                <w:sz w:val="24"/>
                <w:szCs w:val="18"/>
                <w:highlight w:val="none"/>
              </w:rPr>
            </w:pPr>
            <w:r>
              <w:rPr>
                <w:rFonts w:ascii="宋体" w:hAnsi="宋体"/>
                <w:sz w:val="24"/>
                <w:szCs w:val="18"/>
                <w:highlight w:val="none"/>
              </w:rPr>
              <w:t>0.004%</w:t>
            </w:r>
          </w:p>
        </w:tc>
      </w:tr>
      <w:tr w14:paraId="4DC6BCF9">
        <w:tblPrEx>
          <w:tblCellMar>
            <w:top w:w="0" w:type="dxa"/>
            <w:left w:w="15" w:type="dxa"/>
            <w:bottom w:w="0" w:type="dxa"/>
            <w:right w:w="15" w:type="dxa"/>
          </w:tblCellMar>
        </w:tblPrEx>
        <w:trPr>
          <w:trHeight w:val="621" w:hRule="atLeast"/>
        </w:trPr>
        <w:tc>
          <w:tcPr>
            <w:tcW w:w="8780" w:type="dxa"/>
            <w:gridSpan w:val="4"/>
            <w:vAlign w:val="center"/>
          </w:tcPr>
          <w:p w14:paraId="2417EB76">
            <w:pPr>
              <w:autoSpaceDN w:val="0"/>
              <w:spacing w:line="500" w:lineRule="exact"/>
              <w:jc w:val="left"/>
              <w:textAlignment w:val="center"/>
              <w:rPr>
                <w:rFonts w:ascii="宋体" w:hAnsi="宋体"/>
                <w:sz w:val="24"/>
                <w:szCs w:val="24"/>
                <w:highlight w:val="none"/>
              </w:rPr>
            </w:pPr>
            <w:r>
              <w:rPr>
                <w:rFonts w:ascii="宋体" w:hAnsi="宋体"/>
                <w:sz w:val="24"/>
                <w:szCs w:val="24"/>
                <w:highlight w:val="none"/>
              </w:rPr>
              <w:t>注：1.按本表费率计算的收费金额为招标代理服务费的基准价格，不含工程量清单、最高投标限价（招标控制价）或标底的编制费用。</w:t>
            </w:r>
          </w:p>
          <w:p w14:paraId="7D830CD0">
            <w:pPr>
              <w:autoSpaceDN w:val="0"/>
              <w:spacing w:line="500" w:lineRule="exact"/>
              <w:jc w:val="left"/>
              <w:textAlignment w:val="center"/>
              <w:rPr>
                <w:rFonts w:ascii="宋体" w:hAnsi="宋体"/>
                <w:sz w:val="24"/>
                <w:szCs w:val="24"/>
                <w:highlight w:val="none"/>
              </w:rPr>
            </w:pPr>
            <w:r>
              <w:rPr>
                <w:rFonts w:hint="eastAsia" w:ascii="宋体" w:hAnsi="宋体"/>
                <w:sz w:val="24"/>
                <w:szCs w:val="24"/>
                <w:highlight w:val="none"/>
              </w:rPr>
              <w:t>2.招标代理服务收费按差额定率累进法计算。</w:t>
            </w:r>
          </w:p>
          <w:p w14:paraId="36A6DD35">
            <w:pPr>
              <w:autoSpaceDN w:val="0"/>
              <w:spacing w:line="500" w:lineRule="exact"/>
              <w:jc w:val="left"/>
              <w:textAlignment w:val="center"/>
              <w:rPr>
                <w:rFonts w:ascii="宋体" w:hAnsi="宋体"/>
                <w:sz w:val="24"/>
                <w:szCs w:val="24"/>
                <w:highlight w:val="none"/>
              </w:rPr>
            </w:pPr>
            <w:r>
              <w:rPr>
                <w:rFonts w:ascii="宋体" w:hAnsi="宋体"/>
                <w:sz w:val="24"/>
                <w:szCs w:val="24"/>
                <w:highlight w:val="none"/>
              </w:rPr>
              <w:t>例如: 某工程招标代理业务，项目预算金额（招标控制价）为10000 万元，招标代理服务收费计算如下:</w:t>
            </w:r>
          </w:p>
          <w:p w14:paraId="61A61FBF">
            <w:pPr>
              <w:autoSpaceDN w:val="0"/>
              <w:spacing w:line="500" w:lineRule="exact"/>
              <w:jc w:val="left"/>
              <w:textAlignment w:val="center"/>
              <w:rPr>
                <w:rFonts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100万元×1.2%=1.2万元</w:t>
            </w:r>
          </w:p>
          <w:p w14:paraId="2BA027EA">
            <w:pPr>
              <w:autoSpaceDN w:val="0"/>
              <w:spacing w:line="500" w:lineRule="exact"/>
              <w:jc w:val="left"/>
              <w:textAlignment w:val="center"/>
              <w:rPr>
                <w:rFonts w:ascii="宋体" w:hAnsi="宋体"/>
                <w:sz w:val="24"/>
                <w:szCs w:val="24"/>
                <w:highlight w:val="none"/>
              </w:rPr>
            </w:pPr>
            <w:r>
              <w:rPr>
                <w:rFonts w:ascii="宋体" w:hAnsi="宋体"/>
                <w:sz w:val="24"/>
                <w:szCs w:val="24"/>
                <w:highlight w:val="none"/>
              </w:rPr>
              <w:t>（500-100）万元×1.0%=4万元</w:t>
            </w:r>
          </w:p>
          <w:p w14:paraId="635226AF">
            <w:pPr>
              <w:autoSpaceDN w:val="0"/>
              <w:spacing w:line="500" w:lineRule="exact"/>
              <w:jc w:val="left"/>
              <w:textAlignment w:val="center"/>
              <w:rPr>
                <w:rFonts w:ascii="宋体" w:hAnsi="宋体"/>
                <w:sz w:val="24"/>
                <w:szCs w:val="24"/>
                <w:highlight w:val="none"/>
              </w:rPr>
            </w:pPr>
            <w:r>
              <w:rPr>
                <w:rFonts w:ascii="宋体" w:hAnsi="宋体"/>
                <w:sz w:val="24"/>
                <w:szCs w:val="24"/>
                <w:highlight w:val="none"/>
              </w:rPr>
              <w:t>（1000-500）×0.7%=3.5万元</w:t>
            </w:r>
          </w:p>
          <w:p w14:paraId="2BA560A5">
            <w:pPr>
              <w:autoSpaceDN w:val="0"/>
              <w:spacing w:line="500" w:lineRule="exact"/>
              <w:jc w:val="left"/>
              <w:textAlignment w:val="center"/>
              <w:rPr>
                <w:rFonts w:ascii="宋体" w:hAnsi="宋体"/>
                <w:sz w:val="24"/>
                <w:szCs w:val="24"/>
                <w:highlight w:val="none"/>
              </w:rPr>
            </w:pPr>
            <w:r>
              <w:rPr>
                <w:rFonts w:ascii="宋体" w:hAnsi="宋体"/>
                <w:sz w:val="24"/>
                <w:szCs w:val="24"/>
                <w:highlight w:val="none"/>
              </w:rPr>
              <w:t>（5000-1000）×0.4%=16万元</w:t>
            </w:r>
          </w:p>
          <w:p w14:paraId="71FEA5DB">
            <w:pPr>
              <w:autoSpaceDN w:val="0"/>
              <w:spacing w:line="500" w:lineRule="exact"/>
              <w:jc w:val="left"/>
              <w:textAlignment w:val="center"/>
              <w:rPr>
                <w:rFonts w:ascii="宋体" w:hAnsi="宋体"/>
                <w:szCs w:val="18"/>
                <w:highlight w:val="none"/>
              </w:rPr>
            </w:pPr>
            <w:r>
              <w:rPr>
                <w:rFonts w:ascii="宋体" w:hAnsi="宋体"/>
                <w:sz w:val="24"/>
                <w:szCs w:val="24"/>
                <w:highlight w:val="none"/>
              </w:rPr>
              <w:t>（10000-5000）×0.25%=12.5万元合计收费=1.2+4+3.5+16+12.5=37.2万元</w:t>
            </w:r>
          </w:p>
        </w:tc>
      </w:tr>
    </w:tbl>
    <w:p w14:paraId="3A3BD85A">
      <w:pPr>
        <w:spacing w:line="500" w:lineRule="exact"/>
        <w:ind w:firstLine="482" w:firstLineChars="200"/>
        <w:jc w:val="center"/>
        <w:rPr>
          <w:rFonts w:ascii="宋体" w:hAnsi="宋体"/>
          <w:b/>
          <w:color w:val="000000"/>
          <w:sz w:val="24"/>
          <w:szCs w:val="24"/>
          <w:highlight w:val="none"/>
        </w:rPr>
      </w:pPr>
    </w:p>
    <w:p w14:paraId="3D61516F">
      <w:pPr>
        <w:keepNext w:val="0"/>
        <w:keepLines w:val="0"/>
        <w:pageBreakBefore w:val="0"/>
        <w:widowControl w:val="0"/>
        <w:numPr>
          <w:ilvl w:val="0"/>
          <w:numId w:val="0"/>
        </w:numPr>
        <w:kinsoku/>
        <w:wordWrap/>
        <w:overflowPunct/>
        <w:topLinePunct w:val="0"/>
        <w:bidi w:val="0"/>
        <w:adjustRightInd w:val="0"/>
        <w:snapToGrid w:val="0"/>
        <w:spacing w:before="0" w:after="0" w:line="360" w:lineRule="auto"/>
        <w:outlineLvl w:val="9"/>
        <w:rPr>
          <w:rFonts w:hint="eastAsia" w:ascii="宋体" w:hAnsi="宋体" w:eastAsia="宋体" w:cs="宋体"/>
          <w:color w:val="auto"/>
          <w:sz w:val="28"/>
          <w:szCs w:val="28"/>
          <w:highlight w:val="none"/>
          <w:lang w:eastAsia="zh-CN"/>
        </w:rPr>
      </w:pPr>
      <w:r>
        <w:rPr>
          <w:highlight w:val="none"/>
        </w:rPr>
        <w:br w:type="page"/>
      </w: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：河南省政府采购合同融资政策告知函</w:t>
      </w:r>
    </w:p>
    <w:p w14:paraId="1D1CAA6A">
      <w:pPr>
        <w:keepNext w:val="0"/>
        <w:keepLines w:val="0"/>
        <w:pageBreakBefore w:val="0"/>
        <w:widowControl w:val="0"/>
        <w:kinsoku/>
        <w:wordWrap/>
        <w:overflowPunct/>
        <w:topLinePunct w:val="0"/>
        <w:bidi w:val="0"/>
        <w:adjustRightInd w:val="0"/>
        <w:snapToGrid w:val="0"/>
        <w:spacing w:line="360" w:lineRule="auto"/>
        <w:ind w:firstLine="422" w:firstLineChars="200"/>
        <w:jc w:val="center"/>
        <w:rPr>
          <w:rFonts w:hint="eastAsia" w:ascii="宋体" w:hAnsi="宋体" w:eastAsia="宋体" w:cs="宋体"/>
          <w:b/>
          <w:bCs/>
          <w:color w:val="auto"/>
          <w:sz w:val="21"/>
          <w:szCs w:val="21"/>
          <w:highlight w:val="none"/>
        </w:rPr>
      </w:pPr>
      <w:bookmarkStart w:id="4" w:name="_Toc7567"/>
      <w:bookmarkStart w:id="5" w:name="_Toc19399"/>
    </w:p>
    <w:p w14:paraId="78025007">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河南省政府采购合同融资政策告知函</w:t>
      </w:r>
      <w:bookmarkEnd w:id="4"/>
      <w:bookmarkEnd w:id="5"/>
    </w:p>
    <w:p w14:paraId="1C8CEED1">
      <w:pPr>
        <w:keepNext w:val="0"/>
        <w:keepLines w:val="0"/>
        <w:pageBreakBefore w:val="0"/>
        <w:widowControl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14:paraId="56EE9C49">
      <w:pPr>
        <w:spacing w:line="440" w:lineRule="exact"/>
        <w:rPr>
          <w:rFonts w:hint="eastAsia" w:ascii="宋体" w:eastAsia="宋体" w:cs="Times New Roman"/>
          <w:bCs/>
          <w:sz w:val="24"/>
          <w:szCs w:val="24"/>
        </w:rPr>
      </w:pPr>
      <w:r>
        <w:rPr>
          <w:rFonts w:hint="eastAsia" w:ascii="宋体" w:eastAsia="宋体" w:cs="Times New Roman"/>
          <w:bCs/>
          <w:sz w:val="24"/>
          <w:szCs w:val="24"/>
        </w:rPr>
        <w:t>各</w:t>
      </w:r>
      <w:r>
        <w:rPr>
          <w:rFonts w:hint="eastAsia" w:ascii="宋体" w:eastAsia="宋体" w:cs="Times New Roman"/>
          <w:bCs/>
          <w:sz w:val="24"/>
          <w:szCs w:val="24"/>
          <w:lang w:val="en-US" w:eastAsia="zh-CN"/>
        </w:rPr>
        <w:t>供应商</w:t>
      </w:r>
      <w:r>
        <w:rPr>
          <w:rFonts w:hint="eastAsia" w:ascii="宋体" w:eastAsia="宋体" w:cs="Times New Roman"/>
          <w:bCs/>
          <w:sz w:val="24"/>
          <w:szCs w:val="24"/>
        </w:rPr>
        <w:t>：</w:t>
      </w:r>
    </w:p>
    <w:p w14:paraId="7B0AFF3E">
      <w:pPr>
        <w:spacing w:line="440" w:lineRule="exact"/>
        <w:ind w:firstLine="465"/>
        <w:rPr>
          <w:rFonts w:hint="eastAsia" w:ascii="宋体" w:eastAsia="宋体" w:cs="Times New Roman"/>
          <w:bCs/>
          <w:sz w:val="24"/>
          <w:szCs w:val="24"/>
        </w:rPr>
      </w:pPr>
      <w:r>
        <w:rPr>
          <w:rFonts w:hint="eastAsia" w:ascii="宋体" w:eastAsia="宋体" w:cs="Times New Roman"/>
          <w:bCs/>
          <w:sz w:val="24"/>
          <w:szCs w:val="24"/>
        </w:rPr>
        <w:t>欢迎贵公司参与河南省政府采购活动！</w:t>
      </w:r>
    </w:p>
    <w:p w14:paraId="56550633">
      <w:pPr>
        <w:spacing w:line="440" w:lineRule="exact"/>
        <w:ind w:firstLine="465"/>
        <w:rPr>
          <w:rFonts w:hint="eastAsia" w:ascii="宋体" w:eastAsia="宋体" w:cs="Times New Roman"/>
          <w:bCs/>
          <w:sz w:val="24"/>
          <w:szCs w:val="24"/>
        </w:rPr>
      </w:pPr>
      <w:r>
        <w:rPr>
          <w:rFonts w:hint="eastAsia" w:ascii="宋体" w:eastAsia="宋体" w:cs="Times New Roman"/>
          <w:bCs/>
          <w:sz w:val="24"/>
          <w:szCs w:val="24"/>
        </w:rPr>
        <w:t>政府采购合同融资是河南省财政厅支持中小微企业发展，针对参与政府采购活动的</w:t>
      </w:r>
      <w:r>
        <w:rPr>
          <w:rFonts w:hint="eastAsia" w:ascii="宋体" w:eastAsia="宋体" w:cs="Times New Roman"/>
          <w:bCs/>
          <w:sz w:val="24"/>
          <w:szCs w:val="24"/>
          <w:lang w:eastAsia="zh-CN"/>
        </w:rPr>
        <w:t>投标人</w:t>
      </w:r>
      <w:r>
        <w:rPr>
          <w:rFonts w:hint="eastAsia" w:ascii="宋体" w:eastAsia="宋体" w:cs="Times New Roman"/>
          <w:bCs/>
          <w:sz w:val="24"/>
          <w:szCs w:val="24"/>
        </w:rPr>
        <w:t>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6BADC1FF">
      <w:pPr>
        <w:spacing w:line="440" w:lineRule="exact"/>
        <w:ind w:firstLine="465"/>
        <w:rPr>
          <w:rFonts w:hint="eastAsia" w:ascii="宋体" w:eastAsia="宋体" w:cs="Times New Roman"/>
          <w:bCs/>
          <w:sz w:val="24"/>
          <w:szCs w:val="24"/>
        </w:rPr>
      </w:pPr>
      <w:r>
        <w:rPr>
          <w:rFonts w:hint="eastAsia" w:ascii="宋体" w:eastAsia="宋体" w:cs="Times New Roman"/>
          <w:bCs/>
          <w:sz w:val="24"/>
          <w:szCs w:val="24"/>
        </w:rPr>
        <w:t>贷款渠道和提供贷款的金融机构，可在河南省政府采购网“河南省政府采购合同融资平台”查询联系。</w:t>
      </w:r>
    </w:p>
    <w:p w14:paraId="5E71EEA1">
      <w:pPr>
        <w:widowControl w:val="0"/>
        <w:jc w:val="both"/>
        <w:textAlignment w:val="auto"/>
        <w:rPr>
          <w:rFonts w:hint="eastAsia" w:ascii="宋体" w:hAnsi="宋体" w:eastAsia="宋体" w:cs="宋体"/>
          <w:bCs/>
          <w:sz w:val="24"/>
          <w:szCs w:val="24"/>
          <w:lang w:val="en-US" w:eastAsia="zh-CN"/>
        </w:rPr>
      </w:pPr>
      <w:r>
        <w:rPr>
          <w:rFonts w:hint="eastAsia" w:ascii="宋体" w:hAnsi="宋体" w:eastAsia="宋体" w:cs="宋体"/>
          <w:color w:val="auto"/>
          <w:kern w:val="0"/>
          <w:sz w:val="21"/>
          <w:szCs w:val="21"/>
          <w:highlight w:val="none"/>
          <w:shd w:val="clear" w:color="auto" w:fill="F9F9F9"/>
        </w:rPr>
        <w:br w:type="page"/>
      </w:r>
      <w:r>
        <w:rPr>
          <w:rFonts w:hint="eastAsia" w:ascii="宋体" w:hAnsi="宋体" w:eastAsia="宋体" w:cs="宋体"/>
          <w:bCs/>
          <w:sz w:val="24"/>
          <w:szCs w:val="24"/>
        </w:rPr>
        <w:t>附件</w:t>
      </w:r>
      <w:r>
        <w:rPr>
          <w:rFonts w:hint="eastAsia" w:ascii="宋体" w:hAnsi="宋体" w:eastAsia="宋体" w:cs="宋体"/>
          <w:bCs/>
          <w:sz w:val="24"/>
          <w:szCs w:val="24"/>
          <w:lang w:val="en-US" w:eastAsia="zh-CN"/>
        </w:rPr>
        <w:t>2</w:t>
      </w:r>
    </w:p>
    <w:p w14:paraId="5E68A1D7">
      <w:pPr>
        <w:spacing w:line="440" w:lineRule="exact"/>
        <w:ind w:firstLine="465"/>
        <w:jc w:val="cente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卢氏县政府采购合同融资政策告知书</w:t>
      </w:r>
    </w:p>
    <w:p w14:paraId="0848EAA3">
      <w:pPr>
        <w:spacing w:line="440" w:lineRule="exac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各供应商：</w:t>
      </w:r>
    </w:p>
    <w:p w14:paraId="1AB6E1A9">
      <w:pPr>
        <w:spacing w:line="440" w:lineRule="exact"/>
        <w:ind w:firstLine="465"/>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欢迎贵公司参与卢氏县政府采购活动！</w:t>
      </w:r>
    </w:p>
    <w:p w14:paraId="0F9B2D11">
      <w:pPr>
        <w:spacing w:line="440" w:lineRule="exact"/>
        <w:ind w:firstLine="465"/>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近年来，卢氏县积极发挥政府采购政策功能，加大对中小企业支持力度，创新运用“政采贷”信贷产品，畅通中小企业融资“绿色通道”，为企业发展提质增效注入金融活水。</w:t>
      </w:r>
    </w:p>
    <w:p w14:paraId="4F0E0C49">
      <w:pPr>
        <w:spacing w:line="440" w:lineRule="exact"/>
        <w:ind w:firstLine="465"/>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为更好满足中小微供应商短、频、急的资金需求，帮助中小微企业解决融资难题，提升金融服务实体经济能力，服务市场主体推动经济稳健发展，我县各金融机构着力优化产品服务、无需抵押担保、简化审贷程序、缩短审贷周期，为供应商合同融资贷款提供便利条件，现编制《卢氏县政府采购合同融资政策告知书》，方便中小企业供应商朋友们进一步了解政府采购融资政策和获取贷款的流程。</w:t>
      </w:r>
    </w:p>
    <w:p w14:paraId="396B07A9">
      <w:pPr>
        <w:spacing w:line="440" w:lineRule="exact"/>
        <w:ind w:firstLine="465"/>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特别提醒：该告知书仅统计了我县部分可以提供线上融资的金融机构，凡参与我县政府采购项目，有融资需求的本地或外地中标（成交）供应商，均可通过“河南省政府采购网”进入“河南省政府采购合同融资平台”，申请融资服务，凡在政府采购合同融资平台登记的金融机构均可开展融资贷款业务。对“政采贷”工作开展过程中发现的新问题、新情况或者建议意见，及时向我县财政部门反馈。</w:t>
      </w:r>
    </w:p>
    <w:p w14:paraId="2599E459">
      <w:pPr>
        <w:widowControl w:val="0"/>
        <w:ind w:firstLine="720" w:firstLineChars="300"/>
        <w:jc w:val="both"/>
        <w:textAlignment w:val="auto"/>
        <w:rPr>
          <w:rFonts w:hint="eastAsia" w:ascii="宋体" w:hAnsi="宋体" w:eastAsia="宋体" w:cs="宋体"/>
          <w:bCs/>
          <w:sz w:val="24"/>
          <w:szCs w:val="24"/>
          <w:lang w:val="en-US" w:eastAsia="zh-CN"/>
        </w:rPr>
      </w:pPr>
    </w:p>
    <w:p w14:paraId="41EEF09E">
      <w:pPr>
        <w:widowControl w:val="0"/>
        <w:ind w:firstLine="720" w:firstLineChars="300"/>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联系电话：0398-7863556</w:t>
      </w:r>
    </w:p>
    <w:p w14:paraId="63AF830D">
      <w:pPr>
        <w:widowControl w:val="0"/>
        <w:jc w:val="both"/>
        <w:textAlignment w:val="auto"/>
        <w:rPr>
          <w:rFonts w:hint="eastAsia" w:ascii="宋体" w:hAnsi="宋体" w:eastAsia="宋体" w:cs="宋体"/>
          <w:color w:val="auto"/>
          <w:kern w:val="0"/>
          <w:sz w:val="24"/>
          <w:szCs w:val="24"/>
          <w:highlight w:val="none"/>
          <w:shd w:val="clear" w:color="auto" w:fill="F9F9F9"/>
          <w:lang w:val="en-US" w:eastAsia="zh-CN"/>
        </w:rPr>
      </w:pPr>
    </w:p>
    <w:p w14:paraId="72BA3487">
      <w:pPr>
        <w:widowControl w:val="0"/>
        <w:jc w:val="both"/>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承接银行联系方式</w:t>
      </w:r>
    </w:p>
    <w:tbl>
      <w:tblPr>
        <w:tblStyle w:val="22"/>
        <w:tblW w:w="0" w:type="auto"/>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5"/>
        <w:gridCol w:w="1818"/>
        <w:gridCol w:w="2451"/>
      </w:tblGrid>
      <w:tr w14:paraId="397E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tcPr>
          <w:p w14:paraId="6ED82800">
            <w:pPr>
              <w:widowControl w:val="0"/>
              <w:jc w:val="center"/>
              <w:textAlignment w:val="auto"/>
              <w:rPr>
                <w:rFonts w:hint="eastAsia" w:ascii="宋体" w:hAnsi="宋体" w:eastAsia="宋体" w:cs="宋体"/>
                <w:color w:val="auto"/>
                <w:kern w:val="0"/>
                <w:sz w:val="24"/>
                <w:szCs w:val="24"/>
                <w:highlight w:val="none"/>
                <w:shd w:val="clear" w:color="auto" w:fill="F9F9F9"/>
                <w:vertAlign w:val="baseline"/>
                <w:lang w:val="en-US" w:eastAsia="zh-CN"/>
              </w:rPr>
            </w:pPr>
            <w:r>
              <w:rPr>
                <w:rFonts w:hint="eastAsia" w:ascii="宋体" w:hAnsi="宋体" w:eastAsia="宋体" w:cs="宋体"/>
                <w:color w:val="auto"/>
                <w:kern w:val="0"/>
                <w:sz w:val="24"/>
                <w:szCs w:val="24"/>
                <w:highlight w:val="none"/>
                <w:shd w:val="clear" w:color="auto" w:fill="F9F9F9"/>
                <w:vertAlign w:val="baseline"/>
                <w:lang w:val="en-US" w:eastAsia="zh-CN"/>
              </w:rPr>
              <w:t>单位名称</w:t>
            </w:r>
          </w:p>
        </w:tc>
        <w:tc>
          <w:tcPr>
            <w:tcW w:w="1818" w:type="dxa"/>
          </w:tcPr>
          <w:p w14:paraId="02D24210">
            <w:pPr>
              <w:widowControl w:val="0"/>
              <w:jc w:val="center"/>
              <w:textAlignment w:val="auto"/>
              <w:rPr>
                <w:rFonts w:hint="eastAsia" w:ascii="宋体" w:hAnsi="宋体" w:eastAsia="宋体" w:cs="宋体"/>
                <w:color w:val="auto"/>
                <w:kern w:val="0"/>
                <w:sz w:val="24"/>
                <w:szCs w:val="24"/>
                <w:highlight w:val="none"/>
                <w:shd w:val="clear" w:color="auto" w:fill="F9F9F9"/>
                <w:vertAlign w:val="baseline"/>
                <w:lang w:val="en-US" w:eastAsia="zh-CN"/>
              </w:rPr>
            </w:pPr>
            <w:r>
              <w:rPr>
                <w:rFonts w:hint="eastAsia" w:ascii="宋体" w:hAnsi="宋体" w:eastAsia="宋体" w:cs="宋体"/>
                <w:color w:val="auto"/>
                <w:kern w:val="0"/>
                <w:sz w:val="24"/>
                <w:szCs w:val="24"/>
                <w:highlight w:val="none"/>
                <w:shd w:val="clear" w:color="auto" w:fill="F9F9F9"/>
                <w:vertAlign w:val="baseline"/>
                <w:lang w:val="en-US" w:eastAsia="zh-CN"/>
              </w:rPr>
              <w:t>联系人</w:t>
            </w:r>
          </w:p>
        </w:tc>
        <w:tc>
          <w:tcPr>
            <w:tcW w:w="2451" w:type="dxa"/>
          </w:tcPr>
          <w:p w14:paraId="1C9A7918">
            <w:pPr>
              <w:widowControl w:val="0"/>
              <w:jc w:val="center"/>
              <w:textAlignment w:val="auto"/>
              <w:rPr>
                <w:rFonts w:hint="eastAsia" w:ascii="宋体" w:hAnsi="宋体" w:eastAsia="宋体" w:cs="宋体"/>
                <w:color w:val="auto"/>
                <w:kern w:val="0"/>
                <w:sz w:val="24"/>
                <w:szCs w:val="24"/>
                <w:highlight w:val="none"/>
                <w:shd w:val="clear" w:color="auto" w:fill="F9F9F9"/>
                <w:vertAlign w:val="baseline"/>
                <w:lang w:val="en-US" w:eastAsia="zh-CN"/>
              </w:rPr>
            </w:pPr>
            <w:r>
              <w:rPr>
                <w:rFonts w:hint="eastAsia" w:ascii="宋体" w:hAnsi="宋体" w:eastAsia="宋体" w:cs="宋体"/>
                <w:color w:val="auto"/>
                <w:kern w:val="0"/>
                <w:sz w:val="24"/>
                <w:szCs w:val="24"/>
                <w:highlight w:val="none"/>
                <w:shd w:val="clear" w:color="auto" w:fill="F9F9F9"/>
                <w:vertAlign w:val="baseline"/>
                <w:lang w:val="en-US" w:eastAsia="zh-CN"/>
              </w:rPr>
              <w:t>联系方式</w:t>
            </w:r>
          </w:p>
        </w:tc>
      </w:tr>
      <w:tr w14:paraId="3EA4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tcPr>
          <w:p w14:paraId="27D98BA1">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中国建设银行股份有限公司卢氏支行</w:t>
            </w:r>
          </w:p>
        </w:tc>
        <w:tc>
          <w:tcPr>
            <w:tcW w:w="1818" w:type="dxa"/>
          </w:tcPr>
          <w:p w14:paraId="6A7C2040">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张江涛</w:t>
            </w:r>
          </w:p>
        </w:tc>
        <w:tc>
          <w:tcPr>
            <w:tcW w:w="2451" w:type="dxa"/>
          </w:tcPr>
          <w:p w14:paraId="0077F7F0">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18739850204</w:t>
            </w:r>
          </w:p>
        </w:tc>
      </w:tr>
      <w:tr w14:paraId="4E42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tcPr>
          <w:p w14:paraId="0B488B7F">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中国农业银行股份有限公司卢氏县支行</w:t>
            </w:r>
          </w:p>
        </w:tc>
        <w:tc>
          <w:tcPr>
            <w:tcW w:w="1818" w:type="dxa"/>
          </w:tcPr>
          <w:p w14:paraId="488DFC9F">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代仁旺</w:t>
            </w:r>
          </w:p>
        </w:tc>
        <w:tc>
          <w:tcPr>
            <w:tcW w:w="2451" w:type="dxa"/>
          </w:tcPr>
          <w:p w14:paraId="4601B028">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18939062604</w:t>
            </w:r>
          </w:p>
        </w:tc>
      </w:tr>
      <w:tr w14:paraId="3E9C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tcPr>
          <w:p w14:paraId="623DBCB2">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中原银行股份有限公司卢氏支行</w:t>
            </w:r>
          </w:p>
        </w:tc>
        <w:tc>
          <w:tcPr>
            <w:tcW w:w="1818" w:type="dxa"/>
          </w:tcPr>
          <w:p w14:paraId="2D0D7287">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李博</w:t>
            </w:r>
          </w:p>
        </w:tc>
        <w:tc>
          <w:tcPr>
            <w:tcW w:w="2451" w:type="dxa"/>
          </w:tcPr>
          <w:p w14:paraId="1410C509">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15839857887</w:t>
            </w:r>
          </w:p>
        </w:tc>
      </w:tr>
    </w:tbl>
    <w:p w14:paraId="776ACBB9">
      <w:pPr>
        <w:widowControl w:val="0"/>
        <w:ind w:firstLine="560" w:firstLineChars="200"/>
        <w:jc w:val="center"/>
        <w:textAlignment w:val="auto"/>
        <w:rPr>
          <w:rFonts w:ascii="方正小标宋简体" w:hAnsi="方正小标宋简体" w:eastAsia="方正小标宋简体" w:cs="方正小标宋简体"/>
          <w:color w:val="auto"/>
          <w:kern w:val="0"/>
          <w:sz w:val="28"/>
          <w:szCs w:val="28"/>
          <w:highlight w:val="none"/>
          <w:shd w:val="clear" w:color="auto" w:fill="F9F9F9"/>
        </w:rPr>
      </w:pPr>
    </w:p>
    <w:p w14:paraId="73255469">
      <w:pPr>
        <w:widowControl w:val="0"/>
        <w:ind w:firstLine="560" w:firstLineChars="200"/>
        <w:jc w:val="center"/>
        <w:textAlignment w:val="auto"/>
        <w:rPr>
          <w:rFonts w:ascii="方正小标宋简体" w:hAnsi="方正小标宋简体" w:eastAsia="方正小标宋简体" w:cs="方正小标宋简体"/>
          <w:color w:val="auto"/>
          <w:kern w:val="0"/>
          <w:sz w:val="28"/>
          <w:szCs w:val="28"/>
          <w:highlight w:val="none"/>
          <w:shd w:val="clear" w:color="auto" w:fill="F9F9F9"/>
        </w:rPr>
      </w:pPr>
    </w:p>
    <w:p w14:paraId="3CE7DCB9">
      <w:pPr>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pPr>
      <w:r>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br w:type="page"/>
      </w:r>
    </w:p>
    <w:p w14:paraId="336A8BB1">
      <w:pPr>
        <w:widowControl w:val="0"/>
        <w:jc w:val="both"/>
        <w:textAlignment w:val="auto"/>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pPr>
      <w:r>
        <w:rPr>
          <w:rFonts w:hint="eastAsia" w:ascii="宋体" w:hAnsi="宋体" w:eastAsia="宋体" w:cs="宋体"/>
          <w:bCs/>
          <w:sz w:val="24"/>
          <w:szCs w:val="24"/>
          <w:lang w:val="en-US" w:eastAsia="zh-CN"/>
        </w:rPr>
        <w:t xml:space="preserve">附件3  </w:t>
      </w:r>
      <w:r>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t xml:space="preserve">            </w:t>
      </w:r>
    </w:p>
    <w:p w14:paraId="775A7067">
      <w:pPr>
        <w:widowControl w:val="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shd w:val="clear" w:color="auto" w:fill="F9F9F9"/>
        </w:rPr>
        <w:t>中小企业划型标准规定</w:t>
      </w:r>
    </w:p>
    <w:tbl>
      <w:tblPr>
        <w:tblStyle w:val="21"/>
        <w:tblW w:w="9353" w:type="dxa"/>
        <w:jc w:val="center"/>
        <w:shd w:val="clear" w:color="auto" w:fill="FFFFFF"/>
        <w:tblLayout w:type="autofit"/>
        <w:tblCellMar>
          <w:top w:w="0" w:type="dxa"/>
          <w:left w:w="0" w:type="dxa"/>
          <w:bottom w:w="0" w:type="dxa"/>
          <w:right w:w="0" w:type="dxa"/>
        </w:tblCellMar>
      </w:tblPr>
      <w:tblGrid>
        <w:gridCol w:w="1144"/>
        <w:gridCol w:w="1492"/>
        <w:gridCol w:w="728"/>
        <w:gridCol w:w="1245"/>
        <w:gridCol w:w="1965"/>
        <w:gridCol w:w="1756"/>
        <w:gridCol w:w="1023"/>
      </w:tblGrid>
      <w:tr w14:paraId="472420FF">
        <w:tblPrEx>
          <w:shd w:val="clear" w:color="auto" w:fill="FFFFFF"/>
          <w:tblCellMar>
            <w:top w:w="0" w:type="dxa"/>
            <w:left w:w="0" w:type="dxa"/>
            <w:bottom w:w="0" w:type="dxa"/>
            <w:right w:w="0" w:type="dxa"/>
          </w:tblCellMar>
        </w:tblPrEx>
        <w:trPr>
          <w:trHeight w:val="653" w:hRule="atLeast"/>
          <w:jc w:val="center"/>
        </w:trPr>
        <w:tc>
          <w:tcPr>
            <w:tcW w:w="1144" w:type="dxa"/>
            <w:tcBorders>
              <w:top w:val="single" w:color="4F81BD" w:sz="6" w:space="0"/>
              <w:left w:val="single" w:color="4F81BD" w:sz="6" w:space="0"/>
              <w:bottom w:val="single" w:color="FFFFFF" w:sz="18" w:space="0"/>
              <w:right w:val="single" w:color="4F81BD" w:sz="6" w:space="0"/>
            </w:tcBorders>
            <w:shd w:val="clear" w:color="auto" w:fill="4F81BD"/>
            <w:noWrap w:val="0"/>
            <w:tcMar>
              <w:left w:w="105" w:type="dxa"/>
              <w:right w:w="105" w:type="dxa"/>
            </w:tcMar>
            <w:vAlign w:val="center"/>
          </w:tcPr>
          <w:p w14:paraId="29275EE7">
            <w:pPr>
              <w:pStyle w:val="18"/>
              <w:wordWrap w:val="0"/>
              <w:spacing w:line="240" w:lineRule="auto"/>
              <w:jc w:val="center"/>
              <w:rPr>
                <w:rFonts w:ascii="宋体" w:hAnsi="宋体" w:cs="宋体"/>
                <w:color w:val="auto"/>
                <w:sz w:val="21"/>
                <w:szCs w:val="21"/>
                <w:highlight w:val="none"/>
              </w:rPr>
            </w:pPr>
            <w:r>
              <w:rPr>
                <w:rStyle w:val="24"/>
                <w:rFonts w:hint="eastAsia" w:ascii="宋体" w:hAnsi="宋体" w:cs="宋体"/>
                <w:color w:val="auto"/>
                <w:spacing w:val="8"/>
                <w:sz w:val="21"/>
                <w:szCs w:val="21"/>
                <w:highlight w:val="none"/>
              </w:rPr>
              <w:t>行业名称</w:t>
            </w:r>
          </w:p>
        </w:tc>
        <w:tc>
          <w:tcPr>
            <w:tcW w:w="1492"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210E7E01">
            <w:pPr>
              <w:pStyle w:val="18"/>
              <w:wordWrap w:val="0"/>
              <w:spacing w:line="240" w:lineRule="auto"/>
              <w:jc w:val="center"/>
              <w:rPr>
                <w:rFonts w:ascii="宋体" w:hAnsi="宋体" w:cs="宋体"/>
                <w:color w:val="auto"/>
                <w:sz w:val="21"/>
                <w:szCs w:val="21"/>
                <w:highlight w:val="none"/>
              </w:rPr>
            </w:pPr>
            <w:r>
              <w:rPr>
                <w:rStyle w:val="24"/>
                <w:rFonts w:hint="eastAsia" w:ascii="宋体" w:hAnsi="宋体" w:cs="宋体"/>
                <w:color w:val="auto"/>
                <w:spacing w:val="8"/>
                <w:sz w:val="21"/>
                <w:szCs w:val="21"/>
                <w:highlight w:val="none"/>
              </w:rPr>
              <w:t>指标名称</w:t>
            </w:r>
          </w:p>
        </w:tc>
        <w:tc>
          <w:tcPr>
            <w:tcW w:w="728"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7F51F294">
            <w:pPr>
              <w:pStyle w:val="18"/>
              <w:wordWrap w:val="0"/>
              <w:spacing w:line="240" w:lineRule="auto"/>
              <w:jc w:val="center"/>
              <w:rPr>
                <w:rFonts w:ascii="宋体" w:hAnsi="宋体" w:cs="宋体"/>
                <w:color w:val="auto"/>
                <w:sz w:val="21"/>
                <w:szCs w:val="21"/>
                <w:highlight w:val="none"/>
              </w:rPr>
            </w:pPr>
            <w:r>
              <w:rPr>
                <w:rStyle w:val="24"/>
                <w:rFonts w:hint="eastAsia" w:ascii="宋体" w:hAnsi="宋体" w:cs="宋体"/>
                <w:color w:val="auto"/>
                <w:spacing w:val="8"/>
                <w:sz w:val="21"/>
                <w:szCs w:val="21"/>
                <w:highlight w:val="none"/>
              </w:rPr>
              <w:t>计量单位</w:t>
            </w:r>
          </w:p>
        </w:tc>
        <w:tc>
          <w:tcPr>
            <w:tcW w:w="1245"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427DD70E">
            <w:pPr>
              <w:pStyle w:val="18"/>
              <w:wordWrap w:val="0"/>
              <w:spacing w:line="240" w:lineRule="auto"/>
              <w:jc w:val="center"/>
              <w:rPr>
                <w:rFonts w:ascii="宋体" w:hAnsi="宋体" w:cs="宋体"/>
                <w:color w:val="auto"/>
                <w:sz w:val="21"/>
                <w:szCs w:val="21"/>
                <w:highlight w:val="none"/>
              </w:rPr>
            </w:pPr>
            <w:r>
              <w:rPr>
                <w:rStyle w:val="24"/>
                <w:rFonts w:hint="eastAsia" w:ascii="宋体" w:hAnsi="宋体" w:cs="宋体"/>
                <w:color w:val="auto"/>
                <w:spacing w:val="8"/>
                <w:sz w:val="21"/>
                <w:szCs w:val="21"/>
                <w:highlight w:val="none"/>
              </w:rPr>
              <w:t>大型</w:t>
            </w:r>
          </w:p>
        </w:tc>
        <w:tc>
          <w:tcPr>
            <w:tcW w:w="1965"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10D44814">
            <w:pPr>
              <w:pStyle w:val="18"/>
              <w:wordWrap w:val="0"/>
              <w:spacing w:line="240" w:lineRule="auto"/>
              <w:jc w:val="center"/>
              <w:rPr>
                <w:rFonts w:ascii="宋体" w:hAnsi="宋体" w:cs="宋体"/>
                <w:color w:val="auto"/>
                <w:sz w:val="21"/>
                <w:szCs w:val="21"/>
                <w:highlight w:val="none"/>
              </w:rPr>
            </w:pPr>
            <w:r>
              <w:rPr>
                <w:rStyle w:val="24"/>
                <w:rFonts w:hint="eastAsia" w:ascii="宋体" w:hAnsi="宋体" w:cs="宋体"/>
                <w:color w:val="auto"/>
                <w:spacing w:val="8"/>
                <w:sz w:val="21"/>
                <w:szCs w:val="21"/>
                <w:highlight w:val="none"/>
              </w:rPr>
              <w:t>中型</w:t>
            </w:r>
          </w:p>
        </w:tc>
        <w:tc>
          <w:tcPr>
            <w:tcW w:w="1756"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31F75DA1">
            <w:pPr>
              <w:pStyle w:val="18"/>
              <w:wordWrap w:val="0"/>
              <w:spacing w:line="240" w:lineRule="auto"/>
              <w:jc w:val="center"/>
              <w:rPr>
                <w:rFonts w:ascii="宋体" w:hAnsi="宋体" w:cs="宋体"/>
                <w:color w:val="auto"/>
                <w:sz w:val="21"/>
                <w:szCs w:val="21"/>
                <w:highlight w:val="none"/>
              </w:rPr>
            </w:pPr>
            <w:r>
              <w:rPr>
                <w:rStyle w:val="24"/>
                <w:rFonts w:hint="eastAsia" w:ascii="宋体" w:hAnsi="宋体" w:cs="宋体"/>
                <w:color w:val="auto"/>
                <w:spacing w:val="8"/>
                <w:sz w:val="21"/>
                <w:szCs w:val="21"/>
                <w:highlight w:val="none"/>
              </w:rPr>
              <w:t>小型</w:t>
            </w:r>
          </w:p>
        </w:tc>
        <w:tc>
          <w:tcPr>
            <w:tcW w:w="1023"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3D1595A8">
            <w:pPr>
              <w:pStyle w:val="18"/>
              <w:wordWrap w:val="0"/>
              <w:spacing w:line="240" w:lineRule="auto"/>
              <w:jc w:val="center"/>
              <w:rPr>
                <w:rFonts w:ascii="宋体" w:hAnsi="宋体" w:cs="宋体"/>
                <w:color w:val="auto"/>
                <w:sz w:val="21"/>
                <w:szCs w:val="21"/>
                <w:highlight w:val="none"/>
              </w:rPr>
            </w:pPr>
            <w:r>
              <w:rPr>
                <w:rStyle w:val="24"/>
                <w:rFonts w:hint="eastAsia" w:ascii="宋体" w:hAnsi="宋体" w:cs="宋体"/>
                <w:color w:val="auto"/>
                <w:spacing w:val="8"/>
                <w:sz w:val="21"/>
                <w:szCs w:val="21"/>
                <w:highlight w:val="none"/>
              </w:rPr>
              <w:t>微型</w:t>
            </w:r>
          </w:p>
        </w:tc>
      </w:tr>
      <w:tr w14:paraId="46945BE4">
        <w:tblPrEx>
          <w:shd w:val="clear" w:color="auto" w:fill="FFFFFF"/>
          <w:tblCellMar>
            <w:top w:w="0" w:type="dxa"/>
            <w:left w:w="0" w:type="dxa"/>
            <w:bottom w:w="0" w:type="dxa"/>
            <w:right w:w="0" w:type="dxa"/>
          </w:tblCellMar>
        </w:tblPrEx>
        <w:trPr>
          <w:trHeight w:val="682" w:hRule="atLeast"/>
          <w:jc w:val="center"/>
        </w:trPr>
        <w:tc>
          <w:tcPr>
            <w:tcW w:w="1144" w:type="dxa"/>
            <w:tcBorders>
              <w:top w:val="nil"/>
              <w:left w:val="single" w:color="4F81BD" w:sz="6" w:space="0"/>
              <w:bottom w:val="single" w:color="4F81BD" w:sz="6" w:space="0"/>
              <w:right w:val="single" w:color="4F81BD" w:sz="6" w:space="0"/>
            </w:tcBorders>
            <w:shd w:val="clear" w:color="auto" w:fill="B8CCE4"/>
            <w:noWrap w:val="0"/>
            <w:tcMar>
              <w:left w:w="105" w:type="dxa"/>
              <w:right w:w="105" w:type="dxa"/>
            </w:tcMar>
            <w:vAlign w:val="center"/>
          </w:tcPr>
          <w:p w14:paraId="6E9CC7BB">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农、林、牧、渔业</w:t>
            </w: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C672865">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219BA2B">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6ECD002">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80256DD">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500≤Y＜20000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CE58857">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50≤Y＜500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208A30F">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w:t>
            </w:r>
          </w:p>
        </w:tc>
      </w:tr>
      <w:tr w14:paraId="5ECC5346">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FC17BF5">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工业 *</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90A2580">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8F0E002">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4365978">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02233EB">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4E57705">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8FE6D7C">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3AD7C200">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CF0CC04">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BE532C2">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4F25E7B">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36ADD6F">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Y≥40000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642F2F7">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2000≤Y＜40000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DCB16B8">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300≤Y＜2000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F88FBAF">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w:t>
            </w:r>
          </w:p>
        </w:tc>
      </w:tr>
      <w:tr w14:paraId="5881FF4C">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DEAF6D7">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建筑业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8B7789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A67D8BB">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533261C">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Y≥80000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EFD0D78">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6000≤Y＜80000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F950D35">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300≤Y＜6000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E185A56">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w:t>
            </w:r>
          </w:p>
        </w:tc>
      </w:tr>
      <w:tr w14:paraId="40CEAE44">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42FEA3E">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1D33C97">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资产总额(Z)</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AB0A32D">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76E8FDC">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Z≥80000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ED1BDD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5000≤Z＜80000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3658FB9">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300≤Z＜5000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8AA393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Z＜300</w:t>
            </w:r>
          </w:p>
        </w:tc>
      </w:tr>
      <w:tr w14:paraId="1311B25F">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FAAB43B">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批发业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2A9B40B">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4AB8772">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6113E2D">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EB08BB8">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20≤X＜200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F1D4FBD">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5≤X＜20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AC3D5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X＜5</w:t>
            </w:r>
          </w:p>
        </w:tc>
      </w:tr>
      <w:tr w14:paraId="10F8F405">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674177B">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A4F699A">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76D14C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A33FE10">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Y≥40000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1C029E6">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5000≤Y＜40000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8192EC4">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1000≤Y＜5000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A24EEA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w:t>
            </w:r>
          </w:p>
        </w:tc>
      </w:tr>
      <w:tr w14:paraId="26107C4B">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A606353">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零售业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93251FC">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6137B6B">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BB0AA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2D3DB39">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5190A1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10≤X＜50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2CDA90">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4303D85A">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B2F9F02">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40D8CCE">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C0346A0">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0EA53B8">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06360B9">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500≤Y＜20000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DFE749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100≤Y＜500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F5CF63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6DEBE5FD">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B4F9971">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交通运输业 *</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EC5FF6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E07DF1B">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D95B22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044E14E">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F1DD4ED">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FB62483">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3E1752EA">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CBED295">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5B1F45C">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15CAD5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4D5E6D5">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ADC673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3000≤Y＜30000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2D16FB7">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200≤Y＜3000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C077662">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w:t>
            </w:r>
          </w:p>
        </w:tc>
      </w:tr>
      <w:tr w14:paraId="62C3D39E">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BE5BBE6">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仓储业*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0E4A777">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C832324">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2EF3E2">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805FBA6">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100≤X＜200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128F03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ADA840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77680FEE">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41F38BD">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F6A69EA">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672DDE0">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02F1030">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22DD097">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1000≤Y＜30000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46F4FEB">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100≤Y＜1000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C3491E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53385E36">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4796CB6">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邮政业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4D2798F">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BBAB73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480F15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9DC3276">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AECE17D">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8B5FC13">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34CA8B61">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C132E2D">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E4F8318">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E2DDAFC">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38002B3">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F5CAC92">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2000≤Y＜30000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A369F0C">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100≤Y＜2000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0968C9C">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50BA8BBF">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8112640">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住宿业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E912009">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513B20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91F228D">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90398EF">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D98BC46">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3093A9B">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214215CC">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9DA06A7">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65190CE">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458D15B">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40F4E64">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25C339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2000≤Y＜10000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0D065B5">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100≤Y＜2000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E75F95C">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375591C0">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01DE231">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餐饮业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F7D0042">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F0AEA14">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D0D84F4">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61BD504">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45DC536">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6500687">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624548B5">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F1BC7B0">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E90D4DD">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87EC81C">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8AB456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7725285">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2000≤Y＜10000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CF5B104">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100≤Y＜2000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763A4C0">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72E7951D">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3FC9985">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信息传输业 *</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AF3D33E">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BC914FE">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898985D">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77D8B93">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100≤X＜2000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F70BA7C">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C2CAE5D">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68C4D760">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6156335C">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D923B12">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4299C6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708CAEF">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B92B079">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1000≤Y＜100000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9C7B3CD">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100≤Y＜1000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984142F">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30ED08BF">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CA49535">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15"/>
                <w:sz w:val="21"/>
                <w:szCs w:val="21"/>
                <w:highlight w:val="none"/>
              </w:rPr>
              <w:t>软件和信息技术服</w:t>
            </w:r>
            <w:r>
              <w:rPr>
                <w:rFonts w:hint="eastAsia" w:ascii="宋体" w:hAnsi="宋体" w:cs="宋体"/>
                <w:color w:val="auto"/>
                <w:spacing w:val="8"/>
                <w:sz w:val="21"/>
                <w:szCs w:val="21"/>
                <w:highlight w:val="none"/>
              </w:rPr>
              <w:t>务业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197EAA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6F560CC">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2F789D5">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72EAFE6">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9AEB70E">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131EC9C">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3DD9E294">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69B15AA">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329B443">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38517A5">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467163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35C0B9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1000≤Y＜10000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2EDAB5D">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50≤Y＜1000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12BB900">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w:t>
            </w:r>
          </w:p>
        </w:tc>
      </w:tr>
      <w:tr w14:paraId="4054E2FE">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31C8A56">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房地产开发经营</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2ABD05E">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9DCE57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6BE712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9E614D7">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1000≤Y＜200000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292ABB9">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100≤Y＜1000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B0B2A9B">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089EA613">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357EBC2">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1B947F7">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资产总额(Z)</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587A6A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0CE9ADD">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Z≥10000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610F578">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5000≤Z＜10000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D90D2FF">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2000≤Z＜5000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89C6B90">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Z＜2000</w:t>
            </w:r>
          </w:p>
        </w:tc>
      </w:tr>
      <w:tr w14:paraId="706B7671">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938E006">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物业管理</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72B4C9">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C4D85BF">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2BCB6C2">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D75BFF">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65D73AC">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90DC1A6">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w:t>
            </w:r>
          </w:p>
        </w:tc>
      </w:tr>
      <w:tr w14:paraId="52CEDF15">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A0C9CCE">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F7A5945">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F808F10">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9E90FED">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06FCCBB">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1000≤Y＜5000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0A9E53F">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500≤Y＜1000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593DE43">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Y＜500</w:t>
            </w:r>
          </w:p>
        </w:tc>
      </w:tr>
      <w:tr w14:paraId="3BC3E08C">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6F4ED0FF">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租赁和商务服务业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C3C2DC4">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E8CAF69">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CB219E4">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19A9858">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B316E0F">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3BC24DC">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000DD74E">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A3FDB10">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5AA87CD">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资产总额(Z)</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A95485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CCB65ED">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Z≥120000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7EA173D">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8000≤Z＜120000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D811570">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100≤Z＜8000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15701A9">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Z＜100</w:t>
            </w:r>
          </w:p>
        </w:tc>
      </w:tr>
      <w:tr w14:paraId="7371CA73">
        <w:tblPrEx>
          <w:shd w:val="clear" w:color="auto" w:fill="FFFFFF"/>
          <w:tblCellMar>
            <w:top w:w="0" w:type="dxa"/>
            <w:left w:w="0" w:type="dxa"/>
            <w:bottom w:w="0" w:type="dxa"/>
            <w:right w:w="0" w:type="dxa"/>
          </w:tblCellMar>
        </w:tblPrEx>
        <w:trPr>
          <w:trHeight w:val="668" w:hRule="atLeast"/>
          <w:jc w:val="center"/>
        </w:trPr>
        <w:tc>
          <w:tcPr>
            <w:tcW w:w="1144" w:type="dxa"/>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82A8C09">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其他未列明行业*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441F83">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CCBB2F0">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282D7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E0A01B5">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CF95238">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7DA4589">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bl>
    <w:p w14:paraId="0CCA01C8">
      <w:pPr>
        <w:widowControl w:val="0"/>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说明：1.大型、中型和小型企业须</w:t>
      </w:r>
      <w:r>
        <w:rPr>
          <w:rFonts w:hint="eastAsia" w:asciiTheme="minorEastAsia" w:hAnsiTheme="minorEastAsia" w:eastAsiaTheme="minorEastAsia" w:cstheme="minorEastAsia"/>
          <w:b/>
          <w:bCs/>
          <w:color w:val="auto"/>
          <w:kern w:val="0"/>
          <w:sz w:val="24"/>
          <w:szCs w:val="24"/>
          <w:highlight w:val="none"/>
        </w:rPr>
        <w:t>同时满足所列指标的下限</w:t>
      </w:r>
      <w:r>
        <w:rPr>
          <w:rFonts w:hint="eastAsia" w:asciiTheme="minorEastAsia" w:hAnsiTheme="minorEastAsia" w:eastAsiaTheme="minorEastAsia" w:cstheme="minorEastAsia"/>
          <w:b/>
          <w:bCs/>
          <w:color w:val="auto"/>
          <w:kern w:val="0"/>
          <w:sz w:val="24"/>
          <w:szCs w:val="24"/>
          <w:highlight w:val="none"/>
          <w:lang w:eastAsia="zh-CN"/>
        </w:rPr>
        <w:t>，否则下划一档</w:t>
      </w:r>
      <w:r>
        <w:rPr>
          <w:rFonts w:hint="eastAsia" w:asciiTheme="minorEastAsia" w:hAnsiTheme="minorEastAsia" w:eastAsiaTheme="minorEastAsia" w:cstheme="minorEastAsia"/>
          <w:color w:val="auto"/>
          <w:kern w:val="0"/>
          <w:sz w:val="24"/>
          <w:szCs w:val="24"/>
          <w:highlight w:val="none"/>
        </w:rPr>
        <w:t>；微型企业只须满足所列指标中的一项即可。</w:t>
      </w:r>
    </w:p>
    <w:p w14:paraId="2597962D">
      <w:pPr>
        <w:widowControl w:val="0"/>
        <w:numPr>
          <w:ilvl w:val="0"/>
          <w:numId w:val="5"/>
        </w:numPr>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附表中各行业的范围以《国民经济行业分类》（GB/T4754-2017）为准。</w:t>
      </w:r>
      <w:r>
        <w:rPr>
          <w:rFonts w:hint="eastAsia" w:asciiTheme="minorEastAsia" w:hAnsiTheme="minorEastAsia" w:eastAsiaTheme="minorEastAsia" w:cstheme="minorEastAsia"/>
          <w:b/>
          <w:bCs/>
          <w:color w:val="auto"/>
          <w:kern w:val="0"/>
          <w:sz w:val="24"/>
          <w:szCs w:val="24"/>
          <w:highlight w:val="none"/>
        </w:rPr>
        <w:t>带*的项为行业组合类别</w:t>
      </w:r>
      <w:r>
        <w:rPr>
          <w:rFonts w:hint="eastAsia" w:asciiTheme="minorEastAsia" w:hAnsiTheme="minorEastAsia" w:eastAsiaTheme="minorEastAsia" w:cstheme="minorEastAsia"/>
          <w:color w:val="auto"/>
          <w:kern w:val="0"/>
          <w:sz w:val="24"/>
          <w:szCs w:val="24"/>
          <w:highlight w:val="none"/>
        </w:rPr>
        <w:t>，其中，</w:t>
      </w:r>
      <w:r>
        <w:rPr>
          <w:rFonts w:hint="eastAsia" w:asciiTheme="minorEastAsia" w:hAnsiTheme="minorEastAsia" w:eastAsiaTheme="minorEastAsia" w:cstheme="minorEastAsia"/>
          <w:b/>
          <w:bCs/>
          <w:color w:val="auto"/>
          <w:kern w:val="0"/>
          <w:sz w:val="24"/>
          <w:szCs w:val="24"/>
          <w:highlight w:val="none"/>
        </w:rPr>
        <w:t>工业</w:t>
      </w:r>
      <w:r>
        <w:rPr>
          <w:rFonts w:hint="eastAsia" w:asciiTheme="minorEastAsia" w:hAnsiTheme="minorEastAsia" w:eastAsiaTheme="minorEastAsia" w:cstheme="minorEastAsia"/>
          <w:color w:val="auto"/>
          <w:kern w:val="0"/>
          <w:sz w:val="24"/>
          <w:szCs w:val="24"/>
          <w:highlight w:val="none"/>
        </w:rPr>
        <w:t>包括采矿业，制造业，电力、热力、燃气及水生产和供应业；</w:t>
      </w:r>
      <w:r>
        <w:rPr>
          <w:rFonts w:hint="eastAsia" w:asciiTheme="minorEastAsia" w:hAnsiTheme="minorEastAsia" w:eastAsiaTheme="minorEastAsia" w:cstheme="minorEastAsia"/>
          <w:b/>
          <w:bCs/>
          <w:color w:val="auto"/>
          <w:kern w:val="0"/>
          <w:sz w:val="24"/>
          <w:szCs w:val="24"/>
          <w:highlight w:val="none"/>
        </w:rPr>
        <w:t>交通运输业</w:t>
      </w:r>
      <w:r>
        <w:rPr>
          <w:rFonts w:hint="eastAsia" w:asciiTheme="minorEastAsia" w:hAnsiTheme="minorEastAsia" w:eastAsiaTheme="minorEastAsia" w:cstheme="minorEastAsia"/>
          <w:color w:val="auto"/>
          <w:kern w:val="0"/>
          <w:sz w:val="24"/>
          <w:szCs w:val="24"/>
          <w:highlight w:val="none"/>
        </w:rPr>
        <w:t>包括道路运输业，水上运输业，航空运输业，管道运输业，多式联运和运输代理业、装卸搬运，不包括铁路运输业；</w:t>
      </w:r>
      <w:r>
        <w:rPr>
          <w:rFonts w:hint="eastAsia" w:asciiTheme="minorEastAsia" w:hAnsiTheme="minorEastAsia" w:eastAsiaTheme="minorEastAsia" w:cstheme="minorEastAsia"/>
          <w:b/>
          <w:bCs/>
          <w:color w:val="auto"/>
          <w:kern w:val="0"/>
          <w:sz w:val="24"/>
          <w:szCs w:val="24"/>
          <w:highlight w:val="none"/>
        </w:rPr>
        <w:t>仓储业</w:t>
      </w:r>
      <w:r>
        <w:rPr>
          <w:rFonts w:hint="eastAsia" w:asciiTheme="minorEastAsia" w:hAnsiTheme="minorEastAsia" w:eastAsiaTheme="minorEastAsia" w:cstheme="minorEastAsia"/>
          <w:color w:val="auto"/>
          <w:kern w:val="0"/>
          <w:sz w:val="24"/>
          <w:szCs w:val="24"/>
          <w:highlight w:val="none"/>
        </w:rPr>
        <w:t>包括通用仓储，低温仓储，危险品仓储，谷物、棉花等农产品仓储，中药材仓储和其他仓储业；</w:t>
      </w:r>
      <w:r>
        <w:rPr>
          <w:rFonts w:hint="eastAsia" w:asciiTheme="minorEastAsia" w:hAnsiTheme="minorEastAsia" w:eastAsiaTheme="minorEastAsia" w:cstheme="minorEastAsia"/>
          <w:b/>
          <w:bCs/>
          <w:color w:val="auto"/>
          <w:kern w:val="0"/>
          <w:sz w:val="24"/>
          <w:szCs w:val="24"/>
          <w:highlight w:val="none"/>
        </w:rPr>
        <w:t>信息传输业</w:t>
      </w:r>
      <w:r>
        <w:rPr>
          <w:rFonts w:hint="eastAsia" w:asciiTheme="minorEastAsia" w:hAnsiTheme="minorEastAsia" w:eastAsiaTheme="minorEastAsia" w:cstheme="minorEastAsia"/>
          <w:color w:val="auto"/>
          <w:kern w:val="0"/>
          <w:sz w:val="24"/>
          <w:szCs w:val="24"/>
          <w:highlight w:val="none"/>
        </w:rPr>
        <w:t>包括电信、广播电视和卫星传输服务，互联网和相关服务；</w:t>
      </w:r>
      <w:r>
        <w:rPr>
          <w:rFonts w:hint="eastAsia" w:asciiTheme="minorEastAsia" w:hAnsiTheme="minorEastAsia" w:eastAsiaTheme="minorEastAsia" w:cstheme="minorEastAsia"/>
          <w:b/>
          <w:bCs/>
          <w:color w:val="auto"/>
          <w:kern w:val="0"/>
          <w:sz w:val="24"/>
          <w:szCs w:val="24"/>
          <w:highlight w:val="none"/>
        </w:rPr>
        <w:t>其他未列明行业</w:t>
      </w:r>
      <w:r>
        <w:rPr>
          <w:rFonts w:hint="eastAsia" w:asciiTheme="minorEastAsia" w:hAnsiTheme="minorEastAsia" w:eastAsiaTheme="minorEastAsia" w:cstheme="minorEastAsia"/>
          <w:color w:val="auto"/>
          <w:kern w:val="0"/>
          <w:sz w:val="24"/>
          <w:szCs w:val="24"/>
          <w:highlight w:val="none"/>
        </w:rPr>
        <w:t>包括科学研究和技术服务业，水利、环境和公共设施管理业，居民服务、修理和其他服务业，社会工作，文化、体育和娱乐业，以及房地产中介服务，其他房地产业等，不包括自有房地产经营活动。</w:t>
      </w:r>
    </w:p>
    <w:p w14:paraId="34DEB9F4">
      <w:pPr>
        <w:widowControl w:val="0"/>
        <w:numPr>
          <w:ilvl w:val="0"/>
          <w:numId w:val="5"/>
        </w:numPr>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企业划分指标以现行统计制度为准。</w:t>
      </w:r>
    </w:p>
    <w:p w14:paraId="15D62CC4">
      <w:pPr>
        <w:widowControl w:val="0"/>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（1）从业人员，是指期末从业人员数，没有期末从业人员数的，采用全年平均人员数代替。</w:t>
      </w:r>
    </w:p>
    <w:p w14:paraId="453A2A4D">
      <w:pPr>
        <w:widowControl w:val="0"/>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AF1D2A6">
      <w:pPr>
        <w:widowControl w:val="0"/>
        <w:spacing w:line="420" w:lineRule="exact"/>
        <w:ind w:left="420" w:left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（3）资产总额，采用资产总计代替。</w:t>
      </w:r>
    </w:p>
    <w:p w14:paraId="34845947">
      <w:pPr>
        <w:rPr>
          <w:highlight w:val="none"/>
        </w:rPr>
      </w:pPr>
      <w:r>
        <w:rPr>
          <w:highlight w:val="none"/>
        </w:rPr>
        <w:br w:type="page"/>
      </w:r>
    </w:p>
    <w:p w14:paraId="3A23262A">
      <w:pPr>
        <w:rPr>
          <w:highlight w:val="none"/>
        </w:rPr>
      </w:pPr>
    </w:p>
    <w:p w14:paraId="35607909">
      <w:pPr>
        <w:spacing w:line="500" w:lineRule="exact"/>
        <w:ind w:firstLine="482" w:firstLineChars="200"/>
        <w:jc w:val="center"/>
        <w:rPr>
          <w:rFonts w:ascii="宋体" w:hAnsi="宋体"/>
          <w:b/>
          <w:color w:val="000000"/>
          <w:sz w:val="24"/>
          <w:szCs w:val="24"/>
          <w:highlight w:val="none"/>
        </w:rPr>
      </w:pPr>
      <w:r>
        <w:rPr>
          <w:rFonts w:hint="eastAsia" w:ascii="宋体" w:hAnsi="宋体"/>
          <w:b/>
          <w:color w:val="000000"/>
          <w:sz w:val="24"/>
          <w:szCs w:val="24"/>
          <w:highlight w:val="none"/>
        </w:rPr>
        <w:t>（一）总则</w:t>
      </w:r>
    </w:p>
    <w:p w14:paraId="422DB560">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1.适用范围</w:t>
      </w:r>
    </w:p>
    <w:p w14:paraId="7AC95007">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本竞争性谈判文件仅适用于本次竞争性谈判文件中的所叙述的内容。</w:t>
      </w:r>
    </w:p>
    <w:p w14:paraId="4D4F370A">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2.合格的供应商</w:t>
      </w:r>
    </w:p>
    <w:p w14:paraId="2DD99C1D">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2.1供应商是指向采购人提供货物、工程或者服务的法人、其他组织或者自然人。</w:t>
      </w:r>
    </w:p>
    <w:p w14:paraId="1BAB22FC">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2.2本次供应商必须符合的条件：详见本章供应商须知前附表；</w:t>
      </w:r>
    </w:p>
    <w:p w14:paraId="5D28CEA3">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3. 其他</w:t>
      </w:r>
    </w:p>
    <w:p w14:paraId="180EC09F">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3.1无论谈判中的做法和结果如何，供应商均应自行承担所有与参与谈判活动有关的全部费用。</w:t>
      </w:r>
    </w:p>
    <w:p w14:paraId="0F6D59CC">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3.2此次竞争性谈判谈判代理费，由成交单位向代理机构支付。</w:t>
      </w:r>
    </w:p>
    <w:p w14:paraId="322DE87F">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3.3无论成交与否，已购买谈判文件的供应商对谈判文件负保密责任。</w:t>
      </w:r>
    </w:p>
    <w:p w14:paraId="41765055">
      <w:pPr>
        <w:spacing w:line="500" w:lineRule="exact"/>
        <w:ind w:firstLine="482" w:firstLineChars="200"/>
        <w:jc w:val="center"/>
        <w:rPr>
          <w:rFonts w:ascii="宋体" w:hAnsi="宋体"/>
          <w:b/>
          <w:color w:val="000000"/>
          <w:sz w:val="24"/>
          <w:szCs w:val="24"/>
          <w:highlight w:val="none"/>
        </w:rPr>
      </w:pPr>
      <w:r>
        <w:rPr>
          <w:rFonts w:hint="eastAsia" w:ascii="宋体" w:hAnsi="宋体"/>
          <w:b/>
          <w:color w:val="000000"/>
          <w:sz w:val="24"/>
          <w:szCs w:val="24"/>
          <w:highlight w:val="none"/>
        </w:rPr>
        <w:t>（二）谈判文件</w:t>
      </w:r>
    </w:p>
    <w:p w14:paraId="36C150C8">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4. 谈判文件的组成</w:t>
      </w:r>
    </w:p>
    <w:p w14:paraId="1E8B0572">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4.1 谈判文件用于阐明采购项目的服务范围、谈判程序、谈判内容、合同草签和条款以及评定成交的标准。</w:t>
      </w:r>
    </w:p>
    <w:p w14:paraId="67E02871">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4.2 谈判文件以中文编印，且以中文为准。</w:t>
      </w:r>
    </w:p>
    <w:p w14:paraId="3717EE02">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4.3 除非有特殊要求，谈判文件不单独提供项目所在地的自然环境、气候条件、公用设施等情况，供应商被视为熟悉上述与履行合同有关的一切情况。</w:t>
      </w:r>
    </w:p>
    <w:p w14:paraId="6B0D3557">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4.4 谈判文件的澄清和修改</w:t>
      </w:r>
    </w:p>
    <w:p w14:paraId="26A0BE6D">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4.4.1供应商对谈判文件如有需要澄清或疑问，应以书面方式通知到采购代理机构。采购代理机构将视情况在谈判公告中所述的谈判截止日期3个工作日前以书面方式予以答复。</w:t>
      </w:r>
    </w:p>
    <w:p w14:paraId="32CE6299">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4.4.2在谈判邀请中所述的谈判截止日期3个工作日前，采购代理机构可主动的或在解答供应商提出的澄清问题时对谈判文件进行修改。</w:t>
      </w:r>
    </w:p>
    <w:p w14:paraId="59F455BC">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4.4.3谈判文件的修改将以发布公告形式通知到已下载谈判文件的所有供应商，并构成谈判文件的一部分，对所有供应商均具有约束力。</w:t>
      </w:r>
    </w:p>
    <w:p w14:paraId="21E4AA28">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4.4.4供应商在收到上述通知后，应立即向采购代理机构回函确认。</w:t>
      </w:r>
    </w:p>
    <w:p w14:paraId="523B0286">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4.4.5为使供应商有充分的时间对谈判文件的修改部分进行研究，采购代理机构可适当延长谈判截止期。</w:t>
      </w:r>
    </w:p>
    <w:p w14:paraId="6D7D788C">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供应商应仔细阅读谈判文件的所有内容，按谈判文件的要求编制响应文件, 对谈判文件要求必备的条件和事项必须满足，否则视为未能对谈判文件做出实质性响应，并保证所提供的全部资料的真实性和有效性。</w:t>
      </w:r>
    </w:p>
    <w:p w14:paraId="29446FA4">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4.4.6为了有助于对竞争性谈判响应文件进行审查、评估和比较，竞争性谈判小组有权向供应商质疑。请供应商澄清其谈判内容。供应商有责任按照竞争性谈判小组通知的时间、地点、方式指派委托代理人进行答疑和澄清。</w:t>
      </w:r>
    </w:p>
    <w:p w14:paraId="40535B9E">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4.4.7重要澄清的答复应是PDF电子版的，签盖电子章生成PDF上传至三门峡市公共资源电子化交易系统。</w:t>
      </w:r>
    </w:p>
    <w:p w14:paraId="4787B661">
      <w:pPr>
        <w:spacing w:line="500" w:lineRule="exact"/>
        <w:ind w:firstLine="482" w:firstLineChars="200"/>
        <w:jc w:val="center"/>
        <w:rPr>
          <w:rFonts w:ascii="宋体" w:hAnsi="宋体"/>
          <w:b/>
          <w:color w:val="000000"/>
          <w:sz w:val="24"/>
          <w:szCs w:val="24"/>
          <w:highlight w:val="none"/>
        </w:rPr>
      </w:pPr>
      <w:r>
        <w:rPr>
          <w:rFonts w:hint="eastAsia" w:ascii="宋体" w:hAnsi="宋体"/>
          <w:b/>
          <w:color w:val="000000"/>
          <w:sz w:val="24"/>
          <w:szCs w:val="24"/>
          <w:highlight w:val="none"/>
        </w:rPr>
        <w:t>（三）响应文件</w:t>
      </w:r>
    </w:p>
    <w:p w14:paraId="4661BB1A">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5. 供应商应按谈判文件的要求准备响应文件，并保证所提供的全部资料的真实性，准确性及完整性，以使其报价对谈判文件做出实质性的响应。</w:t>
      </w:r>
    </w:p>
    <w:p w14:paraId="5987DCB6">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6. 响应文件主要包括下列内容：</w:t>
      </w:r>
    </w:p>
    <w:p w14:paraId="64558B33">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 投标函及谈判报价表</w:t>
      </w:r>
    </w:p>
    <w:p w14:paraId="3C2BEE7B">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(2)</w:t>
      </w:r>
      <w:r>
        <w:rPr>
          <w:rFonts w:hint="eastAsia" w:ascii="宋体" w:hAnsi="宋体"/>
          <w:color w:val="000000"/>
          <w:highlight w:val="none"/>
        </w:rPr>
        <w:t xml:space="preserve"> </w:t>
      </w:r>
      <w:r>
        <w:rPr>
          <w:rFonts w:hint="eastAsia" w:ascii="宋体" w:hAnsi="宋体"/>
          <w:color w:val="000000"/>
          <w:sz w:val="24"/>
          <w:szCs w:val="24"/>
          <w:highlight w:val="none"/>
        </w:rPr>
        <w:t>法定代表人身份证明及授权委托书</w:t>
      </w:r>
    </w:p>
    <w:p w14:paraId="7429E991">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(3)</w:t>
      </w:r>
      <w:r>
        <w:rPr>
          <w:rFonts w:hint="eastAsia" w:ascii="宋体" w:hAnsi="宋体"/>
          <w:color w:val="000000"/>
          <w:highlight w:val="none"/>
        </w:rPr>
        <w:t xml:space="preserve"> </w:t>
      </w:r>
      <w:r>
        <w:rPr>
          <w:rFonts w:hint="eastAsia" w:ascii="宋体" w:hAnsi="宋体"/>
          <w:color w:val="000000"/>
          <w:sz w:val="24"/>
          <w:szCs w:val="24"/>
          <w:highlight w:val="none"/>
          <w:lang w:val="en-US" w:eastAsia="zh-CN"/>
        </w:rPr>
        <w:t>谈判</w:t>
      </w:r>
      <w:r>
        <w:rPr>
          <w:rFonts w:hint="eastAsia" w:ascii="宋体" w:hAnsi="宋体"/>
          <w:color w:val="000000"/>
          <w:sz w:val="24"/>
          <w:szCs w:val="24"/>
          <w:highlight w:val="none"/>
        </w:rPr>
        <w:t>承诺函</w:t>
      </w:r>
    </w:p>
    <w:p w14:paraId="41EC5862">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(4)</w:t>
      </w:r>
      <w:r>
        <w:rPr>
          <w:rFonts w:hint="eastAsia" w:ascii="宋体" w:hAnsi="宋体"/>
          <w:color w:val="000000"/>
          <w:highlight w:val="none"/>
        </w:rPr>
        <w:t xml:space="preserve"> </w:t>
      </w:r>
      <w:r>
        <w:rPr>
          <w:rFonts w:hint="eastAsia" w:ascii="宋体" w:hAnsi="宋体"/>
          <w:color w:val="000000"/>
          <w:sz w:val="24"/>
          <w:szCs w:val="24"/>
          <w:highlight w:val="none"/>
        </w:rPr>
        <w:t>谈判供应商情况</w:t>
      </w:r>
    </w:p>
    <w:p w14:paraId="4090B6C3">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(5)</w:t>
      </w:r>
      <w:r>
        <w:rPr>
          <w:rFonts w:hint="eastAsia" w:ascii="宋体" w:hAnsi="宋体"/>
          <w:color w:val="000000"/>
          <w:highlight w:val="none"/>
        </w:rPr>
        <w:t xml:space="preserve"> </w:t>
      </w:r>
      <w:r>
        <w:rPr>
          <w:rFonts w:hint="eastAsia" w:ascii="宋体" w:hAnsi="宋体"/>
          <w:color w:val="000000"/>
          <w:sz w:val="24"/>
          <w:szCs w:val="24"/>
          <w:highlight w:val="none"/>
        </w:rPr>
        <w:t>供应商资格声明函</w:t>
      </w:r>
    </w:p>
    <w:p w14:paraId="4D7AB1EA">
      <w:pPr>
        <w:spacing w:line="50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(6)</w:t>
      </w:r>
      <w:r>
        <w:rPr>
          <w:rFonts w:hint="eastAsia" w:ascii="宋体" w:hAnsi="宋体"/>
          <w:color w:val="000000"/>
          <w:highlight w:val="none"/>
        </w:rPr>
        <w:t xml:space="preserve"> 享受</w:t>
      </w:r>
      <w:r>
        <w:rPr>
          <w:rFonts w:hint="eastAsia" w:ascii="宋体" w:hAnsi="宋体"/>
          <w:color w:val="000000"/>
          <w:sz w:val="24"/>
          <w:szCs w:val="24"/>
          <w:highlight w:val="none"/>
        </w:rPr>
        <w:t>政府采购政策扶持的证明材料</w:t>
      </w:r>
    </w:p>
    <w:p w14:paraId="625C4CBF">
      <w:pPr>
        <w:spacing w:line="500" w:lineRule="exact"/>
        <w:ind w:firstLine="480" w:firstLineChars="200"/>
        <w:rPr>
          <w:rFonts w:hint="eastAsia" w:ascii="宋体" w:hAnsi="宋体"/>
          <w:color w:val="000000"/>
          <w:sz w:val="24"/>
          <w:szCs w:val="24"/>
          <w:highlight w:val="none"/>
          <w:lang w:val="en-US" w:eastAsia="zh-CN"/>
        </w:rPr>
      </w:pP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7</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其他资料</w:t>
      </w:r>
    </w:p>
    <w:p w14:paraId="5585BEB0">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7.谈判有效期</w:t>
      </w:r>
    </w:p>
    <w:p w14:paraId="2AB4076A">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7.1在供应商须知前附表规定的谈判有效期内，供应商不得要求撤销或修改其谈判响应文件。</w:t>
      </w:r>
    </w:p>
    <w:p w14:paraId="56B39F2D">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7.2出现特殊情况需要延长投标有效期的，采购人以书面形式通知所有供应商延长投标有效期。供应商同意延长的，不得要求或被允许修改或撤销其谈判响应文件；供应商拒绝延长的，其谈判失效。</w:t>
      </w:r>
    </w:p>
    <w:p w14:paraId="5D38F08C">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8. 响应文件的编制</w:t>
      </w:r>
    </w:p>
    <w:p w14:paraId="7039BCC9">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8.1 供应商在生成电子化响应文件后，应对电子化响应文件进行签章，未进行签章的视为无效响应文件。</w:t>
      </w:r>
    </w:p>
    <w:p w14:paraId="162E7FDB">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8.2 谈判文件中要求法定代表人或授权委托人签字或盖章的，供应商在进行电子化响应文件签章时，以签盖法定代表人签章为准。</w:t>
      </w:r>
    </w:p>
    <w:p w14:paraId="1B020E5C">
      <w:pPr>
        <w:spacing w:line="500" w:lineRule="exact"/>
        <w:ind w:firstLine="480" w:firstLineChars="200"/>
        <w:rPr>
          <w:rFonts w:ascii="宋体" w:hAnsi="宋体"/>
          <w:color w:val="000000"/>
          <w:sz w:val="24"/>
          <w:szCs w:val="24"/>
          <w:highlight w:val="none"/>
        </w:rPr>
      </w:pPr>
      <w:bookmarkStart w:id="6" w:name="_Toc504055134"/>
      <w:bookmarkStart w:id="7" w:name="_Toc15086"/>
      <w:bookmarkStart w:id="8" w:name="_Toc509443193"/>
      <w:bookmarkStart w:id="9" w:name="_Toc5743"/>
      <w:bookmarkStart w:id="10" w:name="_Toc6001"/>
      <w:bookmarkStart w:id="11" w:name="_Toc505073915"/>
      <w:r>
        <w:rPr>
          <w:rFonts w:hint="eastAsia" w:ascii="宋体" w:hAnsi="宋体"/>
          <w:color w:val="000000"/>
          <w:sz w:val="24"/>
          <w:szCs w:val="24"/>
          <w:highlight w:val="none"/>
        </w:rPr>
        <w:t>8.3电子化响应文件的格式及上传</w:t>
      </w:r>
      <w:bookmarkEnd w:id="6"/>
      <w:bookmarkEnd w:id="7"/>
      <w:bookmarkEnd w:id="8"/>
      <w:bookmarkEnd w:id="9"/>
      <w:bookmarkEnd w:id="10"/>
      <w:bookmarkEnd w:id="11"/>
    </w:p>
    <w:p w14:paraId="1415F579">
      <w:pPr>
        <w:spacing w:line="500" w:lineRule="exact"/>
        <w:ind w:firstLine="480" w:firstLineChars="200"/>
        <w:jc w:val="left"/>
        <w:rPr>
          <w:rFonts w:ascii="宋体" w:hAnsi="宋体"/>
          <w:color w:val="000000"/>
          <w:sz w:val="24"/>
          <w:szCs w:val="24"/>
          <w:highlight w:val="none"/>
        </w:rPr>
      </w:pPr>
      <w:r>
        <w:rPr>
          <w:rFonts w:hint="eastAsia" w:ascii="宋体" w:hAnsi="宋体"/>
          <w:color w:val="000000"/>
          <w:sz w:val="24"/>
          <w:szCs w:val="24"/>
          <w:highlight w:val="none"/>
        </w:rPr>
        <w:t>供应商所上传的电子化响应文件，应是通过中心响应文件制作系统制作的（响应文件制作工具下载地址：http://gzjy.smx.gov.cn/SMX/InformationCenter/NewsDetail.do?CID=fdd6c8fc-bb0a-4c07-8715-d29609fc7a80&amp;ID=3061a14f-cf3f-4cdd-aad4-7e2873151413），经过签章和加密后生成的电子版响应文件。其中包含用于响应文件上传的主文件（后缀为.smxtf）和用于应急补救的响应文件备份文件（后缀为.nsmxtf）。</w:t>
      </w:r>
    </w:p>
    <w:p w14:paraId="346867FC">
      <w:pPr>
        <w:spacing w:line="500" w:lineRule="exact"/>
        <w:ind w:firstLine="480" w:firstLineChars="200"/>
        <w:rPr>
          <w:rFonts w:ascii="宋体" w:hAnsi="宋体"/>
          <w:color w:val="000000"/>
          <w:sz w:val="24"/>
          <w:szCs w:val="24"/>
          <w:highlight w:val="none"/>
        </w:rPr>
      </w:pPr>
      <w:bookmarkStart w:id="12" w:name="_Toc19520"/>
      <w:bookmarkStart w:id="13" w:name="_Toc24136"/>
      <w:bookmarkStart w:id="14" w:name="_Toc1849"/>
      <w:bookmarkStart w:id="15" w:name="_Toc509443194"/>
      <w:r>
        <w:rPr>
          <w:rFonts w:hint="eastAsia" w:ascii="宋体" w:hAnsi="宋体"/>
          <w:color w:val="000000"/>
          <w:sz w:val="24"/>
          <w:szCs w:val="24"/>
          <w:highlight w:val="none"/>
        </w:rPr>
        <w:t>8.4迟交的竞争性谈判响应文件</w:t>
      </w:r>
      <w:bookmarkEnd w:id="12"/>
      <w:bookmarkEnd w:id="13"/>
      <w:bookmarkEnd w:id="14"/>
      <w:bookmarkEnd w:id="15"/>
    </w:p>
    <w:p w14:paraId="00F2D677">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电子化响应文件应在投标截止时间前成功上传至三门峡市公共资源电子化交易系统。至投标截止时间止，仍未上传成功的电子化响应文件将不予接收。电子交易系统将拒绝在竞争性谈判响应文件递交截止时间后送交的竞争性谈判响应文件。</w:t>
      </w:r>
    </w:p>
    <w:p w14:paraId="21E3C625">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364824A7">
      <w:pPr>
        <w:spacing w:line="500" w:lineRule="exact"/>
        <w:ind w:firstLine="482" w:firstLineChars="200"/>
        <w:jc w:val="center"/>
        <w:rPr>
          <w:rFonts w:ascii="宋体" w:hAnsi="宋体"/>
          <w:b/>
          <w:color w:val="000000"/>
          <w:sz w:val="24"/>
          <w:szCs w:val="24"/>
          <w:highlight w:val="none"/>
        </w:rPr>
      </w:pPr>
      <w:r>
        <w:rPr>
          <w:rFonts w:hint="eastAsia" w:ascii="宋体" w:hAnsi="宋体"/>
          <w:b/>
          <w:color w:val="000000"/>
          <w:sz w:val="24"/>
          <w:szCs w:val="24"/>
          <w:highlight w:val="none"/>
        </w:rPr>
        <w:t>（四） 谈判、成交</w:t>
      </w:r>
    </w:p>
    <w:p w14:paraId="13D41D7D">
      <w:pPr>
        <w:spacing w:line="500" w:lineRule="exact"/>
        <w:ind w:firstLine="480" w:firstLineChars="200"/>
        <w:rPr>
          <w:rFonts w:ascii="宋体" w:hAnsi="宋体"/>
          <w:color w:val="000000"/>
          <w:sz w:val="24"/>
          <w:szCs w:val="24"/>
          <w:highlight w:val="none"/>
        </w:rPr>
      </w:pPr>
      <w:bookmarkStart w:id="16" w:name="_Toc509443195"/>
      <w:bookmarkStart w:id="17" w:name="_Toc29876"/>
      <w:bookmarkStart w:id="18" w:name="_Toc1171"/>
      <w:r>
        <w:rPr>
          <w:rFonts w:hint="eastAsia" w:ascii="宋体" w:hAnsi="宋体"/>
          <w:color w:val="000000"/>
          <w:sz w:val="24"/>
          <w:szCs w:val="24"/>
          <w:highlight w:val="none"/>
        </w:rPr>
        <w:t>10.谈判</w:t>
      </w:r>
      <w:bookmarkEnd w:id="16"/>
      <w:bookmarkEnd w:id="17"/>
      <w:bookmarkEnd w:id="18"/>
    </w:p>
    <w:p w14:paraId="49A92833">
      <w:pPr>
        <w:spacing w:line="500" w:lineRule="exact"/>
        <w:ind w:firstLine="480" w:firstLineChars="200"/>
        <w:rPr>
          <w:rFonts w:ascii="宋体" w:hAnsi="宋体"/>
          <w:color w:val="000000"/>
          <w:sz w:val="24"/>
          <w:szCs w:val="24"/>
          <w:highlight w:val="none"/>
        </w:rPr>
      </w:pPr>
      <w:bookmarkStart w:id="19" w:name="_Toc270604830"/>
      <w:bookmarkStart w:id="20" w:name="_Toc527"/>
      <w:bookmarkStart w:id="21" w:name="_Toc269470325"/>
      <w:bookmarkStart w:id="22" w:name="_Toc504055138"/>
      <w:bookmarkStart w:id="23" w:name="_Toc270604603"/>
      <w:bookmarkStart w:id="24" w:name="_Toc503112362"/>
      <w:bookmarkStart w:id="25" w:name="_Toc19600"/>
      <w:bookmarkStart w:id="26" w:name="_Toc428276597"/>
      <w:bookmarkStart w:id="27" w:name="_Toc503886955"/>
      <w:bookmarkStart w:id="28" w:name="_Toc503885619"/>
      <w:bookmarkStart w:id="29" w:name="_Toc217"/>
      <w:bookmarkStart w:id="30" w:name="_Toc509443197"/>
      <w:bookmarkStart w:id="31" w:name="_Toc277149392"/>
      <w:bookmarkStart w:id="32" w:name="_Toc505073919"/>
      <w:r>
        <w:rPr>
          <w:rFonts w:hint="eastAsia" w:ascii="宋体" w:hAnsi="宋体"/>
          <w:color w:val="000000"/>
          <w:sz w:val="24"/>
          <w:szCs w:val="24"/>
          <w:highlight w:val="none"/>
        </w:rPr>
        <w:t>10.1采购人按本须知前附表所规定的时间和地点公开开标，开标会议由招标代理机构主持，在有关部门监督下进行。</w:t>
      </w:r>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312152C8">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10.2谈判小组将组织审查竞争性谈判响应文件是否完整，是否有计算错误，是否有</w:t>
      </w:r>
      <w:r>
        <w:rPr>
          <w:rFonts w:hint="eastAsia" w:ascii="宋体" w:hAnsi="宋体"/>
          <w:color w:val="000000"/>
          <w:sz w:val="24"/>
          <w:szCs w:val="24"/>
          <w:highlight w:val="none"/>
          <w:lang w:val="en-US" w:eastAsia="zh-CN"/>
        </w:rPr>
        <w:t>谈判</w:t>
      </w:r>
      <w:r>
        <w:rPr>
          <w:rFonts w:hint="eastAsia" w:ascii="宋体" w:hAnsi="宋体"/>
          <w:color w:val="000000"/>
          <w:sz w:val="24"/>
          <w:szCs w:val="24"/>
          <w:highlight w:val="none"/>
        </w:rPr>
        <w:t>承诺函，文件是否已恰当地签署。</w:t>
      </w:r>
    </w:p>
    <w:p w14:paraId="4BE2CB70">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10.3在对竞争性谈判响应文件进行详细评估之前，竞争性谈判小组将依据供应商提供的资格证明文件审查供应商履约能力。如果确定供应商无资格履行合同，其谈判将被拒绝。</w:t>
      </w:r>
    </w:p>
    <w:p w14:paraId="3325FB57">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10.4竞争性谈判小组将确定竞争性谈判响应文件是否对竞争性谈判文件的要求作出了实质性的响应，而没有重大偏离。实质性响应是指谈判符合竞争性谈判文件的所有条款、条件和规定且没有重大偏离和保留。重大偏离和保留是指影响到竞争性谈判文件规定的范围、质量和性能，或限制了采购人的权利和供应商的义务的规定，而纠正这些偏离将影响到其它供应商的公平竞争地位。</w:t>
      </w:r>
    </w:p>
    <w:p w14:paraId="2225A253">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10.5竞争性谈判小组判断响应文件的响应性仅基于响应文件本身内容而不靠外部证据。</w:t>
      </w:r>
    </w:p>
    <w:p w14:paraId="7AFD7D3D">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10.6竞争性谈判小组将拒绝被确定为非实质性响应的谈判，供应商不能通过修正或撤消不符之处而使其谈判成为实质性响应的谈判。</w:t>
      </w:r>
    </w:p>
    <w:p w14:paraId="29A09102">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10.7竞争性谈判小组允许修改谈判中不构成重大偏离的、微小的、非正规、不一致或不规则的地方。</w:t>
      </w:r>
    </w:p>
    <w:p w14:paraId="2DB9C657">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11.成交</w:t>
      </w:r>
    </w:p>
    <w:p w14:paraId="35E5EE8F">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11.1采购人及采购代理机构在政府采购项目评审结束当日内完成评标报告的报送、中标（成交）供应商的确定、中标（成交）公告发布及中标（成交）通知书的发出等。</w:t>
      </w:r>
    </w:p>
    <w:p w14:paraId="0192E9A8">
      <w:pPr>
        <w:autoSpaceDE w:val="0"/>
        <w:autoSpaceDN w:val="0"/>
        <w:adjustRightInd w:val="0"/>
        <w:spacing w:line="520" w:lineRule="exact"/>
        <w:ind w:right="-57" w:firstLine="360" w:firstLineChars="150"/>
        <w:rPr>
          <w:rFonts w:ascii="宋体" w:hAnsi="宋体"/>
          <w:color w:val="000000"/>
          <w:sz w:val="24"/>
          <w:szCs w:val="24"/>
          <w:highlight w:val="none"/>
        </w:rPr>
      </w:pPr>
      <w:r>
        <w:rPr>
          <w:rFonts w:hint="eastAsia" w:ascii="宋体" w:hAnsi="宋体"/>
          <w:color w:val="000000"/>
          <w:sz w:val="24"/>
          <w:szCs w:val="24"/>
          <w:highlight w:val="none"/>
        </w:rPr>
        <w:t>11.2采购人确定排名第一的成交候选人为成交供应商。当确定成交的成交候选人放弃中标或因不可抗力提出不能履行合同的，采购人可以按相关规定执行。</w:t>
      </w:r>
    </w:p>
    <w:p w14:paraId="0EE9183E">
      <w:pPr>
        <w:autoSpaceDE w:val="0"/>
        <w:autoSpaceDN w:val="0"/>
        <w:adjustRightInd w:val="0"/>
        <w:spacing w:line="520" w:lineRule="exact"/>
        <w:ind w:right="-57" w:firstLine="348" w:firstLineChars="150"/>
        <w:rPr>
          <w:rFonts w:ascii="宋体" w:hAnsi="宋体" w:cs="宋体"/>
          <w:spacing w:val="-4"/>
          <w:sz w:val="24"/>
          <w:szCs w:val="24"/>
          <w:highlight w:val="none"/>
        </w:rPr>
      </w:pPr>
      <w:r>
        <w:rPr>
          <w:rFonts w:hint="eastAsia" w:ascii="宋体" w:hAnsi="宋体" w:cs="宋体"/>
          <w:spacing w:val="-4"/>
          <w:sz w:val="24"/>
          <w:szCs w:val="24"/>
          <w:highlight w:val="none"/>
        </w:rPr>
        <w:t>出现下列情形之一的，将终止采购活动，发布项目终止公告并说明原因，重新开展采购活动：</w:t>
      </w:r>
    </w:p>
    <w:p w14:paraId="01B76DC2">
      <w:pPr>
        <w:autoSpaceDE w:val="0"/>
        <w:autoSpaceDN w:val="0"/>
        <w:adjustRightInd w:val="0"/>
        <w:spacing w:line="520" w:lineRule="exact"/>
        <w:ind w:right="-57" w:firstLine="464" w:firstLineChars="200"/>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1、不符合法律、法规和谈判文件中规定的其他实质性要求的；</w:t>
      </w:r>
    </w:p>
    <w:p w14:paraId="26F49E71">
      <w:pPr>
        <w:autoSpaceDE w:val="0"/>
        <w:autoSpaceDN w:val="0"/>
        <w:adjustRightInd w:val="0"/>
        <w:spacing w:line="520" w:lineRule="exact"/>
        <w:ind w:right="-57" w:firstLine="464" w:firstLineChars="200"/>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2、其他法律、法规及本谈判文件规定的属响应无效的情形。终止采购活动的条款；</w:t>
      </w:r>
    </w:p>
    <w:p w14:paraId="52C80C3E">
      <w:pPr>
        <w:autoSpaceDE w:val="0"/>
        <w:autoSpaceDN w:val="0"/>
        <w:adjustRightInd w:val="0"/>
        <w:spacing w:line="520" w:lineRule="exact"/>
        <w:ind w:right="-57" w:firstLine="464" w:firstLineChars="200"/>
        <w:rPr>
          <w:rFonts w:ascii="宋体" w:hAnsi="宋体"/>
          <w:color w:val="000000"/>
          <w:sz w:val="24"/>
          <w:szCs w:val="24"/>
          <w:highlight w:val="none"/>
        </w:rPr>
      </w:pPr>
      <w:r>
        <w:rPr>
          <w:rFonts w:hint="eastAsia" w:ascii="宋体" w:hAnsi="宋体" w:cs="宋体"/>
          <w:color w:val="000000" w:themeColor="text1"/>
          <w:spacing w:val="-4"/>
          <w:sz w:val="24"/>
          <w:szCs w:val="24"/>
          <w:highlight w:val="none"/>
          <w14:textFill>
            <w14:solidFill>
              <w14:schemeClr w14:val="tx1"/>
            </w14:solidFill>
          </w14:textFill>
        </w:rPr>
        <w:t>3、因情况变化，不再符合规定的公开招标采购方式适用情形的；出现影响采购公正的违法、违规行为的；</w:t>
      </w:r>
    </w:p>
    <w:p w14:paraId="09EC15E8">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11.3《成交通知书》作为签订合同的依据，对采购人和成交供应商均具有法律效力， 成交通知书发出后，采购人改变成交结果或者成交供应商放弃项目，应依法承担法律责任。</w:t>
      </w:r>
    </w:p>
    <w:p w14:paraId="6D04BAC1">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12.签订合同</w:t>
      </w:r>
    </w:p>
    <w:p w14:paraId="0C3A67D1">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12.1成交供应商接到《成交通知书》当天或第二天按指定地点与采购人按照谈判文件及成交供应商的电子化响应文件、供应商信用记录订立书面采购合同；采购人应当在合同签订后1个工作日内在河南政府采购网公示采购合同，并完成合同备案，采购人和成交供应商不得再行订立背离合同实质性内容的其他协议。</w:t>
      </w:r>
    </w:p>
    <w:p w14:paraId="1440F525">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12.2成交供应商如不按本投标须知的规定与采购人订立合同，则采购人将废除授标，给采购人造成损失的，向采购人缴纳不高于成交价2%的经济补偿，同时依法承担相应法律责任。</w:t>
      </w:r>
    </w:p>
    <w:p w14:paraId="6770760F">
      <w:pPr>
        <w:autoSpaceDE w:val="0"/>
        <w:autoSpaceDN w:val="0"/>
        <w:spacing w:line="400" w:lineRule="exact"/>
        <w:ind w:firstLine="522" w:firstLineChars="200"/>
        <w:jc w:val="left"/>
        <w:rPr>
          <w:rFonts w:ascii="宋体" w:hAnsi="宋体" w:cs="宋体"/>
          <w:kern w:val="0"/>
          <w:sz w:val="24"/>
          <w:szCs w:val="24"/>
          <w:highlight w:val="none"/>
          <w:lang w:val="zh-CN"/>
        </w:rPr>
      </w:pPr>
      <w:r>
        <w:rPr>
          <w:rFonts w:hint="eastAsia" w:ascii="宋体" w:hAnsi="宋体" w:cs="宋体"/>
          <w:b/>
          <w:color w:val="000000"/>
          <w:spacing w:val="10"/>
          <w:sz w:val="24"/>
          <w:highlight w:val="none"/>
        </w:rPr>
        <w:t>13、</w:t>
      </w:r>
      <w:r>
        <w:rPr>
          <w:rFonts w:hint="eastAsia" w:ascii="宋体" w:hAnsi="宋体" w:cs="宋体"/>
          <w:kern w:val="0"/>
          <w:sz w:val="24"/>
          <w:szCs w:val="24"/>
          <w:highlight w:val="none"/>
          <w:lang w:val="zh-CN"/>
        </w:rPr>
        <w:t>现下列情形之一的，谈判小组可取消其谈判资格：</w:t>
      </w:r>
    </w:p>
    <w:p w14:paraId="70D573A2">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（1）未按谈判文件要求和规定提交实质性响应材料的；</w:t>
      </w:r>
    </w:p>
    <w:p w14:paraId="3379D60D">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（2）相互串通谈判的（有下列情形之一的，视为供应商相互串通谈判）；</w:t>
      </w:r>
    </w:p>
    <w:p w14:paraId="0BCF8DD7">
      <w:pPr>
        <w:autoSpaceDE w:val="0"/>
        <w:autoSpaceDN w:val="0"/>
        <w:spacing w:line="400" w:lineRule="exact"/>
        <w:ind w:firstLine="480" w:firstLineChars="200"/>
        <w:jc w:val="lef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A、不同供应商的响应文件由同一单位或者个人编制</w:t>
      </w:r>
    </w:p>
    <w:p w14:paraId="0B6A6B5D">
      <w:pPr>
        <w:autoSpaceDE w:val="0"/>
        <w:autoSpaceDN w:val="0"/>
        <w:spacing w:line="400" w:lineRule="exact"/>
        <w:ind w:firstLine="480" w:firstLineChars="200"/>
        <w:jc w:val="lef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B、不同供应商委托同一单位或者个人办理谈判事宜</w:t>
      </w:r>
    </w:p>
    <w:p w14:paraId="5EBC82E8">
      <w:pPr>
        <w:autoSpaceDE w:val="0"/>
        <w:autoSpaceDN w:val="0"/>
        <w:spacing w:line="400" w:lineRule="exact"/>
        <w:ind w:firstLine="480" w:firstLineChars="200"/>
        <w:jc w:val="lef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C、不同供应商的响应文件载明的项目管理成员为同一人</w:t>
      </w:r>
    </w:p>
    <w:p w14:paraId="1A5FECA7">
      <w:pPr>
        <w:autoSpaceDE w:val="0"/>
        <w:autoSpaceDN w:val="0"/>
        <w:spacing w:line="400" w:lineRule="exact"/>
        <w:ind w:firstLine="480" w:firstLineChars="200"/>
        <w:jc w:val="lef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D、不同供应商的响应文件异常一致或者谈判报价呈规律性差异</w:t>
      </w:r>
    </w:p>
    <w:p w14:paraId="0AEC28A2">
      <w:pPr>
        <w:autoSpaceDE w:val="0"/>
        <w:autoSpaceDN w:val="0"/>
        <w:spacing w:line="400" w:lineRule="exact"/>
        <w:ind w:firstLine="480" w:firstLineChars="200"/>
        <w:jc w:val="lef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E、不同供应商的谈判保证金从同一单位的账户转出</w:t>
      </w:r>
    </w:p>
    <w:p w14:paraId="5B0CE558">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13..2供应商出现下列情形之一的，将被视为非实质性响应谈判文件要求：</w:t>
      </w:r>
    </w:p>
    <w:p w14:paraId="7CFB24AC">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（1）供货期限不确切或不符合谈判文件要求的；</w:t>
      </w:r>
    </w:p>
    <w:p w14:paraId="50191310">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（2）最后报价有选择性的；</w:t>
      </w:r>
    </w:p>
    <w:p w14:paraId="4DFD26E7">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（3）最后报价超过采购预算金额的；</w:t>
      </w:r>
    </w:p>
    <w:p w14:paraId="18B75A01">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（4）被谈判小组认定存在重大负偏离的；</w:t>
      </w:r>
    </w:p>
    <w:p w14:paraId="3FF4A0C9">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注：所谓重大负偏离是指供应商对谈判文件的响应在范围、质量、数量和供货期限要求等方面明显不能满足采购需求的。重大负偏离的认定须经谈判小组三分之二以上同意。</w:t>
      </w:r>
    </w:p>
    <w:p w14:paraId="1883D705">
      <w:pPr>
        <w:autoSpaceDE w:val="0"/>
        <w:autoSpaceDN w:val="0"/>
        <w:spacing w:line="400" w:lineRule="exact"/>
        <w:ind w:firstLine="482" w:firstLineChars="200"/>
        <w:jc w:val="left"/>
        <w:outlineLvl w:val="3"/>
        <w:rPr>
          <w:rFonts w:ascii="宋体" w:hAnsi="宋体" w:cs="宋体"/>
          <w:b/>
          <w:bCs/>
          <w:kern w:val="0"/>
          <w:sz w:val="24"/>
          <w:szCs w:val="24"/>
          <w:highlight w:val="none"/>
          <w:lang w:val="zh-CN"/>
        </w:rPr>
      </w:pPr>
      <w:bookmarkStart w:id="33" w:name="_Toc7366_WPSOffice_Level3"/>
      <w:r>
        <w:rPr>
          <w:rFonts w:hint="eastAsia" w:ascii="宋体" w:hAnsi="宋体" w:cs="宋体"/>
          <w:b/>
          <w:bCs/>
          <w:kern w:val="0"/>
          <w:sz w:val="24"/>
          <w:szCs w:val="24"/>
          <w:highlight w:val="none"/>
          <w:lang w:val="zh-CN"/>
        </w:rPr>
        <w:t>14、询问</w:t>
      </w:r>
      <w:bookmarkEnd w:id="33"/>
    </w:p>
    <w:p w14:paraId="6637D828">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供应商对采购事项有疑问，可以按照《政府采购法》的相关规定向采购人或采购机构提出询问。</w:t>
      </w:r>
    </w:p>
    <w:p w14:paraId="546A221F">
      <w:pPr>
        <w:autoSpaceDE w:val="0"/>
        <w:autoSpaceDN w:val="0"/>
        <w:spacing w:line="400" w:lineRule="exact"/>
        <w:ind w:firstLine="482" w:firstLineChars="200"/>
        <w:jc w:val="left"/>
        <w:outlineLvl w:val="3"/>
        <w:rPr>
          <w:rFonts w:ascii="宋体" w:hAnsi="宋体" w:cs="宋体"/>
          <w:b/>
          <w:bCs/>
          <w:kern w:val="0"/>
          <w:sz w:val="24"/>
          <w:szCs w:val="24"/>
          <w:highlight w:val="none"/>
          <w:lang w:val="zh-CN"/>
        </w:rPr>
      </w:pPr>
      <w:bookmarkStart w:id="34" w:name="_Toc13604_WPSOffice_Level3"/>
      <w:r>
        <w:rPr>
          <w:rFonts w:hint="eastAsia" w:ascii="宋体" w:hAnsi="宋体" w:cs="宋体"/>
          <w:b/>
          <w:bCs/>
          <w:kern w:val="0"/>
          <w:sz w:val="24"/>
          <w:szCs w:val="24"/>
          <w:highlight w:val="none"/>
          <w:lang w:val="zh-CN"/>
        </w:rPr>
        <w:t>15、质疑程序及处理</w:t>
      </w:r>
      <w:bookmarkEnd w:id="34"/>
    </w:p>
    <w:p w14:paraId="586CA02D">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15.1若竞争性谈判响应人认为其谈判未获公平评审或谈判文件、采购过程和成交结果使自己的合法权益受到损害，可以在知道或者应知其权益受到损害之日起7个工作日内，将质疑书原件送达采购人或采购代理机构。提出质疑期限的计算，依照下列规定办理：</w:t>
      </w:r>
    </w:p>
    <w:p w14:paraId="3F11883F">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（一）对可以质疑的谈判文件提出质疑的，为收到谈判文件之日或者谈判文件公告期限届满之日；</w:t>
      </w:r>
    </w:p>
    <w:p w14:paraId="7DE57443">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（二）对采购过程提出质疑的，为各采购程序环节结束之日；</w:t>
      </w:r>
    </w:p>
    <w:p w14:paraId="4C353C60">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15.2质疑书应当包括下列主要内容，并按照“谁主张、谁举证”的原则，附上相关证明材料。否则，采购人不予受理：</w:t>
      </w:r>
    </w:p>
    <w:p w14:paraId="4EBC7466">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（一）质疑供应商全称、地址、法定代表人、联系人及联系电话、邮政编码等；</w:t>
      </w:r>
    </w:p>
    <w:p w14:paraId="271AEF09">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（二）被质疑采购项目的名称、编号；</w:t>
      </w:r>
    </w:p>
    <w:p w14:paraId="77ECEA78">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（三）质疑的具体事项、明确的请求和主张；</w:t>
      </w:r>
    </w:p>
    <w:p w14:paraId="7CD0720A">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（四）质疑所依据的法律依据（具体条款）、具体事实和具体理由。质疑书依据理由部分只有主观陈述、推理、猜测等，而没有提供客观事实依据、法律依据的；</w:t>
      </w:r>
    </w:p>
    <w:p w14:paraId="3A849C33">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五）质疑事项按照有关法律、法规和规章规定及竞争性谈判文件要求属于保密或者处于保密阶段的事项，供应商必须提供正常的信息来源或有效证据，供应商不能提供或者拒绝提供合法的信息来源或有效证据的；</w:t>
      </w:r>
    </w:p>
    <w:p w14:paraId="05860C3A">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（六）充足有效的相关证明材料；如果涉及到产品功能或技术指标的，应出具相关制造商的证明文件；</w:t>
      </w:r>
    </w:p>
    <w:p w14:paraId="0D65DFC7">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（七）质疑材料中有外文资料的，应一并附上中文译本，并以中文译本为准。</w:t>
      </w:r>
    </w:p>
    <w:p w14:paraId="44EF8A37">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（八）提起质疑的日期</w:t>
      </w:r>
    </w:p>
    <w:p w14:paraId="0FAE5129">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14:paraId="776374F9">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15.3供应商委托代理人办理质疑事宜，应当提交授权委托书，并载明委托代理的具体权限和事项。授权委托书应当由委托人签字并加盖单位公章。</w:t>
      </w:r>
    </w:p>
    <w:p w14:paraId="0A9500A2">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15.4提交质疑书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14:paraId="300D19D2">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15.5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2FA2DAA4">
      <w:pPr>
        <w:autoSpaceDE w:val="0"/>
        <w:autoSpaceDN w:val="0"/>
        <w:spacing w:line="400" w:lineRule="exact"/>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15.6供应商不得虚假质疑和恶意质疑，并对质疑内容的真实性承担责任。供应商或者其他利害关系人通过捏造事实、伪造证明材料等方式提出异议或投诉，阻碍招谈判活动正常进行的，属于严重不良行为，采购人将提请财政部门将其列入不良行为记录。</w:t>
      </w:r>
    </w:p>
    <w:p w14:paraId="39E7A9A8">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15.7采购人将在收到符合上述条件的书面质疑后7个工作日内审查质疑事项，作出答复或相关处理决定，并以书面形式通知质疑供应商和其他有关供应商，但答复的内容不涉及商业秘密。若质疑涉及谈判制度或程序，将被转交政府采购的管理部门审查。采购人遵循“谁过错谁负担”的原则，有过错的一方承担调查论证费用。</w:t>
      </w:r>
    </w:p>
    <w:p w14:paraId="09532703">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15.8质疑供应商对采购人的答复不满意以及采购人未在规定的时间内做出答复的，可以在答复期满后15个工作日内向财政部门投诉。</w:t>
      </w:r>
    </w:p>
    <w:p w14:paraId="38E25144">
      <w:pPr>
        <w:autoSpaceDE w:val="0"/>
        <w:autoSpaceDN w:val="0"/>
        <w:spacing w:line="400" w:lineRule="exact"/>
        <w:ind w:firstLine="482" w:firstLineChars="200"/>
        <w:jc w:val="left"/>
        <w:rPr>
          <w:rFonts w:ascii="宋体" w:hAnsi="宋体" w:cs="宋体"/>
          <w:b/>
          <w:kern w:val="0"/>
          <w:sz w:val="24"/>
          <w:szCs w:val="24"/>
          <w:highlight w:val="none"/>
          <w:lang w:val="zh-CN"/>
        </w:rPr>
      </w:pPr>
      <w:r>
        <w:rPr>
          <w:rFonts w:hint="eastAsia" w:ascii="宋体" w:hAnsi="宋体" w:cs="宋体"/>
          <w:b/>
          <w:kern w:val="0"/>
          <w:sz w:val="24"/>
          <w:szCs w:val="24"/>
          <w:highlight w:val="none"/>
          <w:lang w:val="zh-CN"/>
        </w:rPr>
        <w:t>16. 重新招标</w:t>
      </w:r>
    </w:p>
    <w:p w14:paraId="7FD29632">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出现下列情形之一的，将终止竞争性谈判采购活动，发布项目终止公告并说明原因，重新开展采购活动：</w:t>
      </w:r>
    </w:p>
    <w:p w14:paraId="241822D9">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16..1、不符合法律、法规和竞争性谈判文件中规定的其他实质性要求的；</w:t>
      </w:r>
    </w:p>
    <w:p w14:paraId="4384E129">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16.2、其他法律、法规及本竞争性谈判文件规定的属响应无效的情形。终止竞争性谈判采购活动的条款；</w:t>
      </w:r>
    </w:p>
    <w:p w14:paraId="2E66B997">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16.3、因情况变化，不再符合规定的竞争性谈判采购方式适用情形的；出现影响采购公正的违法、违规行为的；</w:t>
      </w:r>
    </w:p>
    <w:p w14:paraId="6966CA65">
      <w:pPr>
        <w:autoSpaceDE w:val="0"/>
        <w:autoSpaceDN w:val="0"/>
        <w:spacing w:line="400" w:lineRule="exact"/>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16.4、谈判截止时间结束后参加供应商不足3家的，应重新组织采购，评审期间符合专业条件的供应商或者对谈判响应文件作出实质响应的供应商不足3家的，应重新组织采购。</w:t>
      </w:r>
    </w:p>
    <w:p w14:paraId="6E9CE15C">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31398B1C">
      <w:pPr>
        <w:adjustRightInd w:val="0"/>
        <w:snapToGrid w:val="0"/>
        <w:spacing w:line="520" w:lineRule="exact"/>
        <w:jc w:val="center"/>
        <w:rPr>
          <w:rFonts w:ascii="宋体" w:hAnsi="宋体"/>
          <w:b/>
          <w:bCs/>
          <w:color w:val="000000"/>
          <w:sz w:val="32"/>
          <w:szCs w:val="32"/>
          <w:highlight w:val="none"/>
        </w:rPr>
      </w:pPr>
      <w:r>
        <w:rPr>
          <w:rFonts w:hint="eastAsia" w:ascii="宋体" w:hAnsi="宋体"/>
          <w:b/>
          <w:bCs/>
          <w:color w:val="000000"/>
          <w:sz w:val="32"/>
          <w:szCs w:val="32"/>
          <w:highlight w:val="none"/>
        </w:rPr>
        <w:t>第三章  谈判项目资料</w:t>
      </w:r>
    </w:p>
    <w:p w14:paraId="6EF1C600">
      <w:pPr>
        <w:spacing w:line="420" w:lineRule="exact"/>
        <w:ind w:firstLine="522" w:firstLineChars="200"/>
        <w:jc w:val="center"/>
        <w:rPr>
          <w:rFonts w:ascii="宋体" w:hAnsi="宋体" w:cs="宋体"/>
          <w:b/>
          <w:color w:val="000000"/>
          <w:spacing w:val="10"/>
          <w:sz w:val="24"/>
          <w:highlight w:val="none"/>
        </w:rPr>
      </w:pPr>
      <w:r>
        <w:rPr>
          <w:rFonts w:hint="eastAsia" w:ascii="宋体" w:hAnsi="宋体" w:cs="宋体"/>
          <w:b/>
          <w:color w:val="000000"/>
          <w:spacing w:val="10"/>
          <w:sz w:val="24"/>
          <w:highlight w:val="none"/>
        </w:rPr>
        <w:t>资格及符合性评审表</w:t>
      </w:r>
    </w:p>
    <w:p w14:paraId="25857DA3">
      <w:pPr>
        <w:pStyle w:val="40"/>
        <w:rPr>
          <w:rFonts w:hAnsi="宋体"/>
          <w:highlight w:val="none"/>
        </w:rPr>
      </w:pPr>
    </w:p>
    <w:tbl>
      <w:tblPr>
        <w:tblStyle w:val="21"/>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1"/>
        <w:gridCol w:w="1771"/>
        <w:gridCol w:w="6075"/>
      </w:tblGrid>
      <w:tr w14:paraId="6B11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03" w:type="dxa"/>
            <w:vAlign w:val="center"/>
          </w:tcPr>
          <w:p w14:paraId="69A19E31">
            <w:pPr>
              <w:jc w:val="center"/>
              <w:rPr>
                <w:rFonts w:ascii="宋体" w:hAnsi="宋体"/>
                <w:b/>
                <w:color w:val="000000"/>
                <w:highlight w:val="none"/>
              </w:rPr>
            </w:pPr>
            <w:r>
              <w:rPr>
                <w:rFonts w:hint="eastAsia" w:ascii="宋体" w:hAnsi="宋体"/>
                <w:b/>
                <w:color w:val="000000"/>
                <w:highlight w:val="none"/>
              </w:rPr>
              <w:t>序号</w:t>
            </w:r>
          </w:p>
        </w:tc>
        <w:tc>
          <w:tcPr>
            <w:tcW w:w="2472" w:type="dxa"/>
            <w:gridSpan w:val="2"/>
          </w:tcPr>
          <w:p w14:paraId="659B12C7">
            <w:pPr>
              <w:jc w:val="center"/>
              <w:rPr>
                <w:rFonts w:ascii="宋体" w:hAnsi="宋体"/>
                <w:b/>
                <w:color w:val="000000"/>
                <w:highlight w:val="none"/>
              </w:rPr>
            </w:pPr>
            <w:r>
              <w:rPr>
                <w:rFonts w:hint="eastAsia" w:ascii="宋体" w:hAnsi="宋体"/>
                <w:b/>
                <w:color w:val="000000"/>
                <w:highlight w:val="none"/>
              </w:rPr>
              <w:t>评审因素</w:t>
            </w:r>
          </w:p>
        </w:tc>
        <w:tc>
          <w:tcPr>
            <w:tcW w:w="6075" w:type="dxa"/>
            <w:vAlign w:val="center"/>
          </w:tcPr>
          <w:p w14:paraId="0C10A9EC">
            <w:pPr>
              <w:jc w:val="center"/>
              <w:rPr>
                <w:rFonts w:ascii="宋体" w:hAnsi="宋体"/>
                <w:b/>
                <w:color w:val="000000"/>
                <w:highlight w:val="none"/>
              </w:rPr>
            </w:pPr>
            <w:r>
              <w:rPr>
                <w:rFonts w:hint="eastAsia" w:ascii="宋体" w:hAnsi="宋体"/>
                <w:b/>
                <w:color w:val="000000"/>
                <w:szCs w:val="21"/>
                <w:highlight w:val="none"/>
              </w:rPr>
              <w:t>评审标准</w:t>
            </w:r>
          </w:p>
        </w:tc>
      </w:tr>
      <w:tr w14:paraId="34F2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3" w:type="dxa"/>
            <w:tcBorders>
              <w:right w:val="single" w:color="auto" w:sz="4" w:space="0"/>
            </w:tcBorders>
            <w:vAlign w:val="center"/>
          </w:tcPr>
          <w:p w14:paraId="7584A17C">
            <w:pPr>
              <w:jc w:val="center"/>
              <w:rPr>
                <w:rFonts w:ascii="宋体" w:hAnsi="宋体"/>
                <w:color w:val="000000"/>
                <w:highlight w:val="none"/>
              </w:rPr>
            </w:pPr>
            <w:r>
              <w:rPr>
                <w:rFonts w:hint="eastAsia" w:ascii="宋体" w:hAnsi="宋体"/>
                <w:color w:val="000000"/>
                <w:highlight w:val="none"/>
              </w:rPr>
              <w:t>1</w:t>
            </w:r>
          </w:p>
        </w:tc>
        <w:tc>
          <w:tcPr>
            <w:tcW w:w="701" w:type="dxa"/>
            <w:vMerge w:val="restart"/>
            <w:tcBorders>
              <w:top w:val="single" w:color="auto" w:sz="4" w:space="0"/>
              <w:left w:val="single" w:color="auto" w:sz="4" w:space="0"/>
              <w:right w:val="single" w:color="auto" w:sz="4" w:space="0"/>
            </w:tcBorders>
            <w:vAlign w:val="center"/>
          </w:tcPr>
          <w:p w14:paraId="6A23AD6A">
            <w:pPr>
              <w:tabs>
                <w:tab w:val="left" w:pos="360"/>
              </w:tabs>
              <w:spacing w:line="720" w:lineRule="auto"/>
              <w:jc w:val="center"/>
              <w:rPr>
                <w:rFonts w:ascii="宋体" w:hAnsi="宋体"/>
                <w:color w:val="000000"/>
                <w:sz w:val="24"/>
                <w:highlight w:val="none"/>
              </w:rPr>
            </w:pPr>
            <w:r>
              <w:rPr>
                <w:rFonts w:hint="eastAsia" w:ascii="宋体" w:hAnsi="宋体"/>
                <w:color w:val="000000"/>
                <w:sz w:val="24"/>
                <w:highlight w:val="none"/>
              </w:rPr>
              <w:t>资</w:t>
            </w:r>
          </w:p>
          <w:p w14:paraId="7901EF61">
            <w:pPr>
              <w:tabs>
                <w:tab w:val="left" w:pos="360"/>
              </w:tabs>
              <w:spacing w:line="720" w:lineRule="auto"/>
              <w:jc w:val="center"/>
              <w:rPr>
                <w:rFonts w:ascii="宋体" w:hAnsi="宋体"/>
                <w:color w:val="000000"/>
                <w:sz w:val="24"/>
                <w:highlight w:val="none"/>
              </w:rPr>
            </w:pPr>
            <w:r>
              <w:rPr>
                <w:rFonts w:hint="eastAsia" w:ascii="宋体" w:hAnsi="宋体"/>
                <w:color w:val="000000"/>
                <w:sz w:val="24"/>
                <w:highlight w:val="none"/>
              </w:rPr>
              <w:t>格</w:t>
            </w:r>
          </w:p>
          <w:p w14:paraId="03F26B85">
            <w:pPr>
              <w:tabs>
                <w:tab w:val="left" w:pos="360"/>
              </w:tabs>
              <w:spacing w:line="720" w:lineRule="auto"/>
              <w:jc w:val="center"/>
              <w:rPr>
                <w:rFonts w:ascii="宋体" w:hAnsi="宋体"/>
                <w:color w:val="000000"/>
                <w:sz w:val="24"/>
                <w:highlight w:val="none"/>
              </w:rPr>
            </w:pPr>
            <w:r>
              <w:rPr>
                <w:rFonts w:hint="eastAsia" w:ascii="宋体" w:hAnsi="宋体"/>
                <w:color w:val="000000"/>
                <w:sz w:val="24"/>
                <w:highlight w:val="none"/>
              </w:rPr>
              <w:t>审</w:t>
            </w:r>
          </w:p>
          <w:p w14:paraId="6E824448">
            <w:pPr>
              <w:tabs>
                <w:tab w:val="left" w:pos="360"/>
              </w:tabs>
              <w:spacing w:line="720" w:lineRule="auto"/>
              <w:jc w:val="center"/>
              <w:rPr>
                <w:rFonts w:ascii="宋体" w:hAnsi="宋体"/>
                <w:color w:val="000000"/>
                <w:sz w:val="24"/>
                <w:highlight w:val="none"/>
              </w:rPr>
            </w:pPr>
            <w:r>
              <w:rPr>
                <w:rFonts w:hint="eastAsia" w:ascii="宋体" w:hAnsi="宋体"/>
                <w:color w:val="000000"/>
                <w:sz w:val="24"/>
                <w:highlight w:val="none"/>
              </w:rPr>
              <w:t>查</w:t>
            </w:r>
          </w:p>
          <w:p w14:paraId="7598084E">
            <w:pPr>
              <w:tabs>
                <w:tab w:val="left" w:pos="360"/>
              </w:tabs>
              <w:spacing w:line="720" w:lineRule="auto"/>
              <w:jc w:val="center"/>
              <w:rPr>
                <w:rFonts w:ascii="宋体" w:hAnsi="宋体"/>
                <w:color w:val="000000"/>
                <w:sz w:val="24"/>
                <w:highlight w:val="none"/>
              </w:rPr>
            </w:pPr>
            <w:r>
              <w:rPr>
                <w:rFonts w:hint="eastAsia" w:ascii="宋体" w:hAnsi="宋体"/>
                <w:color w:val="000000"/>
                <w:sz w:val="24"/>
                <w:highlight w:val="none"/>
              </w:rPr>
              <w:t>标</w:t>
            </w:r>
          </w:p>
          <w:p w14:paraId="6A1E0E87">
            <w:pPr>
              <w:tabs>
                <w:tab w:val="left" w:pos="360"/>
              </w:tabs>
              <w:spacing w:line="720" w:lineRule="auto"/>
              <w:jc w:val="center"/>
              <w:rPr>
                <w:rFonts w:ascii="宋体" w:hAnsi="宋体"/>
                <w:color w:val="000000"/>
                <w:sz w:val="24"/>
                <w:highlight w:val="none"/>
              </w:rPr>
            </w:pPr>
            <w:r>
              <w:rPr>
                <w:rFonts w:hint="eastAsia" w:ascii="宋体" w:hAnsi="宋体"/>
                <w:color w:val="000000"/>
                <w:sz w:val="24"/>
                <w:highlight w:val="none"/>
              </w:rPr>
              <w:t>准</w:t>
            </w:r>
          </w:p>
        </w:tc>
        <w:tc>
          <w:tcPr>
            <w:tcW w:w="1771" w:type="dxa"/>
            <w:tcBorders>
              <w:left w:val="single" w:color="auto" w:sz="4" w:space="0"/>
            </w:tcBorders>
            <w:vAlign w:val="center"/>
          </w:tcPr>
          <w:p w14:paraId="0A364144">
            <w:pPr>
              <w:tabs>
                <w:tab w:val="left" w:pos="360"/>
              </w:tabs>
              <w:jc w:val="center"/>
              <w:rPr>
                <w:rFonts w:ascii="宋体" w:hAnsi="宋体"/>
                <w:color w:val="000000"/>
                <w:sz w:val="24"/>
                <w:highlight w:val="none"/>
              </w:rPr>
            </w:pPr>
            <w:r>
              <w:rPr>
                <w:rFonts w:hint="eastAsia" w:ascii="宋体" w:hAnsi="宋体"/>
                <w:color w:val="000000"/>
                <w:sz w:val="24"/>
                <w:highlight w:val="none"/>
              </w:rPr>
              <w:t>企业法人营业执照</w:t>
            </w:r>
          </w:p>
        </w:tc>
        <w:tc>
          <w:tcPr>
            <w:tcW w:w="6075" w:type="dxa"/>
            <w:vAlign w:val="center"/>
          </w:tcPr>
          <w:p w14:paraId="6E9A4078">
            <w:pPr>
              <w:keepNext w:val="0"/>
              <w:keepLines w:val="0"/>
              <w:pageBreakBefore w:val="0"/>
              <w:widowControl/>
              <w:numPr>
                <w:ilvl w:val="0"/>
                <w:numId w:val="0"/>
              </w:numPr>
              <w:kinsoku/>
              <w:wordWrap w:val="0"/>
              <w:overflowPunct/>
              <w:topLinePunct w:val="0"/>
              <w:autoSpaceDE/>
              <w:autoSpaceDN/>
              <w:bidi w:val="0"/>
              <w:adjustRightInd w:val="0"/>
              <w:snapToGrid w:val="0"/>
              <w:spacing w:line="500" w:lineRule="exact"/>
              <w:jc w:val="left"/>
              <w:textAlignment w:val="auto"/>
              <w:rPr>
                <w:rFonts w:ascii="宋体" w:hAnsi="宋体" w:cs="新宋体"/>
                <w:color w:val="000000"/>
                <w:sz w:val="24"/>
                <w:szCs w:val="24"/>
                <w:highlight w:val="none"/>
              </w:rPr>
            </w:pPr>
            <w:r>
              <w:rPr>
                <w:rFonts w:hint="eastAsia" w:ascii="宋体" w:hAnsi="宋体"/>
                <w:kern w:val="0"/>
                <w:sz w:val="24"/>
                <w:szCs w:val="24"/>
                <w:highlight w:val="none"/>
              </w:rPr>
              <w:t>具有在中华人民共和国境内注册的能够独立承担民事责任的独立法人；具有合法有效的营业执照、组织机构代码证、税务登记证或三证合一的营业执照；</w:t>
            </w:r>
          </w:p>
        </w:tc>
      </w:tr>
      <w:tr w14:paraId="7C11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3" w:type="dxa"/>
            <w:tcBorders>
              <w:right w:val="single" w:color="auto" w:sz="4" w:space="0"/>
            </w:tcBorders>
            <w:vAlign w:val="center"/>
          </w:tcPr>
          <w:p w14:paraId="46161F24">
            <w:pPr>
              <w:jc w:val="center"/>
              <w:rPr>
                <w:rFonts w:ascii="宋体" w:hAnsi="宋体"/>
                <w:color w:val="000000"/>
                <w:highlight w:val="none"/>
              </w:rPr>
            </w:pPr>
            <w:r>
              <w:rPr>
                <w:rFonts w:hint="eastAsia" w:ascii="宋体" w:hAnsi="宋体"/>
                <w:color w:val="000000"/>
                <w:highlight w:val="none"/>
              </w:rPr>
              <w:t>3</w:t>
            </w:r>
          </w:p>
        </w:tc>
        <w:tc>
          <w:tcPr>
            <w:tcW w:w="701" w:type="dxa"/>
            <w:vMerge w:val="continue"/>
            <w:tcBorders>
              <w:left w:val="single" w:color="auto" w:sz="4" w:space="0"/>
              <w:right w:val="single" w:color="auto" w:sz="4" w:space="0"/>
            </w:tcBorders>
            <w:vAlign w:val="center"/>
          </w:tcPr>
          <w:p w14:paraId="3632B8C2">
            <w:pPr>
              <w:tabs>
                <w:tab w:val="left" w:pos="360"/>
              </w:tabs>
              <w:spacing w:line="720" w:lineRule="auto"/>
              <w:jc w:val="center"/>
              <w:rPr>
                <w:rFonts w:ascii="宋体" w:hAnsi="宋体"/>
                <w:color w:val="000000"/>
                <w:sz w:val="24"/>
                <w:highlight w:val="none"/>
              </w:rPr>
            </w:pPr>
          </w:p>
        </w:tc>
        <w:tc>
          <w:tcPr>
            <w:tcW w:w="1771" w:type="dxa"/>
            <w:tcBorders>
              <w:left w:val="single" w:color="auto" w:sz="4" w:space="0"/>
            </w:tcBorders>
            <w:vAlign w:val="center"/>
          </w:tcPr>
          <w:p w14:paraId="7F868ED3">
            <w:pPr>
              <w:tabs>
                <w:tab w:val="left" w:pos="360"/>
              </w:tabs>
              <w:jc w:val="center"/>
              <w:rPr>
                <w:rFonts w:ascii="宋体" w:hAnsi="宋体"/>
                <w:color w:val="000000"/>
                <w:sz w:val="24"/>
                <w:highlight w:val="none"/>
              </w:rPr>
            </w:pPr>
            <w:r>
              <w:rPr>
                <w:rFonts w:hint="eastAsia" w:ascii="宋体" w:hAnsi="宋体"/>
                <w:color w:val="000000"/>
                <w:sz w:val="24"/>
                <w:highlight w:val="none"/>
              </w:rPr>
              <w:t>履行合同能力</w:t>
            </w:r>
          </w:p>
        </w:tc>
        <w:tc>
          <w:tcPr>
            <w:tcW w:w="6075" w:type="dxa"/>
            <w:vAlign w:val="center"/>
          </w:tcPr>
          <w:p w14:paraId="4D5F5338">
            <w:pPr>
              <w:spacing w:line="360" w:lineRule="auto"/>
              <w:rPr>
                <w:rFonts w:ascii="宋体" w:hAnsi="宋体"/>
                <w:color w:val="000000"/>
                <w:sz w:val="24"/>
                <w:highlight w:val="none"/>
              </w:rPr>
            </w:pPr>
            <w:r>
              <w:rPr>
                <w:rFonts w:hint="eastAsia" w:ascii="宋体" w:hAnsi="宋体"/>
                <w:color w:val="000000"/>
                <w:sz w:val="24"/>
                <w:highlight w:val="none"/>
              </w:rPr>
              <w:t>具有履行本项目采购内容所必须的设备和专业技术服务能力；(提供证明材料或承诺书)</w:t>
            </w:r>
          </w:p>
        </w:tc>
      </w:tr>
      <w:tr w14:paraId="3FE7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jc w:val="center"/>
        </w:trPr>
        <w:tc>
          <w:tcPr>
            <w:tcW w:w="703" w:type="dxa"/>
            <w:tcBorders>
              <w:right w:val="single" w:color="auto" w:sz="4" w:space="0"/>
            </w:tcBorders>
            <w:vAlign w:val="center"/>
          </w:tcPr>
          <w:p w14:paraId="1C148553">
            <w:pPr>
              <w:jc w:val="center"/>
              <w:rPr>
                <w:rFonts w:ascii="宋体" w:hAnsi="宋体"/>
                <w:color w:val="000000"/>
                <w:highlight w:val="none"/>
              </w:rPr>
            </w:pPr>
            <w:r>
              <w:rPr>
                <w:rFonts w:hint="eastAsia" w:ascii="宋体" w:hAnsi="宋体"/>
                <w:color w:val="000000"/>
                <w:highlight w:val="none"/>
              </w:rPr>
              <w:t>4</w:t>
            </w:r>
          </w:p>
        </w:tc>
        <w:tc>
          <w:tcPr>
            <w:tcW w:w="701" w:type="dxa"/>
            <w:vMerge w:val="continue"/>
            <w:tcBorders>
              <w:left w:val="single" w:color="auto" w:sz="4" w:space="0"/>
              <w:right w:val="single" w:color="auto" w:sz="4" w:space="0"/>
            </w:tcBorders>
          </w:tcPr>
          <w:p w14:paraId="48C5AD09">
            <w:pPr>
              <w:tabs>
                <w:tab w:val="left" w:pos="360"/>
              </w:tabs>
              <w:jc w:val="center"/>
              <w:rPr>
                <w:rFonts w:ascii="宋体" w:hAnsi="宋体"/>
                <w:color w:val="000000"/>
                <w:sz w:val="24"/>
                <w:highlight w:val="none"/>
              </w:rPr>
            </w:pPr>
          </w:p>
        </w:tc>
        <w:tc>
          <w:tcPr>
            <w:tcW w:w="1771" w:type="dxa"/>
            <w:tcBorders>
              <w:left w:val="single" w:color="auto" w:sz="4" w:space="0"/>
            </w:tcBorders>
            <w:vAlign w:val="center"/>
          </w:tcPr>
          <w:p w14:paraId="09E86462">
            <w:pPr>
              <w:tabs>
                <w:tab w:val="left" w:pos="360"/>
              </w:tabs>
              <w:jc w:val="center"/>
              <w:rPr>
                <w:rFonts w:ascii="宋体" w:hAnsi="宋体"/>
                <w:color w:val="000000"/>
                <w:sz w:val="24"/>
                <w:highlight w:val="none"/>
              </w:rPr>
            </w:pPr>
            <w:r>
              <w:rPr>
                <w:rFonts w:hint="eastAsia" w:ascii="宋体" w:hAnsi="宋体"/>
                <w:color w:val="000000"/>
                <w:sz w:val="24"/>
                <w:highlight w:val="none"/>
              </w:rPr>
              <w:t>依法缴纳税收和缴纳社会保障资金</w:t>
            </w:r>
          </w:p>
        </w:tc>
        <w:tc>
          <w:tcPr>
            <w:tcW w:w="6075" w:type="dxa"/>
            <w:vAlign w:val="center"/>
          </w:tcPr>
          <w:p w14:paraId="0682CCF0">
            <w:pPr>
              <w:spacing w:line="360" w:lineRule="auto"/>
              <w:rPr>
                <w:rFonts w:ascii="宋体" w:hAnsi="宋体"/>
                <w:color w:val="000000"/>
                <w:sz w:val="24"/>
                <w:highlight w:val="none"/>
              </w:rPr>
            </w:pPr>
            <w:r>
              <w:rPr>
                <w:rFonts w:hint="eastAsia" w:ascii="宋体" w:hAnsi="宋体"/>
                <w:color w:val="000000"/>
                <w:sz w:val="24"/>
                <w:highlight w:val="none"/>
              </w:rPr>
              <w:t>依法缴纳税收（提供202</w:t>
            </w:r>
            <w:r>
              <w:rPr>
                <w:rFonts w:hint="eastAsia" w:ascii="宋体" w:hAnsi="宋体"/>
                <w:color w:val="000000"/>
                <w:sz w:val="24"/>
                <w:highlight w:val="none"/>
                <w:lang w:val="en-US" w:eastAsia="zh-CN"/>
              </w:rPr>
              <w:t>5</w:t>
            </w:r>
            <w:r>
              <w:rPr>
                <w:rFonts w:hint="eastAsia" w:ascii="宋体" w:hAnsi="宋体"/>
                <w:color w:val="000000"/>
                <w:sz w:val="24"/>
                <w:highlight w:val="none"/>
              </w:rPr>
              <w:t>年</w:t>
            </w:r>
            <w:r>
              <w:rPr>
                <w:rFonts w:hint="eastAsia" w:ascii="宋体" w:hAnsi="宋体"/>
                <w:color w:val="000000"/>
                <w:sz w:val="24"/>
                <w:highlight w:val="none"/>
                <w:lang w:val="en-US" w:eastAsia="zh-CN"/>
              </w:rPr>
              <w:t>01月以来</w:t>
            </w:r>
            <w:r>
              <w:rPr>
                <w:rFonts w:hint="eastAsia" w:ascii="宋体" w:hAnsi="宋体"/>
                <w:color w:val="000000"/>
                <w:sz w:val="24"/>
                <w:highlight w:val="none"/>
              </w:rPr>
              <w:t>连续三个月企业依法缴纳税收证明材料）和缴纳社会保障资金（提供202</w:t>
            </w:r>
            <w:r>
              <w:rPr>
                <w:rFonts w:hint="eastAsia" w:ascii="宋体" w:hAnsi="宋体"/>
                <w:color w:val="000000"/>
                <w:sz w:val="24"/>
                <w:highlight w:val="none"/>
                <w:lang w:val="en-US" w:eastAsia="zh-CN"/>
              </w:rPr>
              <w:t>5</w:t>
            </w:r>
            <w:r>
              <w:rPr>
                <w:rFonts w:hint="eastAsia" w:ascii="宋体" w:hAnsi="宋体"/>
                <w:color w:val="000000"/>
                <w:sz w:val="24"/>
                <w:highlight w:val="none"/>
              </w:rPr>
              <w:t>年</w:t>
            </w:r>
            <w:r>
              <w:rPr>
                <w:rFonts w:hint="eastAsia" w:ascii="宋体" w:hAnsi="宋体"/>
                <w:color w:val="000000"/>
                <w:sz w:val="24"/>
                <w:highlight w:val="none"/>
                <w:lang w:val="en-US" w:eastAsia="zh-CN"/>
              </w:rPr>
              <w:t>01月以来</w:t>
            </w:r>
            <w:r>
              <w:rPr>
                <w:rFonts w:hint="eastAsia" w:ascii="宋体" w:hAnsi="宋体"/>
                <w:color w:val="000000"/>
                <w:sz w:val="24"/>
                <w:highlight w:val="none"/>
              </w:rPr>
              <w:t xml:space="preserve">连续三个月拟派项目负责人依法缴纳社会养老保险证明材料）； </w:t>
            </w:r>
          </w:p>
        </w:tc>
      </w:tr>
      <w:tr w14:paraId="35F1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6" w:hRule="atLeast"/>
          <w:jc w:val="center"/>
        </w:trPr>
        <w:tc>
          <w:tcPr>
            <w:tcW w:w="703" w:type="dxa"/>
            <w:tcBorders>
              <w:right w:val="single" w:color="auto" w:sz="4" w:space="0"/>
            </w:tcBorders>
            <w:vAlign w:val="center"/>
          </w:tcPr>
          <w:p w14:paraId="05BAEA07">
            <w:pPr>
              <w:jc w:val="center"/>
              <w:rPr>
                <w:rFonts w:ascii="宋体" w:hAnsi="宋体"/>
                <w:color w:val="000000"/>
                <w:highlight w:val="none"/>
              </w:rPr>
            </w:pPr>
            <w:r>
              <w:rPr>
                <w:rFonts w:hint="eastAsia" w:ascii="宋体" w:hAnsi="宋体"/>
                <w:color w:val="000000"/>
                <w:highlight w:val="none"/>
              </w:rPr>
              <w:t>5</w:t>
            </w:r>
          </w:p>
        </w:tc>
        <w:tc>
          <w:tcPr>
            <w:tcW w:w="701" w:type="dxa"/>
            <w:vMerge w:val="continue"/>
            <w:tcBorders>
              <w:left w:val="single" w:color="auto" w:sz="4" w:space="0"/>
              <w:right w:val="single" w:color="auto" w:sz="4" w:space="0"/>
            </w:tcBorders>
          </w:tcPr>
          <w:p w14:paraId="509BD4C8">
            <w:pPr>
              <w:tabs>
                <w:tab w:val="left" w:pos="360"/>
              </w:tabs>
              <w:jc w:val="center"/>
              <w:rPr>
                <w:rFonts w:ascii="宋体" w:hAnsi="宋体"/>
                <w:color w:val="000000"/>
                <w:sz w:val="24"/>
                <w:highlight w:val="none"/>
              </w:rPr>
            </w:pPr>
          </w:p>
        </w:tc>
        <w:tc>
          <w:tcPr>
            <w:tcW w:w="1771" w:type="dxa"/>
            <w:tcBorders>
              <w:left w:val="single" w:color="auto" w:sz="4" w:space="0"/>
            </w:tcBorders>
            <w:vAlign w:val="center"/>
          </w:tcPr>
          <w:p w14:paraId="475766BE">
            <w:pPr>
              <w:tabs>
                <w:tab w:val="left" w:pos="360"/>
              </w:tabs>
              <w:jc w:val="center"/>
              <w:rPr>
                <w:rFonts w:ascii="宋体" w:hAnsi="宋体"/>
                <w:color w:val="000000"/>
                <w:sz w:val="24"/>
                <w:highlight w:val="none"/>
              </w:rPr>
            </w:pPr>
            <w:r>
              <w:rPr>
                <w:rFonts w:hint="eastAsia" w:ascii="宋体" w:hAnsi="宋体"/>
                <w:color w:val="000000"/>
                <w:sz w:val="24"/>
                <w:highlight w:val="none"/>
              </w:rPr>
              <w:t>财务审计报告</w:t>
            </w:r>
          </w:p>
        </w:tc>
        <w:tc>
          <w:tcPr>
            <w:tcW w:w="6075" w:type="dxa"/>
            <w:vAlign w:val="center"/>
          </w:tcPr>
          <w:p w14:paraId="628CEC30">
            <w:pPr>
              <w:keepNext w:val="0"/>
              <w:keepLines w:val="0"/>
              <w:pageBreakBefore w:val="0"/>
              <w:widowControl/>
              <w:numPr>
                <w:ilvl w:val="0"/>
                <w:numId w:val="0"/>
              </w:numPr>
              <w:kinsoku/>
              <w:wordWrap w:val="0"/>
              <w:overflowPunct/>
              <w:topLinePunct w:val="0"/>
              <w:autoSpaceDE/>
              <w:autoSpaceDN/>
              <w:bidi w:val="0"/>
              <w:adjustRightInd w:val="0"/>
              <w:snapToGrid w:val="0"/>
              <w:spacing w:line="500" w:lineRule="exact"/>
              <w:jc w:val="left"/>
              <w:textAlignment w:val="auto"/>
              <w:rPr>
                <w:rFonts w:ascii="宋体" w:hAnsi="宋体"/>
                <w:color w:val="000000"/>
                <w:sz w:val="24"/>
                <w:highlight w:val="none"/>
              </w:rPr>
            </w:pPr>
            <w:r>
              <w:rPr>
                <w:rFonts w:hint="eastAsia" w:ascii="宋体" w:hAnsi="宋体" w:eastAsia="宋体"/>
                <w:kern w:val="0"/>
                <w:sz w:val="24"/>
                <w:szCs w:val="24"/>
                <w:highlight w:val="none"/>
                <w:lang w:eastAsia="zh-CN"/>
              </w:rPr>
              <w:t>具有良好的商业信誉和健全的财务会计制度，</w:t>
            </w:r>
            <w:r>
              <w:rPr>
                <w:rFonts w:hint="eastAsia" w:ascii="宋体" w:hAnsi="宋体" w:eastAsia="宋体"/>
                <w:kern w:val="0"/>
                <w:sz w:val="24"/>
                <w:szCs w:val="24"/>
                <w:highlight w:val="none"/>
                <w:lang w:val="en-US" w:eastAsia="zh-CN"/>
              </w:rPr>
              <w:t>提供2022年以来任意一年经审计的财务报告；新成立公司无审计报告应附最新的财务报表说明</w:t>
            </w:r>
            <w:r>
              <w:rPr>
                <w:rFonts w:hint="eastAsia" w:ascii="宋体" w:hAnsi="宋体" w:eastAsia="宋体"/>
                <w:kern w:val="0"/>
                <w:sz w:val="24"/>
                <w:szCs w:val="24"/>
                <w:highlight w:val="none"/>
                <w:lang w:eastAsia="zh-CN"/>
              </w:rPr>
              <w:t>；</w:t>
            </w:r>
          </w:p>
        </w:tc>
      </w:tr>
      <w:tr w14:paraId="7366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03" w:type="dxa"/>
            <w:tcBorders>
              <w:right w:val="single" w:color="auto" w:sz="4" w:space="0"/>
            </w:tcBorders>
            <w:vAlign w:val="center"/>
          </w:tcPr>
          <w:p w14:paraId="3FA93865">
            <w:pPr>
              <w:jc w:val="center"/>
              <w:rPr>
                <w:rFonts w:ascii="宋体" w:hAnsi="宋体"/>
                <w:color w:val="000000"/>
                <w:highlight w:val="none"/>
              </w:rPr>
            </w:pPr>
            <w:r>
              <w:rPr>
                <w:rFonts w:hint="eastAsia" w:ascii="宋体" w:hAnsi="宋体"/>
                <w:color w:val="000000"/>
                <w:highlight w:val="none"/>
              </w:rPr>
              <w:t>6</w:t>
            </w:r>
          </w:p>
        </w:tc>
        <w:tc>
          <w:tcPr>
            <w:tcW w:w="701" w:type="dxa"/>
            <w:vMerge w:val="continue"/>
            <w:tcBorders>
              <w:left w:val="single" w:color="auto" w:sz="4" w:space="0"/>
              <w:right w:val="single" w:color="auto" w:sz="4" w:space="0"/>
            </w:tcBorders>
          </w:tcPr>
          <w:p w14:paraId="7DBB6B04">
            <w:pPr>
              <w:tabs>
                <w:tab w:val="left" w:pos="360"/>
              </w:tabs>
              <w:jc w:val="center"/>
              <w:rPr>
                <w:rFonts w:ascii="宋体" w:hAnsi="宋体"/>
                <w:color w:val="000000"/>
                <w:sz w:val="24"/>
                <w:highlight w:val="none"/>
              </w:rPr>
            </w:pPr>
          </w:p>
        </w:tc>
        <w:tc>
          <w:tcPr>
            <w:tcW w:w="1771" w:type="dxa"/>
            <w:tcBorders>
              <w:left w:val="single" w:color="auto" w:sz="4" w:space="0"/>
            </w:tcBorders>
            <w:vAlign w:val="center"/>
          </w:tcPr>
          <w:p w14:paraId="184FE645">
            <w:pPr>
              <w:tabs>
                <w:tab w:val="left" w:pos="360"/>
              </w:tabs>
              <w:jc w:val="center"/>
              <w:rPr>
                <w:rFonts w:ascii="宋体" w:hAnsi="宋体"/>
                <w:color w:val="000000"/>
                <w:sz w:val="24"/>
                <w:highlight w:val="none"/>
              </w:rPr>
            </w:pPr>
            <w:r>
              <w:rPr>
                <w:rFonts w:hint="eastAsia" w:ascii="宋体" w:hAnsi="宋体"/>
                <w:color w:val="000000"/>
                <w:sz w:val="24"/>
                <w:highlight w:val="none"/>
              </w:rPr>
              <w:t>无行贿犯罪记录</w:t>
            </w:r>
          </w:p>
        </w:tc>
        <w:tc>
          <w:tcPr>
            <w:tcW w:w="6075" w:type="dxa"/>
            <w:vAlign w:val="center"/>
          </w:tcPr>
          <w:p w14:paraId="49426BE8">
            <w:pPr>
              <w:wordWrap w:val="0"/>
              <w:spacing w:line="480" w:lineRule="auto"/>
              <w:rPr>
                <w:rFonts w:ascii="宋体" w:hAnsi="宋体"/>
                <w:color w:val="000000"/>
                <w:sz w:val="24"/>
                <w:highlight w:val="none"/>
              </w:rPr>
            </w:pPr>
            <w:r>
              <w:rPr>
                <w:rFonts w:hint="eastAsia" w:ascii="宋体" w:hAnsi="宋体"/>
                <w:bCs/>
                <w:color w:val="000000"/>
                <w:sz w:val="24"/>
                <w:szCs w:val="28"/>
                <w:highlight w:val="none"/>
              </w:rPr>
              <w:t>参加政府采购活动前3年内无行贿犯罪记录，（开标时提供《中国裁判文书网》查询结果网页截图或企业自行承诺的无行贿犯罪承诺书，查询&lt;承诺&gt;对象为“企业</w:t>
            </w:r>
            <w:r>
              <w:rPr>
                <w:rFonts w:hint="eastAsia" w:ascii="宋体" w:hAnsi="宋体"/>
                <w:bCs/>
                <w:color w:val="000000"/>
                <w:sz w:val="24"/>
                <w:szCs w:val="28"/>
                <w:highlight w:val="none"/>
                <w:lang w:eastAsia="zh-CN"/>
              </w:rPr>
              <w:t>、</w:t>
            </w:r>
            <w:r>
              <w:rPr>
                <w:rFonts w:hint="eastAsia" w:ascii="宋体" w:hAnsi="宋体"/>
                <w:bCs/>
                <w:color w:val="000000"/>
                <w:sz w:val="24"/>
                <w:szCs w:val="28"/>
                <w:highlight w:val="none"/>
              </w:rPr>
              <w:t>法定代表人</w:t>
            </w:r>
            <w:r>
              <w:rPr>
                <w:rFonts w:hint="eastAsia" w:ascii="宋体" w:hAnsi="宋体"/>
                <w:bCs/>
                <w:color w:val="000000"/>
                <w:sz w:val="24"/>
                <w:szCs w:val="28"/>
                <w:highlight w:val="none"/>
                <w:lang w:eastAsia="zh-CN"/>
              </w:rPr>
              <w:t>、</w:t>
            </w:r>
            <w:r>
              <w:rPr>
                <w:rFonts w:hint="eastAsia" w:ascii="宋体" w:hAnsi="宋体"/>
                <w:bCs/>
                <w:color w:val="000000"/>
                <w:sz w:val="24"/>
                <w:szCs w:val="28"/>
                <w:highlight w:val="none"/>
              </w:rPr>
              <w:t>项目负责人”）；</w:t>
            </w:r>
          </w:p>
        </w:tc>
      </w:tr>
      <w:tr w14:paraId="3735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03" w:type="dxa"/>
            <w:tcBorders>
              <w:right w:val="single" w:color="auto" w:sz="4" w:space="0"/>
            </w:tcBorders>
            <w:vAlign w:val="center"/>
          </w:tcPr>
          <w:p w14:paraId="3D195129">
            <w:pPr>
              <w:jc w:val="center"/>
              <w:rPr>
                <w:rFonts w:ascii="宋体" w:hAnsi="宋体"/>
                <w:color w:val="000000"/>
                <w:highlight w:val="none"/>
              </w:rPr>
            </w:pPr>
            <w:r>
              <w:rPr>
                <w:rFonts w:hint="eastAsia" w:ascii="宋体" w:hAnsi="宋体"/>
                <w:color w:val="000000"/>
                <w:highlight w:val="none"/>
              </w:rPr>
              <w:t>7</w:t>
            </w:r>
          </w:p>
        </w:tc>
        <w:tc>
          <w:tcPr>
            <w:tcW w:w="701" w:type="dxa"/>
            <w:vMerge w:val="continue"/>
            <w:tcBorders>
              <w:left w:val="single" w:color="auto" w:sz="4" w:space="0"/>
              <w:right w:val="single" w:color="auto" w:sz="4" w:space="0"/>
            </w:tcBorders>
          </w:tcPr>
          <w:p w14:paraId="693E12BD">
            <w:pPr>
              <w:tabs>
                <w:tab w:val="left" w:pos="360"/>
              </w:tabs>
              <w:jc w:val="center"/>
              <w:rPr>
                <w:rFonts w:ascii="宋体" w:hAnsi="宋体"/>
                <w:color w:val="000000"/>
                <w:sz w:val="24"/>
                <w:highlight w:val="none"/>
              </w:rPr>
            </w:pPr>
          </w:p>
        </w:tc>
        <w:tc>
          <w:tcPr>
            <w:tcW w:w="1771" w:type="dxa"/>
            <w:tcBorders>
              <w:left w:val="single" w:color="auto" w:sz="4" w:space="0"/>
            </w:tcBorders>
            <w:vAlign w:val="center"/>
          </w:tcPr>
          <w:p w14:paraId="667CE757">
            <w:pPr>
              <w:tabs>
                <w:tab w:val="left" w:pos="360"/>
              </w:tabs>
              <w:jc w:val="center"/>
              <w:rPr>
                <w:rFonts w:hint="eastAsia" w:ascii="宋体" w:hAnsi="宋体" w:eastAsia="宋体"/>
                <w:color w:val="000000"/>
                <w:sz w:val="24"/>
                <w:highlight w:val="none"/>
                <w:lang w:eastAsia="zh-CN"/>
              </w:rPr>
            </w:pPr>
            <w:r>
              <w:rPr>
                <w:rFonts w:hint="eastAsia" w:cs="宋体" w:asciiTheme="majorEastAsia" w:hAnsiTheme="majorEastAsia" w:eastAsiaTheme="majorEastAsia"/>
                <w:color w:val="auto"/>
                <w:sz w:val="24"/>
                <w:szCs w:val="24"/>
                <w:highlight w:val="none"/>
              </w:rPr>
              <w:t>企业无商业贿赂和不正当竞争行为</w:t>
            </w:r>
          </w:p>
        </w:tc>
        <w:tc>
          <w:tcPr>
            <w:tcW w:w="6075" w:type="dxa"/>
            <w:vAlign w:val="center"/>
          </w:tcPr>
          <w:p w14:paraId="1B607240">
            <w:pPr>
              <w:wordWrap w:val="0"/>
              <w:spacing w:line="480" w:lineRule="auto"/>
              <w:rPr>
                <w:rFonts w:ascii="宋体" w:hAnsi="宋体"/>
                <w:bCs/>
                <w:color w:val="000000"/>
                <w:sz w:val="24"/>
                <w:szCs w:val="28"/>
                <w:highlight w:val="none"/>
              </w:rPr>
            </w:pPr>
            <w:r>
              <w:rPr>
                <w:rFonts w:hint="eastAsia" w:ascii="宋体" w:hAnsi="宋体" w:eastAsia="宋体" w:cs="宋体"/>
                <w:kern w:val="0"/>
                <w:sz w:val="24"/>
                <w:szCs w:val="24"/>
              </w:rPr>
              <w:t>提供承诺函</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格式</w:t>
            </w:r>
            <w:r>
              <w:rPr>
                <w:rFonts w:hint="eastAsia" w:ascii="宋体" w:hAnsi="宋体" w:eastAsia="宋体" w:cs="宋体"/>
                <w:kern w:val="0"/>
                <w:sz w:val="24"/>
                <w:szCs w:val="24"/>
                <w:lang w:eastAsia="zh-CN"/>
              </w:rPr>
              <w:t>自拟</w:t>
            </w:r>
          </w:p>
        </w:tc>
      </w:tr>
      <w:tr w14:paraId="0D5B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3" w:hRule="atLeast"/>
          <w:jc w:val="center"/>
        </w:trPr>
        <w:tc>
          <w:tcPr>
            <w:tcW w:w="703" w:type="dxa"/>
            <w:tcBorders>
              <w:right w:val="single" w:color="auto" w:sz="4" w:space="0"/>
            </w:tcBorders>
            <w:vAlign w:val="center"/>
          </w:tcPr>
          <w:p w14:paraId="6F13198A">
            <w:pPr>
              <w:jc w:val="center"/>
              <w:rPr>
                <w:rFonts w:ascii="宋体" w:hAnsi="宋体"/>
                <w:color w:val="000000"/>
                <w:highlight w:val="none"/>
              </w:rPr>
            </w:pPr>
            <w:r>
              <w:rPr>
                <w:rFonts w:hint="eastAsia" w:ascii="宋体" w:hAnsi="宋体"/>
                <w:color w:val="000000"/>
                <w:highlight w:val="none"/>
              </w:rPr>
              <w:t>8</w:t>
            </w:r>
          </w:p>
        </w:tc>
        <w:tc>
          <w:tcPr>
            <w:tcW w:w="701" w:type="dxa"/>
            <w:vMerge w:val="continue"/>
            <w:tcBorders>
              <w:left w:val="single" w:color="auto" w:sz="4" w:space="0"/>
              <w:right w:val="single" w:color="auto" w:sz="4" w:space="0"/>
            </w:tcBorders>
          </w:tcPr>
          <w:p w14:paraId="7FFB5F12">
            <w:pPr>
              <w:tabs>
                <w:tab w:val="left" w:pos="360"/>
              </w:tabs>
              <w:jc w:val="center"/>
              <w:rPr>
                <w:rFonts w:ascii="宋体" w:hAnsi="宋体"/>
                <w:color w:val="000000"/>
                <w:sz w:val="24"/>
                <w:highlight w:val="none"/>
              </w:rPr>
            </w:pPr>
          </w:p>
        </w:tc>
        <w:tc>
          <w:tcPr>
            <w:tcW w:w="1771" w:type="dxa"/>
            <w:tcBorders>
              <w:left w:val="single" w:color="auto" w:sz="4" w:space="0"/>
            </w:tcBorders>
            <w:vAlign w:val="center"/>
          </w:tcPr>
          <w:p w14:paraId="531FF791">
            <w:pPr>
              <w:tabs>
                <w:tab w:val="left" w:pos="360"/>
              </w:tabs>
              <w:jc w:val="center"/>
              <w:rPr>
                <w:rFonts w:ascii="宋体" w:hAnsi="宋体"/>
                <w:color w:val="000000"/>
                <w:sz w:val="24"/>
                <w:highlight w:val="none"/>
              </w:rPr>
            </w:pPr>
            <w:r>
              <w:rPr>
                <w:rFonts w:hint="eastAsia" w:ascii="宋体" w:hAnsi="宋体"/>
                <w:color w:val="000000"/>
                <w:sz w:val="24"/>
                <w:highlight w:val="none"/>
              </w:rPr>
              <w:t>信用查询</w:t>
            </w:r>
          </w:p>
        </w:tc>
        <w:tc>
          <w:tcPr>
            <w:tcW w:w="6075" w:type="dxa"/>
            <w:vAlign w:val="center"/>
          </w:tcPr>
          <w:p w14:paraId="0752A437">
            <w:pPr>
              <w:spacing w:line="360" w:lineRule="auto"/>
              <w:jc w:val="left"/>
              <w:rPr>
                <w:rFonts w:ascii="宋体" w:hAnsi="宋体" w:cs="新宋体"/>
                <w:color w:val="000000"/>
                <w:sz w:val="24"/>
                <w:szCs w:val="24"/>
                <w:highlight w:val="none"/>
              </w:rPr>
            </w:pPr>
            <w:r>
              <w:rPr>
                <w:rFonts w:hint="eastAsia" w:ascii="宋体" w:hAnsi="宋体" w:cs="宋体"/>
                <w:color w:val="000000"/>
                <w:sz w:val="24"/>
                <w:highlight w:val="none"/>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中国政府采购网（www.ccgp.gov.cn）（提供“信用中国”和“中国政府采购网”网站的查询信息截图，查询时间须在本项目自发布公告之日起至项目开标之日范围内）；</w:t>
            </w:r>
          </w:p>
        </w:tc>
      </w:tr>
      <w:tr w14:paraId="31AB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03" w:type="dxa"/>
            <w:tcBorders>
              <w:right w:val="single" w:color="auto" w:sz="4" w:space="0"/>
            </w:tcBorders>
            <w:vAlign w:val="center"/>
          </w:tcPr>
          <w:p w14:paraId="02924C26">
            <w:pPr>
              <w:jc w:val="center"/>
              <w:rPr>
                <w:rFonts w:ascii="宋体" w:hAnsi="宋体"/>
                <w:color w:val="000000"/>
                <w:highlight w:val="none"/>
              </w:rPr>
            </w:pPr>
            <w:r>
              <w:rPr>
                <w:rFonts w:hint="eastAsia" w:ascii="宋体" w:hAnsi="宋体"/>
                <w:color w:val="000000"/>
                <w:highlight w:val="none"/>
              </w:rPr>
              <w:t>9</w:t>
            </w:r>
          </w:p>
        </w:tc>
        <w:tc>
          <w:tcPr>
            <w:tcW w:w="701" w:type="dxa"/>
            <w:vMerge w:val="continue"/>
            <w:tcBorders>
              <w:left w:val="single" w:color="auto" w:sz="4" w:space="0"/>
              <w:right w:val="single" w:color="auto" w:sz="4" w:space="0"/>
            </w:tcBorders>
          </w:tcPr>
          <w:p w14:paraId="3C282D5D">
            <w:pPr>
              <w:tabs>
                <w:tab w:val="left" w:pos="360"/>
              </w:tabs>
              <w:jc w:val="center"/>
              <w:rPr>
                <w:rFonts w:ascii="宋体" w:hAnsi="宋体"/>
                <w:color w:val="000000"/>
                <w:sz w:val="24"/>
                <w:highlight w:val="none"/>
              </w:rPr>
            </w:pPr>
          </w:p>
        </w:tc>
        <w:tc>
          <w:tcPr>
            <w:tcW w:w="1771" w:type="dxa"/>
            <w:tcBorders>
              <w:left w:val="single" w:color="auto" w:sz="4" w:space="0"/>
            </w:tcBorders>
            <w:vAlign w:val="center"/>
          </w:tcPr>
          <w:p w14:paraId="0AFD5BA8">
            <w:pPr>
              <w:tabs>
                <w:tab w:val="left" w:pos="360"/>
              </w:tabs>
              <w:jc w:val="center"/>
              <w:rPr>
                <w:rFonts w:ascii="宋体" w:hAnsi="宋体"/>
                <w:color w:val="000000"/>
                <w:sz w:val="24"/>
                <w:highlight w:val="none"/>
              </w:rPr>
            </w:pPr>
            <w:r>
              <w:rPr>
                <w:rFonts w:hint="eastAsia" w:ascii="宋体" w:hAnsi="宋体" w:eastAsia="宋体"/>
                <w:kern w:val="0"/>
                <w:sz w:val="24"/>
                <w:szCs w:val="24"/>
                <w:highlight w:val="none"/>
                <w:lang w:eastAsia="zh-CN"/>
              </w:rPr>
              <w:t>单位负责人为同一人或者存在控股、管理关系的不同单位，不得参加同一标段投标</w:t>
            </w:r>
          </w:p>
        </w:tc>
        <w:tc>
          <w:tcPr>
            <w:tcW w:w="6075" w:type="dxa"/>
            <w:vAlign w:val="center"/>
          </w:tcPr>
          <w:p w14:paraId="6DA0FE09">
            <w:pPr>
              <w:numPr>
                <w:ilvl w:val="0"/>
                <w:numId w:val="0"/>
              </w:numPr>
              <w:spacing w:line="500" w:lineRule="exact"/>
              <w:jc w:val="left"/>
              <w:rPr>
                <w:rFonts w:ascii="宋体" w:hAnsi="宋体" w:cs="新宋体"/>
                <w:color w:val="000000"/>
                <w:sz w:val="24"/>
                <w:szCs w:val="24"/>
                <w:highlight w:val="none"/>
              </w:rPr>
            </w:pPr>
            <w:r>
              <w:rPr>
                <w:rFonts w:hint="eastAsia" w:ascii="宋体" w:hAnsi="宋体"/>
                <w:sz w:val="24"/>
                <w:szCs w:val="24"/>
                <w:highlight w:val="none"/>
              </w:rPr>
              <w:t>单位负责人为同一人或者存在直接控股、管理关系的不同供应商，不得参加同一合同项下的采购活动；（提供“国家企业信用信息公示系统”中查询打印的相关信息并加盖公章并（查询信息需包含公司基本信息、股东信息及股权变更信息等相关信息，查询起始日期为本项目公告发布之后，查询截止时间为开标时间同一时间）</w:t>
            </w:r>
          </w:p>
        </w:tc>
      </w:tr>
      <w:tr w14:paraId="59E9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03" w:type="dxa"/>
            <w:tcBorders>
              <w:right w:val="single" w:color="auto" w:sz="4" w:space="0"/>
            </w:tcBorders>
            <w:vAlign w:val="center"/>
          </w:tcPr>
          <w:p w14:paraId="1F424CDC">
            <w:pPr>
              <w:jc w:val="center"/>
              <w:rPr>
                <w:rFonts w:hint="default" w:ascii="宋体" w:hAnsi="宋体" w:eastAsia="宋体"/>
                <w:color w:val="000000"/>
                <w:highlight w:val="none"/>
                <w:lang w:val="en-US" w:eastAsia="zh-CN"/>
              </w:rPr>
            </w:pPr>
            <w:r>
              <w:rPr>
                <w:rFonts w:hint="eastAsia" w:ascii="宋体" w:hAnsi="宋体"/>
                <w:color w:val="000000"/>
                <w:highlight w:val="none"/>
                <w:lang w:val="en-US" w:eastAsia="zh-CN"/>
              </w:rPr>
              <w:t>10</w:t>
            </w:r>
          </w:p>
        </w:tc>
        <w:tc>
          <w:tcPr>
            <w:tcW w:w="701" w:type="dxa"/>
            <w:vMerge w:val="continue"/>
            <w:tcBorders>
              <w:left w:val="single" w:color="auto" w:sz="4" w:space="0"/>
              <w:right w:val="single" w:color="auto" w:sz="4" w:space="0"/>
            </w:tcBorders>
          </w:tcPr>
          <w:p w14:paraId="558712C0">
            <w:pPr>
              <w:tabs>
                <w:tab w:val="left" w:pos="360"/>
              </w:tabs>
              <w:jc w:val="center"/>
              <w:rPr>
                <w:rFonts w:ascii="宋体" w:hAnsi="宋体"/>
                <w:color w:val="000000"/>
                <w:sz w:val="24"/>
                <w:highlight w:val="none"/>
              </w:rPr>
            </w:pPr>
          </w:p>
        </w:tc>
        <w:tc>
          <w:tcPr>
            <w:tcW w:w="1771" w:type="dxa"/>
            <w:tcBorders>
              <w:left w:val="single" w:color="auto" w:sz="4" w:space="0"/>
            </w:tcBorders>
            <w:vAlign w:val="center"/>
          </w:tcPr>
          <w:p w14:paraId="3AED5A61">
            <w:pPr>
              <w:tabs>
                <w:tab w:val="left" w:pos="360"/>
              </w:tabs>
              <w:jc w:val="center"/>
              <w:rPr>
                <w:rFonts w:hint="eastAsia" w:ascii="宋体" w:hAnsi="宋体" w:eastAsia="宋体"/>
                <w:kern w:val="0"/>
                <w:sz w:val="24"/>
                <w:szCs w:val="24"/>
                <w:highlight w:val="none"/>
                <w:lang w:eastAsia="zh-CN"/>
              </w:rPr>
            </w:pPr>
            <w:r>
              <w:rPr>
                <w:rFonts w:hint="eastAsia" w:ascii="宋体" w:hAnsi="宋体" w:eastAsia="宋体" w:cs="宋体"/>
                <w:kern w:val="2"/>
                <w:sz w:val="24"/>
                <w:szCs w:val="24"/>
                <w:lang w:val="en-US" w:eastAsia="zh-CN"/>
              </w:rPr>
              <w:t>本次招标不接受联合体投标</w:t>
            </w:r>
          </w:p>
        </w:tc>
        <w:tc>
          <w:tcPr>
            <w:tcW w:w="6075" w:type="dxa"/>
            <w:vAlign w:val="center"/>
          </w:tcPr>
          <w:p w14:paraId="7D032758">
            <w:pPr>
              <w:numPr>
                <w:ilvl w:val="0"/>
                <w:numId w:val="0"/>
              </w:numPr>
              <w:spacing w:line="500" w:lineRule="exact"/>
              <w:jc w:val="left"/>
              <w:rPr>
                <w:rFonts w:hint="eastAsia" w:ascii="宋体" w:hAnsi="宋体"/>
                <w:sz w:val="24"/>
                <w:szCs w:val="24"/>
                <w:highlight w:val="none"/>
              </w:rPr>
            </w:pPr>
            <w:r>
              <w:rPr>
                <w:rFonts w:hint="eastAsia" w:ascii="宋体" w:hAnsi="宋体" w:eastAsia="宋体" w:cs="宋体"/>
                <w:kern w:val="2"/>
                <w:sz w:val="24"/>
                <w:szCs w:val="24"/>
                <w:lang w:val="en-US" w:eastAsia="zh-CN"/>
              </w:rPr>
              <w:t>企业自行承诺，格式自拟；</w:t>
            </w:r>
          </w:p>
        </w:tc>
      </w:tr>
      <w:tr w14:paraId="6C3C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03" w:type="dxa"/>
            <w:tcBorders>
              <w:right w:val="single" w:color="auto" w:sz="4" w:space="0"/>
            </w:tcBorders>
            <w:vAlign w:val="center"/>
          </w:tcPr>
          <w:p w14:paraId="72DBEFF5">
            <w:pPr>
              <w:jc w:val="center"/>
              <w:rPr>
                <w:rFonts w:hint="default" w:ascii="宋体" w:hAnsi="宋体" w:eastAsia="宋体"/>
                <w:color w:val="000000"/>
                <w:highlight w:val="none"/>
                <w:lang w:val="en-US" w:eastAsia="zh-CN"/>
              </w:rPr>
            </w:pPr>
            <w:r>
              <w:rPr>
                <w:rFonts w:hint="eastAsia" w:ascii="宋体" w:hAnsi="宋体"/>
                <w:color w:val="000000"/>
                <w:highlight w:val="none"/>
                <w:lang w:val="en-US" w:eastAsia="zh-CN"/>
              </w:rPr>
              <w:t>11</w:t>
            </w:r>
          </w:p>
        </w:tc>
        <w:tc>
          <w:tcPr>
            <w:tcW w:w="701" w:type="dxa"/>
            <w:vMerge w:val="continue"/>
            <w:tcBorders>
              <w:left w:val="single" w:color="auto" w:sz="4" w:space="0"/>
              <w:right w:val="single" w:color="auto" w:sz="4" w:space="0"/>
            </w:tcBorders>
          </w:tcPr>
          <w:p w14:paraId="43FFFDAE">
            <w:pPr>
              <w:tabs>
                <w:tab w:val="left" w:pos="360"/>
              </w:tabs>
              <w:jc w:val="center"/>
              <w:rPr>
                <w:rFonts w:ascii="宋体" w:hAnsi="宋体"/>
                <w:color w:val="000000"/>
                <w:sz w:val="24"/>
                <w:highlight w:val="none"/>
              </w:rPr>
            </w:pPr>
          </w:p>
        </w:tc>
        <w:tc>
          <w:tcPr>
            <w:tcW w:w="1771" w:type="dxa"/>
            <w:tcBorders>
              <w:left w:val="single" w:color="auto" w:sz="4" w:space="0"/>
            </w:tcBorders>
            <w:vAlign w:val="center"/>
          </w:tcPr>
          <w:p w14:paraId="405D3729">
            <w:pPr>
              <w:tabs>
                <w:tab w:val="left" w:pos="360"/>
              </w:tabs>
              <w:jc w:val="center"/>
              <w:rPr>
                <w:rFonts w:hint="eastAsia" w:ascii="宋体" w:hAnsi="宋体" w:eastAsia="宋体"/>
                <w:kern w:val="0"/>
                <w:sz w:val="24"/>
                <w:szCs w:val="24"/>
                <w:highlight w:val="none"/>
                <w:lang w:eastAsia="zh-CN"/>
              </w:rPr>
            </w:pPr>
            <w:r>
              <w:rPr>
                <w:rFonts w:hint="eastAsia" w:ascii="宋体" w:hAnsi="宋体" w:eastAsia="宋体" w:cs="宋体"/>
                <w:kern w:val="0"/>
                <w:sz w:val="24"/>
                <w:szCs w:val="24"/>
              </w:rPr>
              <w:t>满足《中华人民共和国政府采购法》第二十二条规定</w:t>
            </w:r>
          </w:p>
        </w:tc>
        <w:tc>
          <w:tcPr>
            <w:tcW w:w="6075" w:type="dxa"/>
            <w:vAlign w:val="center"/>
          </w:tcPr>
          <w:p w14:paraId="76441A63">
            <w:pPr>
              <w:numPr>
                <w:ilvl w:val="0"/>
                <w:numId w:val="0"/>
              </w:numPr>
              <w:spacing w:line="500" w:lineRule="exact"/>
              <w:jc w:val="left"/>
              <w:rPr>
                <w:rFonts w:hint="eastAsia" w:ascii="宋体" w:hAnsi="宋体"/>
                <w:sz w:val="24"/>
                <w:szCs w:val="24"/>
                <w:highlight w:val="none"/>
              </w:rPr>
            </w:pPr>
            <w:r>
              <w:rPr>
                <w:rFonts w:hint="eastAsia" w:ascii="宋体" w:hAnsi="宋体" w:eastAsia="宋体" w:cs="宋体"/>
                <w:kern w:val="0"/>
                <w:sz w:val="24"/>
                <w:szCs w:val="24"/>
              </w:rPr>
              <w:t>提供承诺函</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格式</w:t>
            </w:r>
            <w:r>
              <w:rPr>
                <w:rFonts w:hint="eastAsia" w:ascii="宋体" w:hAnsi="宋体" w:eastAsia="宋体" w:cs="宋体"/>
                <w:kern w:val="0"/>
                <w:sz w:val="24"/>
                <w:szCs w:val="24"/>
                <w:lang w:eastAsia="zh-CN"/>
              </w:rPr>
              <w:t>自拟</w:t>
            </w:r>
          </w:p>
        </w:tc>
      </w:tr>
      <w:tr w14:paraId="10D9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703" w:type="dxa"/>
            <w:vAlign w:val="center"/>
          </w:tcPr>
          <w:p w14:paraId="11524C8F">
            <w:pPr>
              <w:jc w:val="center"/>
              <w:rPr>
                <w:rFonts w:ascii="宋体" w:hAnsi="宋体"/>
                <w:color w:val="000000"/>
                <w:szCs w:val="21"/>
                <w:highlight w:val="none"/>
              </w:rPr>
            </w:pPr>
            <w:r>
              <w:rPr>
                <w:rFonts w:hint="eastAsia" w:ascii="宋体" w:hAnsi="宋体"/>
                <w:color w:val="000000"/>
                <w:szCs w:val="21"/>
                <w:highlight w:val="none"/>
              </w:rPr>
              <w:t>1</w:t>
            </w:r>
          </w:p>
        </w:tc>
        <w:tc>
          <w:tcPr>
            <w:tcW w:w="701" w:type="dxa"/>
            <w:vMerge w:val="restart"/>
            <w:tcBorders>
              <w:top w:val="single" w:color="auto" w:sz="4" w:space="0"/>
            </w:tcBorders>
            <w:vAlign w:val="center"/>
          </w:tcPr>
          <w:p w14:paraId="0448424D">
            <w:pPr>
              <w:tabs>
                <w:tab w:val="left" w:pos="360"/>
              </w:tabs>
              <w:spacing w:line="360" w:lineRule="auto"/>
              <w:jc w:val="center"/>
              <w:rPr>
                <w:rFonts w:ascii="宋体" w:hAnsi="宋体"/>
                <w:color w:val="000000"/>
                <w:sz w:val="24"/>
                <w:highlight w:val="none"/>
              </w:rPr>
            </w:pPr>
          </w:p>
          <w:p w14:paraId="31788EC2">
            <w:pPr>
              <w:tabs>
                <w:tab w:val="left" w:pos="360"/>
              </w:tabs>
              <w:spacing w:line="360" w:lineRule="auto"/>
              <w:jc w:val="center"/>
              <w:rPr>
                <w:rFonts w:ascii="宋体" w:hAnsi="宋体"/>
                <w:color w:val="000000"/>
                <w:sz w:val="24"/>
                <w:highlight w:val="none"/>
              </w:rPr>
            </w:pPr>
          </w:p>
          <w:p w14:paraId="17AC1048">
            <w:pPr>
              <w:tabs>
                <w:tab w:val="left" w:pos="360"/>
              </w:tabs>
              <w:spacing w:line="360" w:lineRule="auto"/>
              <w:jc w:val="center"/>
              <w:rPr>
                <w:rFonts w:ascii="宋体" w:hAnsi="宋体"/>
                <w:color w:val="000000"/>
                <w:sz w:val="24"/>
                <w:highlight w:val="none"/>
              </w:rPr>
            </w:pPr>
          </w:p>
          <w:p w14:paraId="2E45F3BF">
            <w:pPr>
              <w:tabs>
                <w:tab w:val="left" w:pos="360"/>
              </w:tabs>
              <w:spacing w:line="360" w:lineRule="auto"/>
              <w:jc w:val="center"/>
              <w:rPr>
                <w:rFonts w:ascii="宋体" w:hAnsi="宋体"/>
                <w:color w:val="000000"/>
                <w:sz w:val="24"/>
                <w:highlight w:val="none"/>
              </w:rPr>
            </w:pPr>
            <w:r>
              <w:rPr>
                <w:rFonts w:hint="eastAsia" w:ascii="宋体" w:hAnsi="宋体"/>
                <w:color w:val="000000"/>
                <w:sz w:val="24"/>
                <w:highlight w:val="none"/>
              </w:rPr>
              <w:t>符</w:t>
            </w:r>
          </w:p>
          <w:p w14:paraId="02CB9F4E">
            <w:pPr>
              <w:tabs>
                <w:tab w:val="left" w:pos="360"/>
              </w:tabs>
              <w:spacing w:line="360" w:lineRule="auto"/>
              <w:jc w:val="center"/>
              <w:rPr>
                <w:rFonts w:ascii="宋体" w:hAnsi="宋体"/>
                <w:color w:val="000000"/>
                <w:sz w:val="24"/>
                <w:highlight w:val="none"/>
              </w:rPr>
            </w:pPr>
            <w:r>
              <w:rPr>
                <w:rFonts w:hint="eastAsia" w:ascii="宋体" w:hAnsi="宋体"/>
                <w:color w:val="000000"/>
                <w:sz w:val="24"/>
                <w:highlight w:val="none"/>
              </w:rPr>
              <w:t>合</w:t>
            </w:r>
          </w:p>
          <w:p w14:paraId="09FCFC29">
            <w:pPr>
              <w:tabs>
                <w:tab w:val="left" w:pos="360"/>
              </w:tabs>
              <w:spacing w:line="360" w:lineRule="auto"/>
              <w:jc w:val="center"/>
              <w:rPr>
                <w:rFonts w:ascii="宋体" w:hAnsi="宋体"/>
                <w:color w:val="000000"/>
                <w:sz w:val="24"/>
                <w:highlight w:val="none"/>
              </w:rPr>
            </w:pPr>
            <w:r>
              <w:rPr>
                <w:rFonts w:hint="eastAsia" w:ascii="宋体" w:hAnsi="宋体"/>
                <w:color w:val="000000"/>
                <w:sz w:val="24"/>
                <w:highlight w:val="none"/>
              </w:rPr>
              <w:t>性</w:t>
            </w:r>
          </w:p>
          <w:p w14:paraId="2E6F7A7E">
            <w:pPr>
              <w:tabs>
                <w:tab w:val="left" w:pos="360"/>
              </w:tabs>
              <w:spacing w:line="360" w:lineRule="auto"/>
              <w:jc w:val="center"/>
              <w:rPr>
                <w:rFonts w:ascii="宋体" w:hAnsi="宋体"/>
                <w:color w:val="000000"/>
                <w:sz w:val="24"/>
                <w:highlight w:val="none"/>
              </w:rPr>
            </w:pPr>
            <w:r>
              <w:rPr>
                <w:rFonts w:hint="eastAsia" w:ascii="宋体" w:hAnsi="宋体"/>
                <w:color w:val="000000"/>
                <w:sz w:val="24"/>
                <w:highlight w:val="none"/>
              </w:rPr>
              <w:t>审</w:t>
            </w:r>
          </w:p>
          <w:p w14:paraId="26B106BD">
            <w:pPr>
              <w:tabs>
                <w:tab w:val="left" w:pos="360"/>
              </w:tabs>
              <w:spacing w:line="360" w:lineRule="auto"/>
              <w:jc w:val="center"/>
              <w:rPr>
                <w:rFonts w:ascii="宋体" w:hAnsi="宋体"/>
                <w:color w:val="000000"/>
                <w:sz w:val="24"/>
                <w:highlight w:val="none"/>
              </w:rPr>
            </w:pPr>
            <w:r>
              <w:rPr>
                <w:rFonts w:hint="eastAsia" w:ascii="宋体" w:hAnsi="宋体"/>
                <w:color w:val="000000"/>
                <w:sz w:val="24"/>
                <w:highlight w:val="none"/>
              </w:rPr>
              <w:t>查</w:t>
            </w:r>
          </w:p>
          <w:p w14:paraId="16974D2B">
            <w:pPr>
              <w:tabs>
                <w:tab w:val="left" w:pos="360"/>
              </w:tabs>
              <w:spacing w:line="360" w:lineRule="auto"/>
              <w:jc w:val="center"/>
              <w:rPr>
                <w:rFonts w:ascii="宋体" w:hAnsi="宋体"/>
                <w:color w:val="000000"/>
                <w:sz w:val="24"/>
                <w:highlight w:val="none"/>
              </w:rPr>
            </w:pPr>
            <w:r>
              <w:rPr>
                <w:rFonts w:hint="eastAsia" w:ascii="宋体" w:hAnsi="宋体"/>
                <w:color w:val="000000"/>
                <w:sz w:val="24"/>
                <w:highlight w:val="none"/>
              </w:rPr>
              <w:t>标</w:t>
            </w:r>
          </w:p>
          <w:p w14:paraId="5B13005C">
            <w:pPr>
              <w:tabs>
                <w:tab w:val="left" w:pos="360"/>
              </w:tabs>
              <w:spacing w:line="360" w:lineRule="auto"/>
              <w:jc w:val="center"/>
              <w:rPr>
                <w:rFonts w:ascii="宋体" w:hAnsi="宋体"/>
                <w:color w:val="000000"/>
                <w:sz w:val="24"/>
                <w:highlight w:val="none"/>
              </w:rPr>
            </w:pPr>
            <w:r>
              <w:rPr>
                <w:rFonts w:hint="eastAsia" w:ascii="宋体" w:hAnsi="宋体"/>
                <w:color w:val="000000"/>
                <w:sz w:val="24"/>
                <w:highlight w:val="none"/>
              </w:rPr>
              <w:t>准</w:t>
            </w:r>
          </w:p>
        </w:tc>
        <w:tc>
          <w:tcPr>
            <w:tcW w:w="1771" w:type="dxa"/>
            <w:vAlign w:val="center"/>
          </w:tcPr>
          <w:p w14:paraId="5353F8BE">
            <w:pPr>
              <w:tabs>
                <w:tab w:val="left" w:pos="360"/>
              </w:tabs>
              <w:jc w:val="center"/>
              <w:rPr>
                <w:rFonts w:ascii="宋体" w:hAnsi="宋体"/>
                <w:color w:val="000000"/>
                <w:sz w:val="24"/>
                <w:highlight w:val="none"/>
              </w:rPr>
            </w:pPr>
            <w:r>
              <w:rPr>
                <w:rFonts w:hint="eastAsia" w:ascii="宋体" w:hAnsi="宋体"/>
                <w:color w:val="000000"/>
                <w:sz w:val="24"/>
                <w:highlight w:val="none"/>
              </w:rPr>
              <w:t>采购内容及技术要求</w:t>
            </w:r>
          </w:p>
        </w:tc>
        <w:tc>
          <w:tcPr>
            <w:tcW w:w="6075" w:type="dxa"/>
            <w:vAlign w:val="center"/>
          </w:tcPr>
          <w:p w14:paraId="44011BC3">
            <w:pPr>
              <w:spacing w:line="360" w:lineRule="auto"/>
              <w:jc w:val="left"/>
              <w:rPr>
                <w:rFonts w:ascii="宋体" w:hAnsi="宋体" w:cs="新宋体"/>
                <w:color w:val="000000"/>
                <w:sz w:val="24"/>
                <w:szCs w:val="24"/>
                <w:highlight w:val="none"/>
              </w:rPr>
            </w:pPr>
            <w:r>
              <w:rPr>
                <w:rFonts w:hint="eastAsia" w:ascii="宋体" w:hAnsi="宋体" w:cs="新宋体"/>
                <w:color w:val="000000"/>
                <w:sz w:val="24"/>
                <w:szCs w:val="24"/>
                <w:highlight w:val="none"/>
              </w:rPr>
              <w:t>符合第四章“采购内容及技术要求”规定</w:t>
            </w:r>
          </w:p>
        </w:tc>
      </w:tr>
      <w:tr w14:paraId="4DE7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03" w:type="dxa"/>
            <w:vAlign w:val="center"/>
          </w:tcPr>
          <w:p w14:paraId="3B6A96FD">
            <w:pPr>
              <w:jc w:val="center"/>
              <w:rPr>
                <w:rFonts w:ascii="宋体" w:hAnsi="宋体"/>
                <w:color w:val="000000"/>
                <w:szCs w:val="21"/>
                <w:highlight w:val="none"/>
              </w:rPr>
            </w:pPr>
            <w:r>
              <w:rPr>
                <w:rFonts w:hint="eastAsia" w:ascii="宋体" w:hAnsi="宋体"/>
                <w:color w:val="000000"/>
                <w:szCs w:val="21"/>
                <w:highlight w:val="none"/>
              </w:rPr>
              <w:t>2</w:t>
            </w:r>
          </w:p>
        </w:tc>
        <w:tc>
          <w:tcPr>
            <w:tcW w:w="701" w:type="dxa"/>
            <w:vMerge w:val="continue"/>
          </w:tcPr>
          <w:p w14:paraId="7B6E9F31">
            <w:pPr>
              <w:tabs>
                <w:tab w:val="left" w:pos="360"/>
              </w:tabs>
              <w:jc w:val="center"/>
              <w:rPr>
                <w:rFonts w:ascii="宋体" w:hAnsi="宋体"/>
                <w:color w:val="000000"/>
                <w:sz w:val="24"/>
                <w:highlight w:val="none"/>
              </w:rPr>
            </w:pPr>
          </w:p>
        </w:tc>
        <w:tc>
          <w:tcPr>
            <w:tcW w:w="1771" w:type="dxa"/>
            <w:vAlign w:val="center"/>
          </w:tcPr>
          <w:p w14:paraId="22BD3D51">
            <w:pPr>
              <w:tabs>
                <w:tab w:val="left" w:pos="360"/>
              </w:tabs>
              <w:jc w:val="center"/>
              <w:rPr>
                <w:rFonts w:ascii="宋体" w:hAnsi="宋体" w:cs="宋体"/>
                <w:color w:val="000000"/>
                <w:szCs w:val="21"/>
                <w:highlight w:val="none"/>
              </w:rPr>
            </w:pPr>
            <w:r>
              <w:rPr>
                <w:rFonts w:hint="eastAsia" w:ascii="宋体" w:hAnsi="宋体"/>
                <w:color w:val="000000"/>
                <w:sz w:val="24"/>
                <w:highlight w:val="none"/>
              </w:rPr>
              <w:t>供货期</w:t>
            </w:r>
          </w:p>
        </w:tc>
        <w:tc>
          <w:tcPr>
            <w:tcW w:w="6075" w:type="dxa"/>
            <w:vAlign w:val="center"/>
          </w:tcPr>
          <w:p w14:paraId="6D88C6AB">
            <w:pPr>
              <w:spacing w:line="360" w:lineRule="auto"/>
              <w:jc w:val="left"/>
              <w:rPr>
                <w:rFonts w:ascii="宋体" w:hAnsi="宋体" w:cs="新宋体"/>
                <w:color w:val="000000"/>
                <w:sz w:val="24"/>
                <w:szCs w:val="24"/>
                <w:highlight w:val="none"/>
              </w:rPr>
            </w:pPr>
            <w:r>
              <w:rPr>
                <w:rFonts w:hint="eastAsia" w:ascii="宋体" w:hAnsi="宋体" w:cs="新宋体"/>
                <w:color w:val="000000"/>
                <w:sz w:val="24"/>
                <w:szCs w:val="24"/>
                <w:highlight w:val="none"/>
              </w:rPr>
              <w:t>符合第二章“供应商须知前附表”规定</w:t>
            </w:r>
          </w:p>
        </w:tc>
      </w:tr>
      <w:tr w14:paraId="1448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703" w:type="dxa"/>
            <w:vAlign w:val="center"/>
          </w:tcPr>
          <w:p w14:paraId="7ED1FC5A">
            <w:pPr>
              <w:jc w:val="center"/>
              <w:rPr>
                <w:rFonts w:ascii="宋体" w:hAnsi="宋体"/>
                <w:color w:val="000000"/>
                <w:szCs w:val="21"/>
                <w:highlight w:val="none"/>
              </w:rPr>
            </w:pPr>
            <w:r>
              <w:rPr>
                <w:rFonts w:hint="eastAsia" w:ascii="宋体" w:hAnsi="宋体"/>
                <w:color w:val="000000"/>
                <w:szCs w:val="21"/>
                <w:highlight w:val="none"/>
              </w:rPr>
              <w:t>3</w:t>
            </w:r>
          </w:p>
        </w:tc>
        <w:tc>
          <w:tcPr>
            <w:tcW w:w="701" w:type="dxa"/>
            <w:vMerge w:val="continue"/>
          </w:tcPr>
          <w:p w14:paraId="7E5DEED6">
            <w:pPr>
              <w:tabs>
                <w:tab w:val="left" w:pos="360"/>
              </w:tabs>
              <w:jc w:val="center"/>
              <w:rPr>
                <w:rFonts w:ascii="宋体" w:hAnsi="宋体"/>
                <w:color w:val="000000"/>
                <w:sz w:val="24"/>
                <w:highlight w:val="none"/>
              </w:rPr>
            </w:pPr>
          </w:p>
        </w:tc>
        <w:tc>
          <w:tcPr>
            <w:tcW w:w="1771" w:type="dxa"/>
            <w:vAlign w:val="center"/>
          </w:tcPr>
          <w:p w14:paraId="272867D1">
            <w:pPr>
              <w:tabs>
                <w:tab w:val="left" w:pos="360"/>
              </w:tabs>
              <w:jc w:val="center"/>
              <w:rPr>
                <w:rFonts w:ascii="宋体" w:hAnsi="宋体"/>
                <w:color w:val="000000"/>
                <w:sz w:val="24"/>
                <w:highlight w:val="none"/>
              </w:rPr>
            </w:pPr>
            <w:r>
              <w:rPr>
                <w:rFonts w:hint="eastAsia" w:ascii="宋体" w:hAnsi="宋体"/>
                <w:color w:val="000000"/>
                <w:sz w:val="24"/>
                <w:highlight w:val="none"/>
              </w:rPr>
              <w:t>质量要求</w:t>
            </w:r>
          </w:p>
        </w:tc>
        <w:tc>
          <w:tcPr>
            <w:tcW w:w="6075" w:type="dxa"/>
            <w:vAlign w:val="center"/>
          </w:tcPr>
          <w:p w14:paraId="22E78866">
            <w:pPr>
              <w:tabs>
                <w:tab w:val="left" w:pos="360"/>
              </w:tabs>
              <w:jc w:val="left"/>
              <w:rPr>
                <w:rFonts w:ascii="宋体" w:hAnsi="宋体"/>
                <w:bCs/>
                <w:color w:val="000000"/>
                <w:sz w:val="24"/>
                <w:highlight w:val="none"/>
              </w:rPr>
            </w:pPr>
            <w:r>
              <w:rPr>
                <w:rFonts w:hint="eastAsia" w:ascii="宋体" w:hAnsi="宋体"/>
                <w:color w:val="000000"/>
                <w:sz w:val="24"/>
                <w:highlight w:val="none"/>
              </w:rPr>
              <w:t>符合第二章“供应商须知前附表”规定</w:t>
            </w:r>
          </w:p>
        </w:tc>
      </w:tr>
      <w:tr w14:paraId="3E70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703" w:type="dxa"/>
            <w:vAlign w:val="center"/>
          </w:tcPr>
          <w:p w14:paraId="078BA7AC">
            <w:pPr>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4</w:t>
            </w:r>
          </w:p>
        </w:tc>
        <w:tc>
          <w:tcPr>
            <w:tcW w:w="701" w:type="dxa"/>
            <w:vMerge w:val="continue"/>
          </w:tcPr>
          <w:p w14:paraId="4D113A92">
            <w:pPr>
              <w:tabs>
                <w:tab w:val="left" w:pos="360"/>
              </w:tabs>
              <w:jc w:val="center"/>
              <w:rPr>
                <w:rFonts w:ascii="宋体" w:hAnsi="宋体"/>
                <w:color w:val="000000"/>
                <w:sz w:val="24"/>
                <w:highlight w:val="none"/>
              </w:rPr>
            </w:pPr>
          </w:p>
        </w:tc>
        <w:tc>
          <w:tcPr>
            <w:tcW w:w="1771" w:type="dxa"/>
            <w:vAlign w:val="center"/>
          </w:tcPr>
          <w:p w14:paraId="76D87015">
            <w:pPr>
              <w:tabs>
                <w:tab w:val="left" w:pos="360"/>
              </w:tabs>
              <w:jc w:val="center"/>
              <w:rPr>
                <w:rFonts w:hint="eastAsia" w:ascii="宋体" w:hAnsi="宋体" w:eastAsia="宋体"/>
                <w:color w:val="000000"/>
                <w:sz w:val="24"/>
                <w:highlight w:val="none"/>
                <w:lang w:eastAsia="zh-CN"/>
              </w:rPr>
            </w:pPr>
            <w:r>
              <w:rPr>
                <w:rFonts w:hint="eastAsia" w:ascii="宋体" w:hAnsi="宋体"/>
                <w:color w:val="000000"/>
                <w:sz w:val="24"/>
                <w:highlight w:val="none"/>
                <w:lang w:eastAsia="zh-CN"/>
              </w:rPr>
              <w:t>质保期</w:t>
            </w:r>
          </w:p>
        </w:tc>
        <w:tc>
          <w:tcPr>
            <w:tcW w:w="6075" w:type="dxa"/>
            <w:vAlign w:val="center"/>
          </w:tcPr>
          <w:p w14:paraId="377BA238">
            <w:pPr>
              <w:tabs>
                <w:tab w:val="left" w:pos="360"/>
              </w:tabs>
              <w:jc w:val="left"/>
              <w:rPr>
                <w:rFonts w:hint="eastAsia" w:ascii="宋体" w:hAnsi="宋体"/>
                <w:color w:val="000000"/>
                <w:sz w:val="24"/>
                <w:highlight w:val="none"/>
              </w:rPr>
            </w:pPr>
            <w:r>
              <w:rPr>
                <w:rFonts w:hint="eastAsia" w:ascii="宋体" w:hAnsi="宋体"/>
                <w:color w:val="000000"/>
                <w:sz w:val="24"/>
                <w:highlight w:val="none"/>
              </w:rPr>
              <w:t>符合第二章“供应商须知前附表”规定</w:t>
            </w:r>
          </w:p>
        </w:tc>
      </w:tr>
      <w:tr w14:paraId="012B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03" w:type="dxa"/>
            <w:vAlign w:val="center"/>
          </w:tcPr>
          <w:p w14:paraId="2BBEC82B">
            <w:pPr>
              <w:jc w:val="center"/>
              <w:rPr>
                <w:rFonts w:ascii="宋体" w:hAnsi="宋体"/>
                <w:color w:val="000000"/>
                <w:szCs w:val="21"/>
                <w:highlight w:val="none"/>
              </w:rPr>
            </w:pPr>
            <w:r>
              <w:rPr>
                <w:rFonts w:hint="eastAsia" w:ascii="宋体" w:hAnsi="宋体"/>
                <w:color w:val="000000"/>
                <w:szCs w:val="21"/>
                <w:highlight w:val="none"/>
              </w:rPr>
              <w:t>5</w:t>
            </w:r>
          </w:p>
        </w:tc>
        <w:tc>
          <w:tcPr>
            <w:tcW w:w="701" w:type="dxa"/>
            <w:vMerge w:val="continue"/>
          </w:tcPr>
          <w:p w14:paraId="1A1BAB54">
            <w:pPr>
              <w:tabs>
                <w:tab w:val="left" w:pos="360"/>
              </w:tabs>
              <w:jc w:val="center"/>
              <w:rPr>
                <w:rFonts w:ascii="宋体" w:hAnsi="宋体"/>
                <w:color w:val="000000"/>
                <w:sz w:val="24"/>
                <w:highlight w:val="none"/>
              </w:rPr>
            </w:pPr>
          </w:p>
        </w:tc>
        <w:tc>
          <w:tcPr>
            <w:tcW w:w="1771" w:type="dxa"/>
            <w:vAlign w:val="center"/>
          </w:tcPr>
          <w:p w14:paraId="01825F4D">
            <w:pPr>
              <w:tabs>
                <w:tab w:val="left" w:pos="360"/>
              </w:tabs>
              <w:jc w:val="center"/>
              <w:rPr>
                <w:rFonts w:ascii="宋体" w:hAnsi="宋体"/>
                <w:color w:val="000000"/>
                <w:sz w:val="24"/>
                <w:highlight w:val="none"/>
              </w:rPr>
            </w:pPr>
            <w:r>
              <w:rPr>
                <w:rFonts w:hint="eastAsia" w:ascii="宋体" w:hAnsi="宋体"/>
                <w:color w:val="000000"/>
                <w:sz w:val="24"/>
                <w:highlight w:val="none"/>
              </w:rPr>
              <w:t>谈判有效期</w:t>
            </w:r>
          </w:p>
        </w:tc>
        <w:tc>
          <w:tcPr>
            <w:tcW w:w="6075" w:type="dxa"/>
            <w:vAlign w:val="center"/>
          </w:tcPr>
          <w:p w14:paraId="01C2194C">
            <w:pPr>
              <w:tabs>
                <w:tab w:val="left" w:pos="360"/>
              </w:tabs>
              <w:jc w:val="left"/>
              <w:rPr>
                <w:rFonts w:ascii="宋体" w:hAnsi="宋体"/>
                <w:color w:val="000000"/>
                <w:sz w:val="24"/>
                <w:highlight w:val="none"/>
              </w:rPr>
            </w:pPr>
            <w:r>
              <w:rPr>
                <w:rFonts w:hint="eastAsia" w:ascii="宋体" w:hAnsi="宋体"/>
                <w:color w:val="000000"/>
                <w:sz w:val="24"/>
                <w:highlight w:val="none"/>
              </w:rPr>
              <w:t>符合第二章“供应商须知前附表”规定</w:t>
            </w:r>
          </w:p>
        </w:tc>
      </w:tr>
      <w:tr w14:paraId="3D47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03" w:type="dxa"/>
            <w:vAlign w:val="center"/>
          </w:tcPr>
          <w:p w14:paraId="0B092E20">
            <w:pPr>
              <w:jc w:val="center"/>
              <w:rPr>
                <w:rFonts w:ascii="宋体" w:hAnsi="宋体"/>
                <w:color w:val="000000"/>
                <w:szCs w:val="21"/>
                <w:highlight w:val="none"/>
              </w:rPr>
            </w:pPr>
            <w:r>
              <w:rPr>
                <w:rFonts w:hint="eastAsia" w:ascii="宋体" w:hAnsi="宋体"/>
                <w:color w:val="000000"/>
                <w:szCs w:val="21"/>
                <w:highlight w:val="none"/>
              </w:rPr>
              <w:t>6</w:t>
            </w:r>
          </w:p>
        </w:tc>
        <w:tc>
          <w:tcPr>
            <w:tcW w:w="701" w:type="dxa"/>
            <w:vMerge w:val="continue"/>
          </w:tcPr>
          <w:p w14:paraId="23CAFB7B">
            <w:pPr>
              <w:tabs>
                <w:tab w:val="left" w:pos="360"/>
              </w:tabs>
              <w:jc w:val="center"/>
              <w:rPr>
                <w:rFonts w:ascii="宋体" w:hAnsi="宋体"/>
                <w:color w:val="000000"/>
                <w:sz w:val="24"/>
                <w:highlight w:val="none"/>
              </w:rPr>
            </w:pPr>
          </w:p>
        </w:tc>
        <w:tc>
          <w:tcPr>
            <w:tcW w:w="1771" w:type="dxa"/>
            <w:vAlign w:val="center"/>
          </w:tcPr>
          <w:p w14:paraId="61F77B6F">
            <w:pPr>
              <w:tabs>
                <w:tab w:val="left" w:pos="360"/>
              </w:tabs>
              <w:jc w:val="center"/>
              <w:rPr>
                <w:rFonts w:ascii="宋体" w:hAnsi="宋体" w:cs="宋体"/>
                <w:color w:val="000000"/>
                <w:sz w:val="24"/>
                <w:szCs w:val="21"/>
                <w:highlight w:val="none"/>
              </w:rPr>
            </w:pPr>
            <w:r>
              <w:rPr>
                <w:rFonts w:hint="eastAsia" w:ascii="宋体" w:hAnsi="宋体" w:cs="宋体"/>
                <w:color w:val="000000"/>
                <w:sz w:val="24"/>
                <w:szCs w:val="21"/>
                <w:highlight w:val="none"/>
              </w:rPr>
              <w:t>供应商名称</w:t>
            </w:r>
          </w:p>
        </w:tc>
        <w:tc>
          <w:tcPr>
            <w:tcW w:w="6075" w:type="dxa"/>
            <w:vAlign w:val="center"/>
          </w:tcPr>
          <w:p w14:paraId="4ED3E934">
            <w:pPr>
              <w:tabs>
                <w:tab w:val="left" w:pos="360"/>
              </w:tabs>
              <w:rPr>
                <w:rFonts w:ascii="宋体" w:hAnsi="宋体" w:cs="宋体"/>
                <w:color w:val="000000"/>
                <w:sz w:val="24"/>
                <w:szCs w:val="21"/>
                <w:highlight w:val="none"/>
              </w:rPr>
            </w:pPr>
            <w:r>
              <w:rPr>
                <w:rFonts w:hint="eastAsia" w:ascii="宋体" w:hAnsi="宋体" w:cs="宋体"/>
                <w:color w:val="000000"/>
                <w:sz w:val="24"/>
                <w:szCs w:val="21"/>
                <w:highlight w:val="none"/>
              </w:rPr>
              <w:t>供应商名称与营业执照等一致；</w:t>
            </w:r>
          </w:p>
        </w:tc>
      </w:tr>
      <w:tr w14:paraId="3008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03" w:type="dxa"/>
            <w:vAlign w:val="center"/>
          </w:tcPr>
          <w:p w14:paraId="7533C9E9">
            <w:pPr>
              <w:jc w:val="center"/>
              <w:rPr>
                <w:rFonts w:ascii="宋体" w:hAnsi="宋体"/>
                <w:color w:val="000000"/>
                <w:szCs w:val="21"/>
                <w:highlight w:val="none"/>
              </w:rPr>
            </w:pPr>
            <w:r>
              <w:rPr>
                <w:rFonts w:hint="eastAsia" w:ascii="宋体" w:hAnsi="宋体"/>
                <w:color w:val="000000"/>
                <w:szCs w:val="21"/>
                <w:highlight w:val="none"/>
              </w:rPr>
              <w:t>7</w:t>
            </w:r>
          </w:p>
        </w:tc>
        <w:tc>
          <w:tcPr>
            <w:tcW w:w="701" w:type="dxa"/>
            <w:vMerge w:val="continue"/>
          </w:tcPr>
          <w:p w14:paraId="1ABC0B94">
            <w:pPr>
              <w:tabs>
                <w:tab w:val="left" w:pos="360"/>
              </w:tabs>
              <w:jc w:val="center"/>
              <w:rPr>
                <w:rFonts w:ascii="宋体" w:hAnsi="宋体"/>
                <w:color w:val="000000"/>
                <w:sz w:val="24"/>
                <w:highlight w:val="none"/>
              </w:rPr>
            </w:pPr>
          </w:p>
        </w:tc>
        <w:tc>
          <w:tcPr>
            <w:tcW w:w="1771" w:type="dxa"/>
            <w:vAlign w:val="center"/>
          </w:tcPr>
          <w:p w14:paraId="11D1A86E">
            <w:pPr>
              <w:tabs>
                <w:tab w:val="left" w:pos="360"/>
              </w:tabs>
              <w:jc w:val="center"/>
              <w:rPr>
                <w:rFonts w:ascii="宋体" w:hAnsi="宋体" w:cs="宋体"/>
                <w:color w:val="000000"/>
                <w:sz w:val="24"/>
                <w:szCs w:val="21"/>
                <w:highlight w:val="none"/>
              </w:rPr>
            </w:pPr>
            <w:r>
              <w:rPr>
                <w:rFonts w:hint="eastAsia" w:ascii="宋体" w:hAnsi="宋体" w:cs="宋体"/>
                <w:color w:val="000000"/>
                <w:sz w:val="24"/>
                <w:szCs w:val="21"/>
                <w:highlight w:val="none"/>
              </w:rPr>
              <w:t>签字或盖章</w:t>
            </w:r>
          </w:p>
        </w:tc>
        <w:tc>
          <w:tcPr>
            <w:tcW w:w="6075" w:type="dxa"/>
            <w:vAlign w:val="center"/>
          </w:tcPr>
          <w:p w14:paraId="7B367040">
            <w:pPr>
              <w:tabs>
                <w:tab w:val="left" w:pos="360"/>
              </w:tabs>
              <w:rPr>
                <w:rFonts w:ascii="宋体" w:hAnsi="宋体" w:cs="宋体"/>
                <w:color w:val="000000"/>
                <w:sz w:val="24"/>
                <w:szCs w:val="21"/>
                <w:highlight w:val="none"/>
              </w:rPr>
            </w:pPr>
            <w:r>
              <w:rPr>
                <w:rFonts w:hint="eastAsia" w:ascii="宋体" w:hAnsi="宋体" w:cs="宋体"/>
                <w:color w:val="000000"/>
                <w:sz w:val="24"/>
                <w:szCs w:val="21"/>
                <w:highlight w:val="none"/>
              </w:rPr>
              <w:t>符合第二章“供应商须知前附表”规定</w:t>
            </w:r>
          </w:p>
        </w:tc>
      </w:tr>
      <w:tr w14:paraId="6BE1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03" w:type="dxa"/>
            <w:vAlign w:val="center"/>
          </w:tcPr>
          <w:p w14:paraId="5F92A04F">
            <w:pPr>
              <w:jc w:val="center"/>
              <w:rPr>
                <w:rFonts w:ascii="宋体" w:hAnsi="宋体"/>
                <w:color w:val="000000"/>
                <w:szCs w:val="21"/>
                <w:highlight w:val="none"/>
              </w:rPr>
            </w:pPr>
            <w:r>
              <w:rPr>
                <w:rFonts w:hint="eastAsia" w:ascii="宋体" w:hAnsi="宋体"/>
                <w:color w:val="000000"/>
                <w:szCs w:val="21"/>
                <w:highlight w:val="none"/>
              </w:rPr>
              <w:t>8</w:t>
            </w:r>
          </w:p>
        </w:tc>
        <w:tc>
          <w:tcPr>
            <w:tcW w:w="701" w:type="dxa"/>
            <w:vMerge w:val="continue"/>
          </w:tcPr>
          <w:p w14:paraId="6D567A6A">
            <w:pPr>
              <w:tabs>
                <w:tab w:val="left" w:pos="360"/>
              </w:tabs>
              <w:jc w:val="center"/>
              <w:rPr>
                <w:rFonts w:ascii="宋体" w:hAnsi="宋体"/>
                <w:color w:val="000000"/>
                <w:sz w:val="24"/>
                <w:highlight w:val="none"/>
              </w:rPr>
            </w:pPr>
          </w:p>
        </w:tc>
        <w:tc>
          <w:tcPr>
            <w:tcW w:w="1771" w:type="dxa"/>
            <w:vAlign w:val="center"/>
          </w:tcPr>
          <w:p w14:paraId="53CE835E">
            <w:pPr>
              <w:tabs>
                <w:tab w:val="left" w:pos="360"/>
              </w:tabs>
              <w:jc w:val="center"/>
              <w:rPr>
                <w:rFonts w:ascii="宋体" w:hAnsi="宋体" w:cs="宋体"/>
                <w:color w:val="000000"/>
                <w:sz w:val="24"/>
                <w:szCs w:val="21"/>
                <w:highlight w:val="none"/>
              </w:rPr>
            </w:pPr>
            <w:r>
              <w:rPr>
                <w:rFonts w:hint="eastAsia" w:ascii="宋体" w:hAnsi="宋体" w:cs="宋体"/>
                <w:color w:val="000000"/>
                <w:sz w:val="24"/>
                <w:szCs w:val="21"/>
                <w:highlight w:val="none"/>
              </w:rPr>
              <w:t>响应文件格式</w:t>
            </w:r>
          </w:p>
        </w:tc>
        <w:tc>
          <w:tcPr>
            <w:tcW w:w="6075" w:type="dxa"/>
            <w:vAlign w:val="center"/>
          </w:tcPr>
          <w:p w14:paraId="0D53E704">
            <w:pPr>
              <w:tabs>
                <w:tab w:val="left" w:pos="360"/>
              </w:tabs>
              <w:jc w:val="both"/>
              <w:rPr>
                <w:rFonts w:ascii="宋体" w:hAnsi="宋体" w:cs="宋体"/>
                <w:color w:val="000000"/>
                <w:sz w:val="24"/>
                <w:szCs w:val="21"/>
                <w:highlight w:val="none"/>
              </w:rPr>
            </w:pPr>
            <w:r>
              <w:rPr>
                <w:rFonts w:hint="eastAsia" w:ascii="宋体" w:hAnsi="宋体" w:cs="宋体"/>
                <w:color w:val="000000"/>
                <w:sz w:val="24"/>
                <w:szCs w:val="21"/>
                <w:highlight w:val="none"/>
              </w:rPr>
              <w:t>符合第六章“响应文件格式”的要求；</w:t>
            </w:r>
          </w:p>
        </w:tc>
      </w:tr>
      <w:tr w14:paraId="15CC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03" w:type="dxa"/>
            <w:vAlign w:val="center"/>
          </w:tcPr>
          <w:p w14:paraId="02A3C3CF">
            <w:pPr>
              <w:jc w:val="center"/>
              <w:rPr>
                <w:rFonts w:ascii="宋体" w:hAnsi="宋体"/>
                <w:color w:val="000000"/>
                <w:szCs w:val="21"/>
                <w:highlight w:val="none"/>
              </w:rPr>
            </w:pPr>
            <w:r>
              <w:rPr>
                <w:rFonts w:hint="eastAsia" w:ascii="宋体" w:hAnsi="宋体"/>
                <w:color w:val="000000"/>
                <w:szCs w:val="21"/>
                <w:highlight w:val="none"/>
              </w:rPr>
              <w:t>9</w:t>
            </w:r>
          </w:p>
        </w:tc>
        <w:tc>
          <w:tcPr>
            <w:tcW w:w="701" w:type="dxa"/>
            <w:vMerge w:val="continue"/>
          </w:tcPr>
          <w:p w14:paraId="447B2866">
            <w:pPr>
              <w:tabs>
                <w:tab w:val="left" w:pos="360"/>
              </w:tabs>
              <w:jc w:val="center"/>
              <w:rPr>
                <w:rFonts w:ascii="宋体" w:hAnsi="宋体"/>
                <w:color w:val="000000"/>
                <w:sz w:val="24"/>
                <w:highlight w:val="none"/>
              </w:rPr>
            </w:pPr>
          </w:p>
        </w:tc>
        <w:tc>
          <w:tcPr>
            <w:tcW w:w="1771" w:type="dxa"/>
            <w:vAlign w:val="center"/>
          </w:tcPr>
          <w:p w14:paraId="3B6F0698">
            <w:pPr>
              <w:tabs>
                <w:tab w:val="left" w:pos="360"/>
              </w:tabs>
              <w:jc w:val="center"/>
              <w:rPr>
                <w:rFonts w:ascii="宋体" w:hAnsi="宋体" w:cs="宋体"/>
                <w:color w:val="000000"/>
                <w:sz w:val="24"/>
                <w:szCs w:val="21"/>
                <w:highlight w:val="none"/>
              </w:rPr>
            </w:pPr>
            <w:r>
              <w:rPr>
                <w:rFonts w:hint="eastAsia" w:ascii="宋体" w:hAnsi="宋体" w:cs="宋体"/>
                <w:color w:val="000000"/>
                <w:sz w:val="24"/>
                <w:szCs w:val="21"/>
                <w:highlight w:val="none"/>
              </w:rPr>
              <w:t>谈判报价</w:t>
            </w:r>
          </w:p>
        </w:tc>
        <w:tc>
          <w:tcPr>
            <w:tcW w:w="6075" w:type="dxa"/>
            <w:vAlign w:val="center"/>
          </w:tcPr>
          <w:p w14:paraId="7C878010">
            <w:pPr>
              <w:tabs>
                <w:tab w:val="left" w:pos="360"/>
              </w:tabs>
              <w:jc w:val="both"/>
              <w:rPr>
                <w:rFonts w:ascii="宋体" w:hAnsi="宋体" w:cs="宋体"/>
                <w:color w:val="000000"/>
                <w:sz w:val="24"/>
                <w:szCs w:val="21"/>
                <w:highlight w:val="none"/>
              </w:rPr>
            </w:pPr>
            <w:r>
              <w:rPr>
                <w:rFonts w:hint="eastAsia" w:ascii="宋体" w:hAnsi="宋体" w:cs="宋体"/>
                <w:color w:val="000000"/>
                <w:sz w:val="24"/>
                <w:szCs w:val="21"/>
                <w:highlight w:val="none"/>
              </w:rPr>
              <w:t>只有一个有效投标报价，且不超过采购预算价；</w:t>
            </w:r>
          </w:p>
        </w:tc>
      </w:tr>
      <w:tr w14:paraId="3A76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03" w:type="dxa"/>
            <w:vAlign w:val="center"/>
          </w:tcPr>
          <w:p w14:paraId="4FA0576C">
            <w:pPr>
              <w:jc w:val="center"/>
              <w:rPr>
                <w:rFonts w:ascii="宋体" w:hAnsi="宋体"/>
                <w:color w:val="000000"/>
                <w:szCs w:val="21"/>
                <w:highlight w:val="none"/>
              </w:rPr>
            </w:pPr>
            <w:r>
              <w:rPr>
                <w:rFonts w:hint="eastAsia" w:ascii="宋体" w:hAnsi="宋体"/>
                <w:color w:val="000000"/>
                <w:szCs w:val="21"/>
                <w:highlight w:val="none"/>
              </w:rPr>
              <w:t>10</w:t>
            </w:r>
          </w:p>
        </w:tc>
        <w:tc>
          <w:tcPr>
            <w:tcW w:w="701" w:type="dxa"/>
            <w:vMerge w:val="continue"/>
          </w:tcPr>
          <w:p w14:paraId="4C197B1F">
            <w:pPr>
              <w:tabs>
                <w:tab w:val="left" w:pos="360"/>
              </w:tabs>
              <w:jc w:val="center"/>
              <w:rPr>
                <w:rFonts w:ascii="宋体" w:hAnsi="宋体"/>
                <w:color w:val="000000"/>
                <w:sz w:val="24"/>
                <w:highlight w:val="none"/>
              </w:rPr>
            </w:pPr>
          </w:p>
        </w:tc>
        <w:tc>
          <w:tcPr>
            <w:tcW w:w="1771" w:type="dxa"/>
            <w:vAlign w:val="center"/>
          </w:tcPr>
          <w:p w14:paraId="052AE136">
            <w:pPr>
              <w:tabs>
                <w:tab w:val="left" w:pos="360"/>
              </w:tabs>
              <w:jc w:val="center"/>
              <w:rPr>
                <w:rFonts w:ascii="宋体" w:hAnsi="宋体" w:cs="宋体"/>
                <w:color w:val="000000"/>
                <w:sz w:val="24"/>
                <w:szCs w:val="21"/>
                <w:highlight w:val="none"/>
              </w:rPr>
            </w:pPr>
            <w:r>
              <w:rPr>
                <w:rFonts w:hint="eastAsia" w:ascii="宋体" w:hAnsi="宋体" w:cs="宋体"/>
                <w:color w:val="000000"/>
                <w:sz w:val="24"/>
                <w:szCs w:val="21"/>
                <w:highlight w:val="none"/>
                <w:lang w:val="en-US" w:eastAsia="zh-CN"/>
              </w:rPr>
              <w:t>谈判</w:t>
            </w:r>
            <w:r>
              <w:rPr>
                <w:rFonts w:hint="eastAsia" w:ascii="宋体" w:hAnsi="宋体" w:cs="宋体"/>
                <w:color w:val="000000"/>
                <w:sz w:val="24"/>
                <w:szCs w:val="21"/>
                <w:highlight w:val="none"/>
              </w:rPr>
              <w:t>承诺函</w:t>
            </w:r>
          </w:p>
        </w:tc>
        <w:tc>
          <w:tcPr>
            <w:tcW w:w="6075" w:type="dxa"/>
            <w:vAlign w:val="center"/>
          </w:tcPr>
          <w:p w14:paraId="707E313F">
            <w:pPr>
              <w:tabs>
                <w:tab w:val="left" w:pos="360"/>
              </w:tabs>
              <w:jc w:val="both"/>
              <w:rPr>
                <w:rFonts w:ascii="宋体" w:hAnsi="宋体" w:cs="宋体"/>
                <w:color w:val="000000"/>
                <w:sz w:val="24"/>
                <w:szCs w:val="21"/>
                <w:highlight w:val="none"/>
              </w:rPr>
            </w:pPr>
            <w:r>
              <w:rPr>
                <w:rFonts w:hint="eastAsia" w:ascii="宋体" w:hAnsi="宋体" w:cs="宋体"/>
                <w:color w:val="000000"/>
                <w:sz w:val="24"/>
                <w:szCs w:val="21"/>
                <w:highlight w:val="none"/>
              </w:rPr>
              <w:t>符合第六章“响应文件格式”的要求；</w:t>
            </w:r>
          </w:p>
        </w:tc>
      </w:tr>
      <w:tr w14:paraId="67D3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03" w:type="dxa"/>
            <w:vAlign w:val="center"/>
          </w:tcPr>
          <w:p w14:paraId="479D14AA">
            <w:pPr>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11</w:t>
            </w:r>
          </w:p>
        </w:tc>
        <w:tc>
          <w:tcPr>
            <w:tcW w:w="701" w:type="dxa"/>
            <w:vMerge w:val="continue"/>
          </w:tcPr>
          <w:p w14:paraId="0855C3BC">
            <w:pPr>
              <w:tabs>
                <w:tab w:val="left" w:pos="360"/>
              </w:tabs>
              <w:jc w:val="center"/>
              <w:rPr>
                <w:rFonts w:ascii="宋体" w:hAnsi="宋体"/>
                <w:color w:val="000000"/>
                <w:sz w:val="24"/>
                <w:highlight w:val="none"/>
              </w:rPr>
            </w:pPr>
          </w:p>
        </w:tc>
        <w:tc>
          <w:tcPr>
            <w:tcW w:w="1771" w:type="dxa"/>
            <w:vAlign w:val="center"/>
          </w:tcPr>
          <w:p w14:paraId="1EBB7E6A">
            <w:pPr>
              <w:tabs>
                <w:tab w:val="left" w:pos="360"/>
              </w:tabs>
              <w:jc w:val="center"/>
              <w:rPr>
                <w:rFonts w:ascii="宋体" w:hAnsi="宋体" w:cs="宋体"/>
                <w:color w:val="000000"/>
                <w:sz w:val="24"/>
                <w:szCs w:val="21"/>
                <w:highlight w:val="none"/>
              </w:rPr>
            </w:pPr>
            <w:r>
              <w:rPr>
                <w:rFonts w:hint="eastAsia" w:ascii="宋体" w:hAnsi="宋体" w:cs="宋体"/>
                <w:color w:val="000000"/>
                <w:sz w:val="24"/>
                <w:szCs w:val="21"/>
                <w:highlight w:val="none"/>
              </w:rPr>
              <w:t>其他</w:t>
            </w:r>
          </w:p>
        </w:tc>
        <w:tc>
          <w:tcPr>
            <w:tcW w:w="6075" w:type="dxa"/>
            <w:vAlign w:val="center"/>
          </w:tcPr>
          <w:p w14:paraId="132A9491">
            <w:pPr>
              <w:tabs>
                <w:tab w:val="left" w:pos="360"/>
              </w:tabs>
              <w:jc w:val="both"/>
              <w:rPr>
                <w:rFonts w:ascii="宋体" w:hAnsi="宋体" w:cs="宋体"/>
                <w:color w:val="000000"/>
                <w:sz w:val="24"/>
                <w:szCs w:val="21"/>
                <w:highlight w:val="none"/>
              </w:rPr>
            </w:pPr>
            <w:r>
              <w:rPr>
                <w:rFonts w:hint="eastAsia" w:ascii="宋体" w:hAnsi="宋体" w:cs="宋体"/>
                <w:color w:val="000000"/>
                <w:sz w:val="24"/>
                <w:szCs w:val="21"/>
                <w:highlight w:val="none"/>
              </w:rPr>
              <w:t>符合谈判文件规定的其他审查标准；</w:t>
            </w:r>
          </w:p>
        </w:tc>
      </w:tr>
    </w:tbl>
    <w:p w14:paraId="76A10BF0">
      <w:pPr>
        <w:pStyle w:val="40"/>
        <w:tabs>
          <w:tab w:val="left" w:pos="540"/>
          <w:tab w:val="left" w:pos="851"/>
        </w:tabs>
        <w:spacing w:line="360" w:lineRule="auto"/>
        <w:ind w:left="540"/>
        <w:jc w:val="both"/>
        <w:outlineLvl w:val="1"/>
        <w:rPr>
          <w:rFonts w:hAnsi="宋体" w:cs="黑体"/>
          <w:b/>
          <w:highlight w:val="none"/>
        </w:rPr>
      </w:pPr>
      <w:bookmarkStart w:id="35" w:name="_Toc13071"/>
      <w:bookmarkStart w:id="36" w:name="_Toc504055139"/>
      <w:bookmarkStart w:id="37" w:name="_Toc505073920"/>
      <w:bookmarkStart w:id="38" w:name="_Toc21121"/>
      <w:bookmarkStart w:id="39" w:name="_Toc509443198"/>
      <w:bookmarkStart w:id="40" w:name="_Toc26189"/>
      <w:r>
        <w:rPr>
          <w:rFonts w:hint="eastAsia" w:hAnsi="宋体" w:cs="黑体"/>
          <w:b/>
          <w:highlight w:val="none"/>
        </w:rPr>
        <w:t>1.详细谈判</w:t>
      </w:r>
      <w:bookmarkEnd w:id="35"/>
      <w:bookmarkEnd w:id="36"/>
      <w:bookmarkEnd w:id="37"/>
      <w:bookmarkEnd w:id="38"/>
      <w:bookmarkEnd w:id="39"/>
      <w:bookmarkEnd w:id="40"/>
    </w:p>
    <w:p w14:paraId="2BDC50E7">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1.1  谈判小组分别与通过初步审核的供应商集中与单一供应商分别进行谈判。谈判顺序为签到逆顺序，在谈判中，谈判双方可以就谈判项目所涉及的价格、质量、服务等进行实质性谈判，但谈判的任何一方不得透露与谈判有关的其他供应商的技术资料、价格和其他信息，不得变动谈判文件中的其他内容。</w:t>
      </w:r>
    </w:p>
    <w:p w14:paraId="78CE0D89">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1.2  谈判小组将允许供应商修改其谈判响应文件中不构成重大偏离的微小的、非正规的、不一致的或不规则的地方，但这些修改不能影响任何供应商的名次相应排列。为有助于对谈判响应文件的审查、评价和比较，谈判小组可分别要求供应商对谈判响应文件中含义不清的内容进行澄清。有关澄清的要求和答复均须以书面形式，但谈判的实质性内容不得更改。</w:t>
      </w:r>
    </w:p>
    <w:p w14:paraId="3297E648">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1.3  若谈判内容有实质性变动的，谈判小组应当以书面形式通知所有参加谈判的供应商。</w:t>
      </w:r>
    </w:p>
    <w:p w14:paraId="6B3F8941">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1.4  所有供应商谈判结束后，谈判小组将要求所有符合招标需求的供应商在规定的时间内同时进行报价（二次报价），即最终报价。</w:t>
      </w:r>
    </w:p>
    <w:p w14:paraId="18CDBF51">
      <w:pPr>
        <w:spacing w:line="360" w:lineRule="auto"/>
        <w:ind w:firstLine="482" w:firstLineChars="200"/>
        <w:rPr>
          <w:rFonts w:ascii="宋体" w:hAnsi="宋体"/>
          <w:color w:val="000000"/>
          <w:sz w:val="24"/>
          <w:highlight w:val="none"/>
        </w:rPr>
      </w:pPr>
      <w:r>
        <w:rPr>
          <w:rFonts w:hint="eastAsia" w:ascii="宋体" w:hAnsi="宋体"/>
          <w:b/>
          <w:color w:val="000000"/>
          <w:sz w:val="24"/>
          <w:highlight w:val="none"/>
        </w:rPr>
        <w:t>【注：1、最终报价不得超出采购人预算金额；2、最终报价明显低于成本价的，供应商需做出合理说明，否则将承担不被接受的风险】</w:t>
      </w:r>
      <w:r>
        <w:rPr>
          <w:rFonts w:hint="eastAsia" w:ascii="宋体" w:hAnsi="宋体"/>
          <w:color w:val="000000"/>
          <w:sz w:val="24"/>
          <w:highlight w:val="none"/>
        </w:rPr>
        <w:t>。</w:t>
      </w:r>
    </w:p>
    <w:p w14:paraId="408AD8AF">
      <w:pPr>
        <w:spacing w:line="360" w:lineRule="auto"/>
        <w:ind w:firstLine="480" w:firstLineChars="20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小微企业扶持政策支持中小企业发展措施：</w:t>
      </w:r>
    </w:p>
    <w:p w14:paraId="465FA7EC">
      <w:pPr>
        <w:spacing w:line="360" w:lineRule="auto"/>
        <w:ind w:firstLine="480" w:firstLineChars="20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（一）价格扣除：</w:t>
      </w:r>
      <w:r>
        <w:rPr>
          <w:rFonts w:hint="eastAsia" w:ascii="宋体" w:hAnsi="宋体" w:eastAsia="宋体" w:cs="Times New Roman"/>
          <w:color w:val="000000"/>
          <w:sz w:val="24"/>
          <w:highlight w:val="none"/>
          <w:lang w:eastAsia="zh-CN"/>
        </w:rPr>
        <w:t>供应商</w:t>
      </w:r>
      <w:r>
        <w:rPr>
          <w:rFonts w:hint="eastAsia" w:ascii="宋体" w:hAnsi="宋体" w:eastAsia="宋体" w:cs="Times New Roman"/>
          <w:color w:val="000000"/>
          <w:sz w:val="24"/>
          <w:highlight w:val="none"/>
        </w:rPr>
        <w:t>为小微企业的，则给予该</w:t>
      </w:r>
      <w:r>
        <w:rPr>
          <w:rFonts w:hint="eastAsia" w:ascii="宋体" w:hAnsi="宋体" w:eastAsia="宋体" w:cs="Times New Roman"/>
          <w:color w:val="000000"/>
          <w:sz w:val="24"/>
          <w:highlight w:val="none"/>
          <w:lang w:eastAsia="zh-CN"/>
        </w:rPr>
        <w:t>服务</w:t>
      </w:r>
      <w:r>
        <w:rPr>
          <w:rFonts w:hint="eastAsia" w:ascii="宋体" w:hAnsi="宋体" w:eastAsia="宋体" w:cs="Times New Roman"/>
          <w:color w:val="000000"/>
          <w:sz w:val="24"/>
          <w:highlight w:val="none"/>
        </w:rPr>
        <w:t>报价</w:t>
      </w:r>
      <w:r>
        <w:rPr>
          <w:rFonts w:hint="eastAsia" w:ascii="宋体" w:hAnsi="宋体" w:eastAsia="宋体" w:cs="Times New Roman"/>
          <w:color w:val="000000"/>
          <w:sz w:val="24"/>
          <w:highlight w:val="none"/>
          <w:lang w:val="en-US" w:eastAsia="zh-CN"/>
        </w:rPr>
        <w:t>10</w:t>
      </w:r>
      <w:r>
        <w:rPr>
          <w:rFonts w:hint="eastAsia" w:ascii="宋体" w:hAnsi="宋体" w:eastAsia="宋体" w:cs="Times New Roman"/>
          <w:color w:val="000000"/>
          <w:sz w:val="24"/>
          <w:highlight w:val="none"/>
        </w:rPr>
        <w:t>%的扣除，用扣除后的价格参与评审。参加投标的小微企业，应当按照《政府采购促进中小企业发展</w:t>
      </w:r>
      <w:r>
        <w:rPr>
          <w:rFonts w:hint="eastAsia" w:ascii="宋体" w:hAnsi="宋体" w:eastAsia="宋体" w:cs="Times New Roman"/>
          <w:color w:val="000000"/>
          <w:sz w:val="24"/>
          <w:highlight w:val="none"/>
          <w:lang w:eastAsia="zh-CN"/>
        </w:rPr>
        <w:t>管理</w:t>
      </w:r>
      <w:r>
        <w:rPr>
          <w:rFonts w:hint="eastAsia" w:ascii="宋体" w:hAnsi="宋体" w:eastAsia="宋体" w:cs="Times New Roman"/>
          <w:color w:val="000000"/>
          <w:sz w:val="24"/>
          <w:highlight w:val="none"/>
        </w:rPr>
        <w:t>办法》（财库〔20</w:t>
      </w:r>
      <w:r>
        <w:rPr>
          <w:rFonts w:hint="eastAsia" w:ascii="宋体" w:hAnsi="宋体" w:eastAsia="宋体" w:cs="Times New Roman"/>
          <w:color w:val="000000"/>
          <w:sz w:val="24"/>
          <w:highlight w:val="none"/>
          <w:lang w:val="en-US" w:eastAsia="zh-CN"/>
        </w:rPr>
        <w:t>20</w:t>
      </w:r>
      <w:r>
        <w:rPr>
          <w:rFonts w:hint="eastAsia" w:ascii="宋体" w:hAnsi="宋体" w:eastAsia="宋体" w:cs="Times New Roman"/>
          <w:color w:val="000000"/>
          <w:sz w:val="24"/>
          <w:highlight w:val="none"/>
        </w:rPr>
        <w:t>〕</w:t>
      </w:r>
      <w:r>
        <w:rPr>
          <w:rFonts w:hint="eastAsia" w:ascii="宋体" w:hAnsi="宋体" w:eastAsia="宋体" w:cs="Times New Roman"/>
          <w:color w:val="000000"/>
          <w:sz w:val="24"/>
          <w:highlight w:val="none"/>
          <w:lang w:val="en-US" w:eastAsia="zh-CN"/>
        </w:rPr>
        <w:t>46</w:t>
      </w:r>
      <w:r>
        <w:rPr>
          <w:rFonts w:hint="eastAsia" w:ascii="宋体" w:hAnsi="宋体" w:eastAsia="宋体" w:cs="Times New Roman"/>
          <w:color w:val="000000"/>
          <w:sz w:val="24"/>
          <w:highlight w:val="none"/>
        </w:rPr>
        <w:t>号）的规定提供《中小微企业声明函》（中小企业划型标准详见《关于印发中小企业划型标准规定的通知》工信部联企业〔2011〕300号）。</w:t>
      </w:r>
      <w:r>
        <w:rPr>
          <w:rFonts w:hint="eastAsia" w:ascii="宋体" w:hAnsi="宋体" w:eastAsia="宋体" w:cs="Times New Roman"/>
          <w:color w:val="000000"/>
          <w:sz w:val="24"/>
          <w:highlight w:val="none"/>
          <w:lang w:eastAsia="zh-CN"/>
        </w:rPr>
        <w:t>供应商</w:t>
      </w:r>
      <w:r>
        <w:rPr>
          <w:rFonts w:hint="eastAsia" w:ascii="宋体" w:hAnsi="宋体" w:eastAsia="宋体" w:cs="Times New Roman"/>
          <w:color w:val="000000"/>
          <w:sz w:val="24"/>
          <w:highlight w:val="none"/>
        </w:rPr>
        <w:t>为大型企业的不适用本款规定。</w:t>
      </w:r>
    </w:p>
    <w:p w14:paraId="14640AB6">
      <w:pPr>
        <w:spacing w:line="360" w:lineRule="auto"/>
        <w:ind w:firstLine="480" w:firstLineChars="20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根据财政部司法部《关于政府采购支持监狱企业发展有关问题的通知》（财库〔2014〕68号）和财政部民政部中国残疾人联合会《关于促进残疾人就业政府采购政策的通知》（财库〔2017〕141号）规定，本项目对监狱企业、残疾人福利企业作为</w:t>
      </w:r>
      <w:r>
        <w:rPr>
          <w:rFonts w:hint="eastAsia" w:ascii="宋体" w:hAnsi="宋体" w:eastAsia="宋体" w:cs="Times New Roman"/>
          <w:color w:val="000000"/>
          <w:sz w:val="24"/>
          <w:highlight w:val="none"/>
          <w:lang w:eastAsia="zh-CN"/>
        </w:rPr>
        <w:t>供应商</w:t>
      </w:r>
      <w:r>
        <w:rPr>
          <w:rFonts w:hint="eastAsia" w:ascii="宋体" w:hAnsi="宋体" w:eastAsia="宋体" w:cs="Times New Roman"/>
          <w:color w:val="000000"/>
          <w:sz w:val="24"/>
          <w:highlight w:val="none"/>
        </w:rPr>
        <w:t>所提供的本企业的</w:t>
      </w:r>
      <w:r>
        <w:rPr>
          <w:rFonts w:hint="eastAsia" w:ascii="宋体" w:hAnsi="宋体" w:eastAsia="宋体" w:cs="Times New Roman"/>
          <w:color w:val="000000"/>
          <w:sz w:val="24"/>
          <w:highlight w:val="none"/>
          <w:lang w:eastAsia="zh-CN"/>
        </w:rPr>
        <w:t>服务</w:t>
      </w:r>
      <w:r>
        <w:rPr>
          <w:rFonts w:hint="eastAsia" w:ascii="宋体" w:hAnsi="宋体" w:eastAsia="宋体" w:cs="Times New Roman"/>
          <w:color w:val="000000"/>
          <w:sz w:val="24"/>
          <w:highlight w:val="none"/>
        </w:rPr>
        <w:t>价格给予</w:t>
      </w:r>
      <w:r>
        <w:rPr>
          <w:rFonts w:hint="eastAsia" w:ascii="宋体" w:hAnsi="宋体" w:eastAsia="宋体" w:cs="Times New Roman"/>
          <w:color w:val="000000"/>
          <w:sz w:val="24"/>
          <w:highlight w:val="none"/>
          <w:lang w:val="en-US" w:eastAsia="zh-CN"/>
        </w:rPr>
        <w:t>20</w:t>
      </w:r>
      <w:r>
        <w:rPr>
          <w:rFonts w:hint="eastAsia" w:ascii="宋体" w:hAnsi="宋体" w:eastAsia="宋体" w:cs="Times New Roman"/>
          <w:color w:val="000000"/>
          <w:sz w:val="24"/>
          <w:highlight w:val="none"/>
        </w:rPr>
        <w:t>%的扣除。</w:t>
      </w:r>
    </w:p>
    <w:p w14:paraId="77192A44">
      <w:pPr>
        <w:spacing w:line="360" w:lineRule="auto"/>
        <w:ind w:firstLine="480" w:firstLineChars="20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所投小微（监狱、残疾人福利）企业报价=所投小微（监狱、残疾人福利）企业报价合计×（</w:t>
      </w:r>
      <w:r>
        <w:rPr>
          <w:rFonts w:hint="eastAsia" w:ascii="宋体" w:hAnsi="宋体" w:eastAsia="宋体" w:cs="Times New Roman"/>
          <w:color w:val="000000"/>
          <w:sz w:val="24"/>
          <w:highlight w:val="none"/>
          <w:lang w:val="en-US" w:eastAsia="zh-CN"/>
        </w:rPr>
        <w:t>20</w:t>
      </w:r>
      <w:r>
        <w:rPr>
          <w:rFonts w:hint="eastAsia" w:ascii="宋体" w:hAnsi="宋体" w:eastAsia="宋体" w:cs="Times New Roman"/>
          <w:color w:val="000000"/>
          <w:sz w:val="24"/>
          <w:highlight w:val="none"/>
        </w:rPr>
        <w:t>%）</w:t>
      </w:r>
    </w:p>
    <w:p w14:paraId="249DA652">
      <w:pPr>
        <w:spacing w:line="360" w:lineRule="auto"/>
        <w:ind w:firstLine="480" w:firstLineChars="20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同一</w:t>
      </w:r>
      <w:r>
        <w:rPr>
          <w:rFonts w:hint="eastAsia" w:ascii="宋体" w:hAnsi="宋体" w:eastAsia="宋体" w:cs="Times New Roman"/>
          <w:color w:val="000000"/>
          <w:sz w:val="24"/>
          <w:highlight w:val="none"/>
          <w:lang w:eastAsia="zh-CN"/>
        </w:rPr>
        <w:t>供应商</w:t>
      </w:r>
      <w:r>
        <w:rPr>
          <w:rFonts w:hint="eastAsia" w:ascii="宋体" w:hAnsi="宋体" w:eastAsia="宋体" w:cs="Times New Roman"/>
          <w:color w:val="000000"/>
          <w:sz w:val="24"/>
          <w:highlight w:val="none"/>
        </w:rPr>
        <w:t>，小微企业价格扣除优惠只享受一次，不得重复享受。</w:t>
      </w:r>
    </w:p>
    <w:p w14:paraId="0398B557">
      <w:pPr>
        <w:pStyle w:val="7"/>
        <w:spacing w:line="360" w:lineRule="auto"/>
        <w:ind w:firstLine="480"/>
        <w:rPr>
          <w:rFonts w:ascii="宋体" w:hAnsi="宋体"/>
          <w:color w:val="000000"/>
          <w:spacing w:val="10"/>
          <w:kern w:val="0"/>
          <w:sz w:val="24"/>
          <w:szCs w:val="24"/>
          <w:highlight w:val="none"/>
        </w:rPr>
      </w:pPr>
      <w:r>
        <w:rPr>
          <w:rFonts w:hint="eastAsia" w:ascii="宋体" w:hAnsi="宋体"/>
          <w:color w:val="000000"/>
          <w:sz w:val="24"/>
          <w:szCs w:val="24"/>
          <w:highlight w:val="none"/>
        </w:rPr>
        <w:t>1.5  谈判小组按照“符合采购人需求，质量和服务相等，报价最低”的原则，将按最终报价由低到高的顺序推荐</w:t>
      </w:r>
      <w:r>
        <w:rPr>
          <w:rFonts w:hint="eastAsia" w:ascii="宋体" w:hAnsi="宋体"/>
          <w:color w:val="000000"/>
          <w:spacing w:val="10"/>
          <w:kern w:val="0"/>
          <w:sz w:val="24"/>
          <w:szCs w:val="24"/>
          <w:highlight w:val="none"/>
        </w:rPr>
        <w:t>3名成交候选供应商。</w:t>
      </w:r>
    </w:p>
    <w:p w14:paraId="12670808">
      <w:pPr>
        <w:pStyle w:val="7"/>
        <w:spacing w:line="360" w:lineRule="auto"/>
        <w:ind w:firstLine="480"/>
        <w:rPr>
          <w:rFonts w:ascii="宋体" w:hAnsi="宋体"/>
          <w:b/>
          <w:color w:val="000000"/>
          <w:spacing w:val="10"/>
          <w:kern w:val="0"/>
          <w:sz w:val="24"/>
          <w:szCs w:val="24"/>
          <w:highlight w:val="none"/>
        </w:rPr>
      </w:pPr>
      <w:r>
        <w:rPr>
          <w:rFonts w:hint="eastAsia" w:ascii="宋体" w:hAnsi="宋体"/>
          <w:color w:val="000000"/>
          <w:sz w:val="24"/>
          <w:szCs w:val="24"/>
          <w:highlight w:val="none"/>
        </w:rPr>
        <w:t>1.6  原则上进行二轮报价，如遇特殊情况，根据谈判现场情况经谈判小组讨论研究，可进行多轮报价。</w:t>
      </w:r>
    </w:p>
    <w:p w14:paraId="0422047C">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1.7  谈判结束后，采购人从谈判小组提出的成交候选供应商中根据成交原则确定成交供应商，并将结果通知未成交供应商。</w:t>
      </w:r>
    </w:p>
    <w:p w14:paraId="5D7E5DB7">
      <w:pPr>
        <w:pStyle w:val="40"/>
        <w:tabs>
          <w:tab w:val="left" w:pos="540"/>
          <w:tab w:val="left" w:pos="851"/>
        </w:tabs>
        <w:spacing w:line="360" w:lineRule="auto"/>
        <w:ind w:left="540"/>
        <w:jc w:val="both"/>
        <w:outlineLvl w:val="1"/>
        <w:rPr>
          <w:rFonts w:hAnsi="宋体" w:cs="黑体"/>
          <w:b/>
          <w:highlight w:val="none"/>
        </w:rPr>
      </w:pPr>
      <w:bookmarkStart w:id="41" w:name="_Toc428276599"/>
      <w:bookmarkStart w:id="42" w:name="_Toc509443199"/>
      <w:bookmarkStart w:id="43" w:name="_Toc27202"/>
      <w:bookmarkStart w:id="44" w:name="_Toc505073921"/>
      <w:bookmarkStart w:id="45" w:name="_Toc503886957"/>
      <w:bookmarkStart w:id="46" w:name="_Toc503885621"/>
      <w:bookmarkStart w:id="47" w:name="_Toc504055140"/>
      <w:bookmarkStart w:id="48" w:name="_Toc31352"/>
      <w:bookmarkStart w:id="49" w:name="_Toc503112364"/>
      <w:bookmarkStart w:id="50" w:name="_Toc422126473"/>
      <w:bookmarkStart w:id="51" w:name="_Toc32263"/>
      <w:r>
        <w:rPr>
          <w:rFonts w:hint="eastAsia" w:hAnsi="宋体" w:cs="黑体"/>
          <w:b/>
          <w:highlight w:val="none"/>
        </w:rPr>
        <w:t>2.谈判过程的保密性</w:t>
      </w:r>
      <w:bookmarkEnd w:id="41"/>
      <w:bookmarkEnd w:id="42"/>
      <w:bookmarkEnd w:id="43"/>
      <w:bookmarkEnd w:id="44"/>
      <w:bookmarkEnd w:id="45"/>
      <w:bookmarkEnd w:id="46"/>
      <w:bookmarkEnd w:id="47"/>
      <w:bookmarkEnd w:id="48"/>
      <w:bookmarkEnd w:id="49"/>
      <w:bookmarkEnd w:id="50"/>
      <w:bookmarkEnd w:id="51"/>
    </w:p>
    <w:p w14:paraId="71290E55">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2.1  谈判期间，直到授予成交人合同止，凡是与谈判响应文件审查、澄清、评价、比较以及推荐成交人等方面的情况，均不得向供应商或其他无关的人员透露。</w:t>
      </w:r>
    </w:p>
    <w:p w14:paraId="1BF60900">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2.2  在谈判过程中，供应商如向谈判小组成员施加任何影响，都将会导致其谈判被拒绝，政府招标监管部门将记录其不良行为。</w:t>
      </w:r>
    </w:p>
    <w:p w14:paraId="50C46AEE">
      <w:pPr>
        <w:pStyle w:val="40"/>
        <w:tabs>
          <w:tab w:val="left" w:pos="540"/>
          <w:tab w:val="left" w:pos="851"/>
        </w:tabs>
        <w:spacing w:line="360" w:lineRule="auto"/>
        <w:ind w:left="540"/>
        <w:jc w:val="both"/>
        <w:outlineLvl w:val="1"/>
        <w:rPr>
          <w:rFonts w:hAnsi="宋体" w:cs="黑体"/>
          <w:b/>
          <w:highlight w:val="none"/>
        </w:rPr>
      </w:pPr>
      <w:bookmarkStart w:id="52" w:name="_Toc503885622"/>
      <w:bookmarkStart w:id="53" w:name="_Toc24040"/>
      <w:bookmarkStart w:id="54" w:name="_Toc24453"/>
      <w:bookmarkStart w:id="55" w:name="_Toc505073922"/>
      <w:bookmarkStart w:id="56" w:name="_Toc509443200"/>
      <w:bookmarkStart w:id="57" w:name="_Toc503886958"/>
      <w:bookmarkStart w:id="58" w:name="_Toc504055141"/>
      <w:bookmarkStart w:id="59" w:name="_Toc31422"/>
      <w:bookmarkStart w:id="60" w:name="_Toc428276600"/>
      <w:bookmarkStart w:id="61" w:name="_Toc503112365"/>
      <w:r>
        <w:rPr>
          <w:rFonts w:hint="eastAsia" w:hAnsi="宋体" w:cs="黑体"/>
          <w:b/>
          <w:highlight w:val="none"/>
        </w:rPr>
        <w:t>3.评定标准</w:t>
      </w:r>
      <w:bookmarkEnd w:id="52"/>
      <w:bookmarkEnd w:id="53"/>
      <w:bookmarkEnd w:id="54"/>
      <w:bookmarkEnd w:id="55"/>
      <w:bookmarkEnd w:id="56"/>
      <w:bookmarkEnd w:id="57"/>
      <w:bookmarkEnd w:id="58"/>
      <w:bookmarkEnd w:id="59"/>
      <w:bookmarkEnd w:id="60"/>
      <w:bookmarkEnd w:id="61"/>
    </w:p>
    <w:p w14:paraId="21A018D2">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3.1  采购人严格按照谈判文件的要求和条件，从谈判小组提出的成交候选供应商中根据符合招标需求、质量和服务相等且报价最低的原则确定成交供应商。</w:t>
      </w:r>
    </w:p>
    <w:p w14:paraId="77019947">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3.2  在质量、服务不相等情况下不以价格作为成交之唯一条件。</w:t>
      </w:r>
    </w:p>
    <w:p w14:paraId="2C0A8181">
      <w:pPr>
        <w:pStyle w:val="40"/>
        <w:tabs>
          <w:tab w:val="left" w:pos="540"/>
          <w:tab w:val="left" w:pos="851"/>
        </w:tabs>
        <w:spacing w:line="360" w:lineRule="auto"/>
        <w:ind w:left="540"/>
        <w:jc w:val="both"/>
        <w:outlineLvl w:val="1"/>
        <w:rPr>
          <w:rFonts w:hAnsi="宋体" w:cs="黑体"/>
          <w:b/>
          <w:highlight w:val="none"/>
        </w:rPr>
      </w:pPr>
      <w:bookmarkStart w:id="62" w:name="_Toc428276601"/>
      <w:bookmarkStart w:id="63" w:name="_Toc422126474"/>
      <w:bookmarkStart w:id="64" w:name="_Toc503885623"/>
      <w:bookmarkStart w:id="65" w:name="_Toc11221"/>
      <w:bookmarkStart w:id="66" w:name="_Toc504055142"/>
      <w:bookmarkStart w:id="67" w:name="_Toc24779"/>
      <w:bookmarkStart w:id="68" w:name="_Toc509443201"/>
      <w:bookmarkStart w:id="69" w:name="_Toc503112366"/>
      <w:bookmarkStart w:id="70" w:name="_Toc503886959"/>
      <w:bookmarkStart w:id="71" w:name="_Toc505073923"/>
      <w:bookmarkStart w:id="72" w:name="_Toc25115"/>
      <w:r>
        <w:rPr>
          <w:rFonts w:hint="eastAsia" w:hAnsi="宋体" w:cs="黑体"/>
          <w:b/>
          <w:highlight w:val="none"/>
        </w:rPr>
        <w:t>4.谈判结果</w:t>
      </w:r>
      <w:bookmarkEnd w:id="62"/>
      <w:bookmarkEnd w:id="63"/>
      <w:bookmarkEnd w:id="64"/>
      <w:bookmarkEnd w:id="65"/>
      <w:bookmarkEnd w:id="66"/>
      <w:bookmarkEnd w:id="67"/>
      <w:bookmarkEnd w:id="68"/>
      <w:bookmarkEnd w:id="69"/>
      <w:bookmarkEnd w:id="70"/>
      <w:bookmarkEnd w:id="71"/>
      <w:bookmarkEnd w:id="72"/>
      <w:r>
        <w:rPr>
          <w:rFonts w:hint="eastAsia" w:hAnsi="宋体" w:cs="黑体"/>
          <w:b/>
          <w:highlight w:val="none"/>
        </w:rPr>
        <w:t>公告</w:t>
      </w:r>
    </w:p>
    <w:p w14:paraId="7797B05C">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4.1  招标代理机构应当在谈判结束后按照</w:t>
      </w:r>
      <w:r>
        <w:rPr>
          <w:rFonts w:hint="eastAsia" w:ascii="宋体" w:hAnsi="宋体"/>
          <w:bCs/>
          <w:color w:val="000000"/>
          <w:sz w:val="24"/>
          <w:highlight w:val="none"/>
        </w:rPr>
        <w:t>评审报告提出</w:t>
      </w:r>
      <w:r>
        <w:rPr>
          <w:rFonts w:hint="eastAsia" w:ascii="宋体" w:hAnsi="宋体"/>
          <w:color w:val="000000"/>
          <w:sz w:val="24"/>
          <w:highlight w:val="none"/>
        </w:rPr>
        <w:t>的成交候选供应商顺序确定成交人，并将谈判结果在《中国</w:t>
      </w:r>
      <w:r>
        <w:rPr>
          <w:rFonts w:hint="eastAsia" w:ascii="宋体" w:hAnsi="宋体"/>
          <w:color w:val="000000"/>
          <w:sz w:val="24"/>
          <w:highlight w:val="none"/>
          <w:lang w:eastAsia="en-US"/>
        </w:rPr>
        <w:t>招</w:t>
      </w:r>
      <w:r>
        <w:rPr>
          <w:rFonts w:hint="eastAsia" w:ascii="宋体" w:hAnsi="宋体"/>
          <w:color w:val="000000"/>
          <w:sz w:val="24"/>
          <w:highlight w:val="none"/>
        </w:rPr>
        <w:t>标</w:t>
      </w:r>
      <w:r>
        <w:rPr>
          <w:rFonts w:hint="eastAsia" w:ascii="宋体" w:hAnsi="宋体"/>
          <w:color w:val="000000"/>
          <w:sz w:val="24"/>
          <w:highlight w:val="none"/>
          <w:lang w:eastAsia="en-US"/>
        </w:rPr>
        <w:t>投标公共服务平台</w:t>
      </w:r>
      <w:r>
        <w:rPr>
          <w:rFonts w:hint="eastAsia" w:ascii="宋体" w:hAnsi="宋体"/>
          <w:color w:val="000000"/>
          <w:sz w:val="24"/>
          <w:highlight w:val="none"/>
        </w:rPr>
        <w:t>》、《河南省政府采购网》和《三门峡市公共资源交易中心网》上进行公告。</w:t>
      </w:r>
    </w:p>
    <w:p w14:paraId="16A44F5C">
      <w:pPr>
        <w:pStyle w:val="40"/>
        <w:tabs>
          <w:tab w:val="left" w:pos="360"/>
        </w:tabs>
        <w:spacing w:line="360" w:lineRule="auto"/>
        <w:ind w:left="425"/>
        <w:jc w:val="both"/>
        <w:outlineLvl w:val="1"/>
        <w:rPr>
          <w:rFonts w:hAnsi="宋体" w:cs="黑体"/>
          <w:b/>
          <w:highlight w:val="none"/>
        </w:rPr>
      </w:pPr>
      <w:bookmarkStart w:id="73" w:name="_Toc509443202"/>
      <w:bookmarkStart w:id="74" w:name="_Toc25206"/>
      <w:bookmarkStart w:id="75" w:name="_Toc10644"/>
      <w:bookmarkStart w:id="76" w:name="_Toc270604607"/>
      <w:r>
        <w:rPr>
          <w:rFonts w:hint="eastAsia" w:hAnsi="宋体" w:cs="黑体"/>
          <w:b/>
          <w:highlight w:val="none"/>
        </w:rPr>
        <w:t>5.</w:t>
      </w:r>
      <w:bookmarkEnd w:id="73"/>
      <w:bookmarkEnd w:id="74"/>
      <w:bookmarkEnd w:id="75"/>
      <w:bookmarkEnd w:id="76"/>
      <w:bookmarkStart w:id="77" w:name="_Toc22262"/>
      <w:bookmarkStart w:id="78" w:name="_Toc269470338"/>
      <w:bookmarkStart w:id="79" w:name="_Toc28333"/>
      <w:bookmarkStart w:id="80" w:name="_Toc270604610"/>
      <w:bookmarkStart w:id="81" w:name="_Toc509443205"/>
      <w:r>
        <w:rPr>
          <w:rFonts w:hint="eastAsia" w:hAnsi="宋体" w:cs="黑体"/>
          <w:b/>
          <w:highlight w:val="none"/>
        </w:rPr>
        <w:t>纪律和监督</w:t>
      </w:r>
      <w:bookmarkEnd w:id="77"/>
      <w:bookmarkEnd w:id="78"/>
      <w:bookmarkEnd w:id="79"/>
      <w:bookmarkEnd w:id="80"/>
      <w:bookmarkEnd w:id="81"/>
    </w:p>
    <w:p w14:paraId="2024D1DE">
      <w:pPr>
        <w:pStyle w:val="40"/>
        <w:tabs>
          <w:tab w:val="left" w:pos="540"/>
          <w:tab w:val="left" w:pos="851"/>
        </w:tabs>
        <w:spacing w:line="360" w:lineRule="auto"/>
        <w:ind w:left="540"/>
        <w:jc w:val="both"/>
        <w:outlineLvl w:val="1"/>
        <w:rPr>
          <w:rFonts w:hAnsi="宋体" w:cs="黑体"/>
          <w:b/>
          <w:highlight w:val="none"/>
        </w:rPr>
      </w:pPr>
      <w:bookmarkStart w:id="82" w:name="_Toc270604611"/>
      <w:bookmarkStart w:id="83" w:name="_Toc509443206"/>
      <w:bookmarkStart w:id="84" w:name="_Toc13470"/>
      <w:bookmarkStart w:id="85" w:name="_Toc18726"/>
      <w:bookmarkStart w:id="86" w:name="_Toc428276606"/>
      <w:bookmarkStart w:id="87" w:name="_Toc269470339"/>
      <w:bookmarkStart w:id="88" w:name="_Toc277149399"/>
      <w:bookmarkStart w:id="89" w:name="_Toc26119"/>
      <w:bookmarkStart w:id="90" w:name="_Toc503885628"/>
      <w:bookmarkStart w:id="91" w:name="_Toc503886964"/>
      <w:bookmarkStart w:id="92" w:name="_Toc504055147"/>
      <w:bookmarkStart w:id="93" w:name="_Toc503112371"/>
      <w:bookmarkStart w:id="94" w:name="_Toc505073928"/>
      <w:bookmarkStart w:id="95" w:name="_Toc270604838"/>
      <w:r>
        <w:rPr>
          <w:rFonts w:hint="eastAsia" w:hAnsi="宋体" w:cs="黑体"/>
          <w:b/>
          <w:highlight w:val="none"/>
        </w:rPr>
        <w:t>5.1对采购人的纪律要求</w:t>
      </w:r>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0C2ED982">
      <w:pPr>
        <w:autoSpaceDE w:val="0"/>
        <w:autoSpaceDN w:val="0"/>
        <w:adjustRightInd w:val="0"/>
        <w:spacing w:line="360" w:lineRule="auto"/>
        <w:ind w:firstLine="480" w:firstLineChars="200"/>
        <w:jc w:val="left"/>
        <w:rPr>
          <w:rFonts w:ascii="宋体" w:hAnsi="宋体" w:cs="仿宋_GB2312"/>
          <w:color w:val="000000"/>
          <w:kern w:val="0"/>
          <w:sz w:val="24"/>
          <w:highlight w:val="none"/>
        </w:rPr>
      </w:pPr>
      <w:r>
        <w:rPr>
          <w:rFonts w:hint="eastAsia" w:ascii="宋体" w:hAnsi="宋体" w:cs="仿宋_GB2312"/>
          <w:color w:val="000000"/>
          <w:kern w:val="0"/>
          <w:sz w:val="24"/>
          <w:highlight w:val="none"/>
        </w:rPr>
        <w:t>采购人不得泄漏谈判中应当保密的情况和资料，不得与供应商串通损害国家利益、社会公共利益或者他人合法权益。</w:t>
      </w:r>
    </w:p>
    <w:p w14:paraId="3DF567F7">
      <w:pPr>
        <w:pStyle w:val="40"/>
        <w:tabs>
          <w:tab w:val="left" w:pos="540"/>
          <w:tab w:val="left" w:pos="851"/>
        </w:tabs>
        <w:spacing w:line="360" w:lineRule="auto"/>
        <w:ind w:left="540"/>
        <w:jc w:val="both"/>
        <w:outlineLvl w:val="1"/>
        <w:rPr>
          <w:rFonts w:hAnsi="宋体" w:cs="黑体"/>
          <w:b/>
          <w:highlight w:val="none"/>
        </w:rPr>
      </w:pPr>
      <w:bookmarkStart w:id="96" w:name="_Toc269470340"/>
      <w:bookmarkStart w:id="97" w:name="_Toc270604612"/>
      <w:bookmarkStart w:id="98" w:name="_Toc504055148"/>
      <w:bookmarkStart w:id="99" w:name="_Toc503886965"/>
      <w:bookmarkStart w:id="100" w:name="_Toc270604839"/>
      <w:bookmarkStart w:id="101" w:name="_Toc30986"/>
      <w:bookmarkStart w:id="102" w:name="_Toc503885629"/>
      <w:bookmarkStart w:id="103" w:name="_Toc428276607"/>
      <w:bookmarkStart w:id="104" w:name="_Toc509443207"/>
      <w:bookmarkStart w:id="105" w:name="_Toc7426"/>
      <w:bookmarkStart w:id="106" w:name="_Toc277149400"/>
      <w:bookmarkStart w:id="107" w:name="_Toc503112372"/>
      <w:bookmarkStart w:id="108" w:name="_Toc505073929"/>
      <w:bookmarkStart w:id="109" w:name="_Toc11168"/>
      <w:r>
        <w:rPr>
          <w:rFonts w:hint="eastAsia" w:hAnsi="宋体" w:cs="黑体"/>
          <w:b/>
          <w:highlight w:val="none"/>
        </w:rPr>
        <w:t>5.2对供应商的纪律要求</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75900B1">
      <w:pPr>
        <w:autoSpaceDE w:val="0"/>
        <w:autoSpaceDN w:val="0"/>
        <w:adjustRightInd w:val="0"/>
        <w:spacing w:line="360" w:lineRule="auto"/>
        <w:ind w:firstLine="480" w:firstLineChars="200"/>
        <w:jc w:val="left"/>
        <w:rPr>
          <w:rFonts w:ascii="宋体" w:hAnsi="宋体" w:cs="仿宋_GB2312"/>
          <w:color w:val="000000"/>
          <w:kern w:val="0"/>
          <w:sz w:val="24"/>
          <w:highlight w:val="none"/>
        </w:rPr>
      </w:pPr>
      <w:r>
        <w:rPr>
          <w:rFonts w:hint="eastAsia" w:ascii="宋体" w:hAnsi="宋体" w:cs="仿宋_GB2312"/>
          <w:color w:val="000000"/>
          <w:kern w:val="0"/>
          <w:sz w:val="24"/>
          <w:highlight w:val="none"/>
        </w:rPr>
        <w:t>供应商不得相互串通或者与采购人串通，不得向采购人或者谈判小组成员行贿谋取成交，不得以他人名义谈判或者以其他方式弄虚作假骗取成交；供应商不得以任何方式干扰、影响谈判工作。</w:t>
      </w:r>
    </w:p>
    <w:p w14:paraId="42CC7205">
      <w:pPr>
        <w:pStyle w:val="40"/>
        <w:tabs>
          <w:tab w:val="left" w:pos="540"/>
          <w:tab w:val="left" w:pos="851"/>
        </w:tabs>
        <w:spacing w:line="360" w:lineRule="auto"/>
        <w:ind w:left="540"/>
        <w:jc w:val="both"/>
        <w:outlineLvl w:val="1"/>
        <w:rPr>
          <w:rFonts w:hAnsi="宋体" w:cs="黑体"/>
          <w:b/>
          <w:highlight w:val="none"/>
        </w:rPr>
      </w:pPr>
      <w:bookmarkStart w:id="110" w:name="_Toc9415"/>
      <w:bookmarkStart w:id="111" w:name="_Toc503112373"/>
      <w:bookmarkStart w:id="112" w:name="_Toc270604613"/>
      <w:bookmarkStart w:id="113" w:name="_Toc503885630"/>
      <w:bookmarkStart w:id="114" w:name="_Toc270604840"/>
      <w:bookmarkStart w:id="115" w:name="_Toc504055149"/>
      <w:bookmarkStart w:id="116" w:name="_Toc428276608"/>
      <w:bookmarkStart w:id="117" w:name="_Toc269470341"/>
      <w:bookmarkStart w:id="118" w:name="_Toc389"/>
      <w:bookmarkStart w:id="119" w:name="_Toc503886966"/>
      <w:bookmarkStart w:id="120" w:name="_Toc505073930"/>
      <w:bookmarkStart w:id="121" w:name="_Toc12923"/>
      <w:bookmarkStart w:id="122" w:name="_Toc277149401"/>
      <w:bookmarkStart w:id="123" w:name="_Toc509443208"/>
      <w:r>
        <w:rPr>
          <w:rFonts w:hint="eastAsia" w:hAnsi="宋体" w:cs="黑体"/>
          <w:b/>
          <w:highlight w:val="none"/>
        </w:rPr>
        <w:t>5.3对谈判小组成员的纪律要求</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1BD442B1">
      <w:pPr>
        <w:autoSpaceDE w:val="0"/>
        <w:autoSpaceDN w:val="0"/>
        <w:adjustRightInd w:val="0"/>
        <w:spacing w:line="360" w:lineRule="auto"/>
        <w:ind w:firstLine="480" w:firstLineChars="200"/>
        <w:jc w:val="left"/>
        <w:rPr>
          <w:rFonts w:ascii="宋体" w:hAnsi="宋体" w:cs="仿宋_GB2312"/>
          <w:color w:val="000000"/>
          <w:kern w:val="0"/>
          <w:sz w:val="24"/>
          <w:highlight w:val="none"/>
        </w:rPr>
      </w:pPr>
      <w:r>
        <w:rPr>
          <w:rFonts w:hint="eastAsia" w:ascii="宋体" w:hAnsi="宋体" w:cs="仿宋_GB2312"/>
          <w:color w:val="000000"/>
          <w:kern w:val="0"/>
          <w:sz w:val="24"/>
          <w:highlight w:val="none"/>
        </w:rPr>
        <w:t>谈判小组成员不得收受他人的财物或者其他好处，不得向他人透漏对谈判响应文件的评审和比较、成交候选供应商的推荐情况以及与谈判有关的其他情况。在谈判活动中，谈判小组成员不得擅离职守，影响谈判程序正常进行。</w:t>
      </w:r>
    </w:p>
    <w:p w14:paraId="048F4F23">
      <w:pPr>
        <w:pStyle w:val="40"/>
        <w:tabs>
          <w:tab w:val="left" w:pos="540"/>
          <w:tab w:val="left" w:pos="851"/>
        </w:tabs>
        <w:spacing w:line="360" w:lineRule="auto"/>
        <w:ind w:left="540"/>
        <w:jc w:val="both"/>
        <w:outlineLvl w:val="1"/>
        <w:rPr>
          <w:rFonts w:hAnsi="宋体" w:cs="黑体"/>
          <w:b/>
          <w:highlight w:val="none"/>
        </w:rPr>
      </w:pPr>
      <w:bookmarkStart w:id="124" w:name="_Toc270604841"/>
      <w:bookmarkStart w:id="125" w:name="_Toc277149402"/>
      <w:bookmarkStart w:id="126" w:name="_Toc428276609"/>
      <w:bookmarkStart w:id="127" w:name="_Toc13499"/>
      <w:bookmarkStart w:id="128" w:name="_Toc509443209"/>
      <w:bookmarkStart w:id="129" w:name="_Toc19972"/>
      <w:bookmarkStart w:id="130" w:name="_Toc269470342"/>
      <w:bookmarkStart w:id="131" w:name="_Toc504055150"/>
      <w:bookmarkStart w:id="132" w:name="_Toc7568"/>
      <w:bookmarkStart w:id="133" w:name="_Toc503886967"/>
      <w:bookmarkStart w:id="134" w:name="_Toc503885631"/>
      <w:bookmarkStart w:id="135" w:name="_Toc270604614"/>
      <w:bookmarkStart w:id="136" w:name="_Toc503112374"/>
      <w:bookmarkStart w:id="137" w:name="_Toc505073931"/>
      <w:r>
        <w:rPr>
          <w:rFonts w:hint="eastAsia" w:hAnsi="宋体" w:cs="黑体"/>
          <w:b/>
          <w:highlight w:val="none"/>
        </w:rPr>
        <w:t>5.4对与谈判活动有关的工作人员的纪律要求</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35EFE072">
      <w:pPr>
        <w:autoSpaceDE w:val="0"/>
        <w:autoSpaceDN w:val="0"/>
        <w:adjustRightInd w:val="0"/>
        <w:spacing w:line="360" w:lineRule="auto"/>
        <w:ind w:firstLine="480" w:firstLineChars="200"/>
        <w:jc w:val="left"/>
        <w:rPr>
          <w:rFonts w:ascii="宋体" w:hAnsi="宋体" w:cs="仿宋_GB2312"/>
          <w:color w:val="000000"/>
          <w:kern w:val="0"/>
          <w:sz w:val="24"/>
          <w:highlight w:val="none"/>
        </w:rPr>
      </w:pPr>
      <w:r>
        <w:rPr>
          <w:rFonts w:hint="eastAsia" w:ascii="宋体" w:hAnsi="宋体" w:cs="仿宋_GB2312"/>
          <w:color w:val="000000"/>
          <w:kern w:val="0"/>
          <w:sz w:val="24"/>
          <w:highlight w:val="none"/>
        </w:rPr>
        <w:t>与谈判活动有关的工作人员不得收受他人的财物或者其他好处，不得向他人透漏对谈判响应文件的评审和比较、成交候选供应商的推荐情况以及与谈判有关的其他情况。在谈判活动中，与谈判活动有关的工作人员不得擅离职守，影响谈判程序正常进行。</w:t>
      </w:r>
    </w:p>
    <w:p w14:paraId="4FF39116">
      <w:pPr>
        <w:pStyle w:val="40"/>
        <w:tabs>
          <w:tab w:val="left" w:pos="540"/>
          <w:tab w:val="left" w:pos="851"/>
        </w:tabs>
        <w:spacing w:line="360" w:lineRule="auto"/>
        <w:ind w:left="540"/>
        <w:jc w:val="both"/>
        <w:outlineLvl w:val="1"/>
        <w:rPr>
          <w:rFonts w:hAnsi="宋体" w:cs="黑体"/>
          <w:b/>
          <w:highlight w:val="none"/>
        </w:rPr>
      </w:pPr>
      <w:bookmarkStart w:id="138" w:name="_Toc505073932"/>
      <w:bookmarkStart w:id="139" w:name="_Toc504055151"/>
      <w:bookmarkStart w:id="140" w:name="_Toc270604615"/>
      <w:bookmarkStart w:id="141" w:name="_Toc28458"/>
      <w:bookmarkStart w:id="142" w:name="_Toc503886968"/>
      <w:bookmarkStart w:id="143" w:name="_Toc4306"/>
      <w:bookmarkStart w:id="144" w:name="_Toc1531"/>
      <w:bookmarkStart w:id="145" w:name="_Toc277149403"/>
      <w:bookmarkStart w:id="146" w:name="_Toc428276610"/>
      <w:bookmarkStart w:id="147" w:name="_Toc509443210"/>
      <w:bookmarkStart w:id="148" w:name="_Toc270604842"/>
      <w:bookmarkStart w:id="149" w:name="_Toc269470343"/>
      <w:bookmarkStart w:id="150" w:name="_Toc503112375"/>
      <w:bookmarkStart w:id="151" w:name="_Toc503885632"/>
      <w:r>
        <w:rPr>
          <w:rFonts w:hint="eastAsia" w:hAnsi="宋体" w:cs="黑体"/>
          <w:b/>
          <w:highlight w:val="none"/>
        </w:rPr>
        <w:t>6.投诉</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6ED22349">
      <w:pPr>
        <w:autoSpaceDE w:val="0"/>
        <w:autoSpaceDN w:val="0"/>
        <w:adjustRightInd w:val="0"/>
        <w:spacing w:line="360" w:lineRule="auto"/>
        <w:ind w:firstLine="480" w:firstLineChars="200"/>
        <w:jc w:val="left"/>
        <w:rPr>
          <w:rFonts w:ascii="宋体" w:hAnsi="宋体" w:cs="仿宋_GB2312"/>
          <w:color w:val="000000"/>
          <w:kern w:val="0"/>
          <w:sz w:val="24"/>
          <w:highlight w:val="none"/>
        </w:rPr>
      </w:pPr>
      <w:r>
        <w:rPr>
          <w:rFonts w:hint="eastAsia" w:ascii="宋体" w:hAnsi="宋体" w:cs="仿宋_GB2312"/>
          <w:color w:val="000000"/>
          <w:kern w:val="0"/>
          <w:sz w:val="24"/>
          <w:highlight w:val="none"/>
        </w:rPr>
        <w:t>供应商和其他利害关系人认为本次谈判违反法律、法规和规章规定的，有权向有关行政监督部门投诉。</w:t>
      </w:r>
    </w:p>
    <w:p w14:paraId="618C5961">
      <w:pPr>
        <w:pStyle w:val="40"/>
        <w:tabs>
          <w:tab w:val="left" w:pos="540"/>
          <w:tab w:val="left" w:pos="851"/>
        </w:tabs>
        <w:spacing w:line="360" w:lineRule="auto"/>
        <w:ind w:left="540"/>
        <w:jc w:val="both"/>
        <w:outlineLvl w:val="1"/>
        <w:rPr>
          <w:rFonts w:hAnsi="宋体" w:cs="黑体"/>
          <w:b/>
          <w:highlight w:val="none"/>
        </w:rPr>
      </w:pPr>
      <w:bookmarkStart w:id="152" w:name="_Toc8977"/>
      <w:bookmarkStart w:id="153" w:name="_Toc269470344"/>
      <w:bookmarkStart w:id="154" w:name="_Toc428276611"/>
      <w:bookmarkStart w:id="155" w:name="_Toc270604616"/>
      <w:bookmarkStart w:id="156" w:name="_Toc7717"/>
      <w:bookmarkStart w:id="157" w:name="_Toc509443211"/>
      <w:r>
        <w:rPr>
          <w:rFonts w:hint="eastAsia" w:hAnsi="宋体" w:cs="黑体"/>
          <w:b/>
          <w:highlight w:val="none"/>
        </w:rPr>
        <w:t>7.需要补充的其他内容</w:t>
      </w:r>
      <w:bookmarkEnd w:id="152"/>
      <w:bookmarkEnd w:id="153"/>
      <w:bookmarkEnd w:id="154"/>
      <w:bookmarkEnd w:id="155"/>
      <w:bookmarkEnd w:id="156"/>
      <w:bookmarkEnd w:id="157"/>
    </w:p>
    <w:p w14:paraId="2DC9768C">
      <w:pPr>
        <w:adjustRightInd w:val="0"/>
        <w:snapToGrid w:val="0"/>
        <w:spacing w:line="520" w:lineRule="exact"/>
        <w:ind w:firstLine="480" w:firstLineChars="200"/>
        <w:rPr>
          <w:rFonts w:ascii="宋体" w:hAnsi="宋体" w:cs="仿宋_GB2312"/>
          <w:color w:val="000000"/>
          <w:kern w:val="0"/>
          <w:sz w:val="24"/>
          <w:highlight w:val="none"/>
        </w:rPr>
      </w:pPr>
      <w:r>
        <w:rPr>
          <w:rFonts w:hint="eastAsia" w:ascii="宋体" w:hAnsi="宋体" w:cs="仿宋_GB2312"/>
          <w:color w:val="000000"/>
          <w:kern w:val="0"/>
          <w:sz w:val="24"/>
          <w:highlight w:val="none"/>
        </w:rPr>
        <w:t>需要补充的其他内容：见供应商须知前附表。</w:t>
      </w:r>
    </w:p>
    <w:p w14:paraId="0FBA8243">
      <w:pPr>
        <w:keepNext w:val="0"/>
        <w:keepLines w:val="0"/>
        <w:pageBreakBefore w:val="0"/>
        <w:widowControl w:val="0"/>
        <w:numPr>
          <w:ilvl w:val="0"/>
          <w:numId w:val="0"/>
        </w:numPr>
        <w:kinsoku/>
        <w:wordWrap/>
        <w:overflowPunct/>
        <w:topLinePunct w:val="0"/>
        <w:bidi w:val="0"/>
        <w:adjustRightInd w:val="0"/>
        <w:snapToGrid w:val="0"/>
        <w:spacing w:before="0" w:after="0" w:line="360" w:lineRule="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：河南省政府采购合同融资政策告知函</w:t>
      </w:r>
    </w:p>
    <w:p w14:paraId="55FD5AA3">
      <w:pPr>
        <w:keepNext w:val="0"/>
        <w:keepLines w:val="0"/>
        <w:pageBreakBefore w:val="0"/>
        <w:widowControl w:val="0"/>
        <w:kinsoku/>
        <w:wordWrap/>
        <w:overflowPunct/>
        <w:topLinePunct w:val="0"/>
        <w:bidi w:val="0"/>
        <w:adjustRightInd w:val="0"/>
        <w:snapToGrid w:val="0"/>
        <w:spacing w:line="360" w:lineRule="auto"/>
        <w:ind w:firstLine="562" w:firstLineChars="20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8"/>
          <w:szCs w:val="28"/>
          <w:highlight w:val="none"/>
        </w:rPr>
        <w:t>河南省政府采购合同融资政策告知函</w:t>
      </w:r>
    </w:p>
    <w:p w14:paraId="4E6A5C74">
      <w:pPr>
        <w:keepNext w:val="0"/>
        <w:keepLines w:val="0"/>
        <w:pageBreakBefore w:val="0"/>
        <w:widowControl w:val="0"/>
        <w:kinsoku/>
        <w:wordWrap/>
        <w:overflowPunct/>
        <w:topLinePunct w:val="0"/>
        <w:bidi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p>
    <w:p w14:paraId="46F2D753">
      <w:pPr>
        <w:spacing w:line="440" w:lineRule="exact"/>
        <w:rPr>
          <w:rFonts w:hint="eastAsia" w:ascii="宋体" w:eastAsia="宋体" w:cs="Times New Roman"/>
          <w:bCs/>
          <w:sz w:val="24"/>
          <w:szCs w:val="24"/>
        </w:rPr>
      </w:pPr>
      <w:r>
        <w:rPr>
          <w:rFonts w:hint="eastAsia" w:ascii="宋体" w:eastAsia="宋体" w:cs="Times New Roman"/>
          <w:bCs/>
          <w:sz w:val="24"/>
          <w:szCs w:val="24"/>
        </w:rPr>
        <w:t>各</w:t>
      </w:r>
      <w:r>
        <w:rPr>
          <w:rFonts w:hint="eastAsia" w:ascii="宋体" w:eastAsia="宋体" w:cs="Times New Roman"/>
          <w:bCs/>
          <w:sz w:val="24"/>
          <w:szCs w:val="24"/>
          <w:lang w:val="en-US" w:eastAsia="zh-CN"/>
        </w:rPr>
        <w:t>供应商</w:t>
      </w:r>
      <w:r>
        <w:rPr>
          <w:rFonts w:hint="eastAsia" w:ascii="宋体" w:eastAsia="宋体" w:cs="Times New Roman"/>
          <w:bCs/>
          <w:sz w:val="24"/>
          <w:szCs w:val="24"/>
        </w:rPr>
        <w:t>：</w:t>
      </w:r>
    </w:p>
    <w:p w14:paraId="5969845E">
      <w:pPr>
        <w:spacing w:line="440" w:lineRule="exact"/>
        <w:ind w:firstLine="465"/>
        <w:rPr>
          <w:rFonts w:hint="eastAsia" w:ascii="宋体" w:eastAsia="宋体" w:cs="Times New Roman"/>
          <w:bCs/>
          <w:sz w:val="24"/>
          <w:szCs w:val="24"/>
        </w:rPr>
      </w:pPr>
      <w:r>
        <w:rPr>
          <w:rFonts w:hint="eastAsia" w:ascii="宋体" w:eastAsia="宋体" w:cs="Times New Roman"/>
          <w:bCs/>
          <w:sz w:val="24"/>
          <w:szCs w:val="24"/>
        </w:rPr>
        <w:t>欢迎贵公司参与河南省政府采购活动！</w:t>
      </w:r>
    </w:p>
    <w:p w14:paraId="111BFE8B">
      <w:pPr>
        <w:spacing w:line="440" w:lineRule="exact"/>
        <w:ind w:firstLine="465"/>
        <w:rPr>
          <w:rFonts w:hint="eastAsia" w:ascii="宋体" w:eastAsia="宋体" w:cs="Times New Roman"/>
          <w:bCs/>
          <w:sz w:val="24"/>
          <w:szCs w:val="24"/>
        </w:rPr>
      </w:pPr>
      <w:r>
        <w:rPr>
          <w:rFonts w:hint="eastAsia" w:ascii="宋体" w:eastAsia="宋体" w:cs="Times New Roman"/>
          <w:bCs/>
          <w:sz w:val="24"/>
          <w:szCs w:val="24"/>
        </w:rPr>
        <w:t>政府采购合同融资是河南省财政厅支持中小微企业发展，针对参与政府采购活动的</w:t>
      </w:r>
      <w:r>
        <w:rPr>
          <w:rFonts w:hint="eastAsia" w:ascii="宋体" w:eastAsia="宋体" w:cs="Times New Roman"/>
          <w:bCs/>
          <w:sz w:val="24"/>
          <w:szCs w:val="24"/>
          <w:lang w:eastAsia="zh-CN"/>
        </w:rPr>
        <w:t>投标人</w:t>
      </w:r>
      <w:r>
        <w:rPr>
          <w:rFonts w:hint="eastAsia" w:ascii="宋体" w:eastAsia="宋体" w:cs="Times New Roman"/>
          <w:bCs/>
          <w:sz w:val="24"/>
          <w:szCs w:val="24"/>
        </w:rPr>
        <w:t>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15866F13">
      <w:pPr>
        <w:spacing w:line="440" w:lineRule="exact"/>
        <w:ind w:firstLine="465"/>
        <w:rPr>
          <w:rFonts w:hint="eastAsia" w:ascii="宋体" w:eastAsia="宋体" w:cs="Times New Roman"/>
          <w:bCs/>
          <w:sz w:val="24"/>
          <w:szCs w:val="24"/>
        </w:rPr>
      </w:pPr>
      <w:bookmarkStart w:id="158" w:name="_Toc15196"/>
      <w:r>
        <w:rPr>
          <w:rFonts w:hint="eastAsia" w:ascii="宋体" w:eastAsia="宋体" w:cs="Times New Roman"/>
          <w:bCs/>
          <w:sz w:val="24"/>
          <w:szCs w:val="24"/>
        </w:rPr>
        <w:t>贷款渠道和提供贷款的金融机构，可在河南省政府采购网“河南省政府采购合同融资平台”查询联系。</w:t>
      </w:r>
      <w:bookmarkEnd w:id="158"/>
    </w:p>
    <w:p w14:paraId="50FDD3FF">
      <w:pPr>
        <w:widowControl w:val="0"/>
        <w:jc w:val="both"/>
        <w:textAlignment w:val="auto"/>
        <w:rPr>
          <w:rFonts w:hint="eastAsia" w:ascii="宋体" w:eastAsia="宋体" w:cs="Times New Roman"/>
          <w:bCs/>
          <w:sz w:val="28"/>
          <w:szCs w:val="28"/>
          <w:lang w:val="en-US" w:eastAsia="zh-CN"/>
        </w:rPr>
      </w:pPr>
      <w:r>
        <w:rPr>
          <w:rFonts w:hint="eastAsia" w:ascii="宋体"/>
          <w:bCs/>
          <w:sz w:val="24"/>
          <w:szCs w:val="24"/>
        </w:rPr>
        <w:br w:type="page"/>
      </w:r>
      <w:r>
        <w:rPr>
          <w:rFonts w:hint="eastAsia" w:ascii="宋体" w:eastAsia="宋体" w:cs="Times New Roman"/>
          <w:bCs/>
          <w:sz w:val="28"/>
          <w:szCs w:val="28"/>
        </w:rPr>
        <w:t>附件</w:t>
      </w:r>
      <w:r>
        <w:rPr>
          <w:rFonts w:hint="eastAsia" w:ascii="宋体" w:eastAsia="宋体" w:cs="Times New Roman"/>
          <w:bCs/>
          <w:sz w:val="28"/>
          <w:szCs w:val="28"/>
          <w:lang w:val="en-US" w:eastAsia="zh-CN"/>
        </w:rPr>
        <w:t>2</w:t>
      </w:r>
    </w:p>
    <w:p w14:paraId="5CE10BF0">
      <w:pPr>
        <w:spacing w:line="440" w:lineRule="exact"/>
        <w:ind w:firstLine="465"/>
        <w:jc w:val="center"/>
        <w:rPr>
          <w:rFonts w:hint="eastAsia" w:ascii="宋体" w:eastAsia="宋体" w:cs="Times New Roman"/>
          <w:b/>
          <w:bCs w:val="0"/>
          <w:sz w:val="28"/>
          <w:szCs w:val="28"/>
          <w:lang w:val="en-US" w:eastAsia="zh-CN"/>
        </w:rPr>
      </w:pPr>
      <w:r>
        <w:rPr>
          <w:rFonts w:hint="eastAsia" w:ascii="宋体" w:eastAsia="宋体" w:cs="Times New Roman"/>
          <w:b/>
          <w:bCs w:val="0"/>
          <w:sz w:val="28"/>
          <w:szCs w:val="28"/>
          <w:lang w:val="en-US" w:eastAsia="zh-CN"/>
        </w:rPr>
        <w:t>卢氏县政府采购合同融资政策告知书</w:t>
      </w:r>
    </w:p>
    <w:p w14:paraId="4F9E9EC8">
      <w:pPr>
        <w:spacing w:line="440" w:lineRule="exact"/>
        <w:rPr>
          <w:rFonts w:hint="eastAsia" w:ascii="宋体" w:eastAsia="宋体" w:cs="Times New Roman"/>
          <w:bCs/>
          <w:sz w:val="24"/>
          <w:szCs w:val="24"/>
          <w:lang w:val="en-US" w:eastAsia="zh-CN"/>
        </w:rPr>
      </w:pPr>
      <w:r>
        <w:rPr>
          <w:rFonts w:hint="eastAsia" w:ascii="宋体" w:eastAsia="宋体" w:cs="Times New Roman"/>
          <w:bCs/>
          <w:sz w:val="24"/>
          <w:szCs w:val="24"/>
          <w:lang w:val="en-US" w:eastAsia="zh-CN"/>
        </w:rPr>
        <w:t>各供应商：</w:t>
      </w:r>
    </w:p>
    <w:p w14:paraId="24FFCFE0">
      <w:pPr>
        <w:spacing w:line="440" w:lineRule="exact"/>
        <w:ind w:firstLine="465"/>
        <w:rPr>
          <w:rFonts w:hint="eastAsia" w:ascii="宋体" w:eastAsia="宋体" w:cs="Times New Roman"/>
          <w:bCs/>
          <w:sz w:val="24"/>
          <w:szCs w:val="24"/>
          <w:lang w:val="en-US" w:eastAsia="zh-CN"/>
        </w:rPr>
      </w:pPr>
      <w:r>
        <w:rPr>
          <w:rFonts w:hint="eastAsia" w:ascii="宋体" w:eastAsia="宋体" w:cs="Times New Roman"/>
          <w:bCs/>
          <w:sz w:val="24"/>
          <w:szCs w:val="24"/>
          <w:lang w:val="en-US" w:eastAsia="zh-CN"/>
        </w:rPr>
        <w:t>欢迎贵公司参与卢氏县政府采购活动！</w:t>
      </w:r>
    </w:p>
    <w:p w14:paraId="5245BE13">
      <w:pPr>
        <w:spacing w:line="440" w:lineRule="exact"/>
        <w:ind w:firstLine="465"/>
        <w:rPr>
          <w:rFonts w:hint="eastAsia" w:ascii="宋体" w:eastAsia="宋体" w:cs="Times New Roman"/>
          <w:bCs/>
          <w:sz w:val="24"/>
          <w:szCs w:val="24"/>
          <w:lang w:val="en-US" w:eastAsia="zh-CN"/>
        </w:rPr>
      </w:pPr>
      <w:r>
        <w:rPr>
          <w:rFonts w:hint="eastAsia" w:ascii="宋体" w:eastAsia="宋体" w:cs="Times New Roman"/>
          <w:bCs/>
          <w:sz w:val="24"/>
          <w:szCs w:val="24"/>
          <w:lang w:val="en-US" w:eastAsia="zh-CN"/>
        </w:rPr>
        <w:t>近年来，卢氏县积极发挥政府采购政策功能，加大对中小企业支持力度，创新运用“政采贷”信贷产品，畅通中小企业融资“绿色通道”，为企业发展提质增效注入金融活水。</w:t>
      </w:r>
    </w:p>
    <w:p w14:paraId="5691A17F">
      <w:pPr>
        <w:spacing w:line="440" w:lineRule="exact"/>
        <w:ind w:firstLine="465"/>
        <w:rPr>
          <w:rFonts w:hint="eastAsia" w:ascii="宋体" w:eastAsia="宋体" w:cs="Times New Roman"/>
          <w:bCs/>
          <w:sz w:val="24"/>
          <w:szCs w:val="24"/>
          <w:lang w:val="en-US" w:eastAsia="zh-CN"/>
        </w:rPr>
      </w:pPr>
      <w:r>
        <w:rPr>
          <w:rFonts w:hint="eastAsia" w:ascii="宋体" w:eastAsia="宋体" w:cs="Times New Roman"/>
          <w:bCs/>
          <w:sz w:val="24"/>
          <w:szCs w:val="24"/>
          <w:lang w:val="en-US" w:eastAsia="zh-CN"/>
        </w:rPr>
        <w:t>为更好满足中小微供应商短、频、急的资金需求，帮助中小微企业解决融资难题，提升金融服务实体经济能力，服务市场主体推动经济稳健发展，我县各金融机构着力优化产品服务、无需抵押担保、简化审贷程序、缩短审贷周期，为供应商合同融资贷款提供便利条件，现编制《卢氏县政府采购合同融资政策告知书》，方便中小企业供应商朋友们进一步了解政府采购融资政策和获取贷款的流程。</w:t>
      </w:r>
    </w:p>
    <w:p w14:paraId="1A34FBF5">
      <w:pPr>
        <w:spacing w:line="440" w:lineRule="exact"/>
        <w:ind w:firstLine="465"/>
        <w:rPr>
          <w:rFonts w:hint="eastAsia" w:ascii="宋体" w:eastAsia="宋体" w:cs="Times New Roman"/>
          <w:bCs/>
          <w:sz w:val="24"/>
          <w:szCs w:val="24"/>
          <w:lang w:val="en-US" w:eastAsia="zh-CN"/>
        </w:rPr>
      </w:pPr>
      <w:r>
        <w:rPr>
          <w:rFonts w:hint="eastAsia" w:ascii="宋体" w:eastAsia="宋体" w:cs="Times New Roman"/>
          <w:bCs/>
          <w:sz w:val="24"/>
          <w:szCs w:val="24"/>
          <w:lang w:val="en-US" w:eastAsia="zh-CN"/>
        </w:rPr>
        <w:t>特别提醒：该告知书仅统计了我县部分可以提供线上融资的金融机构，凡参与我县政府采购项目，有融资需求的本地或外地中标（成交）供应商，均可通过“河南省政府采购网”进入“河南省政府采购合同融资平台”，申请融资服务，凡在政府采购合同融资平台登记的金融机构均可开展融资贷款业务。对“政采贷”工作开展过程中发现的新问题、新情况或者建议意见，及时向我县财政部门反馈。</w:t>
      </w:r>
    </w:p>
    <w:p w14:paraId="66EB2C84">
      <w:pPr>
        <w:widowControl w:val="0"/>
        <w:ind w:firstLine="720" w:firstLineChars="300"/>
        <w:jc w:val="both"/>
        <w:textAlignment w:val="auto"/>
        <w:rPr>
          <w:rFonts w:hint="eastAsia" w:ascii="宋体" w:eastAsia="宋体" w:cs="Times New Roman"/>
          <w:bCs/>
          <w:sz w:val="24"/>
          <w:szCs w:val="24"/>
          <w:lang w:val="en-US" w:eastAsia="zh-CN"/>
        </w:rPr>
      </w:pPr>
      <w:r>
        <w:rPr>
          <w:rFonts w:hint="eastAsia" w:ascii="宋体" w:eastAsia="宋体" w:cs="Times New Roman"/>
          <w:bCs/>
          <w:sz w:val="24"/>
          <w:szCs w:val="24"/>
          <w:lang w:val="en-US" w:eastAsia="zh-CN"/>
        </w:rPr>
        <w:t>联系电话：0398-7863556</w:t>
      </w:r>
    </w:p>
    <w:p w14:paraId="327D8985">
      <w:pPr>
        <w:widowControl w:val="0"/>
        <w:jc w:val="both"/>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承接银行联系方式</w:t>
      </w:r>
    </w:p>
    <w:tbl>
      <w:tblPr>
        <w:tblStyle w:val="22"/>
        <w:tblW w:w="0" w:type="auto"/>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5"/>
        <w:gridCol w:w="1818"/>
        <w:gridCol w:w="2451"/>
      </w:tblGrid>
      <w:tr w14:paraId="78DF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noWrap w:val="0"/>
            <w:vAlign w:val="top"/>
          </w:tcPr>
          <w:p w14:paraId="18C47C62">
            <w:pPr>
              <w:widowControl w:val="0"/>
              <w:jc w:val="center"/>
              <w:textAlignment w:val="auto"/>
              <w:rPr>
                <w:rFonts w:hint="eastAsia" w:ascii="宋体" w:hAnsi="宋体" w:eastAsia="宋体" w:cs="宋体"/>
                <w:color w:val="auto"/>
                <w:kern w:val="0"/>
                <w:sz w:val="24"/>
                <w:szCs w:val="24"/>
                <w:highlight w:val="none"/>
                <w:shd w:val="clear" w:color="auto" w:fill="F9F9F9"/>
                <w:vertAlign w:val="baseline"/>
                <w:lang w:val="en-US" w:eastAsia="zh-CN"/>
              </w:rPr>
            </w:pPr>
            <w:r>
              <w:rPr>
                <w:rFonts w:hint="eastAsia" w:ascii="宋体" w:hAnsi="宋体" w:eastAsia="宋体" w:cs="宋体"/>
                <w:color w:val="auto"/>
                <w:kern w:val="0"/>
                <w:sz w:val="24"/>
                <w:szCs w:val="24"/>
                <w:highlight w:val="none"/>
                <w:shd w:val="clear" w:color="auto" w:fill="F9F9F9"/>
                <w:vertAlign w:val="baseline"/>
                <w:lang w:val="en-US" w:eastAsia="zh-CN"/>
              </w:rPr>
              <w:t>单位名称</w:t>
            </w:r>
          </w:p>
        </w:tc>
        <w:tc>
          <w:tcPr>
            <w:tcW w:w="1818" w:type="dxa"/>
            <w:noWrap w:val="0"/>
            <w:vAlign w:val="top"/>
          </w:tcPr>
          <w:p w14:paraId="7300BEED">
            <w:pPr>
              <w:widowControl w:val="0"/>
              <w:jc w:val="center"/>
              <w:textAlignment w:val="auto"/>
              <w:rPr>
                <w:rFonts w:hint="eastAsia" w:ascii="宋体" w:hAnsi="宋体" w:eastAsia="宋体" w:cs="宋体"/>
                <w:color w:val="auto"/>
                <w:kern w:val="0"/>
                <w:sz w:val="24"/>
                <w:szCs w:val="24"/>
                <w:highlight w:val="none"/>
                <w:shd w:val="clear" w:color="auto" w:fill="F9F9F9"/>
                <w:vertAlign w:val="baseline"/>
                <w:lang w:val="en-US" w:eastAsia="zh-CN"/>
              </w:rPr>
            </w:pPr>
            <w:r>
              <w:rPr>
                <w:rFonts w:hint="eastAsia" w:ascii="宋体" w:hAnsi="宋体" w:eastAsia="宋体" w:cs="宋体"/>
                <w:color w:val="auto"/>
                <w:kern w:val="0"/>
                <w:sz w:val="24"/>
                <w:szCs w:val="24"/>
                <w:highlight w:val="none"/>
                <w:shd w:val="clear" w:color="auto" w:fill="F9F9F9"/>
                <w:vertAlign w:val="baseline"/>
                <w:lang w:val="en-US" w:eastAsia="zh-CN"/>
              </w:rPr>
              <w:t>联系人</w:t>
            </w:r>
          </w:p>
        </w:tc>
        <w:tc>
          <w:tcPr>
            <w:tcW w:w="2451" w:type="dxa"/>
            <w:noWrap w:val="0"/>
            <w:vAlign w:val="top"/>
          </w:tcPr>
          <w:p w14:paraId="1B1B577A">
            <w:pPr>
              <w:widowControl w:val="0"/>
              <w:jc w:val="center"/>
              <w:textAlignment w:val="auto"/>
              <w:rPr>
                <w:rFonts w:hint="eastAsia" w:ascii="宋体" w:hAnsi="宋体" w:eastAsia="宋体" w:cs="宋体"/>
                <w:color w:val="auto"/>
                <w:kern w:val="0"/>
                <w:sz w:val="24"/>
                <w:szCs w:val="24"/>
                <w:highlight w:val="none"/>
                <w:shd w:val="clear" w:color="auto" w:fill="F9F9F9"/>
                <w:vertAlign w:val="baseline"/>
                <w:lang w:val="en-US" w:eastAsia="zh-CN"/>
              </w:rPr>
            </w:pPr>
            <w:r>
              <w:rPr>
                <w:rFonts w:hint="eastAsia" w:ascii="宋体" w:hAnsi="宋体" w:eastAsia="宋体" w:cs="宋体"/>
                <w:color w:val="auto"/>
                <w:kern w:val="0"/>
                <w:sz w:val="24"/>
                <w:szCs w:val="24"/>
                <w:highlight w:val="none"/>
                <w:shd w:val="clear" w:color="auto" w:fill="F9F9F9"/>
                <w:vertAlign w:val="baseline"/>
                <w:lang w:val="en-US" w:eastAsia="zh-CN"/>
              </w:rPr>
              <w:t>联系方式</w:t>
            </w:r>
          </w:p>
        </w:tc>
      </w:tr>
      <w:tr w14:paraId="288E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noWrap w:val="0"/>
            <w:vAlign w:val="top"/>
          </w:tcPr>
          <w:p w14:paraId="7E728293">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中国建设银行股份有限公司卢氏支行</w:t>
            </w:r>
          </w:p>
        </w:tc>
        <w:tc>
          <w:tcPr>
            <w:tcW w:w="1818" w:type="dxa"/>
            <w:noWrap w:val="0"/>
            <w:vAlign w:val="top"/>
          </w:tcPr>
          <w:p w14:paraId="40B60EBD">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张江涛</w:t>
            </w:r>
          </w:p>
        </w:tc>
        <w:tc>
          <w:tcPr>
            <w:tcW w:w="2451" w:type="dxa"/>
            <w:noWrap w:val="0"/>
            <w:vAlign w:val="top"/>
          </w:tcPr>
          <w:p w14:paraId="2FD365C4">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18739850204</w:t>
            </w:r>
          </w:p>
        </w:tc>
      </w:tr>
      <w:tr w14:paraId="637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noWrap w:val="0"/>
            <w:vAlign w:val="top"/>
          </w:tcPr>
          <w:p w14:paraId="6E4418E6">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中国农业银行股份有限公司卢氏县支行</w:t>
            </w:r>
          </w:p>
        </w:tc>
        <w:tc>
          <w:tcPr>
            <w:tcW w:w="1818" w:type="dxa"/>
            <w:noWrap w:val="0"/>
            <w:vAlign w:val="top"/>
          </w:tcPr>
          <w:p w14:paraId="525DC090">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代仁旺</w:t>
            </w:r>
          </w:p>
        </w:tc>
        <w:tc>
          <w:tcPr>
            <w:tcW w:w="2451" w:type="dxa"/>
            <w:noWrap w:val="0"/>
            <w:vAlign w:val="top"/>
          </w:tcPr>
          <w:p w14:paraId="2902646E">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18939062604</w:t>
            </w:r>
          </w:p>
        </w:tc>
      </w:tr>
      <w:tr w14:paraId="3E9F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noWrap w:val="0"/>
            <w:vAlign w:val="top"/>
          </w:tcPr>
          <w:p w14:paraId="030C57F1">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中原银行股份有限公司卢氏支行</w:t>
            </w:r>
          </w:p>
        </w:tc>
        <w:tc>
          <w:tcPr>
            <w:tcW w:w="1818" w:type="dxa"/>
            <w:noWrap w:val="0"/>
            <w:vAlign w:val="top"/>
          </w:tcPr>
          <w:p w14:paraId="5D1FFBC0">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李博</w:t>
            </w:r>
          </w:p>
        </w:tc>
        <w:tc>
          <w:tcPr>
            <w:tcW w:w="2451" w:type="dxa"/>
            <w:noWrap w:val="0"/>
            <w:vAlign w:val="top"/>
          </w:tcPr>
          <w:p w14:paraId="100413D6">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15839857887</w:t>
            </w:r>
          </w:p>
        </w:tc>
      </w:tr>
    </w:tbl>
    <w:p w14:paraId="7A6812C6">
      <w:pPr>
        <w:widowControl w:val="0"/>
        <w:ind w:firstLine="480" w:firstLineChars="200"/>
        <w:jc w:val="center"/>
        <w:textAlignment w:val="auto"/>
        <w:rPr>
          <w:rFonts w:ascii="方正小标宋简体" w:hAnsi="方正小标宋简体" w:eastAsia="方正小标宋简体" w:cs="方正小标宋简体"/>
          <w:color w:val="auto"/>
          <w:kern w:val="0"/>
          <w:sz w:val="24"/>
          <w:szCs w:val="24"/>
          <w:highlight w:val="none"/>
          <w:shd w:val="clear" w:color="auto" w:fill="F9F9F9"/>
        </w:rPr>
      </w:pPr>
    </w:p>
    <w:p w14:paraId="3722EE3C">
      <w:pPr>
        <w:widowControl w:val="0"/>
        <w:ind w:firstLine="560" w:firstLineChars="200"/>
        <w:jc w:val="center"/>
        <w:textAlignment w:val="auto"/>
        <w:rPr>
          <w:rFonts w:ascii="方正小标宋简体" w:hAnsi="方正小标宋简体" w:eastAsia="方正小标宋简体" w:cs="方正小标宋简体"/>
          <w:color w:val="auto"/>
          <w:kern w:val="0"/>
          <w:sz w:val="28"/>
          <w:szCs w:val="28"/>
          <w:highlight w:val="none"/>
          <w:shd w:val="clear" w:color="auto" w:fill="F9F9F9"/>
        </w:rPr>
      </w:pPr>
    </w:p>
    <w:p w14:paraId="6A185750">
      <w:pPr>
        <w:widowControl w:val="0"/>
        <w:jc w:val="both"/>
        <w:textAlignment w:val="auto"/>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pPr>
    </w:p>
    <w:p w14:paraId="24707D71">
      <w:pPr>
        <w:widowControl w:val="0"/>
        <w:jc w:val="both"/>
        <w:textAlignment w:val="auto"/>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pPr>
    </w:p>
    <w:p w14:paraId="3AC5B21C">
      <w:pPr>
        <w:widowControl w:val="0"/>
        <w:jc w:val="both"/>
        <w:textAlignment w:val="auto"/>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pPr>
    </w:p>
    <w:p w14:paraId="7333DC5A">
      <w:pPr>
        <w:widowControl w:val="0"/>
        <w:jc w:val="both"/>
        <w:textAlignment w:val="auto"/>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pPr>
    </w:p>
    <w:p w14:paraId="65387991">
      <w:pPr>
        <w:widowControl w:val="0"/>
        <w:jc w:val="both"/>
        <w:textAlignment w:val="auto"/>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pPr>
    </w:p>
    <w:p w14:paraId="579BA683">
      <w:pPr>
        <w:widowControl w:val="0"/>
        <w:jc w:val="both"/>
        <w:textAlignment w:val="auto"/>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pPr>
      <w:r>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t xml:space="preserve">附件3              </w:t>
      </w:r>
    </w:p>
    <w:p w14:paraId="01F9ACC6">
      <w:pPr>
        <w:widowControl w:val="0"/>
        <w:ind w:firstLine="3080" w:firstLineChars="1100"/>
        <w:jc w:val="both"/>
        <w:textAlignment w:val="auto"/>
        <w:rPr>
          <w:rFonts w:cs="Times New Roman"/>
          <w:color w:val="auto"/>
          <w:sz w:val="21"/>
          <w:szCs w:val="21"/>
          <w:highlight w:val="none"/>
        </w:rPr>
      </w:pPr>
      <w:r>
        <w:rPr>
          <w:rFonts w:ascii="方正小标宋简体" w:hAnsi="方正小标宋简体" w:eastAsia="方正小标宋简体" w:cs="方正小标宋简体"/>
          <w:color w:val="auto"/>
          <w:kern w:val="0"/>
          <w:sz w:val="28"/>
          <w:szCs w:val="28"/>
          <w:highlight w:val="none"/>
          <w:shd w:val="clear" w:color="auto" w:fill="F9F9F9"/>
        </w:rPr>
        <w:t>中小企业划型标准规定</w:t>
      </w:r>
    </w:p>
    <w:tbl>
      <w:tblPr>
        <w:tblStyle w:val="21"/>
        <w:tblW w:w="9353" w:type="dxa"/>
        <w:jc w:val="center"/>
        <w:shd w:val="clear" w:color="auto" w:fill="FFFFFF"/>
        <w:tblLayout w:type="autofit"/>
        <w:tblCellMar>
          <w:top w:w="0" w:type="dxa"/>
          <w:left w:w="0" w:type="dxa"/>
          <w:bottom w:w="0" w:type="dxa"/>
          <w:right w:w="0" w:type="dxa"/>
        </w:tblCellMar>
      </w:tblPr>
      <w:tblGrid>
        <w:gridCol w:w="1144"/>
        <w:gridCol w:w="1492"/>
        <w:gridCol w:w="728"/>
        <w:gridCol w:w="1245"/>
        <w:gridCol w:w="1965"/>
        <w:gridCol w:w="1756"/>
        <w:gridCol w:w="1023"/>
      </w:tblGrid>
      <w:tr w14:paraId="6AEA0C40">
        <w:tblPrEx>
          <w:shd w:val="clear" w:color="auto" w:fill="FFFFFF"/>
          <w:tblCellMar>
            <w:top w:w="0" w:type="dxa"/>
            <w:left w:w="0" w:type="dxa"/>
            <w:bottom w:w="0" w:type="dxa"/>
            <w:right w:w="0" w:type="dxa"/>
          </w:tblCellMar>
        </w:tblPrEx>
        <w:trPr>
          <w:trHeight w:val="653" w:hRule="atLeast"/>
          <w:jc w:val="center"/>
        </w:trPr>
        <w:tc>
          <w:tcPr>
            <w:tcW w:w="1144" w:type="dxa"/>
            <w:tcBorders>
              <w:top w:val="single" w:color="4F81BD" w:sz="6" w:space="0"/>
              <w:left w:val="single" w:color="4F81BD" w:sz="6" w:space="0"/>
              <w:bottom w:val="single" w:color="FFFFFF" w:sz="18" w:space="0"/>
              <w:right w:val="single" w:color="4F81BD" w:sz="6" w:space="0"/>
            </w:tcBorders>
            <w:shd w:val="clear" w:color="auto" w:fill="4F81BD"/>
            <w:noWrap w:val="0"/>
            <w:tcMar>
              <w:left w:w="105" w:type="dxa"/>
              <w:right w:w="105" w:type="dxa"/>
            </w:tcMar>
            <w:vAlign w:val="center"/>
          </w:tcPr>
          <w:p w14:paraId="1D4BD072">
            <w:pPr>
              <w:pStyle w:val="18"/>
              <w:wordWrap w:val="0"/>
              <w:spacing w:line="240" w:lineRule="auto"/>
              <w:jc w:val="center"/>
              <w:rPr>
                <w:rFonts w:ascii="宋体" w:hAnsi="宋体" w:cs="宋体"/>
                <w:color w:val="auto"/>
                <w:sz w:val="21"/>
                <w:szCs w:val="21"/>
                <w:highlight w:val="none"/>
              </w:rPr>
            </w:pPr>
            <w:r>
              <w:rPr>
                <w:rStyle w:val="24"/>
                <w:rFonts w:hint="eastAsia" w:ascii="宋体" w:hAnsi="宋体" w:cs="宋体"/>
                <w:color w:val="auto"/>
                <w:spacing w:val="8"/>
                <w:sz w:val="21"/>
                <w:szCs w:val="21"/>
                <w:highlight w:val="none"/>
              </w:rPr>
              <w:t>行业名称</w:t>
            </w:r>
          </w:p>
        </w:tc>
        <w:tc>
          <w:tcPr>
            <w:tcW w:w="1492"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5BE67CE6">
            <w:pPr>
              <w:pStyle w:val="18"/>
              <w:wordWrap w:val="0"/>
              <w:spacing w:line="240" w:lineRule="auto"/>
              <w:jc w:val="center"/>
              <w:rPr>
                <w:rFonts w:ascii="宋体" w:hAnsi="宋体" w:cs="宋体"/>
                <w:color w:val="auto"/>
                <w:sz w:val="21"/>
                <w:szCs w:val="21"/>
                <w:highlight w:val="none"/>
              </w:rPr>
            </w:pPr>
            <w:r>
              <w:rPr>
                <w:rStyle w:val="24"/>
                <w:rFonts w:hint="eastAsia" w:ascii="宋体" w:hAnsi="宋体" w:cs="宋体"/>
                <w:color w:val="auto"/>
                <w:spacing w:val="8"/>
                <w:sz w:val="21"/>
                <w:szCs w:val="21"/>
                <w:highlight w:val="none"/>
              </w:rPr>
              <w:t>指标名称</w:t>
            </w:r>
          </w:p>
        </w:tc>
        <w:tc>
          <w:tcPr>
            <w:tcW w:w="728"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6EB014ED">
            <w:pPr>
              <w:pStyle w:val="18"/>
              <w:wordWrap w:val="0"/>
              <w:spacing w:line="240" w:lineRule="auto"/>
              <w:jc w:val="center"/>
              <w:rPr>
                <w:rFonts w:ascii="宋体" w:hAnsi="宋体" w:cs="宋体"/>
                <w:color w:val="auto"/>
                <w:sz w:val="21"/>
                <w:szCs w:val="21"/>
                <w:highlight w:val="none"/>
              </w:rPr>
            </w:pPr>
            <w:r>
              <w:rPr>
                <w:rStyle w:val="24"/>
                <w:rFonts w:hint="eastAsia" w:ascii="宋体" w:hAnsi="宋体" w:cs="宋体"/>
                <w:color w:val="auto"/>
                <w:spacing w:val="8"/>
                <w:sz w:val="21"/>
                <w:szCs w:val="21"/>
                <w:highlight w:val="none"/>
              </w:rPr>
              <w:t>计量单位</w:t>
            </w:r>
          </w:p>
        </w:tc>
        <w:tc>
          <w:tcPr>
            <w:tcW w:w="1245"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1A97D979">
            <w:pPr>
              <w:pStyle w:val="18"/>
              <w:wordWrap w:val="0"/>
              <w:spacing w:line="240" w:lineRule="auto"/>
              <w:jc w:val="center"/>
              <w:rPr>
                <w:rFonts w:ascii="宋体" w:hAnsi="宋体" w:cs="宋体"/>
                <w:color w:val="auto"/>
                <w:sz w:val="21"/>
                <w:szCs w:val="21"/>
                <w:highlight w:val="none"/>
              </w:rPr>
            </w:pPr>
            <w:r>
              <w:rPr>
                <w:rStyle w:val="24"/>
                <w:rFonts w:hint="eastAsia" w:ascii="宋体" w:hAnsi="宋体" w:cs="宋体"/>
                <w:color w:val="auto"/>
                <w:spacing w:val="8"/>
                <w:sz w:val="21"/>
                <w:szCs w:val="21"/>
                <w:highlight w:val="none"/>
              </w:rPr>
              <w:t>大型</w:t>
            </w:r>
          </w:p>
        </w:tc>
        <w:tc>
          <w:tcPr>
            <w:tcW w:w="1965"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70CA6DA9">
            <w:pPr>
              <w:pStyle w:val="18"/>
              <w:wordWrap w:val="0"/>
              <w:spacing w:line="240" w:lineRule="auto"/>
              <w:jc w:val="center"/>
              <w:rPr>
                <w:rFonts w:ascii="宋体" w:hAnsi="宋体" w:cs="宋体"/>
                <w:color w:val="auto"/>
                <w:sz w:val="21"/>
                <w:szCs w:val="21"/>
                <w:highlight w:val="none"/>
              </w:rPr>
            </w:pPr>
            <w:r>
              <w:rPr>
                <w:rStyle w:val="24"/>
                <w:rFonts w:hint="eastAsia" w:ascii="宋体" w:hAnsi="宋体" w:cs="宋体"/>
                <w:color w:val="auto"/>
                <w:spacing w:val="8"/>
                <w:sz w:val="21"/>
                <w:szCs w:val="21"/>
                <w:highlight w:val="none"/>
              </w:rPr>
              <w:t>中型</w:t>
            </w:r>
          </w:p>
        </w:tc>
        <w:tc>
          <w:tcPr>
            <w:tcW w:w="1756"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03342287">
            <w:pPr>
              <w:pStyle w:val="18"/>
              <w:wordWrap w:val="0"/>
              <w:spacing w:line="240" w:lineRule="auto"/>
              <w:jc w:val="center"/>
              <w:rPr>
                <w:rFonts w:ascii="宋体" w:hAnsi="宋体" w:cs="宋体"/>
                <w:color w:val="auto"/>
                <w:sz w:val="21"/>
                <w:szCs w:val="21"/>
                <w:highlight w:val="none"/>
              </w:rPr>
            </w:pPr>
            <w:r>
              <w:rPr>
                <w:rStyle w:val="24"/>
                <w:rFonts w:hint="eastAsia" w:ascii="宋体" w:hAnsi="宋体" w:cs="宋体"/>
                <w:color w:val="auto"/>
                <w:spacing w:val="8"/>
                <w:sz w:val="21"/>
                <w:szCs w:val="21"/>
                <w:highlight w:val="none"/>
              </w:rPr>
              <w:t>小型</w:t>
            </w:r>
          </w:p>
        </w:tc>
        <w:tc>
          <w:tcPr>
            <w:tcW w:w="1023"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4EB2DB57">
            <w:pPr>
              <w:pStyle w:val="18"/>
              <w:wordWrap w:val="0"/>
              <w:spacing w:line="240" w:lineRule="auto"/>
              <w:jc w:val="center"/>
              <w:rPr>
                <w:rFonts w:ascii="宋体" w:hAnsi="宋体" w:cs="宋体"/>
                <w:color w:val="auto"/>
                <w:sz w:val="21"/>
                <w:szCs w:val="21"/>
                <w:highlight w:val="none"/>
              </w:rPr>
            </w:pPr>
            <w:r>
              <w:rPr>
                <w:rStyle w:val="24"/>
                <w:rFonts w:hint="eastAsia" w:ascii="宋体" w:hAnsi="宋体" w:cs="宋体"/>
                <w:color w:val="auto"/>
                <w:spacing w:val="8"/>
                <w:sz w:val="21"/>
                <w:szCs w:val="21"/>
                <w:highlight w:val="none"/>
              </w:rPr>
              <w:t>微型</w:t>
            </w:r>
          </w:p>
        </w:tc>
      </w:tr>
      <w:tr w14:paraId="5435B29A">
        <w:tblPrEx>
          <w:shd w:val="clear" w:color="auto" w:fill="FFFFFF"/>
          <w:tblCellMar>
            <w:top w:w="0" w:type="dxa"/>
            <w:left w:w="0" w:type="dxa"/>
            <w:bottom w:w="0" w:type="dxa"/>
            <w:right w:w="0" w:type="dxa"/>
          </w:tblCellMar>
        </w:tblPrEx>
        <w:trPr>
          <w:trHeight w:val="682" w:hRule="atLeast"/>
          <w:jc w:val="center"/>
        </w:trPr>
        <w:tc>
          <w:tcPr>
            <w:tcW w:w="1144" w:type="dxa"/>
            <w:tcBorders>
              <w:top w:val="nil"/>
              <w:left w:val="single" w:color="4F81BD" w:sz="6" w:space="0"/>
              <w:bottom w:val="single" w:color="4F81BD" w:sz="6" w:space="0"/>
              <w:right w:val="single" w:color="4F81BD" w:sz="6" w:space="0"/>
            </w:tcBorders>
            <w:shd w:val="clear" w:color="auto" w:fill="B8CCE4"/>
            <w:noWrap w:val="0"/>
            <w:tcMar>
              <w:left w:w="105" w:type="dxa"/>
              <w:right w:w="105" w:type="dxa"/>
            </w:tcMar>
            <w:vAlign w:val="center"/>
          </w:tcPr>
          <w:p w14:paraId="3E4B3281">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农、林、牧、渔业</w:t>
            </w: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6D81C7D">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190664B">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AB70B93">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0E0137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500≤Y＜20000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0170195">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50≤Y＜500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21C5417">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w:t>
            </w:r>
          </w:p>
        </w:tc>
      </w:tr>
      <w:tr w14:paraId="39D1A2FF">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DE398B6">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工业 *</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34129AF">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C47E4FB">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B0513FC">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43175F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D7F0FA7">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5D63B10">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797152DD">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97F2CB0">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15C93E6">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B3C3FF3">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94FA602">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Y≥40000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F0281B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2000≤Y＜40000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8800F0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300≤Y＜2000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845AABE">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w:t>
            </w:r>
          </w:p>
        </w:tc>
      </w:tr>
      <w:tr w14:paraId="7F63B80D">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A2B9C5E">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建筑业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AF7544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0BA393D">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F9A56B6">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Y≥80000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CE8C04B">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6000≤Y＜80000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FCC8AF6">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300≤Y＜6000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5B4E1FD">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w:t>
            </w:r>
          </w:p>
        </w:tc>
      </w:tr>
      <w:tr w14:paraId="65885D01">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2585C08">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FBD711D">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资产总额(Z)</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C326F30">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6D23288">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Z≥80000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419E5CC">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5000≤Z＜80000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1EA9D3E">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300≤Z＜5000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E19C21B">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Z＜300</w:t>
            </w:r>
          </w:p>
        </w:tc>
      </w:tr>
      <w:tr w14:paraId="760C20BB">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21077AF">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批发业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C99A74F">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4ABD8D6">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2706C76">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94D5116">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20≤X＜200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F192D56">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5≤X＜20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1563802">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X＜5</w:t>
            </w:r>
          </w:p>
        </w:tc>
      </w:tr>
      <w:tr w14:paraId="1B53D998">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D82F72B">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E7306FB">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B5E00E4">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269CA84">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Y≥40000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DEA02A3">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5000≤Y＜40000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A3B48C2">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1000≤Y＜5000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986AAB3">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w:t>
            </w:r>
          </w:p>
        </w:tc>
      </w:tr>
      <w:tr w14:paraId="19C2204E">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C26C45A">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零售业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CA2FAA9">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5CFBF52">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3346EF4">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82695F5">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D349BCE">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10≤X＜50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B0C167D">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11807494">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6A6A0F45">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274DF9C">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AEF2352">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1DDE769">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A3889C8">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500≤Y＜20000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579A4F2">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100≤Y＜500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4E94A16">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0F52EA45">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DB2F929">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交通运输业 *</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E30A1A0">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2070FC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D795679">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D4EFC7D">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569F79C">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86AC7E9">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3495A113">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9A99F47">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0956D97">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D5A1C2F">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B4DFDEF">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6946E67">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3000≤Y＜30000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0187B0C">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200≤Y＜3000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28965E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w:t>
            </w:r>
          </w:p>
        </w:tc>
      </w:tr>
      <w:tr w14:paraId="50F0A67B">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618C687C">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仓储业*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28559A5">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EAEED78">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EC20B99">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AC506CC">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100≤X＜200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39F6273">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441FE6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00AA5C95">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50D871F">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9409142">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492DF84">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BCFFCB6">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3AC6176">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1000≤Y＜30000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0430DC5">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100≤Y＜1000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938E193">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0AD9B649">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7196E60">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邮政业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0CA8E4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1CF6EC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F24ED42">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B427F8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9FE2A1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3D9D2D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5FE79DA1">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1A76CD6">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EAD6C85">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5C050C0">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73898FF">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AACF5E8">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2000≤Y＜30000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5E9A1E9">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100≤Y＜2000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052BB6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1BE78416">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4104AAC">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住宿业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D255E4F">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D603837">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5859D97">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96E990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0E9390B">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1E72BA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721C3AD7">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C7A8DA1">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4A79FCE">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5DCA74D">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75300BD">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F92F9C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2000≤Y＜10000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B8C7FD0">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100≤Y＜2000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4795D10">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13D0C170">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6197BC5">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餐饮业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981DBF6">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5185424">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AC35FE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623645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7AE7074">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8787189">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5E265E26">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auto" w:sz="4" w:space="0"/>
              <w:right w:val="single" w:color="4F81BD" w:sz="6" w:space="0"/>
            </w:tcBorders>
            <w:shd w:val="clear" w:color="auto" w:fill="FFFFFF"/>
            <w:noWrap w:val="0"/>
            <w:tcMar>
              <w:left w:w="105" w:type="dxa"/>
              <w:right w:w="105" w:type="dxa"/>
            </w:tcMar>
            <w:vAlign w:val="center"/>
          </w:tcPr>
          <w:p w14:paraId="245BF86A">
            <w:pPr>
              <w:jc w:val="center"/>
              <w:rPr>
                <w:rFonts w:ascii="宋体" w:hAnsi="宋体" w:cs="宋体"/>
                <w:color w:val="auto"/>
                <w:spacing w:val="8"/>
                <w:sz w:val="21"/>
                <w:szCs w:val="21"/>
                <w:highlight w:val="none"/>
              </w:rPr>
            </w:pPr>
          </w:p>
        </w:tc>
        <w:tc>
          <w:tcPr>
            <w:tcW w:w="1492" w:type="dxa"/>
            <w:tcBorders>
              <w:top w:val="nil"/>
              <w:left w:val="nil"/>
              <w:bottom w:val="single" w:color="auto" w:sz="4" w:space="0"/>
              <w:right w:val="single" w:color="4F81BD" w:sz="6" w:space="0"/>
            </w:tcBorders>
            <w:shd w:val="clear" w:color="auto" w:fill="B8CCE4"/>
            <w:noWrap w:val="0"/>
            <w:tcMar>
              <w:left w:w="105" w:type="dxa"/>
              <w:right w:w="105" w:type="dxa"/>
            </w:tcMar>
            <w:vAlign w:val="center"/>
          </w:tcPr>
          <w:p w14:paraId="5B3F3FC2">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auto" w:sz="4" w:space="0"/>
              <w:right w:val="single" w:color="4F81BD" w:sz="6" w:space="0"/>
            </w:tcBorders>
            <w:shd w:val="clear" w:color="auto" w:fill="B8CCE4"/>
            <w:noWrap w:val="0"/>
            <w:tcMar>
              <w:left w:w="105" w:type="dxa"/>
              <w:right w:w="105" w:type="dxa"/>
            </w:tcMar>
            <w:vAlign w:val="center"/>
          </w:tcPr>
          <w:p w14:paraId="74685A89">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auto" w:sz="4" w:space="0"/>
              <w:right w:val="single" w:color="4F81BD" w:sz="6" w:space="0"/>
            </w:tcBorders>
            <w:shd w:val="clear" w:color="auto" w:fill="B8CCE4"/>
            <w:noWrap w:val="0"/>
            <w:tcMar>
              <w:left w:w="105" w:type="dxa"/>
              <w:right w:w="105" w:type="dxa"/>
            </w:tcMar>
            <w:vAlign w:val="center"/>
          </w:tcPr>
          <w:p w14:paraId="5D73B9FC">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w:t>
            </w:r>
          </w:p>
        </w:tc>
        <w:tc>
          <w:tcPr>
            <w:tcW w:w="1965" w:type="dxa"/>
            <w:tcBorders>
              <w:top w:val="nil"/>
              <w:left w:val="nil"/>
              <w:bottom w:val="single" w:color="auto" w:sz="4" w:space="0"/>
              <w:right w:val="single" w:color="4F81BD" w:sz="6" w:space="0"/>
            </w:tcBorders>
            <w:shd w:val="clear" w:color="auto" w:fill="B8CCE4"/>
            <w:noWrap w:val="0"/>
            <w:tcMar>
              <w:left w:w="105" w:type="dxa"/>
              <w:right w:w="105" w:type="dxa"/>
            </w:tcMar>
            <w:vAlign w:val="center"/>
          </w:tcPr>
          <w:p w14:paraId="1EFCBBE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2000≤Y＜10000</w:t>
            </w:r>
          </w:p>
        </w:tc>
        <w:tc>
          <w:tcPr>
            <w:tcW w:w="1756" w:type="dxa"/>
            <w:tcBorders>
              <w:top w:val="nil"/>
              <w:left w:val="nil"/>
              <w:bottom w:val="single" w:color="auto" w:sz="4" w:space="0"/>
              <w:right w:val="single" w:color="4F81BD" w:sz="6" w:space="0"/>
            </w:tcBorders>
            <w:shd w:val="clear" w:color="auto" w:fill="B8CCE4"/>
            <w:noWrap w:val="0"/>
            <w:tcMar>
              <w:left w:w="105" w:type="dxa"/>
              <w:right w:w="105" w:type="dxa"/>
            </w:tcMar>
            <w:vAlign w:val="center"/>
          </w:tcPr>
          <w:p w14:paraId="13268CA7">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100≤Y＜2000</w:t>
            </w:r>
          </w:p>
        </w:tc>
        <w:tc>
          <w:tcPr>
            <w:tcW w:w="1023" w:type="dxa"/>
            <w:tcBorders>
              <w:top w:val="nil"/>
              <w:left w:val="nil"/>
              <w:bottom w:val="single" w:color="auto" w:sz="4" w:space="0"/>
              <w:right w:val="single" w:color="4F81BD" w:sz="6" w:space="0"/>
            </w:tcBorders>
            <w:shd w:val="clear" w:color="auto" w:fill="B8CCE4"/>
            <w:noWrap w:val="0"/>
            <w:tcMar>
              <w:left w:w="105" w:type="dxa"/>
              <w:right w:w="105" w:type="dxa"/>
            </w:tcMar>
            <w:vAlign w:val="center"/>
          </w:tcPr>
          <w:p w14:paraId="6A0174C0">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4D754104">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6827C732">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信息传输业 *</w:t>
            </w:r>
          </w:p>
        </w:tc>
        <w:tc>
          <w:tcPr>
            <w:tcW w:w="1492"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7E7B9D9F">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4D6054D8">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33C776D3">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X≥2000</w:t>
            </w:r>
          </w:p>
        </w:tc>
        <w:tc>
          <w:tcPr>
            <w:tcW w:w="196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264C3FEB">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100≤X＜2000</w:t>
            </w:r>
          </w:p>
        </w:tc>
        <w:tc>
          <w:tcPr>
            <w:tcW w:w="1756"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8FA251E">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20DAC32">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6EE3CF8A">
        <w:tblPrEx>
          <w:tblCellMar>
            <w:top w:w="0" w:type="dxa"/>
            <w:left w:w="0" w:type="dxa"/>
            <w:bottom w:w="0" w:type="dxa"/>
            <w:right w:w="0" w:type="dxa"/>
          </w:tblCellMar>
        </w:tblPrEx>
        <w:trPr>
          <w:trHeight w:val="589" w:hRule="atLeast"/>
          <w:jc w:val="center"/>
        </w:trPr>
        <w:tc>
          <w:tcPr>
            <w:tcW w:w="1144" w:type="dxa"/>
            <w:vMerge w:val="continue"/>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7E665EFF">
            <w:pPr>
              <w:jc w:val="center"/>
              <w:rPr>
                <w:rFonts w:ascii="宋体" w:hAnsi="宋体" w:cs="宋体"/>
                <w:color w:val="auto"/>
                <w:spacing w:val="8"/>
                <w:sz w:val="21"/>
                <w:szCs w:val="21"/>
                <w:highlight w:val="none"/>
              </w:rPr>
            </w:pPr>
          </w:p>
        </w:tc>
        <w:tc>
          <w:tcPr>
            <w:tcW w:w="1492" w:type="dxa"/>
            <w:tcBorders>
              <w:top w:val="single" w:color="auto" w:sz="4" w:space="0"/>
              <w:left w:val="single" w:color="auto" w:sz="4" w:space="0"/>
              <w:bottom w:val="single" w:color="auto" w:sz="4" w:space="0"/>
              <w:right w:val="single" w:color="auto" w:sz="4" w:space="0"/>
            </w:tcBorders>
            <w:shd w:val="clear" w:color="auto" w:fill="B8CCE4"/>
            <w:noWrap w:val="0"/>
            <w:tcMar>
              <w:left w:w="105" w:type="dxa"/>
              <w:right w:w="105" w:type="dxa"/>
            </w:tcMar>
            <w:vAlign w:val="center"/>
          </w:tcPr>
          <w:p w14:paraId="6E32853F">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single" w:color="auto" w:sz="4" w:space="0"/>
              <w:left w:val="single" w:color="auto" w:sz="4" w:space="0"/>
              <w:bottom w:val="single" w:color="auto" w:sz="4" w:space="0"/>
              <w:right w:val="single" w:color="auto" w:sz="4" w:space="0"/>
            </w:tcBorders>
            <w:shd w:val="clear" w:color="auto" w:fill="B8CCE4"/>
            <w:noWrap w:val="0"/>
            <w:tcMar>
              <w:left w:w="105" w:type="dxa"/>
              <w:right w:w="105" w:type="dxa"/>
            </w:tcMar>
            <w:vAlign w:val="center"/>
          </w:tcPr>
          <w:p w14:paraId="6A01F8E8">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single" w:color="auto" w:sz="4" w:space="0"/>
              <w:left w:val="single" w:color="auto" w:sz="4" w:space="0"/>
              <w:bottom w:val="single" w:color="auto" w:sz="4" w:space="0"/>
              <w:right w:val="single" w:color="auto" w:sz="4" w:space="0"/>
            </w:tcBorders>
            <w:shd w:val="clear" w:color="auto" w:fill="B8CCE4"/>
            <w:noWrap w:val="0"/>
            <w:tcMar>
              <w:left w:w="105" w:type="dxa"/>
              <w:right w:w="105" w:type="dxa"/>
            </w:tcMar>
            <w:vAlign w:val="center"/>
          </w:tcPr>
          <w:p w14:paraId="352C4E33">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Y≥100000</w:t>
            </w:r>
          </w:p>
        </w:tc>
        <w:tc>
          <w:tcPr>
            <w:tcW w:w="1965" w:type="dxa"/>
            <w:tcBorders>
              <w:top w:val="single" w:color="auto" w:sz="4" w:space="0"/>
              <w:left w:val="single" w:color="auto" w:sz="4" w:space="0"/>
              <w:bottom w:val="single" w:color="auto" w:sz="4" w:space="0"/>
              <w:right w:val="single" w:color="auto" w:sz="4" w:space="0"/>
            </w:tcBorders>
            <w:shd w:val="clear" w:color="auto" w:fill="B8CCE4"/>
            <w:noWrap w:val="0"/>
            <w:tcMar>
              <w:left w:w="105" w:type="dxa"/>
              <w:right w:w="105" w:type="dxa"/>
            </w:tcMar>
            <w:vAlign w:val="center"/>
          </w:tcPr>
          <w:p w14:paraId="0B3BDADE">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1000≤Y＜100000</w:t>
            </w:r>
          </w:p>
        </w:tc>
        <w:tc>
          <w:tcPr>
            <w:tcW w:w="1756" w:type="dxa"/>
            <w:tcBorders>
              <w:top w:val="single" w:color="auto" w:sz="4" w:space="0"/>
              <w:left w:val="single" w:color="auto" w:sz="4" w:space="0"/>
              <w:bottom w:val="single" w:color="auto" w:sz="4" w:space="0"/>
              <w:right w:val="single" w:color="auto" w:sz="4" w:space="0"/>
            </w:tcBorders>
            <w:shd w:val="clear" w:color="auto" w:fill="B8CCE4"/>
            <w:noWrap w:val="0"/>
            <w:tcMar>
              <w:left w:w="105" w:type="dxa"/>
              <w:right w:w="105" w:type="dxa"/>
            </w:tcMar>
            <w:vAlign w:val="center"/>
          </w:tcPr>
          <w:p w14:paraId="6729347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100≤Y＜1000</w:t>
            </w:r>
          </w:p>
        </w:tc>
        <w:tc>
          <w:tcPr>
            <w:tcW w:w="1023" w:type="dxa"/>
            <w:tcBorders>
              <w:top w:val="single" w:color="auto" w:sz="4" w:space="0"/>
              <w:left w:val="single" w:color="auto" w:sz="4" w:space="0"/>
              <w:bottom w:val="single" w:color="auto" w:sz="4" w:space="0"/>
              <w:right w:val="single" w:color="auto" w:sz="4" w:space="0"/>
            </w:tcBorders>
            <w:shd w:val="clear" w:color="auto" w:fill="B8CCE4"/>
            <w:noWrap w:val="0"/>
            <w:tcMar>
              <w:left w:w="105" w:type="dxa"/>
              <w:right w:w="105" w:type="dxa"/>
            </w:tcMar>
            <w:vAlign w:val="center"/>
          </w:tcPr>
          <w:p w14:paraId="6E3E417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5DF44973">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30C769E6">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15"/>
                <w:sz w:val="21"/>
                <w:szCs w:val="21"/>
                <w:highlight w:val="none"/>
              </w:rPr>
              <w:t>软件和信息技术服</w:t>
            </w:r>
            <w:r>
              <w:rPr>
                <w:rFonts w:hint="eastAsia" w:ascii="宋体" w:hAnsi="宋体" w:cs="宋体"/>
                <w:color w:val="auto"/>
                <w:spacing w:val="8"/>
                <w:sz w:val="21"/>
                <w:szCs w:val="21"/>
                <w:highlight w:val="none"/>
              </w:rPr>
              <w:t>务业</w:t>
            </w:r>
          </w:p>
        </w:tc>
        <w:tc>
          <w:tcPr>
            <w:tcW w:w="1492"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556C0655">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C2E360D">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466AC6FB">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59059D03">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3C17510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4B1AEEA4">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1558737C">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single" w:color="auto" w:sz="4" w:space="0"/>
              <w:left w:val="single" w:color="auto" w:sz="4" w:space="0"/>
              <w:bottom w:val="single" w:color="4F81BD" w:sz="6" w:space="0"/>
              <w:right w:val="single" w:color="4F81BD" w:sz="6" w:space="0"/>
            </w:tcBorders>
            <w:shd w:val="clear" w:color="auto" w:fill="FFFFFF"/>
            <w:noWrap w:val="0"/>
            <w:tcMar>
              <w:left w:w="105" w:type="dxa"/>
              <w:right w:w="105" w:type="dxa"/>
            </w:tcMar>
            <w:vAlign w:val="center"/>
          </w:tcPr>
          <w:p w14:paraId="5F963B50">
            <w:pPr>
              <w:jc w:val="center"/>
              <w:rPr>
                <w:rFonts w:ascii="宋体" w:hAnsi="宋体" w:cs="宋体"/>
                <w:color w:val="auto"/>
                <w:spacing w:val="8"/>
                <w:sz w:val="21"/>
                <w:szCs w:val="21"/>
                <w:highlight w:val="none"/>
              </w:rPr>
            </w:pPr>
          </w:p>
        </w:tc>
        <w:tc>
          <w:tcPr>
            <w:tcW w:w="1492" w:type="dxa"/>
            <w:tcBorders>
              <w:top w:val="single" w:color="auto" w:sz="4" w:space="0"/>
              <w:left w:val="nil"/>
              <w:bottom w:val="single" w:color="4F81BD" w:sz="6" w:space="0"/>
              <w:right w:val="single" w:color="4F81BD" w:sz="6" w:space="0"/>
            </w:tcBorders>
            <w:shd w:val="clear" w:color="auto" w:fill="B8CCE4"/>
            <w:noWrap w:val="0"/>
            <w:tcMar>
              <w:left w:w="105" w:type="dxa"/>
              <w:right w:w="105" w:type="dxa"/>
            </w:tcMar>
            <w:vAlign w:val="center"/>
          </w:tcPr>
          <w:p w14:paraId="4D6F4C0D">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single" w:color="auto" w:sz="4" w:space="0"/>
              <w:left w:val="nil"/>
              <w:bottom w:val="single" w:color="4F81BD" w:sz="6" w:space="0"/>
              <w:right w:val="single" w:color="4F81BD" w:sz="6" w:space="0"/>
            </w:tcBorders>
            <w:shd w:val="clear" w:color="auto" w:fill="B8CCE4"/>
            <w:noWrap w:val="0"/>
            <w:tcMar>
              <w:left w:w="105" w:type="dxa"/>
              <w:right w:w="105" w:type="dxa"/>
            </w:tcMar>
            <w:vAlign w:val="center"/>
          </w:tcPr>
          <w:p w14:paraId="035D9980">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single" w:color="auto" w:sz="4" w:space="0"/>
              <w:left w:val="nil"/>
              <w:bottom w:val="single" w:color="4F81BD" w:sz="6" w:space="0"/>
              <w:right w:val="single" w:color="4F81BD" w:sz="6" w:space="0"/>
            </w:tcBorders>
            <w:shd w:val="clear" w:color="auto" w:fill="B8CCE4"/>
            <w:noWrap w:val="0"/>
            <w:tcMar>
              <w:left w:w="105" w:type="dxa"/>
              <w:right w:w="105" w:type="dxa"/>
            </w:tcMar>
            <w:vAlign w:val="center"/>
          </w:tcPr>
          <w:p w14:paraId="10B4990B">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w:t>
            </w:r>
          </w:p>
        </w:tc>
        <w:tc>
          <w:tcPr>
            <w:tcW w:w="1965" w:type="dxa"/>
            <w:tcBorders>
              <w:top w:val="single" w:color="auto" w:sz="4" w:space="0"/>
              <w:left w:val="nil"/>
              <w:bottom w:val="single" w:color="4F81BD" w:sz="6" w:space="0"/>
              <w:right w:val="single" w:color="4F81BD" w:sz="6" w:space="0"/>
            </w:tcBorders>
            <w:shd w:val="clear" w:color="auto" w:fill="B8CCE4"/>
            <w:noWrap w:val="0"/>
            <w:tcMar>
              <w:left w:w="105" w:type="dxa"/>
              <w:right w:w="105" w:type="dxa"/>
            </w:tcMar>
            <w:vAlign w:val="center"/>
          </w:tcPr>
          <w:p w14:paraId="19A8EC47">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1000≤Y＜10000</w:t>
            </w:r>
          </w:p>
        </w:tc>
        <w:tc>
          <w:tcPr>
            <w:tcW w:w="1756" w:type="dxa"/>
            <w:tcBorders>
              <w:top w:val="single" w:color="auto" w:sz="4" w:space="0"/>
              <w:left w:val="nil"/>
              <w:bottom w:val="single" w:color="4F81BD" w:sz="6" w:space="0"/>
              <w:right w:val="single" w:color="4F81BD" w:sz="6" w:space="0"/>
            </w:tcBorders>
            <w:shd w:val="clear" w:color="auto" w:fill="B8CCE4"/>
            <w:noWrap w:val="0"/>
            <w:tcMar>
              <w:left w:w="105" w:type="dxa"/>
              <w:right w:w="105" w:type="dxa"/>
            </w:tcMar>
            <w:vAlign w:val="center"/>
          </w:tcPr>
          <w:p w14:paraId="10C8E36E">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50≤Y＜1000</w:t>
            </w:r>
          </w:p>
        </w:tc>
        <w:tc>
          <w:tcPr>
            <w:tcW w:w="1023" w:type="dxa"/>
            <w:tcBorders>
              <w:top w:val="single" w:color="auto" w:sz="4" w:space="0"/>
              <w:left w:val="nil"/>
              <w:bottom w:val="single" w:color="4F81BD" w:sz="6" w:space="0"/>
              <w:right w:val="single" w:color="4F81BD" w:sz="6" w:space="0"/>
            </w:tcBorders>
            <w:shd w:val="clear" w:color="auto" w:fill="B8CCE4"/>
            <w:noWrap w:val="0"/>
            <w:tcMar>
              <w:left w:w="105" w:type="dxa"/>
              <w:right w:w="105" w:type="dxa"/>
            </w:tcMar>
            <w:vAlign w:val="center"/>
          </w:tcPr>
          <w:p w14:paraId="459554BB">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w:t>
            </w:r>
          </w:p>
        </w:tc>
      </w:tr>
      <w:tr w14:paraId="21F5471B">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C9DA7C1">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房地产开发经营</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EBA3077">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06585B3">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20FC7BF">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04A577C">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1000≤Y＜200000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9921045">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100≤Y＜1000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2D0FAEE">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76AC021E">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C6C28C7">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7EA4973">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资产总额(Z)</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D4ECEE9">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9F04D3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Z≥10000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10C0EE6">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5000≤Z＜10000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0E740A6">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2000≤Z＜5000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477BC7E">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Z＜2000</w:t>
            </w:r>
          </w:p>
        </w:tc>
      </w:tr>
      <w:tr w14:paraId="3EC0A600">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25FA027">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物业管理</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D9F5848">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11D8720">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D18F26C">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B101138">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9A1F0C8">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3027600">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w:t>
            </w:r>
          </w:p>
        </w:tc>
      </w:tr>
      <w:tr w14:paraId="42C64922">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E6A2877">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7CB33A3">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705740A">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F072CC3">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41D3D40">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1000≤Y＜5000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3612593">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500≤Y＜1000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011A4A8">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Y＜500</w:t>
            </w:r>
          </w:p>
        </w:tc>
      </w:tr>
      <w:tr w14:paraId="05FA43D3">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A2783BC">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租赁和商务服务业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E1741F4">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C6D665C">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E0071E5">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F399E0B">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0AA9A48">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6057847">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177315E8">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0785346">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4D67C2D">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资产总额(Z)</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A7D32A5">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FC4EB31">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Z≥120000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D911638">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8000≤Z＜120000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9843810">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100≤Z＜8000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E61F349">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Z＜100</w:t>
            </w:r>
          </w:p>
        </w:tc>
      </w:tr>
      <w:tr w14:paraId="09BAEF83">
        <w:tblPrEx>
          <w:shd w:val="clear" w:color="auto" w:fill="FFFFFF"/>
          <w:tblCellMar>
            <w:top w:w="0" w:type="dxa"/>
            <w:left w:w="0" w:type="dxa"/>
            <w:bottom w:w="0" w:type="dxa"/>
            <w:right w:w="0" w:type="dxa"/>
          </w:tblCellMar>
        </w:tblPrEx>
        <w:trPr>
          <w:trHeight w:val="668" w:hRule="atLeast"/>
          <w:jc w:val="center"/>
        </w:trPr>
        <w:tc>
          <w:tcPr>
            <w:tcW w:w="1144" w:type="dxa"/>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6DF74BF1">
            <w:pPr>
              <w:pStyle w:val="18"/>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其他未列明行业*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E51F04">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9774680">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48AFE4F">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C8625E6">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C88E794">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7F7ED5B">
            <w:pPr>
              <w:pStyle w:val="18"/>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bl>
    <w:p w14:paraId="24046E38">
      <w:pPr>
        <w:widowControl w:val="0"/>
        <w:spacing w:line="42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说明：1.大型、中型和小型企业须</w:t>
      </w:r>
      <w:r>
        <w:rPr>
          <w:rFonts w:hint="eastAsia" w:ascii="宋体" w:hAnsi="宋体" w:cs="宋体"/>
          <w:b/>
          <w:bCs/>
          <w:color w:val="auto"/>
          <w:kern w:val="0"/>
          <w:sz w:val="24"/>
          <w:szCs w:val="24"/>
          <w:highlight w:val="none"/>
        </w:rPr>
        <w:t>同时满足所列指标的下限</w:t>
      </w:r>
      <w:r>
        <w:rPr>
          <w:rFonts w:hint="eastAsia" w:ascii="宋体" w:hAnsi="宋体" w:cs="宋体"/>
          <w:b/>
          <w:bCs/>
          <w:color w:val="auto"/>
          <w:kern w:val="0"/>
          <w:sz w:val="24"/>
          <w:szCs w:val="24"/>
          <w:highlight w:val="none"/>
          <w:lang w:eastAsia="zh-CN"/>
        </w:rPr>
        <w:t>，否则下划一档</w:t>
      </w:r>
      <w:r>
        <w:rPr>
          <w:rFonts w:hint="eastAsia" w:ascii="宋体" w:hAnsi="宋体" w:cs="宋体"/>
          <w:color w:val="auto"/>
          <w:kern w:val="0"/>
          <w:sz w:val="24"/>
          <w:szCs w:val="24"/>
          <w:highlight w:val="none"/>
        </w:rPr>
        <w:t>；微型企业只须满足所列指标中的一项即可。</w:t>
      </w:r>
    </w:p>
    <w:p w14:paraId="3AFAB025">
      <w:pPr>
        <w:widowControl w:val="0"/>
        <w:numPr>
          <w:ilvl w:val="0"/>
          <w:numId w:val="5"/>
        </w:numPr>
        <w:spacing w:line="42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附表中各行业的范围以《国民经济行业分类》（GB/T4754-2017）为准。</w:t>
      </w:r>
      <w:r>
        <w:rPr>
          <w:rFonts w:hint="eastAsia" w:ascii="宋体" w:hAnsi="宋体" w:cs="宋体"/>
          <w:b/>
          <w:bCs/>
          <w:color w:val="auto"/>
          <w:kern w:val="0"/>
          <w:sz w:val="24"/>
          <w:szCs w:val="24"/>
          <w:highlight w:val="none"/>
        </w:rPr>
        <w:t>带*的项为行业组合类别</w:t>
      </w:r>
      <w:r>
        <w:rPr>
          <w:rFonts w:hint="eastAsia" w:ascii="宋体" w:hAnsi="宋体" w:cs="宋体"/>
          <w:color w:val="auto"/>
          <w:kern w:val="0"/>
          <w:sz w:val="24"/>
          <w:szCs w:val="24"/>
          <w:highlight w:val="none"/>
        </w:rPr>
        <w:t>，其中，</w:t>
      </w:r>
      <w:r>
        <w:rPr>
          <w:rFonts w:hint="eastAsia" w:ascii="宋体" w:hAnsi="宋体" w:cs="宋体"/>
          <w:b/>
          <w:bCs/>
          <w:color w:val="auto"/>
          <w:kern w:val="0"/>
          <w:sz w:val="24"/>
          <w:szCs w:val="24"/>
          <w:highlight w:val="none"/>
        </w:rPr>
        <w:t>工业</w:t>
      </w:r>
      <w:r>
        <w:rPr>
          <w:rFonts w:hint="eastAsia" w:ascii="宋体" w:hAnsi="宋体" w:cs="宋体"/>
          <w:color w:val="auto"/>
          <w:kern w:val="0"/>
          <w:sz w:val="24"/>
          <w:szCs w:val="24"/>
          <w:highlight w:val="none"/>
        </w:rPr>
        <w:t>包括采矿业，制造业，电力、热力、燃气及水生产和供应业；</w:t>
      </w:r>
      <w:r>
        <w:rPr>
          <w:rFonts w:hint="eastAsia" w:ascii="宋体" w:hAnsi="宋体" w:cs="宋体"/>
          <w:b/>
          <w:bCs/>
          <w:color w:val="auto"/>
          <w:kern w:val="0"/>
          <w:sz w:val="24"/>
          <w:szCs w:val="24"/>
          <w:highlight w:val="none"/>
        </w:rPr>
        <w:t>交通运输业</w:t>
      </w:r>
      <w:r>
        <w:rPr>
          <w:rFonts w:hint="eastAsia" w:ascii="宋体" w:hAnsi="宋体" w:cs="宋体"/>
          <w:color w:val="auto"/>
          <w:kern w:val="0"/>
          <w:sz w:val="24"/>
          <w:szCs w:val="24"/>
          <w:highlight w:val="none"/>
        </w:rPr>
        <w:t>包括道路运输业，水上运输业，航空运输业，管道运输业，多式联运和运输代理业、装卸搬运，不包括铁路运输业；</w:t>
      </w:r>
      <w:r>
        <w:rPr>
          <w:rFonts w:hint="eastAsia" w:ascii="宋体" w:hAnsi="宋体" w:cs="宋体"/>
          <w:b/>
          <w:bCs/>
          <w:color w:val="auto"/>
          <w:kern w:val="0"/>
          <w:sz w:val="24"/>
          <w:szCs w:val="24"/>
          <w:highlight w:val="none"/>
        </w:rPr>
        <w:t>仓储业</w:t>
      </w:r>
      <w:r>
        <w:rPr>
          <w:rFonts w:hint="eastAsia" w:ascii="宋体" w:hAnsi="宋体" w:cs="宋体"/>
          <w:color w:val="auto"/>
          <w:kern w:val="0"/>
          <w:sz w:val="24"/>
          <w:szCs w:val="24"/>
          <w:highlight w:val="none"/>
        </w:rPr>
        <w:t>包括通用仓储，低温仓储，危险品仓储，谷物、棉花等农产品仓储，中药材仓储和其他仓储业；</w:t>
      </w:r>
      <w:r>
        <w:rPr>
          <w:rFonts w:hint="eastAsia" w:ascii="宋体" w:hAnsi="宋体" w:cs="宋体"/>
          <w:b/>
          <w:bCs/>
          <w:color w:val="auto"/>
          <w:kern w:val="0"/>
          <w:sz w:val="24"/>
          <w:szCs w:val="24"/>
          <w:highlight w:val="none"/>
        </w:rPr>
        <w:t>信息传输业</w:t>
      </w:r>
      <w:r>
        <w:rPr>
          <w:rFonts w:hint="eastAsia" w:ascii="宋体" w:hAnsi="宋体" w:cs="宋体"/>
          <w:color w:val="auto"/>
          <w:kern w:val="0"/>
          <w:sz w:val="24"/>
          <w:szCs w:val="24"/>
          <w:highlight w:val="none"/>
        </w:rPr>
        <w:t>包括电信、广播电视和卫星传输服务，互联网和相关服务；</w:t>
      </w:r>
      <w:r>
        <w:rPr>
          <w:rFonts w:hint="eastAsia" w:ascii="宋体" w:hAnsi="宋体" w:cs="宋体"/>
          <w:b/>
          <w:bCs/>
          <w:color w:val="auto"/>
          <w:kern w:val="0"/>
          <w:sz w:val="24"/>
          <w:szCs w:val="24"/>
          <w:highlight w:val="none"/>
        </w:rPr>
        <w:t>其他未列明行业</w:t>
      </w:r>
      <w:r>
        <w:rPr>
          <w:rFonts w:hint="eastAsia" w:ascii="宋体" w:hAnsi="宋体" w:cs="宋体"/>
          <w:color w:val="auto"/>
          <w:kern w:val="0"/>
          <w:sz w:val="24"/>
          <w:szCs w:val="24"/>
          <w:highlight w:val="none"/>
        </w:rPr>
        <w:t>包括科学研究和技术服务业，水利、环境和公共设施管理业，居民服务、修理和其他服务业，社会工作，文化、体育和娱乐业，以及房地产中介服务，其他房地产业等，不包括自有房地产经营活动。</w:t>
      </w:r>
    </w:p>
    <w:p w14:paraId="3AD9F48A">
      <w:pPr>
        <w:widowControl w:val="0"/>
        <w:numPr>
          <w:ilvl w:val="0"/>
          <w:numId w:val="5"/>
        </w:numPr>
        <w:spacing w:line="42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企业划分指标以现行统计制度为准。</w:t>
      </w:r>
    </w:p>
    <w:p w14:paraId="69153DF5">
      <w:pPr>
        <w:widowControl w:val="0"/>
        <w:spacing w:line="42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（1）从业人员，是指期末从业人员数，没有期末从业人员数的，采用全年平均人员数代替。</w:t>
      </w:r>
    </w:p>
    <w:p w14:paraId="4BF1E517">
      <w:pPr>
        <w:widowControl w:val="0"/>
        <w:spacing w:line="42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B25F52A">
      <w:pPr>
        <w:widowControl w:val="0"/>
        <w:spacing w:line="420" w:lineRule="exact"/>
        <w:ind w:left="420" w:left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（3）资产总额，采用资产总计代替。</w:t>
      </w:r>
    </w:p>
    <w:p w14:paraId="6FA2379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518E9227">
      <w:pPr>
        <w:adjustRightInd w:val="0"/>
        <w:snapToGrid w:val="0"/>
        <w:spacing w:line="520" w:lineRule="exact"/>
        <w:jc w:val="center"/>
        <w:rPr>
          <w:rFonts w:ascii="宋体" w:hAnsi="宋体"/>
          <w:b/>
          <w:bCs/>
          <w:color w:val="000000"/>
          <w:sz w:val="32"/>
          <w:szCs w:val="32"/>
          <w:highlight w:val="none"/>
        </w:rPr>
      </w:pPr>
      <w:bookmarkStart w:id="159" w:name="_Toc16645"/>
      <w:r>
        <w:rPr>
          <w:rFonts w:hint="eastAsia" w:ascii="宋体" w:hAnsi="宋体"/>
          <w:b/>
          <w:bCs/>
          <w:color w:val="000000"/>
          <w:sz w:val="32"/>
          <w:szCs w:val="32"/>
          <w:highlight w:val="none"/>
        </w:rPr>
        <w:t>第四章  采购内容及技术要求</w:t>
      </w:r>
    </w:p>
    <w:p w14:paraId="0A3362CE">
      <w:pPr>
        <w:pStyle w:val="7"/>
        <w:ind w:left="0" w:leftChars="0" w:firstLine="0" w:firstLineChars="0"/>
        <w:rPr>
          <w:sz w:val="24"/>
          <w:szCs w:val="28"/>
          <w:highlight w:val="none"/>
        </w:rPr>
      </w:pPr>
      <w:r>
        <w:rPr>
          <w:rFonts w:hint="eastAsia"/>
          <w:sz w:val="24"/>
          <w:szCs w:val="28"/>
          <w:highlight w:val="none"/>
        </w:rPr>
        <w:t>一、项目内容</w:t>
      </w:r>
    </w:p>
    <w:bookmarkEnd w:id="159"/>
    <w:p w14:paraId="14126B74">
      <w:pPr>
        <w:keepNext w:val="0"/>
        <w:keepLines w:val="0"/>
        <w:pageBreakBefore w:val="0"/>
        <w:kinsoku/>
        <w:wordWrap w:val="0"/>
        <w:overflowPunct/>
        <w:topLinePunct w:val="0"/>
        <w:autoSpaceDE/>
        <w:autoSpaceDN/>
        <w:bidi w:val="0"/>
        <w:spacing w:line="500" w:lineRule="exact"/>
        <w:ind w:firstLine="480" w:firstLineChars="200"/>
        <w:textAlignment w:val="auto"/>
        <w:rPr>
          <w:rFonts w:hint="eastAsia" w:ascii="宋体" w:hAnsi="宋体" w:eastAsia="宋体"/>
          <w:bCs/>
          <w:color w:val="000000"/>
          <w:sz w:val="24"/>
          <w:szCs w:val="28"/>
          <w:highlight w:val="none"/>
          <w:lang w:eastAsia="zh-CN"/>
        </w:rPr>
      </w:pPr>
      <w:r>
        <w:rPr>
          <w:rFonts w:hint="eastAsia" w:ascii="宋体" w:hAnsi="宋体"/>
          <w:color w:val="000000"/>
          <w:sz w:val="24"/>
          <w:szCs w:val="28"/>
          <w:highlight w:val="none"/>
        </w:rPr>
        <w:t>1、采购人：</w:t>
      </w:r>
      <w:r>
        <w:rPr>
          <w:rFonts w:hint="eastAsia" w:ascii="宋体" w:hAnsi="宋体"/>
          <w:bCs/>
          <w:color w:val="000000"/>
          <w:sz w:val="24"/>
          <w:szCs w:val="28"/>
          <w:highlight w:val="none"/>
          <w:lang w:eastAsia="zh-CN"/>
        </w:rPr>
        <w:t>卢氏县公安局</w:t>
      </w:r>
    </w:p>
    <w:p w14:paraId="6FBB5281">
      <w:pPr>
        <w:keepNext w:val="0"/>
        <w:keepLines w:val="0"/>
        <w:pageBreakBefore w:val="0"/>
        <w:kinsoku/>
        <w:wordWrap w:val="0"/>
        <w:overflowPunct/>
        <w:topLinePunct w:val="0"/>
        <w:autoSpaceDE/>
        <w:autoSpaceDN/>
        <w:bidi w:val="0"/>
        <w:spacing w:line="500" w:lineRule="exact"/>
        <w:ind w:firstLine="480" w:firstLineChars="200"/>
        <w:textAlignment w:val="auto"/>
        <w:rPr>
          <w:rFonts w:hint="eastAsia" w:ascii="宋体" w:hAnsi="宋体" w:eastAsia="宋体"/>
          <w:bCs/>
          <w:color w:val="000000"/>
          <w:sz w:val="24"/>
          <w:szCs w:val="28"/>
          <w:highlight w:val="none"/>
          <w:lang w:eastAsia="zh-CN"/>
        </w:rPr>
      </w:pPr>
      <w:r>
        <w:rPr>
          <w:rFonts w:hint="eastAsia" w:ascii="宋体" w:hAnsi="宋体"/>
          <w:color w:val="000000"/>
          <w:sz w:val="24"/>
          <w:szCs w:val="28"/>
          <w:highlight w:val="none"/>
        </w:rPr>
        <w:t>2、项目名称：</w:t>
      </w:r>
      <w:r>
        <w:rPr>
          <w:rFonts w:hint="eastAsia" w:ascii="宋体" w:hAnsi="宋体"/>
          <w:bCs/>
          <w:color w:val="000000"/>
          <w:sz w:val="24"/>
          <w:szCs w:val="28"/>
          <w:highlight w:val="none"/>
          <w:lang w:eastAsia="zh-CN"/>
        </w:rPr>
        <w:t>卢氏县公安局中兴路电子警察及交通信号灯采购项目</w:t>
      </w:r>
    </w:p>
    <w:p w14:paraId="3059B6D8">
      <w:pPr>
        <w:keepNext w:val="0"/>
        <w:keepLines w:val="0"/>
        <w:pageBreakBefore w:val="0"/>
        <w:kinsoku/>
        <w:wordWrap w:val="0"/>
        <w:overflowPunct/>
        <w:topLinePunct w:val="0"/>
        <w:autoSpaceDE/>
        <w:autoSpaceDN/>
        <w:bidi w:val="0"/>
        <w:spacing w:line="500" w:lineRule="exact"/>
        <w:ind w:firstLine="480" w:firstLineChars="200"/>
        <w:textAlignment w:val="auto"/>
        <w:rPr>
          <w:rFonts w:hint="eastAsia" w:ascii="宋体" w:hAnsi="宋体"/>
          <w:color w:val="FF0000"/>
          <w:sz w:val="24"/>
          <w:szCs w:val="28"/>
          <w:highlight w:val="none"/>
        </w:rPr>
      </w:pPr>
      <w:r>
        <w:rPr>
          <w:rFonts w:hint="eastAsia" w:ascii="宋体" w:hAnsi="宋体"/>
          <w:color w:val="000000"/>
          <w:sz w:val="24"/>
          <w:szCs w:val="28"/>
          <w:highlight w:val="none"/>
        </w:rPr>
        <w:t>3、项目编号</w:t>
      </w:r>
      <w:r>
        <w:rPr>
          <w:rFonts w:hint="eastAsia" w:ascii="宋体" w:hAnsi="宋体"/>
          <w:bCs/>
          <w:color w:val="000000"/>
          <w:sz w:val="24"/>
          <w:szCs w:val="28"/>
          <w:highlight w:val="none"/>
          <w:lang w:eastAsia="zh-CN"/>
        </w:rPr>
        <w:t>：三卢竞谈采购-202</w:t>
      </w:r>
      <w:r>
        <w:rPr>
          <w:rFonts w:hint="eastAsia" w:ascii="宋体" w:hAnsi="宋体"/>
          <w:bCs/>
          <w:color w:val="000000"/>
          <w:sz w:val="24"/>
          <w:szCs w:val="28"/>
          <w:highlight w:val="none"/>
          <w:lang w:val="en-US" w:eastAsia="zh-CN"/>
        </w:rPr>
        <w:t>5</w:t>
      </w:r>
      <w:r>
        <w:rPr>
          <w:rFonts w:hint="eastAsia" w:ascii="宋体" w:hAnsi="宋体"/>
          <w:bCs/>
          <w:color w:val="000000"/>
          <w:sz w:val="24"/>
          <w:szCs w:val="28"/>
          <w:highlight w:val="none"/>
          <w:lang w:eastAsia="zh-CN"/>
        </w:rPr>
        <w:t>-</w:t>
      </w:r>
      <w:r>
        <w:rPr>
          <w:rFonts w:hint="eastAsia" w:ascii="宋体" w:hAnsi="宋体"/>
          <w:bCs/>
          <w:color w:val="000000"/>
          <w:sz w:val="24"/>
          <w:szCs w:val="28"/>
          <w:highlight w:val="none"/>
          <w:lang w:val="en-US" w:eastAsia="zh-CN"/>
        </w:rPr>
        <w:t>1</w:t>
      </w:r>
      <w:r>
        <w:rPr>
          <w:rFonts w:hint="eastAsia" w:ascii="宋体" w:hAnsi="宋体"/>
          <w:bCs/>
          <w:color w:val="000000"/>
          <w:sz w:val="24"/>
          <w:szCs w:val="28"/>
          <w:highlight w:val="none"/>
          <w:lang w:eastAsia="zh-CN"/>
        </w:rPr>
        <w:t>、LSGZ[2025]176-ZC124</w:t>
      </w:r>
    </w:p>
    <w:p w14:paraId="65E90366">
      <w:pPr>
        <w:keepNext w:val="0"/>
        <w:keepLines w:val="0"/>
        <w:pageBreakBefore w:val="0"/>
        <w:kinsoku/>
        <w:wordWrap w:val="0"/>
        <w:overflowPunct/>
        <w:topLinePunct w:val="0"/>
        <w:autoSpaceDE/>
        <w:autoSpaceDN/>
        <w:bidi w:val="0"/>
        <w:spacing w:line="500" w:lineRule="exact"/>
        <w:ind w:firstLine="480" w:firstLineChars="200"/>
        <w:textAlignment w:val="auto"/>
        <w:rPr>
          <w:rFonts w:ascii="宋体" w:hAnsi="宋体"/>
          <w:color w:val="000000"/>
          <w:sz w:val="24"/>
          <w:szCs w:val="28"/>
          <w:highlight w:val="none"/>
        </w:rPr>
      </w:pPr>
      <w:r>
        <w:rPr>
          <w:rFonts w:hint="eastAsia" w:ascii="宋体" w:hAnsi="宋体"/>
          <w:color w:val="000000"/>
          <w:sz w:val="24"/>
          <w:szCs w:val="28"/>
          <w:highlight w:val="none"/>
        </w:rPr>
        <w:t>4、预算金额：¥</w:t>
      </w:r>
      <w:r>
        <w:rPr>
          <w:rFonts w:hint="eastAsia" w:ascii="宋体" w:hAnsi="宋体"/>
          <w:color w:val="000000"/>
          <w:sz w:val="24"/>
          <w:szCs w:val="28"/>
          <w:highlight w:val="none"/>
          <w:lang w:val="en-US" w:eastAsia="zh-CN"/>
        </w:rPr>
        <w:t>445530.00</w:t>
      </w:r>
      <w:r>
        <w:rPr>
          <w:rFonts w:hint="eastAsia" w:ascii="宋体" w:hAnsi="宋体"/>
          <w:color w:val="000000"/>
          <w:sz w:val="24"/>
          <w:szCs w:val="28"/>
          <w:highlight w:val="none"/>
        </w:rPr>
        <w:t>元；</w:t>
      </w:r>
    </w:p>
    <w:p w14:paraId="20B10FF4">
      <w:pPr>
        <w:keepNext w:val="0"/>
        <w:keepLines w:val="0"/>
        <w:pageBreakBefore w:val="0"/>
        <w:kinsoku/>
        <w:wordWrap w:val="0"/>
        <w:overflowPunct/>
        <w:topLinePunct w:val="0"/>
        <w:autoSpaceDE/>
        <w:autoSpaceDN/>
        <w:bidi w:val="0"/>
        <w:spacing w:line="500" w:lineRule="exact"/>
        <w:ind w:firstLine="480" w:firstLineChars="200"/>
        <w:textAlignment w:val="auto"/>
        <w:rPr>
          <w:rFonts w:ascii="宋体" w:hAnsi="宋体"/>
          <w:bCs/>
          <w:color w:val="000000"/>
          <w:sz w:val="24"/>
          <w:szCs w:val="28"/>
          <w:highlight w:val="none"/>
        </w:rPr>
      </w:pPr>
      <w:r>
        <w:rPr>
          <w:rFonts w:hint="eastAsia" w:ascii="宋体" w:hAnsi="宋体"/>
          <w:color w:val="000000"/>
          <w:sz w:val="24"/>
          <w:szCs w:val="28"/>
          <w:highlight w:val="none"/>
        </w:rPr>
        <w:t>5、采购内容：</w:t>
      </w:r>
      <w:r>
        <w:rPr>
          <w:rFonts w:hint="eastAsia" w:ascii="宋体" w:hAnsi="宋体"/>
          <w:bCs/>
          <w:color w:val="000000"/>
          <w:sz w:val="24"/>
          <w:szCs w:val="28"/>
          <w:highlight w:val="none"/>
        </w:rPr>
        <w:t>采购</w:t>
      </w:r>
      <w:r>
        <w:rPr>
          <w:rFonts w:hint="eastAsia" w:ascii="宋体" w:hAnsi="宋体"/>
          <w:bCs/>
          <w:color w:val="000000"/>
          <w:sz w:val="24"/>
          <w:szCs w:val="28"/>
          <w:highlight w:val="none"/>
          <w:lang w:eastAsia="zh-CN"/>
        </w:rPr>
        <w:t>一批电子警察和交通信号灯设备，</w:t>
      </w:r>
      <w:r>
        <w:rPr>
          <w:rFonts w:hint="eastAsia" w:ascii="宋体" w:hAnsi="宋体"/>
          <w:color w:val="000000"/>
          <w:sz w:val="24"/>
          <w:szCs w:val="28"/>
          <w:highlight w:val="none"/>
        </w:rPr>
        <w:t>具体内容详见第四章采购</w:t>
      </w:r>
      <w:r>
        <w:rPr>
          <w:rFonts w:hint="eastAsia" w:ascii="宋体" w:hAnsi="宋体"/>
          <w:color w:val="000000"/>
          <w:sz w:val="24"/>
          <w:szCs w:val="28"/>
          <w:highlight w:val="none"/>
          <w:lang w:eastAsia="zh-CN"/>
        </w:rPr>
        <w:t>内容及技术要求</w:t>
      </w:r>
      <w:r>
        <w:rPr>
          <w:rFonts w:hint="eastAsia" w:ascii="宋体" w:hAnsi="宋体"/>
          <w:color w:val="000000"/>
          <w:sz w:val="24"/>
          <w:szCs w:val="28"/>
          <w:highlight w:val="none"/>
        </w:rPr>
        <w:t>；</w:t>
      </w:r>
    </w:p>
    <w:p w14:paraId="1C5C8B59">
      <w:pPr>
        <w:keepNext w:val="0"/>
        <w:keepLines w:val="0"/>
        <w:pageBreakBefore w:val="0"/>
        <w:kinsoku/>
        <w:wordWrap w:val="0"/>
        <w:overflowPunct/>
        <w:topLinePunct w:val="0"/>
        <w:autoSpaceDE/>
        <w:autoSpaceDN/>
        <w:bidi w:val="0"/>
        <w:spacing w:line="500" w:lineRule="exact"/>
        <w:ind w:firstLine="480" w:firstLineChars="200"/>
        <w:textAlignment w:val="auto"/>
        <w:rPr>
          <w:rFonts w:ascii="宋体" w:hAnsi="宋体"/>
          <w:color w:val="000000"/>
          <w:sz w:val="24"/>
          <w:szCs w:val="28"/>
          <w:highlight w:val="none"/>
        </w:rPr>
      </w:pPr>
      <w:r>
        <w:rPr>
          <w:rFonts w:hint="eastAsia" w:ascii="宋体" w:hAnsi="宋体"/>
          <w:color w:val="000000"/>
          <w:sz w:val="24"/>
          <w:szCs w:val="28"/>
          <w:highlight w:val="none"/>
        </w:rPr>
        <w:t>6、资金来源：财政资金，已落实；</w:t>
      </w:r>
    </w:p>
    <w:p w14:paraId="107DA549">
      <w:pPr>
        <w:keepNext w:val="0"/>
        <w:keepLines w:val="0"/>
        <w:pageBreakBefore w:val="0"/>
        <w:kinsoku/>
        <w:wordWrap w:val="0"/>
        <w:overflowPunct/>
        <w:topLinePunct w:val="0"/>
        <w:autoSpaceDE/>
        <w:autoSpaceDN/>
        <w:bidi w:val="0"/>
        <w:spacing w:line="500" w:lineRule="exact"/>
        <w:ind w:firstLine="480" w:firstLineChars="200"/>
        <w:textAlignment w:val="auto"/>
        <w:rPr>
          <w:rFonts w:ascii="宋体" w:hAnsi="宋体"/>
          <w:color w:val="000000"/>
          <w:sz w:val="24"/>
          <w:szCs w:val="28"/>
          <w:highlight w:val="none"/>
        </w:rPr>
      </w:pPr>
      <w:r>
        <w:rPr>
          <w:rFonts w:hint="eastAsia" w:ascii="宋体" w:hAnsi="宋体"/>
          <w:color w:val="000000"/>
          <w:sz w:val="24"/>
          <w:szCs w:val="28"/>
          <w:highlight w:val="none"/>
        </w:rPr>
        <w:t>7、标段划分：本项目不划分标段；</w:t>
      </w:r>
    </w:p>
    <w:p w14:paraId="734ABB8C">
      <w:pPr>
        <w:keepNext w:val="0"/>
        <w:keepLines w:val="0"/>
        <w:pageBreakBefore w:val="0"/>
        <w:kinsoku/>
        <w:wordWrap w:val="0"/>
        <w:overflowPunct/>
        <w:topLinePunct w:val="0"/>
        <w:autoSpaceDE/>
        <w:autoSpaceDN/>
        <w:bidi w:val="0"/>
        <w:spacing w:line="500" w:lineRule="exact"/>
        <w:ind w:firstLine="480" w:firstLineChars="200"/>
        <w:textAlignment w:val="auto"/>
        <w:rPr>
          <w:rFonts w:hint="eastAsia" w:ascii="宋体" w:hAnsi="宋体" w:eastAsia="宋体"/>
          <w:color w:val="000000"/>
          <w:sz w:val="24"/>
          <w:szCs w:val="28"/>
          <w:highlight w:val="none"/>
          <w:lang w:eastAsia="zh-CN"/>
        </w:rPr>
      </w:pPr>
      <w:r>
        <w:rPr>
          <w:rFonts w:hint="eastAsia" w:ascii="宋体" w:hAnsi="宋体"/>
          <w:color w:val="000000"/>
          <w:sz w:val="24"/>
          <w:szCs w:val="28"/>
          <w:highlight w:val="none"/>
        </w:rPr>
        <w:t>8、供货期：合同签订后</w:t>
      </w:r>
      <w:r>
        <w:rPr>
          <w:rFonts w:hint="eastAsia" w:ascii="宋体" w:hAnsi="宋体"/>
          <w:color w:val="000000"/>
          <w:sz w:val="24"/>
          <w:szCs w:val="28"/>
          <w:highlight w:val="none"/>
          <w:lang w:val="en-US" w:eastAsia="zh-CN"/>
        </w:rPr>
        <w:t>15</w:t>
      </w:r>
      <w:r>
        <w:rPr>
          <w:rFonts w:hint="eastAsia" w:ascii="宋体" w:hAnsi="宋体"/>
          <w:color w:val="000000"/>
          <w:sz w:val="24"/>
          <w:szCs w:val="28"/>
          <w:highlight w:val="none"/>
        </w:rPr>
        <w:t>日历天内完成交货、安装、调试、验收</w:t>
      </w:r>
      <w:r>
        <w:rPr>
          <w:rFonts w:hint="eastAsia" w:ascii="宋体" w:hAnsi="宋体"/>
          <w:color w:val="000000"/>
          <w:sz w:val="24"/>
          <w:szCs w:val="28"/>
          <w:highlight w:val="none"/>
          <w:lang w:eastAsia="zh-CN"/>
        </w:rPr>
        <w:t>；</w:t>
      </w:r>
    </w:p>
    <w:p w14:paraId="3BAAAF6A">
      <w:pPr>
        <w:keepNext w:val="0"/>
        <w:keepLines w:val="0"/>
        <w:pageBreakBefore w:val="0"/>
        <w:kinsoku/>
        <w:wordWrap w:val="0"/>
        <w:overflowPunct/>
        <w:topLinePunct w:val="0"/>
        <w:autoSpaceDE/>
        <w:autoSpaceDN/>
        <w:bidi w:val="0"/>
        <w:spacing w:line="500" w:lineRule="exact"/>
        <w:ind w:firstLine="480" w:firstLineChars="200"/>
        <w:textAlignment w:val="auto"/>
        <w:rPr>
          <w:rFonts w:hint="eastAsia" w:ascii="宋体" w:hAnsi="宋体"/>
          <w:color w:val="000000"/>
          <w:sz w:val="24"/>
          <w:szCs w:val="28"/>
          <w:highlight w:val="none"/>
          <w:lang w:eastAsia="zh-CN"/>
        </w:rPr>
      </w:pPr>
      <w:r>
        <w:rPr>
          <w:rFonts w:hint="eastAsia" w:ascii="宋体" w:hAnsi="宋体"/>
          <w:color w:val="000000"/>
          <w:sz w:val="24"/>
          <w:szCs w:val="28"/>
          <w:highlight w:val="none"/>
        </w:rPr>
        <w:t>9、供货地点：采购人指定地点</w:t>
      </w:r>
      <w:r>
        <w:rPr>
          <w:rFonts w:hint="eastAsia" w:ascii="宋体" w:hAnsi="宋体"/>
          <w:color w:val="000000"/>
          <w:sz w:val="24"/>
          <w:szCs w:val="28"/>
          <w:highlight w:val="none"/>
          <w:lang w:eastAsia="zh-CN"/>
        </w:rPr>
        <w:t>；</w:t>
      </w:r>
    </w:p>
    <w:p w14:paraId="681061BC">
      <w:pPr>
        <w:keepNext w:val="0"/>
        <w:keepLines w:val="0"/>
        <w:pageBreakBefore w:val="0"/>
        <w:kinsoku/>
        <w:wordWrap w:val="0"/>
        <w:overflowPunct/>
        <w:topLinePunct w:val="0"/>
        <w:autoSpaceDE/>
        <w:autoSpaceDN/>
        <w:bidi w:val="0"/>
        <w:spacing w:line="500" w:lineRule="exact"/>
        <w:ind w:firstLine="480" w:firstLineChars="200"/>
        <w:textAlignment w:val="auto"/>
        <w:rPr>
          <w:rFonts w:hint="eastAsia" w:ascii="宋体" w:hAnsi="宋体" w:eastAsia="宋体"/>
          <w:color w:val="000000"/>
          <w:sz w:val="24"/>
          <w:szCs w:val="28"/>
          <w:highlight w:val="none"/>
          <w:lang w:eastAsia="zh-CN"/>
        </w:rPr>
      </w:pPr>
      <w:r>
        <w:rPr>
          <w:rFonts w:hint="eastAsia" w:ascii="宋体" w:hAnsi="宋体" w:eastAsia="宋体"/>
          <w:color w:val="000000"/>
          <w:sz w:val="24"/>
          <w:szCs w:val="28"/>
          <w:highlight w:val="none"/>
          <w:lang w:val="en-US" w:eastAsia="zh-CN"/>
        </w:rPr>
        <w:t>10、质保期：3年</w:t>
      </w:r>
      <w:r>
        <w:rPr>
          <w:rFonts w:hint="eastAsia" w:ascii="宋体" w:hAnsi="宋体"/>
          <w:color w:val="000000"/>
          <w:sz w:val="24"/>
          <w:szCs w:val="28"/>
          <w:highlight w:val="none"/>
        </w:rPr>
        <w:t>；</w:t>
      </w:r>
    </w:p>
    <w:p w14:paraId="1B4B11D2">
      <w:pPr>
        <w:keepNext w:val="0"/>
        <w:keepLines w:val="0"/>
        <w:pageBreakBefore w:val="0"/>
        <w:kinsoku/>
        <w:wordWrap w:val="0"/>
        <w:overflowPunct/>
        <w:topLinePunct w:val="0"/>
        <w:autoSpaceDE/>
        <w:autoSpaceDN/>
        <w:bidi w:val="0"/>
        <w:spacing w:line="500" w:lineRule="exact"/>
        <w:ind w:firstLine="480" w:firstLineChars="200"/>
        <w:textAlignment w:val="auto"/>
        <w:rPr>
          <w:rFonts w:hint="eastAsia" w:ascii="宋体" w:hAnsi="宋体"/>
          <w:color w:val="000000"/>
          <w:sz w:val="24"/>
          <w:szCs w:val="28"/>
          <w:highlight w:val="none"/>
          <w:lang w:eastAsia="zh-CN"/>
        </w:rPr>
      </w:pPr>
      <w:r>
        <w:rPr>
          <w:rFonts w:hint="eastAsia" w:ascii="宋体" w:hAnsi="宋体"/>
          <w:color w:val="000000"/>
          <w:sz w:val="24"/>
          <w:szCs w:val="28"/>
          <w:highlight w:val="none"/>
        </w:rPr>
        <w:t>1</w:t>
      </w:r>
      <w:r>
        <w:rPr>
          <w:rFonts w:hint="eastAsia" w:ascii="宋体" w:hAnsi="宋体"/>
          <w:color w:val="000000"/>
          <w:sz w:val="24"/>
          <w:szCs w:val="28"/>
          <w:highlight w:val="none"/>
          <w:lang w:val="en-US" w:eastAsia="zh-CN"/>
        </w:rPr>
        <w:t>1</w:t>
      </w:r>
      <w:r>
        <w:rPr>
          <w:rFonts w:hint="eastAsia" w:ascii="宋体" w:hAnsi="宋体"/>
          <w:color w:val="000000"/>
          <w:sz w:val="24"/>
          <w:szCs w:val="28"/>
          <w:highlight w:val="none"/>
        </w:rPr>
        <w:t>、质量要求：合</w:t>
      </w:r>
      <w:r>
        <w:rPr>
          <w:rFonts w:hint="eastAsia" w:ascii="宋体" w:hAnsi="宋体"/>
          <w:color w:val="000000"/>
          <w:sz w:val="24"/>
          <w:szCs w:val="28"/>
          <w:highlight w:val="none"/>
          <w:lang w:val="en-US" w:eastAsia="zh-CN"/>
        </w:rPr>
        <w:t>格，</w:t>
      </w:r>
      <w:r>
        <w:rPr>
          <w:rFonts w:hint="eastAsia" w:ascii="宋体" w:hAnsi="宋体"/>
          <w:color w:val="000000"/>
          <w:sz w:val="24"/>
          <w:szCs w:val="24"/>
          <w:highlight w:val="none"/>
        </w:rPr>
        <w:t>符合国家及行业标准</w:t>
      </w:r>
      <w:r>
        <w:rPr>
          <w:rFonts w:hint="eastAsia" w:ascii="宋体" w:hAnsi="宋体"/>
          <w:color w:val="000000"/>
          <w:sz w:val="24"/>
          <w:szCs w:val="28"/>
          <w:highlight w:val="none"/>
          <w:lang w:eastAsia="zh-CN"/>
        </w:rPr>
        <w:t>；</w:t>
      </w:r>
    </w:p>
    <w:p w14:paraId="15CAA925">
      <w:pPr>
        <w:keepNext w:val="0"/>
        <w:keepLines w:val="0"/>
        <w:pageBreakBefore w:val="0"/>
        <w:kinsoku/>
        <w:wordWrap w:val="0"/>
        <w:overflowPunct/>
        <w:topLinePunct w:val="0"/>
        <w:autoSpaceDE/>
        <w:autoSpaceDN/>
        <w:bidi w:val="0"/>
        <w:spacing w:line="500" w:lineRule="exact"/>
        <w:ind w:firstLine="480" w:firstLineChars="200"/>
        <w:textAlignment w:val="auto"/>
        <w:rPr>
          <w:rFonts w:hint="default" w:ascii="宋体" w:hAnsi="宋体"/>
          <w:color w:val="000000"/>
          <w:sz w:val="24"/>
          <w:szCs w:val="28"/>
          <w:highlight w:val="none"/>
          <w:lang w:val="en-US" w:eastAsia="zh-CN"/>
        </w:rPr>
      </w:pPr>
      <w:r>
        <w:rPr>
          <w:rFonts w:hint="eastAsia" w:ascii="宋体" w:hAnsi="宋体"/>
          <w:color w:val="000000"/>
          <w:sz w:val="24"/>
          <w:szCs w:val="28"/>
          <w:highlight w:val="none"/>
          <w:lang w:val="en-US" w:eastAsia="zh-CN"/>
        </w:rPr>
        <w:t>12、本项目执行促进中小型企业发展政策（残疾人福利性企业、监狱企业视同小微企业）、优先采购节能环保产品等政府采购政策。</w:t>
      </w:r>
    </w:p>
    <w:p w14:paraId="4B850EF1">
      <w:pPr>
        <w:rPr>
          <w:rFonts w:hint="eastAsia"/>
          <w:lang w:eastAsia="zh-CN"/>
        </w:rPr>
        <w:sectPr>
          <w:footerReference r:id="rId5" w:type="default"/>
          <w:pgSz w:w="11906" w:h="16838"/>
          <w:pgMar w:top="1440" w:right="1274" w:bottom="1440" w:left="1800" w:header="851" w:footer="992" w:gutter="0"/>
          <w:pgNumType w:fmt="decimal" w:start="1"/>
          <w:cols w:space="720" w:num="1"/>
          <w:docGrid w:type="lines" w:linePitch="312" w:charSpace="0"/>
        </w:sectPr>
      </w:pPr>
      <w:r>
        <w:rPr>
          <w:rFonts w:hint="eastAsia"/>
          <w:lang w:eastAsia="zh-CN"/>
        </w:rPr>
        <w:br w:type="page"/>
      </w:r>
    </w:p>
    <w:p w14:paraId="2EA26135">
      <w:pPr>
        <w:jc w:val="center"/>
        <w:rPr>
          <w:rFonts w:ascii="宋体" w:hAnsi="宋体"/>
          <w:color w:val="000000"/>
          <w:sz w:val="24"/>
          <w:szCs w:val="24"/>
          <w:highlight w:val="none"/>
        </w:rPr>
      </w:pPr>
      <w:bookmarkStart w:id="160" w:name="_Toc24302"/>
      <w:r>
        <w:rPr>
          <w:rFonts w:hint="eastAsia" w:ascii="宋体" w:hAnsi="宋体"/>
          <w:color w:val="000000"/>
          <w:sz w:val="24"/>
          <w:szCs w:val="24"/>
          <w:highlight w:val="none"/>
          <w:lang w:eastAsia="zh-CN"/>
        </w:rPr>
        <w:t>二</w:t>
      </w:r>
      <w:r>
        <w:rPr>
          <w:rFonts w:ascii="宋体" w:hAnsi="宋体"/>
          <w:color w:val="000000"/>
          <w:sz w:val="24"/>
          <w:szCs w:val="24"/>
          <w:highlight w:val="none"/>
        </w:rPr>
        <w:t>、采购清单及</w:t>
      </w:r>
      <w:r>
        <w:rPr>
          <w:rFonts w:hint="eastAsia" w:ascii="宋体" w:hAnsi="宋体"/>
          <w:color w:val="000000"/>
          <w:sz w:val="24"/>
          <w:szCs w:val="24"/>
          <w:highlight w:val="none"/>
          <w:lang w:eastAsia="zh-CN"/>
        </w:rPr>
        <w:t>技术</w:t>
      </w:r>
      <w:r>
        <w:rPr>
          <w:rFonts w:hint="eastAsia" w:ascii="宋体" w:hAnsi="宋体"/>
          <w:color w:val="000000"/>
          <w:sz w:val="24"/>
          <w:szCs w:val="24"/>
          <w:highlight w:val="none"/>
        </w:rPr>
        <w:t>要求</w:t>
      </w:r>
    </w:p>
    <w:tbl>
      <w:tblPr>
        <w:tblStyle w:val="22"/>
        <w:tblpPr w:leftFromText="180" w:rightFromText="180" w:vertAnchor="text" w:horzAnchor="margin" w:tblpY="162"/>
        <w:tblOverlap w:val="never"/>
        <w:tblW w:w="13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9352"/>
        <w:gridCol w:w="717"/>
        <w:gridCol w:w="700"/>
        <w:gridCol w:w="967"/>
      </w:tblGrid>
      <w:tr w14:paraId="7BA3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59" w:type="dxa"/>
            <w:vAlign w:val="center"/>
          </w:tcPr>
          <w:p w14:paraId="490D2FF4">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序号</w:t>
            </w:r>
          </w:p>
        </w:tc>
        <w:tc>
          <w:tcPr>
            <w:tcW w:w="1276" w:type="dxa"/>
            <w:vAlign w:val="center"/>
          </w:tcPr>
          <w:p w14:paraId="541CAD9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货物</w:t>
            </w:r>
            <w:r>
              <w:rPr>
                <w:rFonts w:hint="eastAsia" w:ascii="宋体" w:hAnsi="宋体" w:eastAsia="宋体" w:cs="宋体"/>
                <w:sz w:val="24"/>
                <w:szCs w:val="24"/>
                <w:highlight w:val="none"/>
              </w:rPr>
              <w:t>名称</w:t>
            </w:r>
          </w:p>
        </w:tc>
        <w:tc>
          <w:tcPr>
            <w:tcW w:w="9352" w:type="dxa"/>
            <w:vAlign w:val="center"/>
          </w:tcPr>
          <w:p w14:paraId="1EAA8211">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技术参数</w:t>
            </w:r>
          </w:p>
        </w:tc>
        <w:tc>
          <w:tcPr>
            <w:tcW w:w="717" w:type="dxa"/>
            <w:vAlign w:val="center"/>
          </w:tcPr>
          <w:p w14:paraId="6FEE1944">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单位</w:t>
            </w:r>
          </w:p>
        </w:tc>
        <w:tc>
          <w:tcPr>
            <w:tcW w:w="700" w:type="dxa"/>
            <w:vAlign w:val="center"/>
          </w:tcPr>
          <w:p w14:paraId="55AF9C00">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数量</w:t>
            </w:r>
          </w:p>
        </w:tc>
        <w:tc>
          <w:tcPr>
            <w:tcW w:w="967" w:type="dxa"/>
            <w:vAlign w:val="center"/>
          </w:tcPr>
          <w:p w14:paraId="3FF2998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489E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59" w:type="dxa"/>
            <w:vAlign w:val="center"/>
          </w:tcPr>
          <w:p w14:paraId="26DD8265">
            <w:pPr>
              <w:jc w:val="center"/>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一</w:t>
            </w:r>
          </w:p>
        </w:tc>
        <w:tc>
          <w:tcPr>
            <w:tcW w:w="13012" w:type="dxa"/>
            <w:gridSpan w:val="5"/>
            <w:vAlign w:val="center"/>
          </w:tcPr>
          <w:p w14:paraId="4C8BE2AA">
            <w:pPr>
              <w:jc w:val="left"/>
              <w:rPr>
                <w:rFonts w:hint="eastAsia" w:ascii="宋体" w:hAnsi="宋体" w:eastAsia="宋体" w:cs="宋体"/>
                <w:sz w:val="24"/>
                <w:szCs w:val="24"/>
                <w:highlight w:val="none"/>
              </w:rPr>
            </w:pPr>
            <w:r>
              <w:rPr>
                <w:rFonts w:hint="eastAsia" w:ascii="宋体" w:hAnsi="宋体" w:cs="宋体"/>
                <w:b/>
                <w:bCs/>
                <w:sz w:val="24"/>
                <w:szCs w:val="24"/>
                <w:highlight w:val="none"/>
                <w:lang w:eastAsia="zh-CN"/>
              </w:rPr>
              <w:t>电子警察建设部分</w:t>
            </w:r>
          </w:p>
        </w:tc>
      </w:tr>
      <w:tr w14:paraId="04AC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9" w:type="dxa"/>
            <w:vAlign w:val="center"/>
          </w:tcPr>
          <w:p w14:paraId="7E35F128">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1276" w:type="dxa"/>
            <w:vAlign w:val="center"/>
          </w:tcPr>
          <w:p w14:paraId="7C470FF6">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900W智能电警摄像机</w:t>
            </w:r>
          </w:p>
        </w:tc>
        <w:tc>
          <w:tcPr>
            <w:tcW w:w="9352" w:type="dxa"/>
            <w:vAlign w:val="center"/>
          </w:tcPr>
          <w:p w14:paraId="104DFDD7">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高像质：采用行业专用GS-CMOS图像传感器，高感光度，高信噪比，高宽动态，全天候呈现逼真场景图像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多应用：支持多样性混合场景应用，集卡口电警全线业务、流量采集、事件检测于一体，全方位适配道路交通场景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全感知：支持北斗/GPS定位校时，陀螺仪姿态检测，感知多维度数据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高防护：满足GB35114-A级加密标准，采用一体化结构设计，IP66防护等级，适用多种复杂环境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采用1英寸GS-CMOS图像传感器，最大输出4096×2160@25fps高清图像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支持双码流，且满足H.265&amp;H.264编码，超低延时，超低码率，压缩比高，处理灵活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支持自动白平衡、自动电子快门、自动光圈，适应多种道路场景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支持1~4车道车辆抓拍、车牌识别、车辆结构化信息提取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支持单快门、全息双快门、三快门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支持车牌、车型、车系、车标、车身颜色、年检标志、遮阳板、纸巾盒/香水盒等机动车属性全结构化识别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支持机动车、非机动车、行人目标检测、人脸检测并抠出人脸小图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支持车辆逆行、拥堵检测、违法停车、行人事件等交通事件的检测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支持车辆流量、平均速度、占有率、平均车头时距、平均排队长度、道路状态等流量信息采集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支持视频检测、雷达、线圈三种触发方式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支持最大256G TF卡本地存储，抓拍图片可断网续传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支持网络接口、USB接口、RS-485接口、RS-232接口、I/O接口、报警输入输出、音频输入输出、外置灯接口、支持电源返送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具有防雷和防浪涌功能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配套1英寸12mm镜头；</w:t>
            </w:r>
          </w:p>
        </w:tc>
        <w:tc>
          <w:tcPr>
            <w:tcW w:w="717" w:type="dxa"/>
            <w:vAlign w:val="center"/>
          </w:tcPr>
          <w:p w14:paraId="6A4B7082">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台</w:t>
            </w:r>
          </w:p>
        </w:tc>
        <w:tc>
          <w:tcPr>
            <w:tcW w:w="700" w:type="dxa"/>
            <w:vAlign w:val="center"/>
          </w:tcPr>
          <w:p w14:paraId="54363E89">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4</w:t>
            </w:r>
          </w:p>
        </w:tc>
        <w:tc>
          <w:tcPr>
            <w:tcW w:w="967" w:type="dxa"/>
            <w:vAlign w:val="center"/>
          </w:tcPr>
          <w:p w14:paraId="4CE3C923">
            <w:pPr>
              <w:jc w:val="center"/>
              <w:rPr>
                <w:rFonts w:hint="eastAsia" w:ascii="宋体" w:hAnsi="宋体" w:eastAsia="宋体" w:cs="宋体"/>
                <w:sz w:val="24"/>
                <w:szCs w:val="24"/>
                <w:highlight w:val="none"/>
              </w:rPr>
            </w:pPr>
          </w:p>
        </w:tc>
      </w:tr>
      <w:tr w14:paraId="55BC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9" w:type="dxa"/>
            <w:vAlign w:val="center"/>
          </w:tcPr>
          <w:p w14:paraId="681D0EC6">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2</w:t>
            </w:r>
          </w:p>
        </w:tc>
        <w:tc>
          <w:tcPr>
            <w:tcW w:w="1276" w:type="dxa"/>
            <w:vAlign w:val="center"/>
          </w:tcPr>
          <w:p w14:paraId="14A23A7C">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LED补光灯</w:t>
            </w:r>
          </w:p>
        </w:tc>
        <w:tc>
          <w:tcPr>
            <w:tcW w:w="9352" w:type="dxa"/>
            <w:vAlign w:val="center"/>
          </w:tcPr>
          <w:p w14:paraId="4E46254E">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采用16颗Cree高性能冷白LED，光源高效、节能环保；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先进的稳流技术，保证电流控制准确、稳定；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支持低照度下6级光敏检测自动开启补光；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可通过相机远程调节LED亮度、频闪频率和脉宽；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支持频闪级联功能，降低施工难度；</w:t>
            </w:r>
          </w:p>
        </w:tc>
        <w:tc>
          <w:tcPr>
            <w:tcW w:w="717" w:type="dxa"/>
            <w:vAlign w:val="center"/>
          </w:tcPr>
          <w:p w14:paraId="11EAE432">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台</w:t>
            </w:r>
          </w:p>
        </w:tc>
        <w:tc>
          <w:tcPr>
            <w:tcW w:w="700" w:type="dxa"/>
            <w:vAlign w:val="center"/>
          </w:tcPr>
          <w:p w14:paraId="63432B6F">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12</w:t>
            </w:r>
          </w:p>
        </w:tc>
        <w:tc>
          <w:tcPr>
            <w:tcW w:w="967" w:type="dxa"/>
            <w:vAlign w:val="center"/>
          </w:tcPr>
          <w:p w14:paraId="2A6F9242">
            <w:pPr>
              <w:jc w:val="center"/>
              <w:rPr>
                <w:rFonts w:hint="eastAsia" w:ascii="宋体" w:hAnsi="宋体" w:eastAsia="宋体" w:cs="宋体"/>
                <w:sz w:val="24"/>
                <w:szCs w:val="24"/>
                <w:highlight w:val="none"/>
              </w:rPr>
            </w:pPr>
          </w:p>
        </w:tc>
      </w:tr>
      <w:tr w14:paraId="756E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59" w:type="dxa"/>
            <w:vAlign w:val="center"/>
          </w:tcPr>
          <w:p w14:paraId="1BDC2836">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3</w:t>
            </w:r>
          </w:p>
        </w:tc>
        <w:tc>
          <w:tcPr>
            <w:tcW w:w="1276" w:type="dxa"/>
            <w:vAlign w:val="center"/>
          </w:tcPr>
          <w:p w14:paraId="05AD1B14">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智能终端盒</w:t>
            </w:r>
          </w:p>
        </w:tc>
        <w:tc>
          <w:tcPr>
            <w:tcW w:w="9352" w:type="dxa"/>
            <w:vAlign w:val="center"/>
          </w:tcPr>
          <w:p w14:paraId="2F89D710">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支持违章图片普通合成和新国标六合一合成功能，合成顺序自定义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支持RTSP/ONVIF/GB28181协议，兼容多种摄像机接入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支持断网续传，当设备与平台断开，重连后设备将断开时间段的图片继续传给平台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支持黑白名单文件导入导出；支持按照车牌模糊查询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支持数据防篡改，录像、图片文件无法直接删除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支持按时间、通道、违章类型、车牌、车速、车道查询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支持任选4个通道进行视频拼接，支持模拟通道与数字通道混合拼接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支持H.265编码，实现较低码率传输高清视频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标配1块4T硬盘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嵌入式Linux实时操作系统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支持WEB方式、VGA/HDMI显示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支持16个RJ4510M/100M自适应以太网口，2个RJ451000M接口，其中一个为1000M可光电转换SFP接口</w:t>
            </w:r>
          </w:p>
        </w:tc>
        <w:tc>
          <w:tcPr>
            <w:tcW w:w="717" w:type="dxa"/>
            <w:vAlign w:val="center"/>
          </w:tcPr>
          <w:p w14:paraId="31C4D7D8">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台</w:t>
            </w:r>
          </w:p>
        </w:tc>
        <w:tc>
          <w:tcPr>
            <w:tcW w:w="700" w:type="dxa"/>
            <w:vAlign w:val="center"/>
          </w:tcPr>
          <w:p w14:paraId="060AE633">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967" w:type="dxa"/>
            <w:vAlign w:val="center"/>
          </w:tcPr>
          <w:p w14:paraId="17134DD2">
            <w:pPr>
              <w:jc w:val="center"/>
              <w:rPr>
                <w:rFonts w:hint="eastAsia" w:ascii="宋体" w:hAnsi="宋体" w:eastAsia="宋体" w:cs="宋体"/>
                <w:sz w:val="24"/>
                <w:szCs w:val="24"/>
                <w:highlight w:val="none"/>
              </w:rPr>
            </w:pPr>
          </w:p>
        </w:tc>
      </w:tr>
      <w:tr w14:paraId="5722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59" w:type="dxa"/>
            <w:vAlign w:val="center"/>
          </w:tcPr>
          <w:p w14:paraId="5B05352D">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4</w:t>
            </w:r>
          </w:p>
        </w:tc>
        <w:tc>
          <w:tcPr>
            <w:tcW w:w="1276" w:type="dxa"/>
            <w:vAlign w:val="center"/>
          </w:tcPr>
          <w:p w14:paraId="6AC7C7F6">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红绿灯信号检测器</w:t>
            </w:r>
          </w:p>
        </w:tc>
        <w:tc>
          <w:tcPr>
            <w:tcW w:w="9352" w:type="dxa"/>
            <w:vAlign w:val="center"/>
          </w:tcPr>
          <w:p w14:paraId="52DD6DA8">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1.支持最多接入20路红/绿灯信号，进行输入通断检测，并通过100M网口将信号状态实时传输给网络摄像机；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2.支持通过配置工具设置红灯检测模式/绿灯检测模式；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3.支持通过配置工具设置交换机网关，并开启ping功能，用来监测网络状态；</w:t>
            </w:r>
          </w:p>
        </w:tc>
        <w:tc>
          <w:tcPr>
            <w:tcW w:w="717" w:type="dxa"/>
            <w:vAlign w:val="center"/>
          </w:tcPr>
          <w:p w14:paraId="711DBDD1">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台</w:t>
            </w:r>
          </w:p>
        </w:tc>
        <w:tc>
          <w:tcPr>
            <w:tcW w:w="700" w:type="dxa"/>
            <w:vAlign w:val="center"/>
          </w:tcPr>
          <w:p w14:paraId="39A74B55">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967" w:type="dxa"/>
            <w:vAlign w:val="center"/>
          </w:tcPr>
          <w:p w14:paraId="7CD614D2">
            <w:pPr>
              <w:jc w:val="center"/>
              <w:rPr>
                <w:rFonts w:hint="eastAsia" w:ascii="宋体" w:hAnsi="宋体" w:eastAsia="宋体" w:cs="宋体"/>
                <w:sz w:val="24"/>
                <w:szCs w:val="24"/>
                <w:highlight w:val="none"/>
              </w:rPr>
            </w:pPr>
          </w:p>
        </w:tc>
      </w:tr>
      <w:tr w14:paraId="0784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59" w:type="dxa"/>
            <w:vAlign w:val="center"/>
          </w:tcPr>
          <w:p w14:paraId="177053D4">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5</w:t>
            </w:r>
          </w:p>
        </w:tc>
        <w:tc>
          <w:tcPr>
            <w:tcW w:w="1276" w:type="dxa"/>
            <w:vAlign w:val="center"/>
          </w:tcPr>
          <w:p w14:paraId="07CC7D61">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抓拍单元及灯具配件</w:t>
            </w:r>
          </w:p>
        </w:tc>
        <w:tc>
          <w:tcPr>
            <w:tcW w:w="9352" w:type="dxa"/>
            <w:vAlign w:val="center"/>
          </w:tcPr>
          <w:p w14:paraId="488F903B">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万向节</w:t>
            </w:r>
          </w:p>
        </w:tc>
        <w:tc>
          <w:tcPr>
            <w:tcW w:w="717" w:type="dxa"/>
            <w:vAlign w:val="center"/>
          </w:tcPr>
          <w:p w14:paraId="57A36082">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套</w:t>
            </w:r>
          </w:p>
        </w:tc>
        <w:tc>
          <w:tcPr>
            <w:tcW w:w="700" w:type="dxa"/>
            <w:vAlign w:val="center"/>
          </w:tcPr>
          <w:p w14:paraId="0640902D">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46</w:t>
            </w:r>
          </w:p>
        </w:tc>
        <w:tc>
          <w:tcPr>
            <w:tcW w:w="967" w:type="dxa"/>
            <w:vAlign w:val="center"/>
          </w:tcPr>
          <w:p w14:paraId="05BFB4E4">
            <w:pPr>
              <w:jc w:val="center"/>
              <w:rPr>
                <w:rFonts w:hint="eastAsia" w:ascii="宋体" w:hAnsi="宋体" w:eastAsia="宋体" w:cs="宋体"/>
                <w:sz w:val="24"/>
                <w:szCs w:val="24"/>
                <w:highlight w:val="none"/>
              </w:rPr>
            </w:pPr>
          </w:p>
        </w:tc>
      </w:tr>
      <w:tr w14:paraId="2171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59" w:type="dxa"/>
            <w:vAlign w:val="center"/>
          </w:tcPr>
          <w:p w14:paraId="4905C2B1">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6</w:t>
            </w:r>
          </w:p>
        </w:tc>
        <w:tc>
          <w:tcPr>
            <w:tcW w:w="1276" w:type="dxa"/>
            <w:vAlign w:val="center"/>
          </w:tcPr>
          <w:p w14:paraId="34CCFD07">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 xml:space="preserve">抱杆机箱  </w:t>
            </w:r>
          </w:p>
        </w:tc>
        <w:tc>
          <w:tcPr>
            <w:tcW w:w="9352" w:type="dxa"/>
            <w:vAlign w:val="center"/>
          </w:tcPr>
          <w:p w14:paraId="097626A4">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室外抱杆式防尘机箱（高500mm*宽400mm*深250mm），材质厚度1.0。内含层板与安装板（340mm*385mm），配置1个3P16A断路器空气开关、1个开关式4插位三孔无线排插、），外部印刷公安监控等字样。</w:t>
            </w:r>
          </w:p>
        </w:tc>
        <w:tc>
          <w:tcPr>
            <w:tcW w:w="717" w:type="dxa"/>
            <w:vAlign w:val="center"/>
          </w:tcPr>
          <w:p w14:paraId="65C1353A">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个</w:t>
            </w:r>
          </w:p>
        </w:tc>
        <w:tc>
          <w:tcPr>
            <w:tcW w:w="700" w:type="dxa"/>
            <w:vAlign w:val="center"/>
          </w:tcPr>
          <w:p w14:paraId="2E7B9DBC">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4</w:t>
            </w:r>
          </w:p>
        </w:tc>
        <w:tc>
          <w:tcPr>
            <w:tcW w:w="967" w:type="dxa"/>
            <w:vAlign w:val="center"/>
          </w:tcPr>
          <w:p w14:paraId="023AB69F">
            <w:pPr>
              <w:jc w:val="center"/>
              <w:rPr>
                <w:rFonts w:hint="eastAsia" w:ascii="宋体" w:hAnsi="宋体" w:eastAsia="宋体" w:cs="宋体"/>
                <w:sz w:val="24"/>
                <w:szCs w:val="24"/>
                <w:highlight w:val="none"/>
              </w:rPr>
            </w:pPr>
          </w:p>
        </w:tc>
      </w:tr>
      <w:tr w14:paraId="15E5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59" w:type="dxa"/>
            <w:vAlign w:val="center"/>
          </w:tcPr>
          <w:p w14:paraId="2ABF35A0">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7</w:t>
            </w:r>
          </w:p>
        </w:tc>
        <w:tc>
          <w:tcPr>
            <w:tcW w:w="1276" w:type="dxa"/>
            <w:vAlign w:val="center"/>
          </w:tcPr>
          <w:p w14:paraId="132C4805">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电警机柜</w:t>
            </w:r>
          </w:p>
        </w:tc>
        <w:tc>
          <w:tcPr>
            <w:tcW w:w="9352" w:type="dxa"/>
            <w:vAlign w:val="center"/>
          </w:tcPr>
          <w:p w14:paraId="5947CEAC">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室外抱杆式防尘机箱（高1000mm*宽600mm*深350mm），材质厚度1.0。内含层板与安装板（520mm*880mm），配置1个3P16A断路器空气开关、1个开关式4插位三孔无线排插、），外部印刷公安监控等字样。</w:t>
            </w:r>
          </w:p>
        </w:tc>
        <w:tc>
          <w:tcPr>
            <w:tcW w:w="717" w:type="dxa"/>
            <w:vAlign w:val="center"/>
          </w:tcPr>
          <w:p w14:paraId="04B73360">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套</w:t>
            </w:r>
          </w:p>
        </w:tc>
        <w:tc>
          <w:tcPr>
            <w:tcW w:w="700" w:type="dxa"/>
            <w:vAlign w:val="center"/>
          </w:tcPr>
          <w:p w14:paraId="434C647F">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967" w:type="dxa"/>
            <w:vAlign w:val="center"/>
          </w:tcPr>
          <w:p w14:paraId="26D4BAF5">
            <w:pPr>
              <w:jc w:val="center"/>
              <w:rPr>
                <w:rFonts w:hint="eastAsia" w:ascii="宋体" w:hAnsi="宋体" w:eastAsia="宋体" w:cs="宋体"/>
                <w:sz w:val="24"/>
                <w:szCs w:val="24"/>
                <w:highlight w:val="none"/>
              </w:rPr>
            </w:pPr>
          </w:p>
        </w:tc>
      </w:tr>
      <w:tr w14:paraId="0339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59" w:type="dxa"/>
            <w:vAlign w:val="center"/>
          </w:tcPr>
          <w:p w14:paraId="697DF9F2">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8</w:t>
            </w:r>
          </w:p>
        </w:tc>
        <w:tc>
          <w:tcPr>
            <w:tcW w:w="1276" w:type="dxa"/>
            <w:vAlign w:val="center"/>
          </w:tcPr>
          <w:p w14:paraId="1D5E5715">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电警立杆</w:t>
            </w:r>
          </w:p>
        </w:tc>
        <w:tc>
          <w:tcPr>
            <w:tcW w:w="9352" w:type="dxa"/>
            <w:vAlign w:val="center"/>
          </w:tcPr>
          <w:p w14:paraId="554D489A">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立杆φ260-316-6mm厚-6.5m，横臂φ100-241-4mm厚-10m。法兰φ550-16mm厚，中心距450-8个30*75mm腰孔，400*400-16mm厚，孔距330*330-8个φ23mm孔，配M20*95mm螺丝。基础笼法兰φ550-5mm厚，预埋件螺杆对角中心距450mm-8支M24圆钢长1.285米，一道箍筋一道十字撑。混凝土基础：1400*1400*1600高。</w:t>
            </w:r>
          </w:p>
        </w:tc>
        <w:tc>
          <w:tcPr>
            <w:tcW w:w="717" w:type="dxa"/>
            <w:vAlign w:val="center"/>
          </w:tcPr>
          <w:p w14:paraId="14F362BE">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套</w:t>
            </w:r>
          </w:p>
        </w:tc>
        <w:tc>
          <w:tcPr>
            <w:tcW w:w="700" w:type="dxa"/>
            <w:vAlign w:val="center"/>
          </w:tcPr>
          <w:p w14:paraId="4D122D2F">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4</w:t>
            </w:r>
          </w:p>
        </w:tc>
        <w:tc>
          <w:tcPr>
            <w:tcW w:w="967" w:type="dxa"/>
            <w:vAlign w:val="center"/>
          </w:tcPr>
          <w:p w14:paraId="5456CCD5">
            <w:pPr>
              <w:jc w:val="center"/>
              <w:rPr>
                <w:rFonts w:hint="eastAsia" w:ascii="宋体" w:hAnsi="宋体" w:eastAsia="宋体" w:cs="宋体"/>
                <w:sz w:val="24"/>
                <w:szCs w:val="24"/>
                <w:highlight w:val="none"/>
              </w:rPr>
            </w:pPr>
          </w:p>
        </w:tc>
      </w:tr>
      <w:tr w14:paraId="52DC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59" w:type="dxa"/>
            <w:vAlign w:val="center"/>
          </w:tcPr>
          <w:p w14:paraId="625C52DE">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9</w:t>
            </w:r>
          </w:p>
        </w:tc>
        <w:tc>
          <w:tcPr>
            <w:tcW w:w="1276" w:type="dxa"/>
            <w:vAlign w:val="center"/>
          </w:tcPr>
          <w:p w14:paraId="3982018D">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基坑、基础</w:t>
            </w:r>
          </w:p>
        </w:tc>
        <w:tc>
          <w:tcPr>
            <w:tcW w:w="9352" w:type="dxa"/>
            <w:vAlign w:val="center"/>
          </w:tcPr>
          <w:p w14:paraId="3B548F37">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基坑开挖、土方外运、C25商品砼现浇。标准防雷接地。混凝土基础：1400*1400*1600高。隐蔽工程需先验收防雷接地等项后再下商品砼及安装立杆。</w:t>
            </w:r>
          </w:p>
        </w:tc>
        <w:tc>
          <w:tcPr>
            <w:tcW w:w="717" w:type="dxa"/>
            <w:vAlign w:val="center"/>
          </w:tcPr>
          <w:p w14:paraId="47F8F513">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m³</w:t>
            </w:r>
          </w:p>
        </w:tc>
        <w:tc>
          <w:tcPr>
            <w:tcW w:w="700" w:type="dxa"/>
            <w:vAlign w:val="center"/>
          </w:tcPr>
          <w:p w14:paraId="0063A9E0">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16</w:t>
            </w:r>
          </w:p>
        </w:tc>
        <w:tc>
          <w:tcPr>
            <w:tcW w:w="967" w:type="dxa"/>
            <w:vAlign w:val="center"/>
          </w:tcPr>
          <w:p w14:paraId="3DEFB99D">
            <w:pPr>
              <w:jc w:val="center"/>
              <w:rPr>
                <w:rFonts w:hint="eastAsia" w:ascii="宋体" w:hAnsi="宋体" w:eastAsia="宋体" w:cs="宋体"/>
                <w:sz w:val="24"/>
                <w:szCs w:val="24"/>
                <w:highlight w:val="none"/>
              </w:rPr>
            </w:pPr>
          </w:p>
        </w:tc>
      </w:tr>
      <w:tr w14:paraId="4C26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59" w:type="dxa"/>
            <w:vAlign w:val="center"/>
          </w:tcPr>
          <w:p w14:paraId="11453416">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10</w:t>
            </w:r>
          </w:p>
        </w:tc>
        <w:tc>
          <w:tcPr>
            <w:tcW w:w="1276" w:type="dxa"/>
            <w:vAlign w:val="center"/>
          </w:tcPr>
          <w:p w14:paraId="37D38CBF">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路口交换机</w:t>
            </w:r>
          </w:p>
        </w:tc>
        <w:tc>
          <w:tcPr>
            <w:tcW w:w="9352" w:type="dxa"/>
            <w:vAlign w:val="center"/>
          </w:tcPr>
          <w:p w14:paraId="4D91BAE2">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8个100M/1000M自适应以太网接口</w:t>
            </w:r>
          </w:p>
        </w:tc>
        <w:tc>
          <w:tcPr>
            <w:tcW w:w="717" w:type="dxa"/>
            <w:vAlign w:val="center"/>
          </w:tcPr>
          <w:p w14:paraId="0ADE02AF">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台</w:t>
            </w:r>
          </w:p>
        </w:tc>
        <w:tc>
          <w:tcPr>
            <w:tcW w:w="700" w:type="dxa"/>
            <w:vAlign w:val="center"/>
          </w:tcPr>
          <w:p w14:paraId="673922EA">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5</w:t>
            </w:r>
          </w:p>
        </w:tc>
        <w:tc>
          <w:tcPr>
            <w:tcW w:w="967" w:type="dxa"/>
            <w:vAlign w:val="center"/>
          </w:tcPr>
          <w:p w14:paraId="4F198154">
            <w:pPr>
              <w:jc w:val="center"/>
              <w:rPr>
                <w:rFonts w:hint="eastAsia" w:ascii="宋体" w:hAnsi="宋体" w:eastAsia="宋体" w:cs="宋体"/>
                <w:sz w:val="24"/>
                <w:szCs w:val="24"/>
                <w:highlight w:val="none"/>
              </w:rPr>
            </w:pPr>
          </w:p>
        </w:tc>
      </w:tr>
      <w:tr w14:paraId="678C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59" w:type="dxa"/>
            <w:vAlign w:val="center"/>
          </w:tcPr>
          <w:p w14:paraId="7E6DA07A">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11</w:t>
            </w:r>
          </w:p>
        </w:tc>
        <w:tc>
          <w:tcPr>
            <w:tcW w:w="1276" w:type="dxa"/>
            <w:vAlign w:val="center"/>
          </w:tcPr>
          <w:p w14:paraId="63B608CE">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光纤收发器</w:t>
            </w:r>
          </w:p>
        </w:tc>
        <w:tc>
          <w:tcPr>
            <w:tcW w:w="9352" w:type="dxa"/>
            <w:vAlign w:val="center"/>
          </w:tcPr>
          <w:p w14:paraId="79C3A818">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千兆光纤收发器，单模单纤，20KM</w:t>
            </w:r>
          </w:p>
        </w:tc>
        <w:tc>
          <w:tcPr>
            <w:tcW w:w="717" w:type="dxa"/>
            <w:vAlign w:val="center"/>
          </w:tcPr>
          <w:p w14:paraId="48318CDB">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台</w:t>
            </w:r>
          </w:p>
        </w:tc>
        <w:tc>
          <w:tcPr>
            <w:tcW w:w="700" w:type="dxa"/>
            <w:vAlign w:val="center"/>
          </w:tcPr>
          <w:p w14:paraId="48C81CA6">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4</w:t>
            </w:r>
          </w:p>
        </w:tc>
        <w:tc>
          <w:tcPr>
            <w:tcW w:w="967" w:type="dxa"/>
            <w:vAlign w:val="center"/>
          </w:tcPr>
          <w:p w14:paraId="14A98251">
            <w:pPr>
              <w:jc w:val="center"/>
              <w:rPr>
                <w:rFonts w:hint="eastAsia" w:ascii="宋体" w:hAnsi="宋体" w:eastAsia="宋体" w:cs="宋体"/>
                <w:sz w:val="24"/>
                <w:szCs w:val="24"/>
                <w:highlight w:val="none"/>
              </w:rPr>
            </w:pPr>
          </w:p>
        </w:tc>
      </w:tr>
      <w:tr w14:paraId="49E5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3AD041AB">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12</w:t>
            </w:r>
          </w:p>
        </w:tc>
        <w:tc>
          <w:tcPr>
            <w:tcW w:w="1276" w:type="dxa"/>
            <w:vAlign w:val="center"/>
          </w:tcPr>
          <w:p w14:paraId="377D5F37">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光纤</w:t>
            </w:r>
          </w:p>
        </w:tc>
        <w:tc>
          <w:tcPr>
            <w:tcW w:w="9352" w:type="dxa"/>
            <w:vAlign w:val="center"/>
          </w:tcPr>
          <w:p w14:paraId="411DE13E">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6芯单模室外铠装光缆线。</w:t>
            </w:r>
          </w:p>
        </w:tc>
        <w:tc>
          <w:tcPr>
            <w:tcW w:w="717" w:type="dxa"/>
            <w:vAlign w:val="center"/>
          </w:tcPr>
          <w:p w14:paraId="5D960CB8">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米</w:t>
            </w:r>
          </w:p>
        </w:tc>
        <w:tc>
          <w:tcPr>
            <w:tcW w:w="700" w:type="dxa"/>
            <w:vAlign w:val="center"/>
          </w:tcPr>
          <w:p w14:paraId="1BCF916E">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700</w:t>
            </w:r>
          </w:p>
        </w:tc>
        <w:tc>
          <w:tcPr>
            <w:tcW w:w="967" w:type="dxa"/>
            <w:vAlign w:val="center"/>
          </w:tcPr>
          <w:p w14:paraId="12582E60">
            <w:pPr>
              <w:jc w:val="center"/>
              <w:rPr>
                <w:rFonts w:hint="eastAsia" w:ascii="宋体" w:hAnsi="宋体" w:eastAsia="宋体" w:cs="宋体"/>
                <w:sz w:val="24"/>
                <w:szCs w:val="24"/>
                <w:highlight w:val="none"/>
              </w:rPr>
            </w:pPr>
          </w:p>
        </w:tc>
      </w:tr>
      <w:tr w14:paraId="2FF1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59" w:type="dxa"/>
            <w:vAlign w:val="center"/>
          </w:tcPr>
          <w:p w14:paraId="63140244">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13</w:t>
            </w:r>
          </w:p>
        </w:tc>
        <w:tc>
          <w:tcPr>
            <w:tcW w:w="1276" w:type="dxa"/>
            <w:vAlign w:val="center"/>
          </w:tcPr>
          <w:p w14:paraId="5F9C401E">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网线</w:t>
            </w:r>
          </w:p>
        </w:tc>
        <w:tc>
          <w:tcPr>
            <w:tcW w:w="9352" w:type="dxa"/>
            <w:vAlign w:val="center"/>
          </w:tcPr>
          <w:p w14:paraId="27E38780">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超5类室外防水网线。</w:t>
            </w:r>
          </w:p>
        </w:tc>
        <w:tc>
          <w:tcPr>
            <w:tcW w:w="717" w:type="dxa"/>
            <w:vAlign w:val="center"/>
          </w:tcPr>
          <w:p w14:paraId="148DF4A3">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米</w:t>
            </w:r>
          </w:p>
        </w:tc>
        <w:tc>
          <w:tcPr>
            <w:tcW w:w="700" w:type="dxa"/>
            <w:vAlign w:val="center"/>
          </w:tcPr>
          <w:p w14:paraId="706BA50B">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600</w:t>
            </w:r>
          </w:p>
        </w:tc>
        <w:tc>
          <w:tcPr>
            <w:tcW w:w="967" w:type="dxa"/>
            <w:vAlign w:val="center"/>
          </w:tcPr>
          <w:p w14:paraId="4996BF67">
            <w:pPr>
              <w:jc w:val="center"/>
              <w:rPr>
                <w:rFonts w:hint="eastAsia" w:ascii="宋体" w:hAnsi="宋体" w:eastAsia="宋体" w:cs="宋体"/>
                <w:sz w:val="24"/>
                <w:szCs w:val="24"/>
                <w:highlight w:val="none"/>
              </w:rPr>
            </w:pPr>
          </w:p>
        </w:tc>
      </w:tr>
      <w:tr w14:paraId="1C2D3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59" w:type="dxa"/>
            <w:vAlign w:val="center"/>
          </w:tcPr>
          <w:p w14:paraId="433508CC">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14</w:t>
            </w:r>
          </w:p>
        </w:tc>
        <w:tc>
          <w:tcPr>
            <w:tcW w:w="1276" w:type="dxa"/>
            <w:vAlign w:val="center"/>
          </w:tcPr>
          <w:p w14:paraId="62601651">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信号线</w:t>
            </w:r>
          </w:p>
        </w:tc>
        <w:tc>
          <w:tcPr>
            <w:tcW w:w="9352" w:type="dxa"/>
            <w:vAlign w:val="center"/>
          </w:tcPr>
          <w:p w14:paraId="3F1295A1">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国标RVVP屏蔽线，RVVP-2*1.0mm，国标铜线。</w:t>
            </w:r>
          </w:p>
        </w:tc>
        <w:tc>
          <w:tcPr>
            <w:tcW w:w="717" w:type="dxa"/>
            <w:vAlign w:val="center"/>
          </w:tcPr>
          <w:p w14:paraId="19160240">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米</w:t>
            </w:r>
          </w:p>
        </w:tc>
        <w:tc>
          <w:tcPr>
            <w:tcW w:w="700" w:type="dxa"/>
            <w:vAlign w:val="center"/>
          </w:tcPr>
          <w:p w14:paraId="51EEFE19">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500</w:t>
            </w:r>
          </w:p>
        </w:tc>
        <w:tc>
          <w:tcPr>
            <w:tcW w:w="967" w:type="dxa"/>
            <w:vAlign w:val="center"/>
          </w:tcPr>
          <w:p w14:paraId="36081741">
            <w:pPr>
              <w:jc w:val="center"/>
              <w:rPr>
                <w:rFonts w:hint="eastAsia" w:ascii="宋体" w:hAnsi="宋体" w:eastAsia="宋体" w:cs="宋体"/>
                <w:sz w:val="24"/>
                <w:szCs w:val="24"/>
                <w:highlight w:val="none"/>
              </w:rPr>
            </w:pPr>
          </w:p>
        </w:tc>
      </w:tr>
      <w:tr w14:paraId="5A51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Align w:val="center"/>
          </w:tcPr>
          <w:p w14:paraId="12794394">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15</w:t>
            </w:r>
          </w:p>
        </w:tc>
        <w:tc>
          <w:tcPr>
            <w:tcW w:w="1276" w:type="dxa"/>
            <w:vAlign w:val="center"/>
          </w:tcPr>
          <w:p w14:paraId="278B491B">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电源线</w:t>
            </w:r>
          </w:p>
        </w:tc>
        <w:tc>
          <w:tcPr>
            <w:tcW w:w="9352" w:type="dxa"/>
            <w:vAlign w:val="center"/>
          </w:tcPr>
          <w:p w14:paraId="67DDE130">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国标RVV护套线，RVV-2*1.5mm，国标铜线。</w:t>
            </w:r>
          </w:p>
        </w:tc>
        <w:tc>
          <w:tcPr>
            <w:tcW w:w="717" w:type="dxa"/>
            <w:vAlign w:val="center"/>
          </w:tcPr>
          <w:p w14:paraId="75FAED03">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米</w:t>
            </w:r>
          </w:p>
        </w:tc>
        <w:tc>
          <w:tcPr>
            <w:tcW w:w="700" w:type="dxa"/>
            <w:vAlign w:val="center"/>
          </w:tcPr>
          <w:p w14:paraId="661055F9">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600</w:t>
            </w:r>
          </w:p>
        </w:tc>
        <w:tc>
          <w:tcPr>
            <w:tcW w:w="967" w:type="dxa"/>
            <w:vAlign w:val="center"/>
          </w:tcPr>
          <w:p w14:paraId="640C1F85">
            <w:pPr>
              <w:jc w:val="center"/>
              <w:rPr>
                <w:rFonts w:hint="eastAsia" w:ascii="宋体" w:hAnsi="宋体" w:eastAsia="宋体" w:cs="宋体"/>
                <w:sz w:val="24"/>
                <w:szCs w:val="24"/>
                <w:highlight w:val="none"/>
              </w:rPr>
            </w:pPr>
          </w:p>
        </w:tc>
      </w:tr>
      <w:tr w14:paraId="6070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59" w:type="dxa"/>
            <w:vAlign w:val="center"/>
          </w:tcPr>
          <w:p w14:paraId="332327E0">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16</w:t>
            </w:r>
          </w:p>
        </w:tc>
        <w:tc>
          <w:tcPr>
            <w:tcW w:w="1276" w:type="dxa"/>
            <w:vAlign w:val="center"/>
          </w:tcPr>
          <w:p w14:paraId="6F99328C">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电源线</w:t>
            </w:r>
          </w:p>
        </w:tc>
        <w:tc>
          <w:tcPr>
            <w:tcW w:w="9352" w:type="dxa"/>
            <w:vAlign w:val="center"/>
          </w:tcPr>
          <w:p w14:paraId="589C1E7D">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国标铜芯RVV护套线，RVV-3*1.5mm，国标铜线。</w:t>
            </w:r>
          </w:p>
        </w:tc>
        <w:tc>
          <w:tcPr>
            <w:tcW w:w="717" w:type="dxa"/>
            <w:vAlign w:val="center"/>
          </w:tcPr>
          <w:p w14:paraId="1962AD2A">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米</w:t>
            </w:r>
          </w:p>
        </w:tc>
        <w:tc>
          <w:tcPr>
            <w:tcW w:w="700" w:type="dxa"/>
            <w:vAlign w:val="center"/>
          </w:tcPr>
          <w:p w14:paraId="6EE429E7">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800</w:t>
            </w:r>
          </w:p>
        </w:tc>
        <w:tc>
          <w:tcPr>
            <w:tcW w:w="967" w:type="dxa"/>
            <w:vAlign w:val="center"/>
          </w:tcPr>
          <w:p w14:paraId="61E3CB58">
            <w:pPr>
              <w:jc w:val="center"/>
              <w:rPr>
                <w:rFonts w:hint="eastAsia" w:ascii="宋体" w:hAnsi="宋体" w:eastAsia="宋体" w:cs="宋体"/>
                <w:sz w:val="24"/>
                <w:szCs w:val="24"/>
                <w:highlight w:val="none"/>
              </w:rPr>
            </w:pPr>
          </w:p>
        </w:tc>
      </w:tr>
      <w:tr w14:paraId="5BB8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59" w:type="dxa"/>
            <w:vAlign w:val="center"/>
          </w:tcPr>
          <w:p w14:paraId="68E87CEB">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17</w:t>
            </w:r>
          </w:p>
        </w:tc>
        <w:tc>
          <w:tcPr>
            <w:tcW w:w="1276" w:type="dxa"/>
            <w:vAlign w:val="center"/>
          </w:tcPr>
          <w:p w14:paraId="0AB128C5">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接线井砌筑</w:t>
            </w:r>
          </w:p>
        </w:tc>
        <w:tc>
          <w:tcPr>
            <w:tcW w:w="9352" w:type="dxa"/>
            <w:vAlign w:val="center"/>
          </w:tcPr>
          <w:p w14:paraId="36578CD8">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1.垫层、基础材质及厚度:150厚碎石，150厚C25垫层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2.砌筑材料品种、规格、强度等级:240砖砌筑 井深800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3.勾缝、抹面要求:厚M1.5抹面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4.盖板材质、规格:水泥井盖（650mm*650mm）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5.井盖、井圈材质及规格:12@100,单层双向</w:t>
            </w:r>
          </w:p>
        </w:tc>
        <w:tc>
          <w:tcPr>
            <w:tcW w:w="717" w:type="dxa"/>
            <w:vAlign w:val="center"/>
          </w:tcPr>
          <w:p w14:paraId="228170A5">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套</w:t>
            </w:r>
          </w:p>
        </w:tc>
        <w:tc>
          <w:tcPr>
            <w:tcW w:w="700" w:type="dxa"/>
            <w:vAlign w:val="center"/>
          </w:tcPr>
          <w:p w14:paraId="180E8F28">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4</w:t>
            </w:r>
          </w:p>
        </w:tc>
        <w:tc>
          <w:tcPr>
            <w:tcW w:w="967" w:type="dxa"/>
            <w:vAlign w:val="center"/>
          </w:tcPr>
          <w:p w14:paraId="72BA477F">
            <w:pPr>
              <w:jc w:val="center"/>
              <w:rPr>
                <w:rFonts w:hint="eastAsia" w:ascii="宋体" w:hAnsi="宋体" w:eastAsia="宋体" w:cs="宋体"/>
                <w:sz w:val="24"/>
                <w:szCs w:val="24"/>
                <w:highlight w:val="none"/>
              </w:rPr>
            </w:pPr>
          </w:p>
        </w:tc>
      </w:tr>
      <w:tr w14:paraId="0FFA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59" w:type="dxa"/>
            <w:vAlign w:val="center"/>
          </w:tcPr>
          <w:p w14:paraId="23ED959F">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18</w:t>
            </w:r>
          </w:p>
        </w:tc>
        <w:tc>
          <w:tcPr>
            <w:tcW w:w="1276" w:type="dxa"/>
            <w:vAlign w:val="center"/>
          </w:tcPr>
          <w:p w14:paraId="3B1D2A24">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路面开挖、修复</w:t>
            </w:r>
          </w:p>
        </w:tc>
        <w:tc>
          <w:tcPr>
            <w:tcW w:w="9352" w:type="dxa"/>
            <w:vAlign w:val="center"/>
          </w:tcPr>
          <w:p w14:paraId="22CDCE97">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路面沟槽开挖30cm*50cm（宽度*深度）及修复、余土清运等</w:t>
            </w:r>
          </w:p>
        </w:tc>
        <w:tc>
          <w:tcPr>
            <w:tcW w:w="717" w:type="dxa"/>
            <w:vAlign w:val="center"/>
          </w:tcPr>
          <w:p w14:paraId="398B8C11">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米</w:t>
            </w:r>
          </w:p>
        </w:tc>
        <w:tc>
          <w:tcPr>
            <w:tcW w:w="700" w:type="dxa"/>
            <w:vAlign w:val="center"/>
          </w:tcPr>
          <w:p w14:paraId="47E39592">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200</w:t>
            </w:r>
          </w:p>
        </w:tc>
        <w:tc>
          <w:tcPr>
            <w:tcW w:w="967" w:type="dxa"/>
            <w:vAlign w:val="center"/>
          </w:tcPr>
          <w:p w14:paraId="19BBE96B">
            <w:pPr>
              <w:jc w:val="center"/>
              <w:rPr>
                <w:rFonts w:hint="eastAsia" w:ascii="宋体" w:hAnsi="宋体" w:eastAsia="宋体" w:cs="宋体"/>
                <w:sz w:val="24"/>
                <w:szCs w:val="24"/>
                <w:highlight w:val="none"/>
              </w:rPr>
            </w:pPr>
          </w:p>
        </w:tc>
      </w:tr>
      <w:tr w14:paraId="418C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959" w:type="dxa"/>
            <w:vAlign w:val="center"/>
          </w:tcPr>
          <w:p w14:paraId="2361C3E1">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19</w:t>
            </w:r>
          </w:p>
        </w:tc>
        <w:tc>
          <w:tcPr>
            <w:tcW w:w="1276" w:type="dxa"/>
            <w:vAlign w:val="center"/>
          </w:tcPr>
          <w:p w14:paraId="114285CB">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管材辅材</w:t>
            </w:r>
          </w:p>
        </w:tc>
        <w:tc>
          <w:tcPr>
            <w:tcW w:w="9352" w:type="dxa"/>
            <w:vAlign w:val="center"/>
          </w:tcPr>
          <w:p w14:paraId="6AB341E9">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含光纤及配套、设备直流电源、水晶头、PE管、波纹管、各类电线接插件、光缆熔纤、终端盒、光纤跳线、三孔插头、抱箍、防水胶布、扎带等所必须的施工辅材</w:t>
            </w:r>
          </w:p>
        </w:tc>
        <w:tc>
          <w:tcPr>
            <w:tcW w:w="717" w:type="dxa"/>
            <w:vAlign w:val="center"/>
          </w:tcPr>
          <w:p w14:paraId="1E17A95E">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项</w:t>
            </w:r>
          </w:p>
        </w:tc>
        <w:tc>
          <w:tcPr>
            <w:tcW w:w="700" w:type="dxa"/>
            <w:vAlign w:val="center"/>
          </w:tcPr>
          <w:p w14:paraId="6845F38C">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967" w:type="dxa"/>
            <w:vAlign w:val="center"/>
          </w:tcPr>
          <w:p w14:paraId="6BF6F57C">
            <w:pPr>
              <w:jc w:val="center"/>
              <w:rPr>
                <w:rFonts w:hint="eastAsia" w:ascii="宋体" w:hAnsi="宋体" w:eastAsia="宋体" w:cs="宋体"/>
                <w:sz w:val="24"/>
                <w:szCs w:val="24"/>
                <w:highlight w:val="none"/>
              </w:rPr>
            </w:pPr>
          </w:p>
        </w:tc>
      </w:tr>
      <w:tr w14:paraId="7EDE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59" w:type="dxa"/>
            <w:vAlign w:val="center"/>
          </w:tcPr>
          <w:p w14:paraId="6AC417F9">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20</w:t>
            </w:r>
          </w:p>
        </w:tc>
        <w:tc>
          <w:tcPr>
            <w:tcW w:w="1276" w:type="dxa"/>
            <w:vAlign w:val="center"/>
          </w:tcPr>
          <w:p w14:paraId="7C34D175">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施工项</w:t>
            </w:r>
          </w:p>
        </w:tc>
        <w:tc>
          <w:tcPr>
            <w:tcW w:w="9352" w:type="dxa"/>
            <w:vAlign w:val="center"/>
          </w:tcPr>
          <w:p w14:paraId="68007F69">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含管道敷设、管内穿线、杆件安装、设备安装、调试及吊车及工程车台班等施工费用项目</w:t>
            </w:r>
          </w:p>
        </w:tc>
        <w:tc>
          <w:tcPr>
            <w:tcW w:w="717" w:type="dxa"/>
            <w:vAlign w:val="center"/>
          </w:tcPr>
          <w:p w14:paraId="4358FA56">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项</w:t>
            </w:r>
          </w:p>
        </w:tc>
        <w:tc>
          <w:tcPr>
            <w:tcW w:w="700" w:type="dxa"/>
            <w:vAlign w:val="center"/>
          </w:tcPr>
          <w:p w14:paraId="1D727F38">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967" w:type="dxa"/>
            <w:vAlign w:val="center"/>
          </w:tcPr>
          <w:p w14:paraId="20912CB0">
            <w:pPr>
              <w:jc w:val="center"/>
              <w:rPr>
                <w:rFonts w:hint="eastAsia" w:ascii="宋体" w:hAnsi="宋体" w:eastAsia="宋体" w:cs="宋体"/>
                <w:sz w:val="24"/>
                <w:szCs w:val="24"/>
                <w:highlight w:val="none"/>
              </w:rPr>
            </w:pPr>
          </w:p>
        </w:tc>
      </w:tr>
      <w:tr w14:paraId="14C8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59" w:type="dxa"/>
            <w:vAlign w:val="center"/>
          </w:tcPr>
          <w:p w14:paraId="38E18C9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二</w:t>
            </w:r>
          </w:p>
        </w:tc>
        <w:tc>
          <w:tcPr>
            <w:tcW w:w="13012" w:type="dxa"/>
            <w:gridSpan w:val="5"/>
            <w:vAlign w:val="center"/>
          </w:tcPr>
          <w:p w14:paraId="4E86606A">
            <w:pPr>
              <w:jc w:val="left"/>
              <w:rPr>
                <w:rFonts w:hint="eastAsia" w:ascii="宋体" w:hAnsi="宋体" w:eastAsia="宋体" w:cs="宋体"/>
                <w:sz w:val="24"/>
                <w:szCs w:val="24"/>
                <w:highlight w:val="none"/>
              </w:rPr>
            </w:pPr>
            <w:r>
              <w:rPr>
                <w:rFonts w:hint="eastAsia" w:ascii="宋体" w:hAnsi="宋体" w:eastAsia="宋体" w:cs="宋体"/>
                <w:b/>
                <w:bCs/>
                <w:i w:val="0"/>
                <w:iCs w:val="0"/>
                <w:color w:val="000000"/>
                <w:kern w:val="0"/>
                <w:sz w:val="24"/>
                <w:szCs w:val="24"/>
                <w:u w:val="none"/>
                <w:lang w:val="en-US" w:eastAsia="zh-CN" w:bidi="ar"/>
              </w:rPr>
              <w:t>信号灯建设部分</w:t>
            </w:r>
          </w:p>
        </w:tc>
      </w:tr>
      <w:tr w14:paraId="5198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59" w:type="dxa"/>
            <w:vAlign w:val="center"/>
          </w:tcPr>
          <w:p w14:paraId="18599544">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276" w:type="dxa"/>
            <w:vAlign w:val="center"/>
          </w:tcPr>
          <w:p w14:paraId="56D7B8FE">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箭头信号灯</w:t>
            </w:r>
          </w:p>
        </w:tc>
        <w:tc>
          <w:tcPr>
            <w:tcW w:w="9352" w:type="dxa"/>
            <w:vAlign w:val="center"/>
          </w:tcPr>
          <w:p w14:paraId="6E186248">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信号灯发光面Ф400mm三连箭头，塑壳圆屏，配遮帽檐、装饰板、卡齿及L型安装脚。总体符合GB14887最新国标要求，要求具有自动减光功能，防护等级要求不小于IP55</w:t>
            </w:r>
          </w:p>
        </w:tc>
        <w:tc>
          <w:tcPr>
            <w:tcW w:w="717" w:type="dxa"/>
            <w:vAlign w:val="center"/>
          </w:tcPr>
          <w:p w14:paraId="3B1A2021">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台</w:t>
            </w:r>
          </w:p>
        </w:tc>
        <w:tc>
          <w:tcPr>
            <w:tcW w:w="700" w:type="dxa"/>
            <w:vAlign w:val="center"/>
          </w:tcPr>
          <w:p w14:paraId="0ABE51E3">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8</w:t>
            </w:r>
          </w:p>
        </w:tc>
        <w:tc>
          <w:tcPr>
            <w:tcW w:w="967" w:type="dxa"/>
            <w:vAlign w:val="center"/>
          </w:tcPr>
          <w:p w14:paraId="48332B61">
            <w:pPr>
              <w:jc w:val="center"/>
              <w:rPr>
                <w:rFonts w:hint="eastAsia" w:ascii="宋体" w:hAnsi="宋体" w:eastAsia="宋体" w:cs="宋体"/>
                <w:sz w:val="24"/>
                <w:szCs w:val="24"/>
                <w:highlight w:val="none"/>
              </w:rPr>
            </w:pPr>
          </w:p>
        </w:tc>
      </w:tr>
      <w:tr w14:paraId="52E1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59" w:type="dxa"/>
            <w:vAlign w:val="center"/>
          </w:tcPr>
          <w:p w14:paraId="698F6AB8">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276" w:type="dxa"/>
            <w:vAlign w:val="center"/>
          </w:tcPr>
          <w:p w14:paraId="6EFA7F6D">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非机动车信号灯</w:t>
            </w:r>
          </w:p>
        </w:tc>
        <w:tc>
          <w:tcPr>
            <w:tcW w:w="9352" w:type="dxa"/>
            <w:vAlign w:val="center"/>
          </w:tcPr>
          <w:p w14:paraId="0651AF2C">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信号灯规格、型号、组数:直径400mm、红黄绿三联非机动车塑壳圆屏，配遮帽檐、装饰板、卡齿及L型安装脚。总体符合GB14887最新国标要求，防护等级要求不小于IP55（提供公安部检测报告）</w:t>
            </w:r>
          </w:p>
        </w:tc>
        <w:tc>
          <w:tcPr>
            <w:tcW w:w="717" w:type="dxa"/>
            <w:vAlign w:val="center"/>
          </w:tcPr>
          <w:p w14:paraId="68A1FAB5">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台</w:t>
            </w:r>
          </w:p>
        </w:tc>
        <w:tc>
          <w:tcPr>
            <w:tcW w:w="700" w:type="dxa"/>
            <w:vAlign w:val="center"/>
          </w:tcPr>
          <w:p w14:paraId="11B40B2E">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4</w:t>
            </w:r>
          </w:p>
        </w:tc>
        <w:tc>
          <w:tcPr>
            <w:tcW w:w="967" w:type="dxa"/>
            <w:vAlign w:val="center"/>
          </w:tcPr>
          <w:p w14:paraId="1528E3F8">
            <w:pPr>
              <w:jc w:val="center"/>
              <w:rPr>
                <w:rFonts w:hint="eastAsia" w:ascii="宋体" w:hAnsi="宋体" w:eastAsia="宋体" w:cs="宋体"/>
                <w:sz w:val="24"/>
                <w:szCs w:val="24"/>
                <w:highlight w:val="none"/>
              </w:rPr>
            </w:pPr>
          </w:p>
        </w:tc>
      </w:tr>
      <w:tr w14:paraId="6257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59" w:type="dxa"/>
            <w:vAlign w:val="center"/>
          </w:tcPr>
          <w:p w14:paraId="448343A9">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276" w:type="dxa"/>
            <w:vAlign w:val="center"/>
          </w:tcPr>
          <w:p w14:paraId="6403D374">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满屏信号灯</w:t>
            </w:r>
          </w:p>
        </w:tc>
        <w:tc>
          <w:tcPr>
            <w:tcW w:w="9352" w:type="dxa"/>
            <w:vAlign w:val="center"/>
          </w:tcPr>
          <w:p w14:paraId="013B2454">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信号灯发光面Ф400mm三连满屏，塑壳圆屏，配遮帽檐、装饰板、卡齿及L型安装脚。总体符合GB14887最新国标要求，要求具有自动减光功能（提供公安部检测报告），防护等级要求不小于IP55</w:t>
            </w:r>
            <w:r>
              <w:rPr>
                <w:rFonts w:hint="eastAsia" w:ascii="宋体" w:hAnsi="宋体" w:eastAsia="宋体" w:cs="宋体"/>
                <w:i w:val="0"/>
                <w:iCs w:val="0"/>
                <w:color w:val="auto"/>
                <w:kern w:val="0"/>
                <w:sz w:val="24"/>
                <w:szCs w:val="24"/>
                <w:u w:val="none"/>
                <w:lang w:val="en-US" w:eastAsia="zh-CN" w:bidi="ar"/>
              </w:rPr>
              <w:t>（提供公安部检测报告）</w:t>
            </w:r>
          </w:p>
        </w:tc>
        <w:tc>
          <w:tcPr>
            <w:tcW w:w="717" w:type="dxa"/>
            <w:vAlign w:val="center"/>
          </w:tcPr>
          <w:p w14:paraId="315AC043">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台</w:t>
            </w:r>
          </w:p>
        </w:tc>
        <w:tc>
          <w:tcPr>
            <w:tcW w:w="700" w:type="dxa"/>
            <w:vAlign w:val="center"/>
          </w:tcPr>
          <w:p w14:paraId="0F89DA17">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4</w:t>
            </w:r>
          </w:p>
        </w:tc>
        <w:tc>
          <w:tcPr>
            <w:tcW w:w="967" w:type="dxa"/>
            <w:vAlign w:val="center"/>
          </w:tcPr>
          <w:p w14:paraId="47FEDC04">
            <w:pPr>
              <w:jc w:val="center"/>
              <w:rPr>
                <w:rFonts w:hint="eastAsia" w:ascii="宋体" w:hAnsi="宋体" w:eastAsia="宋体" w:cs="宋体"/>
                <w:sz w:val="24"/>
                <w:szCs w:val="24"/>
                <w:highlight w:val="none"/>
              </w:rPr>
            </w:pPr>
          </w:p>
        </w:tc>
      </w:tr>
      <w:tr w14:paraId="30D8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59" w:type="dxa"/>
            <w:vAlign w:val="center"/>
          </w:tcPr>
          <w:p w14:paraId="6FFCC2E7">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276" w:type="dxa"/>
            <w:vAlign w:val="center"/>
          </w:tcPr>
          <w:p w14:paraId="3BA5FBC3">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LED复合显示屏</w:t>
            </w:r>
          </w:p>
        </w:tc>
        <w:tc>
          <w:tcPr>
            <w:tcW w:w="9352" w:type="dxa"/>
            <w:vAlign w:val="center"/>
          </w:tcPr>
          <w:p w14:paraId="176C9C86">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规格:P10，80*128点阵全户外全彩屏，全表面贴片工艺，和信号机同步联动控制，和信号灯同色同步，同时支持联网中心节目编辑，可编辑显示警示标语、指路标志、宣传语及后9秒的倒计时等，在手动、特勤等特殊控制模式下不出现乱码及不同步现象；要求能通过中心平台实现节目控制及编辑。</w:t>
            </w:r>
          </w:p>
        </w:tc>
        <w:tc>
          <w:tcPr>
            <w:tcW w:w="717" w:type="dxa"/>
            <w:vAlign w:val="center"/>
          </w:tcPr>
          <w:p w14:paraId="7AC01579">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组</w:t>
            </w:r>
          </w:p>
        </w:tc>
        <w:tc>
          <w:tcPr>
            <w:tcW w:w="700" w:type="dxa"/>
            <w:vAlign w:val="center"/>
          </w:tcPr>
          <w:p w14:paraId="59AEC5F5">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4</w:t>
            </w:r>
          </w:p>
        </w:tc>
        <w:tc>
          <w:tcPr>
            <w:tcW w:w="967" w:type="dxa"/>
            <w:vAlign w:val="center"/>
          </w:tcPr>
          <w:p w14:paraId="4E61C39F">
            <w:pPr>
              <w:jc w:val="center"/>
              <w:rPr>
                <w:rFonts w:hint="eastAsia" w:ascii="宋体" w:hAnsi="宋体" w:eastAsia="宋体" w:cs="宋体"/>
                <w:sz w:val="24"/>
                <w:szCs w:val="24"/>
                <w:highlight w:val="none"/>
              </w:rPr>
            </w:pPr>
          </w:p>
        </w:tc>
      </w:tr>
      <w:tr w14:paraId="5D3F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59" w:type="dxa"/>
            <w:vAlign w:val="center"/>
          </w:tcPr>
          <w:p w14:paraId="1138A0C7">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276" w:type="dxa"/>
            <w:vAlign w:val="center"/>
          </w:tcPr>
          <w:p w14:paraId="59C0407B">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一体化行人灯</w:t>
            </w:r>
          </w:p>
        </w:tc>
        <w:tc>
          <w:tcPr>
            <w:tcW w:w="9352" w:type="dxa"/>
            <w:vAlign w:val="center"/>
          </w:tcPr>
          <w:p w14:paraId="0967BA79">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国标行人灯，300mm直径，显示屏P8全户外全彩表面贴片工艺，160*32点阵,和信号机同步同色控制，支持中心联网设置编辑文字，可编辑显示警示标语、宣传语，要求能通过中心平台实现节目控制及编辑。</w:t>
            </w:r>
          </w:p>
        </w:tc>
        <w:tc>
          <w:tcPr>
            <w:tcW w:w="717" w:type="dxa"/>
            <w:vAlign w:val="center"/>
          </w:tcPr>
          <w:p w14:paraId="0F48CB1B">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套</w:t>
            </w:r>
          </w:p>
        </w:tc>
        <w:tc>
          <w:tcPr>
            <w:tcW w:w="700" w:type="dxa"/>
            <w:vAlign w:val="center"/>
          </w:tcPr>
          <w:p w14:paraId="4F383F7C">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8</w:t>
            </w:r>
          </w:p>
        </w:tc>
        <w:tc>
          <w:tcPr>
            <w:tcW w:w="967" w:type="dxa"/>
            <w:vAlign w:val="center"/>
          </w:tcPr>
          <w:p w14:paraId="0CD7934C">
            <w:pPr>
              <w:jc w:val="center"/>
              <w:rPr>
                <w:rFonts w:hint="eastAsia" w:ascii="宋体" w:hAnsi="宋体" w:eastAsia="宋体" w:cs="宋体"/>
                <w:sz w:val="24"/>
                <w:szCs w:val="24"/>
                <w:highlight w:val="none"/>
              </w:rPr>
            </w:pPr>
          </w:p>
        </w:tc>
      </w:tr>
      <w:tr w14:paraId="1736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59" w:type="dxa"/>
            <w:vAlign w:val="center"/>
          </w:tcPr>
          <w:p w14:paraId="0915B866">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276" w:type="dxa"/>
            <w:vAlign w:val="center"/>
          </w:tcPr>
          <w:p w14:paraId="3BB88523">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道路交通信号控制机</w:t>
            </w:r>
          </w:p>
        </w:tc>
        <w:tc>
          <w:tcPr>
            <w:tcW w:w="9352" w:type="dxa"/>
            <w:vAlign w:val="center"/>
          </w:tcPr>
          <w:p w14:paraId="69DCC5F0">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提供符合标准的协议接口，并通过中国软件评测中心测试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符合GB25280-2016及GB/T20999-2007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采用嵌入式控制系统，模块化设计，便于配置并易于维护，提供强大的计算与通讯能力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采用可靠的电路设计，选用工业级器件，确保系统稳定可靠运行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全天候户外机箱，整机全模块化设计，硬件配置弹性调整，维修简化方便现场快速更换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具有内部时钟，确保时间精准，支持GPS/NTP授时方式，保证系统的时钟精确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可单点独立运行，也可组网集成，实现区域交通控制网络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故障黄闪控制，支持软件黄闪及独立硬件黄闪控制，不依靠程序控制，提高安全性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具备绿冲突、灯不亮、红绿同亮灯信号灯故障检测功能，发生故障自动告警并自动降级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具有无电缆协调、感应、多时段定周期、行人二次过街等控制方式，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2具有手动、步进、全红、黄闪、灭灯、应急疏导等控制方式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具有保证路口通行安全的平滑过渡机制，拒绝突变带来的交通安全隐患，如：手动、特殊控制、升级等场景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支持连接多种检测器采集各类交通流信息（视频检测器、线圈、行人检测等），支持检测器混用，无缝对接集成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支持单车道双检测器配置，最大支持64路视频检测器，16路环线线圈，支持优先级启用设置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支持不同周期方案相位参数独立配置，重复相位参数独立配置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支持16个主相位、16个跟随相位独立控制，支持主相位重复配置，最大支持4环和4栅栏，方案自由配置，灵活多变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支持多种调度计划，信控方案及可变车道调度计划分别最大支持20种周调度，16种日常调度，16种特殊调度，54种周期方案，112种日计划，48个日计划时间段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支持相位特殊配置，未配置通道/相位默认状态设置，适用禁行和慢速通过提醒场景灵活配置，如：单向可独立设置红灯禁行，黄灯或黄闪慢速通过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支持可变车道配置，满足不同时段下车流变化，且需单独控制的需求，适用于潮汐车道、闸道、普通可变车道路口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支持待行区配置，确保车辆在安全的前提下，有序且快速通行，提高通行效率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支持学习式、脉冲式、RS-485通讯式倒计时屏连接，满足不同国标波特率的灵活配置，最大支持32路通讯式倒计时信号输出</w:t>
            </w:r>
          </w:p>
        </w:tc>
        <w:tc>
          <w:tcPr>
            <w:tcW w:w="717" w:type="dxa"/>
            <w:vAlign w:val="center"/>
          </w:tcPr>
          <w:p w14:paraId="4EC0C852">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台</w:t>
            </w:r>
          </w:p>
        </w:tc>
        <w:tc>
          <w:tcPr>
            <w:tcW w:w="700" w:type="dxa"/>
            <w:vAlign w:val="center"/>
          </w:tcPr>
          <w:p w14:paraId="3117E994">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967" w:type="dxa"/>
            <w:vAlign w:val="center"/>
          </w:tcPr>
          <w:p w14:paraId="6EC52429">
            <w:pPr>
              <w:jc w:val="center"/>
              <w:rPr>
                <w:rFonts w:hint="eastAsia" w:ascii="宋体" w:hAnsi="宋体" w:eastAsia="宋体" w:cs="宋体"/>
                <w:sz w:val="24"/>
                <w:szCs w:val="24"/>
                <w:highlight w:val="none"/>
              </w:rPr>
            </w:pPr>
          </w:p>
        </w:tc>
      </w:tr>
      <w:tr w14:paraId="2ABD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59" w:type="dxa"/>
            <w:vAlign w:val="center"/>
          </w:tcPr>
          <w:p w14:paraId="2C69617D">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1276" w:type="dxa"/>
            <w:vAlign w:val="center"/>
          </w:tcPr>
          <w:p w14:paraId="36B777B2">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八棱信号杆</w:t>
            </w:r>
          </w:p>
        </w:tc>
        <w:tc>
          <w:tcPr>
            <w:tcW w:w="9352" w:type="dxa"/>
            <w:vAlign w:val="center"/>
          </w:tcPr>
          <w:p w14:paraId="7911A21B">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立杆八角直径φ270-330-6mm厚-6.8m，横臂八角直径φ110-240-5mm厚-9m。基础法兰直径φ550-18mm厚，热镀锌后喷塑白色。一道箍筋一道十字撑，横臂方向对1颗螺栓，立杆正面安装非机动车信号灯。混凝土基础：1400*1400*1600高。</w:t>
            </w:r>
          </w:p>
        </w:tc>
        <w:tc>
          <w:tcPr>
            <w:tcW w:w="717" w:type="dxa"/>
            <w:vAlign w:val="center"/>
          </w:tcPr>
          <w:p w14:paraId="20EFD0FB">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套</w:t>
            </w:r>
          </w:p>
        </w:tc>
        <w:tc>
          <w:tcPr>
            <w:tcW w:w="700" w:type="dxa"/>
            <w:vAlign w:val="center"/>
          </w:tcPr>
          <w:p w14:paraId="01B98B45">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4</w:t>
            </w:r>
          </w:p>
        </w:tc>
        <w:tc>
          <w:tcPr>
            <w:tcW w:w="967" w:type="dxa"/>
            <w:vAlign w:val="center"/>
          </w:tcPr>
          <w:p w14:paraId="5BFB5917">
            <w:pPr>
              <w:jc w:val="center"/>
              <w:rPr>
                <w:rFonts w:hint="eastAsia" w:ascii="宋体" w:hAnsi="宋体" w:eastAsia="宋体" w:cs="宋体"/>
                <w:sz w:val="24"/>
                <w:szCs w:val="24"/>
                <w:highlight w:val="none"/>
              </w:rPr>
            </w:pPr>
          </w:p>
        </w:tc>
      </w:tr>
      <w:tr w14:paraId="41C2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59" w:type="dxa"/>
            <w:vAlign w:val="center"/>
          </w:tcPr>
          <w:p w14:paraId="75C4B921">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1276" w:type="dxa"/>
            <w:vAlign w:val="center"/>
          </w:tcPr>
          <w:p w14:paraId="53924CEA">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接地</w:t>
            </w:r>
          </w:p>
        </w:tc>
        <w:tc>
          <w:tcPr>
            <w:tcW w:w="9352" w:type="dxa"/>
            <w:vAlign w:val="center"/>
          </w:tcPr>
          <w:p w14:paraId="5A0C419A">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接地电阻&lt;4欧姆</w:t>
            </w:r>
          </w:p>
        </w:tc>
        <w:tc>
          <w:tcPr>
            <w:tcW w:w="717" w:type="dxa"/>
            <w:vAlign w:val="center"/>
          </w:tcPr>
          <w:p w14:paraId="6B0F859B">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项</w:t>
            </w:r>
          </w:p>
        </w:tc>
        <w:tc>
          <w:tcPr>
            <w:tcW w:w="700" w:type="dxa"/>
            <w:vAlign w:val="center"/>
          </w:tcPr>
          <w:p w14:paraId="40E72B9A">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4</w:t>
            </w:r>
          </w:p>
        </w:tc>
        <w:tc>
          <w:tcPr>
            <w:tcW w:w="967" w:type="dxa"/>
            <w:vAlign w:val="center"/>
          </w:tcPr>
          <w:p w14:paraId="3CD33751">
            <w:pPr>
              <w:jc w:val="center"/>
              <w:rPr>
                <w:rFonts w:hint="eastAsia" w:ascii="宋体" w:hAnsi="宋体" w:eastAsia="宋体" w:cs="宋体"/>
                <w:sz w:val="24"/>
                <w:szCs w:val="24"/>
                <w:highlight w:val="none"/>
              </w:rPr>
            </w:pPr>
          </w:p>
        </w:tc>
      </w:tr>
      <w:tr w14:paraId="65FC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59" w:type="dxa"/>
            <w:vAlign w:val="center"/>
          </w:tcPr>
          <w:p w14:paraId="28845FCD">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1276" w:type="dxa"/>
            <w:vAlign w:val="center"/>
          </w:tcPr>
          <w:p w14:paraId="67DD2E8E">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基坑、基础</w:t>
            </w:r>
          </w:p>
        </w:tc>
        <w:tc>
          <w:tcPr>
            <w:tcW w:w="9352" w:type="dxa"/>
            <w:vAlign w:val="center"/>
          </w:tcPr>
          <w:p w14:paraId="64241E81">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基坑开挖、土方外运、C25商品砼现浇，信号灯基坑1400*1400*1600（4个）、行人灯信号灯基坑600*600*600（8个），信号机箱基坑800*600*400（1个）</w:t>
            </w:r>
          </w:p>
        </w:tc>
        <w:tc>
          <w:tcPr>
            <w:tcW w:w="717" w:type="dxa"/>
            <w:vAlign w:val="center"/>
          </w:tcPr>
          <w:p w14:paraId="4382AFB5">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m³</w:t>
            </w:r>
          </w:p>
        </w:tc>
        <w:tc>
          <w:tcPr>
            <w:tcW w:w="700" w:type="dxa"/>
            <w:vAlign w:val="center"/>
          </w:tcPr>
          <w:p w14:paraId="53A7ABEE">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20</w:t>
            </w:r>
          </w:p>
        </w:tc>
        <w:tc>
          <w:tcPr>
            <w:tcW w:w="967" w:type="dxa"/>
            <w:vAlign w:val="center"/>
          </w:tcPr>
          <w:p w14:paraId="42FFA34D">
            <w:pPr>
              <w:jc w:val="center"/>
              <w:rPr>
                <w:rFonts w:hint="eastAsia" w:ascii="宋体" w:hAnsi="宋体" w:eastAsia="宋体" w:cs="宋体"/>
                <w:sz w:val="24"/>
                <w:szCs w:val="24"/>
                <w:highlight w:val="none"/>
              </w:rPr>
            </w:pPr>
          </w:p>
        </w:tc>
      </w:tr>
      <w:tr w14:paraId="67154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59" w:type="dxa"/>
            <w:vAlign w:val="center"/>
          </w:tcPr>
          <w:p w14:paraId="533694EE">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0</w:t>
            </w:r>
          </w:p>
        </w:tc>
        <w:tc>
          <w:tcPr>
            <w:tcW w:w="1276" w:type="dxa"/>
            <w:vAlign w:val="center"/>
          </w:tcPr>
          <w:p w14:paraId="11AFE50C">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接线井砌筑</w:t>
            </w:r>
          </w:p>
        </w:tc>
        <w:tc>
          <w:tcPr>
            <w:tcW w:w="9352" w:type="dxa"/>
            <w:vAlign w:val="center"/>
          </w:tcPr>
          <w:p w14:paraId="306941D7">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1.垫层、基础材质及厚度:150厚碎石，150厚C25垫层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2.砌筑材料品种、规格、强度等级:240砖砌筑 井深800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3.勾缝、抹面要求:厚M1.5抹面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4.盖板材质、规格:水泥井盖（650mm*650mm）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5.井盖、井圈材质及规格:12@100,单层双向</w:t>
            </w:r>
          </w:p>
        </w:tc>
        <w:tc>
          <w:tcPr>
            <w:tcW w:w="717" w:type="dxa"/>
            <w:vAlign w:val="center"/>
          </w:tcPr>
          <w:p w14:paraId="4EFD128C">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座</w:t>
            </w:r>
          </w:p>
        </w:tc>
        <w:tc>
          <w:tcPr>
            <w:tcW w:w="700" w:type="dxa"/>
            <w:vAlign w:val="center"/>
          </w:tcPr>
          <w:p w14:paraId="6FF43389">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4</w:t>
            </w:r>
          </w:p>
        </w:tc>
        <w:tc>
          <w:tcPr>
            <w:tcW w:w="967" w:type="dxa"/>
            <w:vAlign w:val="center"/>
          </w:tcPr>
          <w:p w14:paraId="2AFB62A6">
            <w:pPr>
              <w:jc w:val="center"/>
              <w:rPr>
                <w:rFonts w:hint="eastAsia" w:ascii="宋体" w:hAnsi="宋体" w:eastAsia="宋体" w:cs="宋体"/>
                <w:sz w:val="24"/>
                <w:szCs w:val="24"/>
                <w:highlight w:val="none"/>
              </w:rPr>
            </w:pPr>
          </w:p>
        </w:tc>
      </w:tr>
      <w:tr w14:paraId="330B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59" w:type="dxa"/>
            <w:vAlign w:val="center"/>
          </w:tcPr>
          <w:p w14:paraId="51368B3C">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1</w:t>
            </w:r>
          </w:p>
        </w:tc>
        <w:tc>
          <w:tcPr>
            <w:tcW w:w="1276" w:type="dxa"/>
            <w:vAlign w:val="center"/>
          </w:tcPr>
          <w:p w14:paraId="1D20E975">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路面开挖、修复</w:t>
            </w:r>
          </w:p>
        </w:tc>
        <w:tc>
          <w:tcPr>
            <w:tcW w:w="9352" w:type="dxa"/>
            <w:vAlign w:val="center"/>
          </w:tcPr>
          <w:p w14:paraId="680BC388">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路面沟槽开挖30cm*50cm（宽度*深度）及修复，含直径PE管铺设、余土清运</w:t>
            </w:r>
          </w:p>
        </w:tc>
        <w:tc>
          <w:tcPr>
            <w:tcW w:w="717" w:type="dxa"/>
            <w:vAlign w:val="center"/>
          </w:tcPr>
          <w:p w14:paraId="265EC402">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米</w:t>
            </w:r>
          </w:p>
        </w:tc>
        <w:tc>
          <w:tcPr>
            <w:tcW w:w="700" w:type="dxa"/>
            <w:vAlign w:val="center"/>
          </w:tcPr>
          <w:p w14:paraId="2DDDFFBA">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260</w:t>
            </w:r>
          </w:p>
        </w:tc>
        <w:tc>
          <w:tcPr>
            <w:tcW w:w="967" w:type="dxa"/>
            <w:vAlign w:val="center"/>
          </w:tcPr>
          <w:p w14:paraId="086E86BB">
            <w:pPr>
              <w:jc w:val="center"/>
              <w:rPr>
                <w:rFonts w:hint="eastAsia" w:ascii="宋体" w:hAnsi="宋体" w:eastAsia="宋体" w:cs="宋体"/>
                <w:sz w:val="24"/>
                <w:szCs w:val="24"/>
                <w:highlight w:val="none"/>
              </w:rPr>
            </w:pPr>
          </w:p>
        </w:tc>
      </w:tr>
      <w:tr w14:paraId="4C9E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959" w:type="dxa"/>
            <w:vAlign w:val="center"/>
          </w:tcPr>
          <w:p w14:paraId="6D8726DC">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2</w:t>
            </w:r>
          </w:p>
        </w:tc>
        <w:tc>
          <w:tcPr>
            <w:tcW w:w="1276" w:type="dxa"/>
            <w:vAlign w:val="center"/>
          </w:tcPr>
          <w:p w14:paraId="4D6D0908">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19芯信号电缆</w:t>
            </w:r>
          </w:p>
        </w:tc>
        <w:tc>
          <w:tcPr>
            <w:tcW w:w="9352" w:type="dxa"/>
            <w:vAlign w:val="center"/>
          </w:tcPr>
          <w:p w14:paraId="065EEEAD">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国标kvv19*1.0全铜电缆。</w:t>
            </w:r>
          </w:p>
        </w:tc>
        <w:tc>
          <w:tcPr>
            <w:tcW w:w="717" w:type="dxa"/>
            <w:vAlign w:val="center"/>
          </w:tcPr>
          <w:p w14:paraId="19E095D7">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米</w:t>
            </w:r>
          </w:p>
        </w:tc>
        <w:tc>
          <w:tcPr>
            <w:tcW w:w="700" w:type="dxa"/>
            <w:vAlign w:val="center"/>
          </w:tcPr>
          <w:p w14:paraId="5E8B639E">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600</w:t>
            </w:r>
          </w:p>
        </w:tc>
        <w:tc>
          <w:tcPr>
            <w:tcW w:w="967" w:type="dxa"/>
            <w:vAlign w:val="center"/>
          </w:tcPr>
          <w:p w14:paraId="7021FA68">
            <w:pPr>
              <w:jc w:val="center"/>
              <w:rPr>
                <w:rFonts w:hint="eastAsia" w:ascii="宋体" w:hAnsi="宋体" w:eastAsia="宋体" w:cs="宋体"/>
                <w:sz w:val="24"/>
                <w:szCs w:val="24"/>
                <w:highlight w:val="none"/>
              </w:rPr>
            </w:pPr>
          </w:p>
        </w:tc>
      </w:tr>
      <w:tr w14:paraId="568B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59" w:type="dxa"/>
            <w:vAlign w:val="center"/>
          </w:tcPr>
          <w:p w14:paraId="4AC0CC72">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3</w:t>
            </w:r>
          </w:p>
        </w:tc>
        <w:tc>
          <w:tcPr>
            <w:tcW w:w="1276" w:type="dxa"/>
            <w:vAlign w:val="center"/>
          </w:tcPr>
          <w:p w14:paraId="17F17DA0">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2芯屏蔽电缆</w:t>
            </w:r>
          </w:p>
        </w:tc>
        <w:tc>
          <w:tcPr>
            <w:tcW w:w="9352" w:type="dxa"/>
            <w:vAlign w:val="center"/>
          </w:tcPr>
          <w:p w14:paraId="595CBF5F">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国标RVVP屏蔽线，RVVP-2*1.0mm，国标铜线。</w:t>
            </w:r>
          </w:p>
        </w:tc>
        <w:tc>
          <w:tcPr>
            <w:tcW w:w="717" w:type="dxa"/>
            <w:vAlign w:val="center"/>
          </w:tcPr>
          <w:p w14:paraId="273BE196">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米</w:t>
            </w:r>
          </w:p>
        </w:tc>
        <w:tc>
          <w:tcPr>
            <w:tcW w:w="700" w:type="dxa"/>
            <w:vAlign w:val="center"/>
          </w:tcPr>
          <w:p w14:paraId="6A4D2638">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800</w:t>
            </w:r>
          </w:p>
        </w:tc>
        <w:tc>
          <w:tcPr>
            <w:tcW w:w="967" w:type="dxa"/>
            <w:vAlign w:val="center"/>
          </w:tcPr>
          <w:p w14:paraId="6ED5E97C">
            <w:pPr>
              <w:jc w:val="center"/>
              <w:rPr>
                <w:rFonts w:hint="eastAsia" w:ascii="宋体" w:hAnsi="宋体" w:eastAsia="宋体" w:cs="宋体"/>
                <w:sz w:val="24"/>
                <w:szCs w:val="24"/>
                <w:highlight w:val="none"/>
              </w:rPr>
            </w:pPr>
          </w:p>
        </w:tc>
      </w:tr>
      <w:tr w14:paraId="48DE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59" w:type="dxa"/>
            <w:vAlign w:val="center"/>
          </w:tcPr>
          <w:p w14:paraId="267BD856">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4</w:t>
            </w:r>
          </w:p>
        </w:tc>
        <w:tc>
          <w:tcPr>
            <w:tcW w:w="1276" w:type="dxa"/>
            <w:vAlign w:val="center"/>
          </w:tcPr>
          <w:p w14:paraId="0025F3D8">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2芯电源线</w:t>
            </w:r>
          </w:p>
        </w:tc>
        <w:tc>
          <w:tcPr>
            <w:tcW w:w="9352" w:type="dxa"/>
            <w:vAlign w:val="center"/>
          </w:tcPr>
          <w:p w14:paraId="1D1BB491">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国标RVV护套线，RVV-2*1.5mm，国标铜线。</w:t>
            </w:r>
          </w:p>
        </w:tc>
        <w:tc>
          <w:tcPr>
            <w:tcW w:w="717" w:type="dxa"/>
            <w:vAlign w:val="center"/>
          </w:tcPr>
          <w:p w14:paraId="41923447">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米</w:t>
            </w:r>
          </w:p>
        </w:tc>
        <w:tc>
          <w:tcPr>
            <w:tcW w:w="700" w:type="dxa"/>
            <w:vAlign w:val="center"/>
          </w:tcPr>
          <w:p w14:paraId="001C36D7">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600</w:t>
            </w:r>
          </w:p>
        </w:tc>
        <w:tc>
          <w:tcPr>
            <w:tcW w:w="967" w:type="dxa"/>
            <w:vAlign w:val="center"/>
          </w:tcPr>
          <w:p w14:paraId="5BAADB7F">
            <w:pPr>
              <w:jc w:val="center"/>
              <w:rPr>
                <w:rFonts w:hint="eastAsia" w:ascii="宋体" w:hAnsi="宋体" w:eastAsia="宋体" w:cs="宋体"/>
                <w:sz w:val="24"/>
                <w:szCs w:val="24"/>
                <w:highlight w:val="none"/>
              </w:rPr>
            </w:pPr>
          </w:p>
        </w:tc>
      </w:tr>
      <w:tr w14:paraId="61B3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59" w:type="dxa"/>
            <w:vAlign w:val="center"/>
          </w:tcPr>
          <w:p w14:paraId="4095AFC4">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5</w:t>
            </w:r>
          </w:p>
        </w:tc>
        <w:tc>
          <w:tcPr>
            <w:tcW w:w="1276" w:type="dxa"/>
            <w:vAlign w:val="center"/>
          </w:tcPr>
          <w:p w14:paraId="159F7E62">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主电源线</w:t>
            </w:r>
          </w:p>
        </w:tc>
        <w:tc>
          <w:tcPr>
            <w:tcW w:w="9352" w:type="dxa"/>
            <w:vAlign w:val="center"/>
          </w:tcPr>
          <w:p w14:paraId="1A470E29">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国标RVV护套线，RVV-2*6.0mm，国标铜线。</w:t>
            </w:r>
          </w:p>
        </w:tc>
        <w:tc>
          <w:tcPr>
            <w:tcW w:w="717" w:type="dxa"/>
            <w:vAlign w:val="center"/>
          </w:tcPr>
          <w:p w14:paraId="5DB5217F">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米</w:t>
            </w:r>
          </w:p>
        </w:tc>
        <w:tc>
          <w:tcPr>
            <w:tcW w:w="700" w:type="dxa"/>
            <w:vAlign w:val="center"/>
          </w:tcPr>
          <w:p w14:paraId="45C19D0F">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400</w:t>
            </w:r>
          </w:p>
        </w:tc>
        <w:tc>
          <w:tcPr>
            <w:tcW w:w="967" w:type="dxa"/>
            <w:vAlign w:val="center"/>
          </w:tcPr>
          <w:p w14:paraId="1E21BD83">
            <w:pPr>
              <w:jc w:val="center"/>
              <w:rPr>
                <w:rFonts w:hint="eastAsia" w:ascii="宋体" w:hAnsi="宋体" w:eastAsia="宋体" w:cs="宋体"/>
                <w:sz w:val="24"/>
                <w:szCs w:val="24"/>
                <w:highlight w:val="none"/>
              </w:rPr>
            </w:pPr>
          </w:p>
        </w:tc>
      </w:tr>
      <w:tr w14:paraId="1878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59" w:type="dxa"/>
            <w:vAlign w:val="center"/>
          </w:tcPr>
          <w:p w14:paraId="216841AE">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6</w:t>
            </w:r>
          </w:p>
        </w:tc>
        <w:tc>
          <w:tcPr>
            <w:tcW w:w="1276" w:type="dxa"/>
            <w:vAlign w:val="center"/>
          </w:tcPr>
          <w:p w14:paraId="6A19184C">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4芯信号电缆</w:t>
            </w:r>
          </w:p>
        </w:tc>
        <w:tc>
          <w:tcPr>
            <w:tcW w:w="9352" w:type="dxa"/>
            <w:vAlign w:val="center"/>
          </w:tcPr>
          <w:p w14:paraId="24BDD98B">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国标RVV护套线，RVV-4*1.0mm，国标铜线。</w:t>
            </w:r>
          </w:p>
        </w:tc>
        <w:tc>
          <w:tcPr>
            <w:tcW w:w="717" w:type="dxa"/>
            <w:vAlign w:val="center"/>
          </w:tcPr>
          <w:p w14:paraId="0F7B9C66">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米</w:t>
            </w:r>
          </w:p>
        </w:tc>
        <w:tc>
          <w:tcPr>
            <w:tcW w:w="700" w:type="dxa"/>
            <w:vAlign w:val="center"/>
          </w:tcPr>
          <w:p w14:paraId="288E6697">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1000</w:t>
            </w:r>
          </w:p>
        </w:tc>
        <w:tc>
          <w:tcPr>
            <w:tcW w:w="967" w:type="dxa"/>
            <w:vAlign w:val="center"/>
          </w:tcPr>
          <w:p w14:paraId="1EE69E07">
            <w:pPr>
              <w:jc w:val="center"/>
              <w:rPr>
                <w:rFonts w:hint="eastAsia" w:ascii="宋体" w:hAnsi="宋体" w:eastAsia="宋体" w:cs="宋体"/>
                <w:sz w:val="24"/>
                <w:szCs w:val="24"/>
                <w:highlight w:val="none"/>
              </w:rPr>
            </w:pPr>
          </w:p>
        </w:tc>
      </w:tr>
      <w:tr w14:paraId="31C6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9" w:type="dxa"/>
            <w:vAlign w:val="center"/>
          </w:tcPr>
          <w:p w14:paraId="3E0E16C2">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7</w:t>
            </w:r>
          </w:p>
        </w:tc>
        <w:tc>
          <w:tcPr>
            <w:tcW w:w="1276" w:type="dxa"/>
            <w:vAlign w:val="center"/>
          </w:tcPr>
          <w:p w14:paraId="66A8CC3D">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光纤</w:t>
            </w:r>
          </w:p>
        </w:tc>
        <w:tc>
          <w:tcPr>
            <w:tcW w:w="9352" w:type="dxa"/>
            <w:vAlign w:val="center"/>
          </w:tcPr>
          <w:p w14:paraId="11C006DE">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6芯单模室外铠装光缆线</w:t>
            </w:r>
          </w:p>
        </w:tc>
        <w:tc>
          <w:tcPr>
            <w:tcW w:w="717" w:type="dxa"/>
            <w:vAlign w:val="center"/>
          </w:tcPr>
          <w:p w14:paraId="4076296D">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米</w:t>
            </w:r>
          </w:p>
        </w:tc>
        <w:tc>
          <w:tcPr>
            <w:tcW w:w="700" w:type="dxa"/>
            <w:vAlign w:val="center"/>
          </w:tcPr>
          <w:p w14:paraId="71411F66">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350</w:t>
            </w:r>
          </w:p>
        </w:tc>
        <w:tc>
          <w:tcPr>
            <w:tcW w:w="967" w:type="dxa"/>
            <w:vAlign w:val="center"/>
          </w:tcPr>
          <w:p w14:paraId="59046FF7">
            <w:pPr>
              <w:jc w:val="center"/>
              <w:rPr>
                <w:rFonts w:hint="eastAsia" w:ascii="宋体" w:hAnsi="宋体" w:eastAsia="宋体" w:cs="宋体"/>
                <w:sz w:val="24"/>
                <w:szCs w:val="24"/>
                <w:highlight w:val="none"/>
              </w:rPr>
            </w:pPr>
          </w:p>
        </w:tc>
      </w:tr>
      <w:tr w14:paraId="5BC6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9" w:type="dxa"/>
            <w:vAlign w:val="center"/>
          </w:tcPr>
          <w:p w14:paraId="63E7252E">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8</w:t>
            </w:r>
          </w:p>
        </w:tc>
        <w:tc>
          <w:tcPr>
            <w:tcW w:w="1276" w:type="dxa"/>
            <w:vAlign w:val="center"/>
          </w:tcPr>
          <w:p w14:paraId="1150CE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网线</w:t>
            </w:r>
          </w:p>
        </w:tc>
        <w:tc>
          <w:tcPr>
            <w:tcW w:w="9352" w:type="dxa"/>
            <w:vAlign w:val="center"/>
          </w:tcPr>
          <w:p w14:paraId="4E0784F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超5类室外防水网线。</w:t>
            </w:r>
          </w:p>
        </w:tc>
        <w:tc>
          <w:tcPr>
            <w:tcW w:w="717" w:type="dxa"/>
            <w:vAlign w:val="center"/>
          </w:tcPr>
          <w:p w14:paraId="39B76C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700" w:type="dxa"/>
            <w:vAlign w:val="center"/>
          </w:tcPr>
          <w:p w14:paraId="7D8489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w:t>
            </w:r>
          </w:p>
        </w:tc>
        <w:tc>
          <w:tcPr>
            <w:tcW w:w="967" w:type="dxa"/>
            <w:vAlign w:val="center"/>
          </w:tcPr>
          <w:p w14:paraId="06C472A4">
            <w:pPr>
              <w:jc w:val="center"/>
              <w:rPr>
                <w:rFonts w:hint="eastAsia" w:ascii="宋体" w:hAnsi="宋体" w:eastAsia="宋体" w:cs="宋体"/>
                <w:sz w:val="24"/>
                <w:szCs w:val="24"/>
                <w:highlight w:val="none"/>
              </w:rPr>
            </w:pPr>
          </w:p>
        </w:tc>
      </w:tr>
      <w:tr w14:paraId="1881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59" w:type="dxa"/>
            <w:vAlign w:val="center"/>
          </w:tcPr>
          <w:p w14:paraId="4CEFF310">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9</w:t>
            </w:r>
          </w:p>
        </w:tc>
        <w:tc>
          <w:tcPr>
            <w:tcW w:w="1276" w:type="dxa"/>
            <w:vAlign w:val="center"/>
          </w:tcPr>
          <w:p w14:paraId="1FFC51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施工和配套辅材</w:t>
            </w:r>
          </w:p>
        </w:tc>
        <w:tc>
          <w:tcPr>
            <w:tcW w:w="9352" w:type="dxa"/>
            <w:vAlign w:val="center"/>
          </w:tcPr>
          <w:p w14:paraId="3B34819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含交换机、光纤及配套、管材及配套、防水胶布、抱箍、扎带等配套辅材及吊车台班、工程车台班施工、设备安装、调试、培训等；</w:t>
            </w:r>
          </w:p>
        </w:tc>
        <w:tc>
          <w:tcPr>
            <w:tcW w:w="717" w:type="dxa"/>
            <w:vAlign w:val="center"/>
          </w:tcPr>
          <w:p w14:paraId="596932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批</w:t>
            </w:r>
          </w:p>
        </w:tc>
        <w:tc>
          <w:tcPr>
            <w:tcW w:w="700" w:type="dxa"/>
            <w:vAlign w:val="center"/>
          </w:tcPr>
          <w:p w14:paraId="1C9BFA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67" w:type="dxa"/>
            <w:vAlign w:val="center"/>
          </w:tcPr>
          <w:p w14:paraId="1005D8DA">
            <w:pPr>
              <w:jc w:val="center"/>
              <w:rPr>
                <w:rFonts w:hint="eastAsia" w:ascii="宋体" w:hAnsi="宋体" w:eastAsia="宋体" w:cs="宋体"/>
                <w:sz w:val="24"/>
                <w:szCs w:val="24"/>
                <w:highlight w:val="none"/>
              </w:rPr>
            </w:pPr>
          </w:p>
        </w:tc>
      </w:tr>
    </w:tbl>
    <w:p w14:paraId="0CC9F8D6">
      <w:pPr>
        <w:spacing w:line="600" w:lineRule="exact"/>
        <w:jc w:val="left"/>
        <w:rPr>
          <w:rFonts w:hint="eastAsia" w:ascii="宋体" w:hAnsi="宋体"/>
          <w:color w:val="000000"/>
          <w:sz w:val="24"/>
          <w:szCs w:val="24"/>
          <w:highlight w:val="none"/>
        </w:rPr>
      </w:pPr>
    </w:p>
    <w:p w14:paraId="787DFE18">
      <w:pPr>
        <w:spacing w:line="600" w:lineRule="exact"/>
        <w:jc w:val="left"/>
        <w:rPr>
          <w:rFonts w:hint="eastAsia" w:ascii="宋体" w:hAnsi="宋体"/>
          <w:color w:val="000000"/>
          <w:sz w:val="24"/>
          <w:szCs w:val="24"/>
          <w:highlight w:val="none"/>
        </w:rPr>
      </w:pPr>
    </w:p>
    <w:p w14:paraId="4A25E48C">
      <w:pPr>
        <w:spacing w:line="600" w:lineRule="exact"/>
        <w:jc w:val="left"/>
        <w:rPr>
          <w:rFonts w:hint="eastAsia" w:ascii="宋体" w:hAnsi="宋体"/>
          <w:color w:val="000000"/>
          <w:sz w:val="24"/>
          <w:szCs w:val="24"/>
          <w:highlight w:val="none"/>
        </w:rPr>
      </w:pPr>
    </w:p>
    <w:p w14:paraId="773CE266">
      <w:pPr>
        <w:spacing w:line="600" w:lineRule="exact"/>
        <w:jc w:val="left"/>
        <w:rPr>
          <w:rFonts w:hint="eastAsia" w:ascii="宋体" w:hAnsi="宋体"/>
          <w:color w:val="000000"/>
          <w:sz w:val="24"/>
          <w:szCs w:val="24"/>
          <w:highlight w:val="none"/>
        </w:rPr>
      </w:pPr>
    </w:p>
    <w:p w14:paraId="7859B1F0">
      <w:pPr>
        <w:rPr>
          <w:rFonts w:hint="eastAsia" w:ascii="宋体" w:hAnsi="宋体"/>
          <w:color w:val="000000"/>
          <w:sz w:val="24"/>
          <w:szCs w:val="24"/>
          <w:highlight w:val="none"/>
        </w:rPr>
        <w:sectPr>
          <w:headerReference r:id="rId6" w:type="default"/>
          <w:footerReference r:id="rId7" w:type="default"/>
          <w:pgSz w:w="16838" w:h="11906" w:orient="landscape"/>
          <w:pgMar w:top="1800" w:right="1383" w:bottom="1274" w:left="1440" w:header="851" w:footer="992" w:gutter="0"/>
          <w:pgNumType w:fmt="decimal"/>
          <w:cols w:space="720" w:num="1"/>
          <w:docGrid w:type="lines" w:linePitch="312" w:charSpace="0"/>
        </w:sectPr>
      </w:pPr>
      <w:r>
        <w:rPr>
          <w:rFonts w:hint="eastAsia" w:ascii="宋体" w:hAnsi="宋体"/>
          <w:color w:val="000000"/>
          <w:sz w:val="24"/>
          <w:szCs w:val="24"/>
          <w:highlight w:val="none"/>
        </w:rPr>
        <w:br w:type="page"/>
      </w:r>
    </w:p>
    <w:p w14:paraId="5F766666">
      <w:pPr>
        <w:pStyle w:val="3"/>
        <w:keepNext w:val="0"/>
        <w:numPr>
          <w:ilvl w:val="0"/>
          <w:numId w:val="0"/>
        </w:numPr>
        <w:spacing w:line="360" w:lineRule="auto"/>
        <w:jc w:val="center"/>
        <w:rPr>
          <w:rFonts w:ascii="宋体" w:hAnsi="宋体" w:cs="宋体"/>
          <w:b/>
          <w:color w:val="000000"/>
          <w:sz w:val="32"/>
          <w:szCs w:val="32"/>
          <w:highlight w:val="none"/>
        </w:rPr>
      </w:pPr>
      <w:r>
        <w:rPr>
          <w:rFonts w:hint="eastAsia" w:ascii="宋体" w:hAnsi="宋体" w:cs="宋体"/>
          <w:b/>
          <w:color w:val="000000"/>
          <w:sz w:val="32"/>
          <w:szCs w:val="32"/>
          <w:highlight w:val="none"/>
        </w:rPr>
        <w:t>第五章  合同主要条款</w:t>
      </w:r>
    </w:p>
    <w:p w14:paraId="4F758A7F">
      <w:pPr>
        <w:jc w:val="center"/>
        <w:rPr>
          <w:rFonts w:ascii="宋体" w:hAnsi="宋体"/>
          <w:b/>
          <w:color w:val="000000"/>
          <w:sz w:val="28"/>
          <w:szCs w:val="21"/>
          <w:highlight w:val="none"/>
        </w:rPr>
      </w:pPr>
      <w:r>
        <w:rPr>
          <w:rFonts w:hint="eastAsia" w:ascii="宋体" w:hAnsi="宋体"/>
          <w:b/>
          <w:color w:val="000000"/>
          <w:sz w:val="28"/>
          <w:szCs w:val="21"/>
          <w:highlight w:val="none"/>
        </w:rPr>
        <w:t>（样本，仅供参考）</w:t>
      </w:r>
    </w:p>
    <w:p w14:paraId="393038CD">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项目名称：                             项目编号：</w:t>
      </w:r>
    </w:p>
    <w:p w14:paraId="301E6AB7">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甲方：（采购人）</w:t>
      </w:r>
    </w:p>
    <w:p w14:paraId="5E653FA4">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乙方：（成交供应商）</w:t>
      </w:r>
    </w:p>
    <w:p w14:paraId="0E506621">
      <w:pPr>
        <w:spacing w:line="5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甲、乙双方根据《中华人民共和国采购法》、《中华人民共和国民法典》等法律法规的规定，按照 （项目编号）的成交结果签订本合同。</w:t>
      </w:r>
    </w:p>
    <w:p w14:paraId="63340708">
      <w:pPr>
        <w:widowControl/>
        <w:spacing w:line="500" w:lineRule="exact"/>
        <w:ind w:firstLine="482" w:firstLineChars="200"/>
        <w:jc w:val="left"/>
        <w:rPr>
          <w:rFonts w:ascii="宋体" w:hAnsi="宋体"/>
          <w:color w:val="000000"/>
          <w:kern w:val="0"/>
          <w:sz w:val="24"/>
          <w:szCs w:val="24"/>
          <w:highlight w:val="none"/>
        </w:rPr>
      </w:pPr>
      <w:r>
        <w:rPr>
          <w:rFonts w:hint="eastAsia" w:ascii="宋体" w:hAnsi="宋体"/>
          <w:b/>
          <w:bCs/>
          <w:color w:val="000000"/>
          <w:kern w:val="0"/>
          <w:sz w:val="24"/>
          <w:szCs w:val="24"/>
          <w:highlight w:val="none"/>
        </w:rPr>
        <w:t>1.合同内容</w:t>
      </w:r>
    </w:p>
    <w:p w14:paraId="0F115FE0">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1.1 项目名称：</w:t>
      </w:r>
    </w:p>
    <w:p w14:paraId="6440F7B4">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1.2 型号规格：</w:t>
      </w:r>
    </w:p>
    <w:p w14:paraId="7890EB63">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1.3 技术参数：</w:t>
      </w:r>
    </w:p>
    <w:p w14:paraId="597FBB21">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1.4 数量（单位）：</w:t>
      </w:r>
    </w:p>
    <w:p w14:paraId="1AD4B70E">
      <w:pPr>
        <w:widowControl/>
        <w:spacing w:line="500" w:lineRule="exact"/>
        <w:ind w:firstLine="482" w:firstLineChars="200"/>
        <w:jc w:val="left"/>
        <w:rPr>
          <w:rFonts w:ascii="宋体" w:hAnsi="宋体"/>
          <w:color w:val="000000"/>
          <w:kern w:val="0"/>
          <w:sz w:val="24"/>
          <w:szCs w:val="24"/>
          <w:highlight w:val="none"/>
        </w:rPr>
      </w:pPr>
      <w:r>
        <w:rPr>
          <w:rFonts w:hint="eastAsia" w:ascii="宋体" w:hAnsi="宋体"/>
          <w:b/>
          <w:bCs/>
          <w:color w:val="000000"/>
          <w:kern w:val="0"/>
          <w:sz w:val="24"/>
          <w:szCs w:val="24"/>
          <w:highlight w:val="none"/>
        </w:rPr>
        <w:t>2.合同金额</w:t>
      </w:r>
    </w:p>
    <w:p w14:paraId="6B54B7A4">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本合同金额为人民币（大写）：__________元（￥________元）。</w:t>
      </w:r>
    </w:p>
    <w:p w14:paraId="5C670AC1">
      <w:pPr>
        <w:widowControl/>
        <w:spacing w:line="500" w:lineRule="exact"/>
        <w:ind w:firstLine="482" w:firstLineChars="200"/>
        <w:jc w:val="left"/>
        <w:rPr>
          <w:rFonts w:ascii="宋体" w:hAnsi="宋体"/>
          <w:color w:val="000000"/>
          <w:kern w:val="0"/>
          <w:sz w:val="24"/>
          <w:szCs w:val="24"/>
          <w:highlight w:val="none"/>
        </w:rPr>
      </w:pPr>
      <w:r>
        <w:rPr>
          <w:rFonts w:hint="eastAsia" w:ascii="宋体" w:hAnsi="宋体"/>
          <w:b/>
          <w:bCs/>
          <w:color w:val="000000"/>
          <w:kern w:val="0"/>
          <w:sz w:val="24"/>
          <w:szCs w:val="24"/>
          <w:highlight w:val="none"/>
        </w:rPr>
        <w:t>3.技术资料</w:t>
      </w:r>
    </w:p>
    <w:p w14:paraId="11D47648">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3.1乙方按</w:t>
      </w:r>
      <w:r>
        <w:rPr>
          <w:rFonts w:hint="eastAsia" w:ascii="宋体" w:hAnsi="宋体"/>
          <w:bCs/>
          <w:color w:val="000000"/>
          <w:sz w:val="24"/>
          <w:szCs w:val="24"/>
          <w:highlight w:val="none"/>
        </w:rPr>
        <w:t>谈判文件</w:t>
      </w:r>
      <w:r>
        <w:rPr>
          <w:rFonts w:hint="eastAsia" w:ascii="宋体" w:hAnsi="宋体"/>
          <w:color w:val="000000"/>
          <w:kern w:val="0"/>
          <w:sz w:val="24"/>
          <w:szCs w:val="24"/>
          <w:highlight w:val="none"/>
        </w:rPr>
        <w:t>规定的时间向甲方提供使用货物的有关技术资料。</w:t>
      </w:r>
    </w:p>
    <w:p w14:paraId="2F3D98E4">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3.2 没有甲方事先书面同意，乙方不得将由甲方提供的有关合同或任何合同条文、规格、计划、图纸、样品或资料提供给与履行本合同无关的任何其他人。</w:t>
      </w:r>
    </w:p>
    <w:p w14:paraId="1D9A1226">
      <w:pPr>
        <w:widowControl/>
        <w:spacing w:line="500" w:lineRule="exact"/>
        <w:ind w:firstLine="482" w:firstLineChars="200"/>
        <w:jc w:val="left"/>
        <w:rPr>
          <w:rFonts w:ascii="宋体" w:hAnsi="宋体"/>
          <w:color w:val="000000"/>
          <w:kern w:val="0"/>
          <w:sz w:val="24"/>
          <w:szCs w:val="24"/>
          <w:highlight w:val="none"/>
        </w:rPr>
      </w:pPr>
      <w:r>
        <w:rPr>
          <w:rFonts w:hint="eastAsia" w:ascii="宋体" w:hAnsi="宋体"/>
          <w:b/>
          <w:bCs/>
          <w:color w:val="000000"/>
          <w:kern w:val="0"/>
          <w:sz w:val="24"/>
          <w:szCs w:val="24"/>
          <w:highlight w:val="none"/>
        </w:rPr>
        <w:t>4.知识产权</w:t>
      </w:r>
    </w:p>
    <w:p w14:paraId="1AE9DFFD">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乙方保证所提供的货物或其任何一部分均不会侵犯任何第三方的知识产权。</w:t>
      </w:r>
    </w:p>
    <w:p w14:paraId="65228C3A">
      <w:pPr>
        <w:widowControl/>
        <w:spacing w:line="500" w:lineRule="exact"/>
        <w:ind w:firstLine="482" w:firstLineChars="200"/>
        <w:jc w:val="left"/>
        <w:rPr>
          <w:rFonts w:ascii="宋体" w:hAnsi="宋体"/>
          <w:color w:val="000000"/>
          <w:kern w:val="0"/>
          <w:sz w:val="24"/>
          <w:szCs w:val="24"/>
          <w:highlight w:val="none"/>
        </w:rPr>
      </w:pPr>
      <w:r>
        <w:rPr>
          <w:rFonts w:hint="eastAsia" w:ascii="宋体" w:hAnsi="宋体"/>
          <w:b/>
          <w:bCs/>
          <w:color w:val="000000"/>
          <w:kern w:val="0"/>
          <w:sz w:val="24"/>
          <w:szCs w:val="24"/>
          <w:highlight w:val="none"/>
        </w:rPr>
        <w:t>5.产权担保</w:t>
      </w:r>
    </w:p>
    <w:p w14:paraId="4C98F77D">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乙方保证所交付的货物的所有权完全属于乙方且无任何抵押、查封等产权瑕疵。</w:t>
      </w:r>
    </w:p>
    <w:p w14:paraId="34E3CACB">
      <w:pPr>
        <w:widowControl/>
        <w:spacing w:line="500" w:lineRule="exact"/>
        <w:ind w:firstLine="482" w:firstLineChars="200"/>
        <w:jc w:val="left"/>
        <w:rPr>
          <w:rFonts w:ascii="宋体" w:hAnsi="宋体"/>
          <w:b/>
          <w:bCs/>
          <w:color w:val="000000"/>
          <w:kern w:val="0"/>
          <w:sz w:val="24"/>
          <w:szCs w:val="24"/>
          <w:highlight w:val="none"/>
        </w:rPr>
      </w:pPr>
      <w:r>
        <w:rPr>
          <w:rFonts w:hint="eastAsia" w:ascii="宋体" w:hAnsi="宋体"/>
          <w:b/>
          <w:bCs/>
          <w:color w:val="000000"/>
          <w:kern w:val="0"/>
          <w:sz w:val="24"/>
          <w:szCs w:val="24"/>
          <w:highlight w:val="none"/>
        </w:rPr>
        <w:t>6.质量保证金</w:t>
      </w:r>
    </w:p>
    <w:p w14:paraId="5577C3FF">
      <w:pPr>
        <w:widowControl/>
        <w:spacing w:line="500" w:lineRule="exact"/>
        <w:ind w:firstLine="482" w:firstLineChars="200"/>
        <w:jc w:val="left"/>
        <w:rPr>
          <w:rFonts w:ascii="宋体" w:hAnsi="宋体"/>
          <w:b/>
          <w:bCs/>
          <w:color w:val="000000"/>
          <w:kern w:val="0"/>
          <w:sz w:val="24"/>
          <w:szCs w:val="24"/>
          <w:highlight w:val="none"/>
        </w:rPr>
      </w:pPr>
      <w:r>
        <w:rPr>
          <w:rFonts w:hint="eastAsia" w:ascii="宋体" w:hAnsi="宋体"/>
          <w:b/>
          <w:bCs/>
          <w:color w:val="000000"/>
          <w:kern w:val="0"/>
          <w:sz w:val="24"/>
          <w:szCs w:val="24"/>
          <w:highlight w:val="none"/>
        </w:rPr>
        <w:t>6.1扣除合同总价的3﹪作为质量保证金。</w:t>
      </w:r>
    </w:p>
    <w:p w14:paraId="3E31595D">
      <w:pPr>
        <w:widowControl/>
        <w:spacing w:line="500" w:lineRule="exact"/>
        <w:ind w:firstLine="480" w:firstLineChars="200"/>
        <w:jc w:val="left"/>
        <w:rPr>
          <w:rFonts w:ascii="宋体" w:hAnsi="宋体"/>
          <w:b/>
          <w:bCs/>
          <w:color w:val="000000"/>
          <w:kern w:val="0"/>
          <w:sz w:val="24"/>
          <w:szCs w:val="24"/>
          <w:highlight w:val="none"/>
        </w:rPr>
      </w:pPr>
      <w:r>
        <w:rPr>
          <w:rFonts w:hint="eastAsia" w:ascii="宋体" w:hAnsi="宋体"/>
          <w:color w:val="000000"/>
          <w:kern w:val="0"/>
          <w:sz w:val="24"/>
          <w:szCs w:val="24"/>
          <w:highlight w:val="none"/>
        </w:rPr>
        <w:t>6.2在质保期内成交供应商提供的货物质量和服务符合合同约定，经验收合格，质保期满后10个工作日内该款无息退还。</w:t>
      </w:r>
    </w:p>
    <w:p w14:paraId="183B2BFA">
      <w:pPr>
        <w:widowControl/>
        <w:spacing w:line="500" w:lineRule="exact"/>
        <w:ind w:firstLine="482" w:firstLineChars="200"/>
        <w:jc w:val="left"/>
        <w:rPr>
          <w:rFonts w:ascii="宋体" w:hAnsi="宋体"/>
          <w:color w:val="000000"/>
          <w:kern w:val="0"/>
          <w:sz w:val="24"/>
          <w:szCs w:val="24"/>
          <w:highlight w:val="none"/>
        </w:rPr>
      </w:pPr>
      <w:r>
        <w:rPr>
          <w:rFonts w:hint="eastAsia" w:ascii="宋体" w:hAnsi="宋体"/>
          <w:b/>
          <w:bCs/>
          <w:color w:val="000000"/>
          <w:kern w:val="0"/>
          <w:sz w:val="24"/>
          <w:szCs w:val="24"/>
          <w:highlight w:val="none"/>
        </w:rPr>
        <w:t>7.转包或分包</w:t>
      </w:r>
    </w:p>
    <w:p w14:paraId="327F02A8">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7.1本合同范围的货物，由乙方直接供应，不得转让他人供应。</w:t>
      </w:r>
    </w:p>
    <w:p w14:paraId="2FC445E1">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7.2 除非得到甲方的书面同意，乙方不得部分分包给他人供应。</w:t>
      </w:r>
    </w:p>
    <w:p w14:paraId="1F4A05CF">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7.3如有转让和未经甲方同意的分包行为，甲方有权给予终止合同。</w:t>
      </w:r>
    </w:p>
    <w:p w14:paraId="149F08C3">
      <w:pPr>
        <w:widowControl/>
        <w:spacing w:line="500" w:lineRule="exact"/>
        <w:ind w:firstLine="482" w:firstLineChars="200"/>
        <w:jc w:val="left"/>
        <w:rPr>
          <w:rFonts w:ascii="宋体" w:hAnsi="宋体"/>
          <w:color w:val="000000"/>
          <w:kern w:val="0"/>
          <w:sz w:val="24"/>
          <w:szCs w:val="24"/>
          <w:highlight w:val="none"/>
        </w:rPr>
      </w:pPr>
      <w:r>
        <w:rPr>
          <w:rFonts w:hint="eastAsia" w:ascii="宋体" w:hAnsi="宋体"/>
          <w:b/>
          <w:bCs/>
          <w:color w:val="000000"/>
          <w:kern w:val="0"/>
          <w:sz w:val="24"/>
          <w:szCs w:val="24"/>
          <w:highlight w:val="none"/>
        </w:rPr>
        <w:t>8.交货期、交货方式及实施地点</w:t>
      </w:r>
    </w:p>
    <w:p w14:paraId="0A4B5FC7">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 xml:space="preserve">8.1 交货期： </w:t>
      </w:r>
    </w:p>
    <w:p w14:paraId="402975DF">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8.2 交货方式：</w:t>
      </w:r>
    </w:p>
    <w:p w14:paraId="7E64DE8D">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 xml:space="preserve">8.3 实施地点： </w:t>
      </w:r>
    </w:p>
    <w:p w14:paraId="50839E1B">
      <w:pPr>
        <w:widowControl/>
        <w:spacing w:line="500" w:lineRule="exact"/>
        <w:ind w:firstLine="482" w:firstLineChars="200"/>
        <w:jc w:val="left"/>
        <w:rPr>
          <w:rFonts w:ascii="宋体" w:hAnsi="宋体"/>
          <w:color w:val="000000"/>
          <w:kern w:val="0"/>
          <w:sz w:val="24"/>
          <w:szCs w:val="24"/>
          <w:highlight w:val="none"/>
        </w:rPr>
      </w:pPr>
      <w:r>
        <w:rPr>
          <w:rFonts w:hint="eastAsia" w:ascii="宋体" w:hAnsi="宋体"/>
          <w:b/>
          <w:bCs/>
          <w:color w:val="000000"/>
          <w:kern w:val="0"/>
          <w:sz w:val="24"/>
          <w:szCs w:val="24"/>
          <w:highlight w:val="none"/>
        </w:rPr>
        <w:t>9.货款支付：</w:t>
      </w:r>
      <w:r>
        <w:rPr>
          <w:rFonts w:hint="eastAsia" w:ascii="宋体" w:hAnsi="宋体"/>
          <w:color w:val="000000"/>
          <w:kern w:val="0"/>
          <w:sz w:val="24"/>
          <w:szCs w:val="24"/>
          <w:highlight w:val="none"/>
        </w:rPr>
        <w:t xml:space="preserve">详见供应商须知前附表 </w:t>
      </w:r>
    </w:p>
    <w:p w14:paraId="5306F79E">
      <w:pPr>
        <w:widowControl/>
        <w:spacing w:line="500" w:lineRule="exact"/>
        <w:ind w:firstLine="482" w:firstLineChars="200"/>
        <w:jc w:val="left"/>
        <w:rPr>
          <w:rFonts w:ascii="宋体" w:hAnsi="宋体"/>
          <w:color w:val="000000"/>
          <w:kern w:val="0"/>
          <w:sz w:val="24"/>
          <w:szCs w:val="24"/>
          <w:highlight w:val="none"/>
        </w:rPr>
      </w:pPr>
      <w:r>
        <w:rPr>
          <w:rFonts w:hint="eastAsia" w:ascii="宋体" w:hAnsi="宋体"/>
          <w:b/>
          <w:bCs/>
          <w:color w:val="000000"/>
          <w:kern w:val="0"/>
          <w:sz w:val="24"/>
          <w:szCs w:val="24"/>
          <w:highlight w:val="none"/>
        </w:rPr>
        <w:t>10.税费</w:t>
      </w:r>
    </w:p>
    <w:p w14:paraId="24E0E581">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本合同执行中相关的一切税费均由乙方负担。</w:t>
      </w:r>
    </w:p>
    <w:p w14:paraId="12844711">
      <w:pPr>
        <w:widowControl/>
        <w:spacing w:line="500" w:lineRule="exact"/>
        <w:ind w:firstLine="482" w:firstLineChars="200"/>
        <w:jc w:val="left"/>
        <w:rPr>
          <w:rFonts w:ascii="宋体" w:hAnsi="宋体"/>
          <w:color w:val="000000"/>
          <w:kern w:val="0"/>
          <w:sz w:val="24"/>
          <w:szCs w:val="24"/>
          <w:highlight w:val="none"/>
        </w:rPr>
      </w:pPr>
      <w:r>
        <w:rPr>
          <w:rFonts w:hint="eastAsia" w:ascii="宋体" w:hAnsi="宋体"/>
          <w:b/>
          <w:bCs/>
          <w:color w:val="000000"/>
          <w:kern w:val="0"/>
          <w:sz w:val="24"/>
          <w:szCs w:val="24"/>
          <w:highlight w:val="none"/>
        </w:rPr>
        <w:t>11.货物包装、发运及运输</w:t>
      </w:r>
    </w:p>
    <w:p w14:paraId="53E0C2C0">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11.1 乙方在货物发运前对其进行满足运输距离、防潮、防震、防锈和防破损装卸等要求包装，以保证货物安全运达甲方指定地点。</w:t>
      </w:r>
    </w:p>
    <w:p w14:paraId="3192A96F">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11.2 使用说明书、质量检验证明书、随配附件和工具以及清单一并附于货物内。</w:t>
      </w:r>
    </w:p>
    <w:p w14:paraId="3B27ABAD">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11.3 乙方在货物发运手续办理完毕后24小时内或货到甲方48小时前通知甲方，以准备接货。</w:t>
      </w:r>
    </w:p>
    <w:p w14:paraId="08AB9CDC">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11.4 货物在交付甲方前发生的风险均由乙方负责。</w:t>
      </w:r>
    </w:p>
    <w:p w14:paraId="54287F96">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11.5 货物在规定的交付期限内由乙方送达甲方指定的地点视为交付，乙方同时需通知甲方货物已送达。</w:t>
      </w:r>
    </w:p>
    <w:p w14:paraId="00849588">
      <w:pPr>
        <w:widowControl/>
        <w:spacing w:line="500" w:lineRule="exact"/>
        <w:ind w:firstLine="482" w:firstLineChars="200"/>
        <w:jc w:val="left"/>
        <w:rPr>
          <w:rFonts w:ascii="宋体" w:hAnsi="宋体"/>
          <w:color w:val="000000"/>
          <w:kern w:val="0"/>
          <w:sz w:val="24"/>
          <w:szCs w:val="24"/>
          <w:highlight w:val="none"/>
        </w:rPr>
      </w:pPr>
      <w:r>
        <w:rPr>
          <w:rFonts w:hint="eastAsia" w:ascii="宋体" w:hAnsi="宋体"/>
          <w:b/>
          <w:bCs/>
          <w:color w:val="000000"/>
          <w:kern w:val="0"/>
          <w:sz w:val="24"/>
          <w:szCs w:val="24"/>
          <w:highlight w:val="none"/>
        </w:rPr>
        <w:t>12.质量保证及售后服务</w:t>
      </w:r>
    </w:p>
    <w:p w14:paraId="0CEEE1FC">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12.1 乙方提供的货物是全新、未使用过的，并完全符合强制性的国家技术质量规范和</w:t>
      </w:r>
      <w:r>
        <w:rPr>
          <w:rFonts w:hint="eastAsia" w:ascii="宋体" w:hAnsi="宋体"/>
          <w:bCs/>
          <w:color w:val="000000"/>
          <w:sz w:val="24"/>
          <w:szCs w:val="24"/>
          <w:highlight w:val="none"/>
        </w:rPr>
        <w:t>谈判文件</w:t>
      </w:r>
      <w:r>
        <w:rPr>
          <w:rFonts w:hint="eastAsia" w:ascii="宋体" w:hAnsi="宋体"/>
          <w:color w:val="000000"/>
          <w:kern w:val="0"/>
          <w:sz w:val="24"/>
          <w:szCs w:val="24"/>
          <w:highlight w:val="none"/>
        </w:rPr>
        <w:t>规定的质量、规格、性能和技术规范等的要求。</w:t>
      </w:r>
    </w:p>
    <w:p w14:paraId="7AC79F07">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12.2 乙方提供的货物经正确安装、正常运转和保养，在其使用寿命期内须具有符合质量要求和产品说明书的性能。在货物质量保证期之内，乙方须对由于设计、工艺或材料的缺陷而发生的任何不足或故障负责。</w:t>
      </w:r>
    </w:p>
    <w:p w14:paraId="6274D625">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12.3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hint="eastAsia" w:ascii="宋体" w:hAnsi="宋体"/>
          <w:color w:val="000000"/>
          <w:kern w:val="0"/>
          <w:sz w:val="24"/>
          <w:szCs w:val="24"/>
          <w:highlight w:val="none"/>
          <w:u w:val="single"/>
        </w:rPr>
        <w:t>7</w:t>
      </w:r>
      <w:r>
        <w:rPr>
          <w:rFonts w:hint="eastAsia" w:ascii="宋体" w:hAnsi="宋体"/>
          <w:color w:val="000000"/>
          <w:kern w:val="0"/>
          <w:sz w:val="24"/>
          <w:szCs w:val="24"/>
          <w:highlight w:val="none"/>
        </w:rPr>
        <w:t>日内应免费维修或更换有缺陷的货物或部件。如果乙方在收到通知后</w:t>
      </w:r>
      <w:r>
        <w:rPr>
          <w:rFonts w:hint="eastAsia" w:ascii="宋体" w:hAnsi="宋体"/>
          <w:color w:val="000000"/>
          <w:kern w:val="0"/>
          <w:sz w:val="24"/>
          <w:szCs w:val="24"/>
          <w:highlight w:val="none"/>
          <w:u w:val="single"/>
        </w:rPr>
        <w:t>7</w:t>
      </w:r>
      <w:r>
        <w:rPr>
          <w:rFonts w:hint="eastAsia" w:ascii="宋体" w:hAnsi="宋体"/>
          <w:color w:val="000000"/>
          <w:kern w:val="0"/>
          <w:sz w:val="24"/>
          <w:szCs w:val="24"/>
          <w:highlight w:val="none"/>
        </w:rPr>
        <w:t>日内没有弥补缺陷，甲方可采取必要的补救措施，但由此引发的风险和费用将由乙方承担。</w:t>
      </w:r>
    </w:p>
    <w:p w14:paraId="16E49EA8">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12.4合同项下货物的质量保证期为自货物通过最终验收起个月，在质保期内，因人为因素出现故障外，乙方对货物出现的质量及安全问题负责处理解决并承担一切费用。</w:t>
      </w:r>
    </w:p>
    <w:p w14:paraId="352E4C73">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12.5合同项下货物免费保修期为质量保证期满后个月，因人为因素出现的故障不在免费保修范围内。对超过保修期的货物终生维修，维修时只收部件成本费。</w:t>
      </w:r>
    </w:p>
    <w:p w14:paraId="5AAAE3D8">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12.6在使用过程中发生故障，乙方在接到甲方通知后在小时内到达甲方现场，</w:t>
      </w:r>
      <w:r>
        <w:rPr>
          <w:rFonts w:hint="eastAsia" w:ascii="宋体" w:hAnsi="宋体"/>
          <w:color w:val="000000"/>
          <w:kern w:val="0"/>
          <w:sz w:val="24"/>
          <w:szCs w:val="24"/>
          <w:highlight w:val="none"/>
          <w:u w:val="single"/>
        </w:rPr>
        <w:t xml:space="preserve">   </w:t>
      </w:r>
      <w:r>
        <w:rPr>
          <w:rFonts w:hint="eastAsia" w:ascii="宋体" w:hAnsi="宋体"/>
          <w:color w:val="000000"/>
          <w:kern w:val="0"/>
          <w:sz w:val="24"/>
          <w:szCs w:val="24"/>
          <w:highlight w:val="none"/>
        </w:rPr>
        <w:t>小时内解除故障。</w:t>
      </w:r>
    </w:p>
    <w:p w14:paraId="78663287">
      <w:pPr>
        <w:widowControl/>
        <w:spacing w:line="500" w:lineRule="exact"/>
        <w:ind w:firstLine="482" w:firstLineChars="200"/>
        <w:jc w:val="left"/>
        <w:rPr>
          <w:rFonts w:ascii="宋体" w:hAnsi="宋体"/>
          <w:color w:val="000000"/>
          <w:kern w:val="0"/>
          <w:sz w:val="24"/>
          <w:szCs w:val="24"/>
          <w:highlight w:val="none"/>
        </w:rPr>
      </w:pPr>
      <w:r>
        <w:rPr>
          <w:rFonts w:hint="eastAsia" w:ascii="宋体" w:hAnsi="宋体"/>
          <w:b/>
          <w:bCs/>
          <w:color w:val="000000"/>
          <w:kern w:val="0"/>
          <w:sz w:val="24"/>
          <w:szCs w:val="24"/>
          <w:highlight w:val="none"/>
        </w:rPr>
        <w:t>13.调试和验收</w:t>
      </w:r>
    </w:p>
    <w:p w14:paraId="6C7D654D">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13.1乙方交货前对产品作出全面检查和对验收文件进行整理，并列出清单，作为甲方收货验收和使用的技术条件依据，检验的结果应随货物交甲方。</w:t>
      </w:r>
    </w:p>
    <w:p w14:paraId="29A7887C">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13.2货物运抵现场后，甲方依据</w:t>
      </w:r>
      <w:r>
        <w:rPr>
          <w:rFonts w:hint="eastAsia" w:ascii="宋体" w:hAnsi="宋体"/>
          <w:bCs/>
          <w:color w:val="000000"/>
          <w:sz w:val="24"/>
          <w:szCs w:val="24"/>
          <w:highlight w:val="none"/>
        </w:rPr>
        <w:t>谈判文件</w:t>
      </w:r>
      <w:r>
        <w:rPr>
          <w:rFonts w:hint="eastAsia" w:ascii="宋体" w:hAnsi="宋体"/>
          <w:color w:val="000000"/>
          <w:kern w:val="0"/>
          <w:sz w:val="24"/>
          <w:szCs w:val="24"/>
          <w:highlight w:val="none"/>
        </w:rPr>
        <w:t>上的技术规格要求和国家有关质量标准在3个工作日内组织初步验收，并制作验收备忘录，签署验收意见。初步验收不合格的不予签收。</w:t>
      </w:r>
    </w:p>
    <w:p w14:paraId="55A8D8A8">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13.3 甲方对乙方提供的货物在使用前进行调试时，乙方负责安装并培训甲方的使用操作人员，并协助甲方一起调试，直到符合技术要求，甲方才做最终验收并签署验收意见。</w:t>
      </w:r>
    </w:p>
    <w:p w14:paraId="1C2013EE">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13.4 对大型或技术复杂的货物，甲方应邀请国家认可的专业检测机构参与初步验收及最终验收，并由其出具质量检测报告。</w:t>
      </w:r>
    </w:p>
    <w:p w14:paraId="6037D02D">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13.5 验收时乙方必须在现场，验收完毕后作出验收结果报告。验收费用由乙方负责。</w:t>
      </w:r>
    </w:p>
    <w:p w14:paraId="4C6944C6">
      <w:pPr>
        <w:widowControl/>
        <w:spacing w:line="500" w:lineRule="exact"/>
        <w:ind w:firstLine="482" w:firstLineChars="200"/>
        <w:jc w:val="left"/>
        <w:rPr>
          <w:rFonts w:ascii="宋体" w:hAnsi="宋体"/>
          <w:color w:val="000000"/>
          <w:kern w:val="0"/>
          <w:sz w:val="24"/>
          <w:szCs w:val="24"/>
          <w:highlight w:val="none"/>
        </w:rPr>
      </w:pPr>
      <w:r>
        <w:rPr>
          <w:rFonts w:hint="eastAsia" w:ascii="宋体" w:hAnsi="宋体"/>
          <w:b/>
          <w:bCs/>
          <w:color w:val="000000"/>
          <w:kern w:val="0"/>
          <w:sz w:val="24"/>
          <w:szCs w:val="24"/>
          <w:highlight w:val="none"/>
        </w:rPr>
        <w:t>14.索赔</w:t>
      </w:r>
    </w:p>
    <w:p w14:paraId="74825F15">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 xml:space="preserve"> 14.1 如果货物的质量、规格、数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14:paraId="6C21EB81">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 xml:space="preserve"> 14.2 在根据合同第12条和第13条规定的检验期和质量保证期内，如果乙方对甲方提出的索赔负有责任，乙方应按照甲方同意的下列一种或多种方式解决索赔事宜：</w:t>
      </w:r>
    </w:p>
    <w:p w14:paraId="0C558D34">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 xml:space="preserve"> 14.2.1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2A1B584">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 xml:space="preserve"> 14.2.2 根据货物低劣程度、损坏程度以及甲方所遭受损失的数额，经双方商定降低货物的价格，或由有权的部门评估，以降低后的价格或评估价格为准。</w:t>
      </w:r>
    </w:p>
    <w:p w14:paraId="32C76568">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 xml:space="preserve"> 14.2.3 用符合规格、质量和性能要求的新零件、部件或货物来更换有缺陷的部分或/和修补缺陷部分，乙方承担一切费用和风险并负担甲方所发生的一切直接费用。同时，乙方方应按合同第12条规定，相应延长修补或更换件的质量保证期。</w:t>
      </w:r>
    </w:p>
    <w:p w14:paraId="6E301F74">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 xml:space="preserve"> 14.2.4 如果在甲方发出索赔通知后日内，乙方未作答复，上述索赔应视为已被乙方接受。如乙方未能在甲方提出索赔通知后日内或买方同意的更长时间内，按照本合同第14.2条规定的任何一种方法解决索赔事宜，甲方将从合同款中扣回索赔金额。如果这些金额不足以补偿索赔金额，甲方有权向乙方提出不足部分的补偿。</w:t>
      </w:r>
    </w:p>
    <w:p w14:paraId="253F365B">
      <w:pPr>
        <w:widowControl/>
        <w:spacing w:line="500" w:lineRule="exact"/>
        <w:ind w:firstLine="482" w:firstLineChars="200"/>
        <w:jc w:val="left"/>
        <w:rPr>
          <w:rFonts w:ascii="宋体" w:hAnsi="宋体"/>
          <w:color w:val="000000"/>
          <w:kern w:val="0"/>
          <w:sz w:val="24"/>
          <w:szCs w:val="24"/>
          <w:highlight w:val="none"/>
        </w:rPr>
      </w:pPr>
      <w:r>
        <w:rPr>
          <w:rFonts w:hint="eastAsia" w:ascii="宋体" w:hAnsi="宋体"/>
          <w:b/>
          <w:bCs/>
          <w:color w:val="000000"/>
          <w:kern w:val="0"/>
          <w:sz w:val="24"/>
          <w:szCs w:val="24"/>
          <w:highlight w:val="none"/>
        </w:rPr>
        <w:t>15.违约责任</w:t>
      </w:r>
    </w:p>
    <w:p w14:paraId="437B5D7A">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15.1 甲方无正当理由拒收货物的，甲方向乙方偿付拒收货款总值的百分之五违约金。</w:t>
      </w:r>
    </w:p>
    <w:p w14:paraId="69423FAB">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15.2 甲方无故逾期验收和办理货款支付手续的,甲方按逾期付款总额每日万分之五向乙方支付违约金。</w:t>
      </w:r>
    </w:p>
    <w:p w14:paraId="272D5F2D">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15.3 乙方逾期交付货物的，乙方按逾期交货总额每日万分之五向甲方支付违约金。逾期超过约定日期10个日历天内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14:paraId="7E172E30">
      <w:pPr>
        <w:widowControl/>
        <w:spacing w:line="500" w:lineRule="exact"/>
        <w:ind w:firstLine="482" w:firstLineChars="200"/>
        <w:jc w:val="left"/>
        <w:rPr>
          <w:rFonts w:ascii="宋体" w:hAnsi="宋体"/>
          <w:color w:val="000000"/>
          <w:kern w:val="0"/>
          <w:sz w:val="24"/>
          <w:szCs w:val="24"/>
          <w:highlight w:val="none"/>
        </w:rPr>
      </w:pPr>
      <w:r>
        <w:rPr>
          <w:rFonts w:hint="eastAsia" w:ascii="宋体" w:hAnsi="宋体"/>
          <w:b/>
          <w:bCs/>
          <w:color w:val="000000"/>
          <w:kern w:val="0"/>
          <w:sz w:val="24"/>
          <w:szCs w:val="24"/>
          <w:highlight w:val="none"/>
        </w:rPr>
        <w:t>16.不可抗力事件处理</w:t>
      </w:r>
    </w:p>
    <w:p w14:paraId="459ACFCD">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7EA549B0">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16.2 本合同中的不可抗力指不能预见、不能避免并不能克服的客观情况。包括但不限于：自然灾害如地震、台风、洪水、火灾；政府行为、法律规定或其适用的变化或者其他任何无法预见、避免或者控制的事件。</w:t>
      </w:r>
    </w:p>
    <w:p w14:paraId="54F90176">
      <w:pPr>
        <w:widowControl/>
        <w:spacing w:line="500" w:lineRule="exact"/>
        <w:ind w:firstLine="482" w:firstLineChars="200"/>
        <w:jc w:val="left"/>
        <w:rPr>
          <w:rFonts w:ascii="宋体" w:hAnsi="宋体"/>
          <w:color w:val="000000"/>
          <w:kern w:val="0"/>
          <w:sz w:val="24"/>
          <w:szCs w:val="24"/>
          <w:highlight w:val="none"/>
        </w:rPr>
      </w:pPr>
      <w:r>
        <w:rPr>
          <w:rFonts w:hint="eastAsia" w:ascii="宋体" w:hAnsi="宋体"/>
          <w:b/>
          <w:bCs/>
          <w:color w:val="000000"/>
          <w:kern w:val="0"/>
          <w:sz w:val="24"/>
          <w:szCs w:val="24"/>
          <w:highlight w:val="none"/>
        </w:rPr>
        <w:t>17.合同纠纷处理</w:t>
      </w:r>
    </w:p>
    <w:p w14:paraId="53D99B2D">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因本合同或与本合同有关的一切事项发生争议，由双方友好协商解决。协商不成的，任何一方均可选择以下方式解决：</w:t>
      </w:r>
    </w:p>
    <w:p w14:paraId="1C72B7E6">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17.1 向合同签订地人民法院提起诉讼。</w:t>
      </w:r>
    </w:p>
    <w:p w14:paraId="64E0FDF9">
      <w:pPr>
        <w:widowControl/>
        <w:spacing w:line="500" w:lineRule="exact"/>
        <w:ind w:firstLine="482" w:firstLineChars="200"/>
        <w:jc w:val="left"/>
        <w:rPr>
          <w:rFonts w:ascii="宋体" w:hAnsi="宋体"/>
          <w:color w:val="000000"/>
          <w:kern w:val="0"/>
          <w:sz w:val="24"/>
          <w:szCs w:val="24"/>
          <w:highlight w:val="none"/>
        </w:rPr>
      </w:pPr>
      <w:r>
        <w:rPr>
          <w:rFonts w:hint="eastAsia" w:ascii="宋体" w:hAnsi="宋体"/>
          <w:b/>
          <w:bCs/>
          <w:color w:val="000000"/>
          <w:kern w:val="0"/>
          <w:sz w:val="24"/>
          <w:szCs w:val="24"/>
          <w:highlight w:val="none"/>
        </w:rPr>
        <w:t>18.违约解除合同</w:t>
      </w:r>
    </w:p>
    <w:p w14:paraId="6E0C4C3C">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 xml:space="preserve"> 18.1在乙方违约的情况下，甲方可向乙方发出书面通知，部分或全部终止合同，同时保留向对方追诉的权利。</w:t>
      </w:r>
    </w:p>
    <w:p w14:paraId="22118092">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 xml:space="preserve"> 18.1.1 乙方未能在合同规定的限期或甲方同意延长的限期内提供全部或部分货物，按合同第15.3的规定可以解除合同的。</w:t>
      </w:r>
    </w:p>
    <w:p w14:paraId="28ADDD8F">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18.1.2 乙方有转让和未经甲方同意的分包行为，按合同第7.3的规定可以解除合同的。</w:t>
      </w:r>
    </w:p>
    <w:p w14:paraId="33168C22">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18.1.3 乙方未能履行合同规定的其它主要义务的。</w:t>
      </w:r>
    </w:p>
    <w:p w14:paraId="4A8DF6F2">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 xml:space="preserve"> 18.1.4 在本合同履行过程中有腐败和欺诈行为的。</w:t>
      </w:r>
    </w:p>
    <w:p w14:paraId="4D8D7B11">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 xml:space="preserve"> 18.2 在甲方根据上述笫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0A9891A8">
      <w:pPr>
        <w:widowControl/>
        <w:spacing w:line="500" w:lineRule="exact"/>
        <w:ind w:firstLine="482" w:firstLineChars="200"/>
        <w:jc w:val="left"/>
        <w:rPr>
          <w:rFonts w:ascii="宋体" w:hAnsi="宋体"/>
          <w:color w:val="000000"/>
          <w:kern w:val="0"/>
          <w:sz w:val="24"/>
          <w:szCs w:val="24"/>
          <w:highlight w:val="none"/>
        </w:rPr>
      </w:pPr>
      <w:r>
        <w:rPr>
          <w:rFonts w:hint="eastAsia" w:ascii="宋体" w:hAnsi="宋体"/>
          <w:b/>
          <w:bCs/>
          <w:color w:val="000000"/>
          <w:kern w:val="0"/>
          <w:sz w:val="24"/>
          <w:szCs w:val="24"/>
          <w:highlight w:val="none"/>
        </w:rPr>
        <w:t>19.其他约定</w:t>
      </w:r>
    </w:p>
    <w:p w14:paraId="6AF7C375">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19.1 本采购项目的</w:t>
      </w:r>
      <w:r>
        <w:rPr>
          <w:rFonts w:hint="eastAsia" w:ascii="宋体" w:hAnsi="宋体"/>
          <w:bCs/>
          <w:color w:val="000000"/>
          <w:sz w:val="24"/>
          <w:szCs w:val="24"/>
          <w:highlight w:val="none"/>
        </w:rPr>
        <w:t>谈判文件</w:t>
      </w:r>
      <w:r>
        <w:rPr>
          <w:rFonts w:hint="eastAsia" w:ascii="宋体" w:hAnsi="宋体"/>
          <w:color w:val="000000"/>
          <w:kern w:val="0"/>
          <w:sz w:val="24"/>
          <w:szCs w:val="24"/>
          <w:highlight w:val="none"/>
        </w:rPr>
        <w:t>、成交供应商的</w:t>
      </w:r>
      <w:r>
        <w:rPr>
          <w:rFonts w:hint="eastAsia" w:ascii="宋体" w:hAnsi="宋体"/>
          <w:color w:val="000000"/>
          <w:sz w:val="24"/>
          <w:szCs w:val="24"/>
          <w:highlight w:val="none"/>
        </w:rPr>
        <w:t>响应文件</w:t>
      </w:r>
      <w:r>
        <w:rPr>
          <w:rFonts w:hint="eastAsia" w:ascii="宋体" w:hAnsi="宋体"/>
          <w:color w:val="000000"/>
          <w:kern w:val="0"/>
          <w:sz w:val="24"/>
          <w:szCs w:val="24"/>
          <w:highlight w:val="none"/>
        </w:rPr>
        <w:t>以及相关的澄清确认函（如果有的话）均为本合同不可分割的一部分，与本合同具有同等法律效力。</w:t>
      </w:r>
    </w:p>
    <w:p w14:paraId="507A76C4">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19.2 本合同未尽事宜，双方另行补充。</w:t>
      </w:r>
    </w:p>
    <w:p w14:paraId="63B8FED8">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19.3本合同正本一式份，具有同等法律效力，甲、乙双方各执两份。自采购合同签订之日起7个工作日内，甲方按照有关规定将合同副本报同级财政部门备案。</w:t>
      </w:r>
    </w:p>
    <w:p w14:paraId="03F7DDAB">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19.4 签定地点：</w:t>
      </w:r>
    </w:p>
    <w:p w14:paraId="1EBCB552">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甲 方：                          乙 方：</w:t>
      </w:r>
    </w:p>
    <w:p w14:paraId="5B5128D5">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单位地址：                       单位地址：</w:t>
      </w:r>
    </w:p>
    <w:p w14:paraId="121BFC44">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法定代表人：                     法定代表人：</w:t>
      </w:r>
    </w:p>
    <w:p w14:paraId="132FD0C5">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委托代理人：                     委托代理人：</w:t>
      </w:r>
    </w:p>
    <w:p w14:paraId="32C3A7B0">
      <w:pPr>
        <w:widowControl/>
        <w:spacing w:line="5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电 话：                          电 话：</w:t>
      </w:r>
    </w:p>
    <w:p w14:paraId="74DAA385">
      <w:pPr>
        <w:widowControl/>
        <w:spacing w:line="500" w:lineRule="exact"/>
        <w:ind w:firstLine="480" w:firstLineChars="200"/>
        <w:jc w:val="left"/>
        <w:rPr>
          <w:rFonts w:ascii="宋体" w:hAnsi="宋体"/>
          <w:color w:val="000000"/>
          <w:kern w:val="0"/>
          <w:sz w:val="24"/>
          <w:szCs w:val="24"/>
          <w:highlight w:val="none"/>
        </w:rPr>
      </w:pPr>
    </w:p>
    <w:p w14:paraId="4037775D">
      <w:pPr>
        <w:spacing w:line="500" w:lineRule="exact"/>
        <w:ind w:firstLine="480" w:firstLineChars="200"/>
        <w:rPr>
          <w:rFonts w:ascii="宋体" w:hAnsi="宋体"/>
          <w:color w:val="000000"/>
          <w:sz w:val="24"/>
          <w:szCs w:val="24"/>
          <w:highlight w:val="none"/>
        </w:rPr>
      </w:pPr>
      <w:r>
        <w:rPr>
          <w:rFonts w:hint="eastAsia" w:ascii="宋体" w:hAnsi="宋体"/>
          <w:color w:val="000000"/>
          <w:kern w:val="0"/>
          <w:sz w:val="24"/>
          <w:szCs w:val="24"/>
          <w:highlight w:val="none"/>
        </w:rPr>
        <w:t>签订日期： 年 月 日</w:t>
      </w:r>
    </w:p>
    <w:p w14:paraId="1BD2C2CC">
      <w:pPr>
        <w:spacing w:line="500" w:lineRule="exact"/>
        <w:ind w:firstLine="420" w:firstLineChars="200"/>
        <w:rPr>
          <w:rFonts w:ascii="宋体" w:hAnsi="宋体"/>
          <w:color w:val="000000"/>
          <w:highlight w:val="none"/>
        </w:rPr>
      </w:pPr>
    </w:p>
    <w:p w14:paraId="3D898669">
      <w:pPr>
        <w:pStyle w:val="10"/>
        <w:adjustRightInd w:val="0"/>
        <w:spacing w:line="360" w:lineRule="auto"/>
        <w:outlineLvl w:val="0"/>
        <w:rPr>
          <w:rStyle w:val="43"/>
          <w:rFonts w:ascii="宋体" w:hAnsi="宋体"/>
          <w:b/>
          <w:bCs/>
          <w:color w:val="000000"/>
          <w:sz w:val="32"/>
          <w:szCs w:val="32"/>
          <w:highlight w:val="none"/>
        </w:rPr>
      </w:pPr>
    </w:p>
    <w:p w14:paraId="31451940">
      <w:pPr>
        <w:pStyle w:val="10"/>
        <w:adjustRightInd w:val="0"/>
        <w:spacing w:line="360" w:lineRule="auto"/>
        <w:outlineLvl w:val="0"/>
        <w:rPr>
          <w:rStyle w:val="43"/>
          <w:rFonts w:ascii="宋体" w:hAnsi="宋体"/>
          <w:b/>
          <w:bCs/>
          <w:color w:val="000000"/>
          <w:sz w:val="32"/>
          <w:szCs w:val="32"/>
          <w:highlight w:val="none"/>
        </w:rPr>
      </w:pPr>
    </w:p>
    <w:p w14:paraId="315162B4">
      <w:pPr>
        <w:pStyle w:val="10"/>
        <w:adjustRightInd w:val="0"/>
        <w:spacing w:line="360" w:lineRule="auto"/>
        <w:outlineLvl w:val="0"/>
        <w:rPr>
          <w:rStyle w:val="43"/>
          <w:rFonts w:ascii="宋体" w:hAnsi="宋体"/>
          <w:b/>
          <w:bCs/>
          <w:color w:val="000000"/>
          <w:sz w:val="32"/>
          <w:szCs w:val="32"/>
          <w:highlight w:val="none"/>
        </w:rPr>
      </w:pPr>
    </w:p>
    <w:p w14:paraId="2F25A0ED">
      <w:pPr>
        <w:pStyle w:val="10"/>
        <w:adjustRightInd w:val="0"/>
        <w:spacing w:line="360" w:lineRule="auto"/>
        <w:outlineLvl w:val="0"/>
        <w:rPr>
          <w:rStyle w:val="43"/>
          <w:rFonts w:ascii="宋体" w:hAnsi="宋体"/>
          <w:b/>
          <w:bCs/>
          <w:color w:val="000000"/>
          <w:sz w:val="32"/>
          <w:szCs w:val="32"/>
          <w:highlight w:val="none"/>
        </w:rPr>
      </w:pPr>
    </w:p>
    <w:p w14:paraId="46D3F2A3">
      <w:pPr>
        <w:pStyle w:val="10"/>
        <w:adjustRightInd w:val="0"/>
        <w:spacing w:line="360" w:lineRule="auto"/>
        <w:outlineLvl w:val="0"/>
        <w:rPr>
          <w:rStyle w:val="43"/>
          <w:rFonts w:ascii="宋体" w:hAnsi="宋体"/>
          <w:b/>
          <w:bCs/>
          <w:color w:val="000000"/>
          <w:sz w:val="32"/>
          <w:szCs w:val="32"/>
          <w:highlight w:val="none"/>
        </w:rPr>
      </w:pPr>
    </w:p>
    <w:p w14:paraId="351FDF82">
      <w:pPr>
        <w:rPr>
          <w:rStyle w:val="43"/>
          <w:rFonts w:ascii="宋体" w:hAnsi="宋体"/>
          <w:b/>
          <w:bCs/>
          <w:color w:val="000000"/>
          <w:sz w:val="32"/>
          <w:szCs w:val="32"/>
          <w:highlight w:val="none"/>
        </w:rPr>
      </w:pPr>
      <w:r>
        <w:rPr>
          <w:rStyle w:val="43"/>
          <w:rFonts w:ascii="宋体" w:hAnsi="宋体"/>
          <w:b/>
          <w:bCs/>
          <w:color w:val="000000"/>
          <w:sz w:val="32"/>
          <w:szCs w:val="32"/>
          <w:highlight w:val="none"/>
        </w:rPr>
        <w:br w:type="page"/>
      </w:r>
    </w:p>
    <w:p w14:paraId="4366F9C2">
      <w:pPr>
        <w:pStyle w:val="11"/>
      </w:pPr>
    </w:p>
    <w:p w14:paraId="09E61154">
      <w:pPr>
        <w:pStyle w:val="10"/>
        <w:adjustRightInd w:val="0"/>
        <w:spacing w:line="360" w:lineRule="auto"/>
        <w:jc w:val="center"/>
        <w:outlineLvl w:val="0"/>
        <w:rPr>
          <w:rStyle w:val="43"/>
          <w:rFonts w:ascii="宋体" w:hAnsi="宋体"/>
          <w:b/>
          <w:bCs/>
          <w:color w:val="000000"/>
          <w:sz w:val="32"/>
          <w:szCs w:val="32"/>
          <w:highlight w:val="none"/>
        </w:rPr>
      </w:pPr>
    </w:p>
    <w:p w14:paraId="5D058BD2">
      <w:pPr>
        <w:pStyle w:val="10"/>
        <w:adjustRightInd w:val="0"/>
        <w:spacing w:line="360" w:lineRule="auto"/>
        <w:jc w:val="center"/>
        <w:outlineLvl w:val="0"/>
        <w:rPr>
          <w:rStyle w:val="43"/>
          <w:rFonts w:ascii="宋体" w:hAnsi="宋体"/>
          <w:b/>
          <w:bCs/>
          <w:color w:val="000000"/>
          <w:sz w:val="32"/>
          <w:szCs w:val="32"/>
          <w:highlight w:val="none"/>
        </w:rPr>
      </w:pPr>
    </w:p>
    <w:p w14:paraId="62EABECB">
      <w:pPr>
        <w:pStyle w:val="10"/>
        <w:adjustRightInd w:val="0"/>
        <w:spacing w:line="360" w:lineRule="auto"/>
        <w:jc w:val="center"/>
        <w:outlineLvl w:val="0"/>
        <w:rPr>
          <w:rFonts w:ascii="宋体" w:hAnsi="宋体"/>
          <w:b/>
          <w:bCs/>
          <w:color w:val="000000"/>
          <w:sz w:val="32"/>
          <w:szCs w:val="32"/>
          <w:highlight w:val="none"/>
        </w:rPr>
      </w:pPr>
      <w:r>
        <w:rPr>
          <w:rStyle w:val="43"/>
          <w:rFonts w:ascii="宋体" w:hAnsi="宋体"/>
          <w:b/>
          <w:bCs/>
          <w:color w:val="000000"/>
          <w:sz w:val="32"/>
          <w:szCs w:val="32"/>
          <w:highlight w:val="none"/>
        </w:rPr>
        <w:t>第</w:t>
      </w:r>
      <w:r>
        <w:rPr>
          <w:rStyle w:val="43"/>
          <w:rFonts w:hint="eastAsia" w:ascii="宋体" w:hAnsi="宋体"/>
          <w:b/>
          <w:bCs/>
          <w:color w:val="000000"/>
          <w:sz w:val="32"/>
          <w:szCs w:val="32"/>
          <w:highlight w:val="none"/>
        </w:rPr>
        <w:t xml:space="preserve">六章  </w:t>
      </w:r>
      <w:r>
        <w:rPr>
          <w:rStyle w:val="43"/>
          <w:rFonts w:ascii="宋体" w:hAnsi="宋体"/>
          <w:b/>
          <w:bCs/>
          <w:color w:val="000000"/>
          <w:sz w:val="32"/>
          <w:szCs w:val="32"/>
          <w:highlight w:val="none"/>
        </w:rPr>
        <w:t xml:space="preserve"> </w:t>
      </w:r>
      <w:r>
        <w:rPr>
          <w:rFonts w:ascii="宋体" w:hAnsi="宋体"/>
          <w:b/>
          <w:bCs/>
          <w:color w:val="000000"/>
          <w:sz w:val="32"/>
          <w:szCs w:val="32"/>
          <w:highlight w:val="none"/>
        </w:rPr>
        <w:t>响应文件格式</w:t>
      </w:r>
      <w:bookmarkEnd w:id="160"/>
    </w:p>
    <w:p w14:paraId="5D6F1917">
      <w:pPr>
        <w:widowControl/>
        <w:jc w:val="center"/>
        <w:rPr>
          <w:rFonts w:ascii="宋体" w:hAnsi="宋体"/>
          <w:color w:val="000000"/>
          <w:kern w:val="0"/>
          <w:sz w:val="32"/>
          <w:szCs w:val="32"/>
          <w:highlight w:val="none"/>
        </w:rPr>
      </w:pPr>
      <w:bookmarkStart w:id="161" w:name="_Toc24202"/>
      <w:bookmarkStart w:id="162" w:name="_Toc31372"/>
      <w:bookmarkStart w:id="163" w:name="_Toc11031"/>
      <w:bookmarkStart w:id="164" w:name="_Toc17554"/>
      <w:bookmarkStart w:id="165" w:name="_Toc20924"/>
    </w:p>
    <w:p w14:paraId="1BA550A5">
      <w:pPr>
        <w:widowControl/>
        <w:jc w:val="center"/>
        <w:rPr>
          <w:rFonts w:ascii="宋体" w:hAnsi="宋体"/>
          <w:color w:val="000000"/>
          <w:kern w:val="0"/>
          <w:sz w:val="32"/>
          <w:szCs w:val="32"/>
          <w:highlight w:val="none"/>
        </w:rPr>
      </w:pPr>
    </w:p>
    <w:p w14:paraId="45F50B9E">
      <w:pPr>
        <w:widowControl/>
        <w:jc w:val="center"/>
        <w:rPr>
          <w:rFonts w:ascii="宋体" w:hAnsi="宋体"/>
          <w:color w:val="000000"/>
          <w:kern w:val="0"/>
          <w:sz w:val="20"/>
          <w:szCs w:val="20"/>
          <w:highlight w:val="none"/>
        </w:rPr>
      </w:pPr>
      <w:r>
        <w:rPr>
          <w:rFonts w:hint="eastAsia" w:ascii="宋体" w:hAnsi="宋体"/>
          <w:color w:val="000000"/>
          <w:kern w:val="0"/>
          <w:sz w:val="32"/>
          <w:szCs w:val="32"/>
          <w:highlight w:val="none"/>
        </w:rPr>
        <w:t>（项目名称）</w:t>
      </w:r>
    </w:p>
    <w:p w14:paraId="1B322507">
      <w:pPr>
        <w:widowControl/>
        <w:jc w:val="center"/>
        <w:rPr>
          <w:rFonts w:ascii="宋体" w:hAnsi="宋体"/>
          <w:b/>
          <w:bCs/>
          <w:color w:val="000000"/>
          <w:kern w:val="0"/>
          <w:sz w:val="44"/>
          <w:szCs w:val="44"/>
          <w:highlight w:val="none"/>
        </w:rPr>
      </w:pPr>
    </w:p>
    <w:p w14:paraId="372C2347">
      <w:pPr>
        <w:widowControl/>
        <w:jc w:val="center"/>
        <w:rPr>
          <w:rFonts w:ascii="宋体" w:hAnsi="宋体"/>
          <w:b/>
          <w:bCs/>
          <w:color w:val="000000"/>
          <w:kern w:val="0"/>
          <w:sz w:val="44"/>
          <w:szCs w:val="44"/>
          <w:highlight w:val="none"/>
        </w:rPr>
      </w:pPr>
    </w:p>
    <w:p w14:paraId="2DA79CC1">
      <w:pPr>
        <w:widowControl/>
        <w:jc w:val="center"/>
        <w:rPr>
          <w:rFonts w:ascii="宋体" w:hAnsi="宋体"/>
          <w:color w:val="000000"/>
          <w:kern w:val="0"/>
          <w:sz w:val="20"/>
          <w:szCs w:val="20"/>
          <w:highlight w:val="none"/>
        </w:rPr>
      </w:pPr>
      <w:r>
        <w:rPr>
          <w:rFonts w:hint="eastAsia" w:ascii="宋体" w:hAnsi="宋体"/>
          <w:b/>
          <w:bCs/>
          <w:color w:val="000000"/>
          <w:kern w:val="0"/>
          <w:sz w:val="44"/>
          <w:szCs w:val="44"/>
          <w:highlight w:val="none"/>
        </w:rPr>
        <w:t xml:space="preserve"> </w:t>
      </w:r>
      <w:r>
        <w:rPr>
          <w:rFonts w:hint="eastAsia" w:ascii="宋体" w:hAnsi="宋体"/>
          <w:b/>
          <w:bCs/>
          <w:color w:val="000000"/>
          <w:kern w:val="0"/>
          <w:sz w:val="72"/>
          <w:szCs w:val="72"/>
          <w:highlight w:val="none"/>
        </w:rPr>
        <w:t>响 应 文 件</w:t>
      </w:r>
      <w:bookmarkStart w:id="166" w:name="_Toc171073207"/>
      <w:bookmarkEnd w:id="166"/>
      <w:bookmarkStart w:id="167" w:name="_Toc169921407"/>
      <w:bookmarkEnd w:id="167"/>
      <w:bookmarkStart w:id="168" w:name="_Toc171073042"/>
      <w:bookmarkEnd w:id="168"/>
      <w:bookmarkStart w:id="169" w:name="_Toc223432387"/>
      <w:bookmarkEnd w:id="169"/>
    </w:p>
    <w:p w14:paraId="064569D2">
      <w:pPr>
        <w:widowControl/>
        <w:jc w:val="center"/>
        <w:rPr>
          <w:rFonts w:ascii="宋体" w:hAnsi="宋体"/>
          <w:color w:val="000000"/>
          <w:kern w:val="0"/>
          <w:sz w:val="20"/>
          <w:szCs w:val="20"/>
          <w:highlight w:val="none"/>
        </w:rPr>
      </w:pPr>
      <w:r>
        <w:rPr>
          <w:rFonts w:hint="eastAsia" w:ascii="宋体" w:hAnsi="宋体"/>
          <w:color w:val="000000"/>
          <w:kern w:val="0"/>
          <w:sz w:val="72"/>
          <w:szCs w:val="72"/>
          <w:highlight w:val="none"/>
        </w:rPr>
        <w:t xml:space="preserve"> </w:t>
      </w:r>
    </w:p>
    <w:p w14:paraId="226B9061">
      <w:pPr>
        <w:widowControl/>
        <w:jc w:val="center"/>
        <w:rPr>
          <w:rFonts w:ascii="宋体" w:hAnsi="宋体"/>
          <w:color w:val="000000"/>
          <w:kern w:val="0"/>
          <w:sz w:val="72"/>
          <w:szCs w:val="72"/>
          <w:highlight w:val="none"/>
        </w:rPr>
      </w:pPr>
      <w:r>
        <w:rPr>
          <w:rFonts w:hint="eastAsia" w:ascii="宋体" w:hAnsi="宋体"/>
          <w:color w:val="000000"/>
          <w:kern w:val="0"/>
          <w:sz w:val="72"/>
          <w:szCs w:val="72"/>
          <w:highlight w:val="none"/>
        </w:rPr>
        <w:t xml:space="preserve"> </w:t>
      </w:r>
    </w:p>
    <w:p w14:paraId="3404ADC2">
      <w:pPr>
        <w:widowControl/>
        <w:jc w:val="center"/>
        <w:rPr>
          <w:rFonts w:ascii="宋体" w:hAnsi="宋体"/>
          <w:color w:val="000000"/>
          <w:kern w:val="0"/>
          <w:sz w:val="20"/>
          <w:szCs w:val="20"/>
          <w:highlight w:val="none"/>
        </w:rPr>
      </w:pPr>
      <w:r>
        <w:rPr>
          <w:rFonts w:hint="eastAsia" w:ascii="宋体" w:hAnsi="宋体"/>
          <w:color w:val="000000"/>
          <w:kern w:val="0"/>
          <w:sz w:val="72"/>
          <w:szCs w:val="72"/>
          <w:highlight w:val="none"/>
        </w:rPr>
        <w:t xml:space="preserve"> </w:t>
      </w:r>
    </w:p>
    <w:p w14:paraId="64E1250C">
      <w:pPr>
        <w:widowControl/>
        <w:jc w:val="center"/>
        <w:rPr>
          <w:rFonts w:ascii="宋体" w:hAnsi="宋体"/>
          <w:color w:val="000000"/>
          <w:kern w:val="0"/>
          <w:sz w:val="27"/>
          <w:szCs w:val="27"/>
          <w:highlight w:val="none"/>
        </w:rPr>
      </w:pPr>
      <w:r>
        <w:rPr>
          <w:rFonts w:hint="eastAsia" w:ascii="宋体" w:hAnsi="宋体"/>
          <w:b/>
          <w:bCs/>
          <w:color w:val="000000"/>
          <w:kern w:val="0"/>
          <w:sz w:val="30"/>
          <w:szCs w:val="30"/>
          <w:highlight w:val="none"/>
        </w:rPr>
        <w:t>项目编号：</w:t>
      </w:r>
    </w:p>
    <w:p w14:paraId="6BFAC8CC">
      <w:pPr>
        <w:widowControl/>
        <w:spacing w:line="480" w:lineRule="auto"/>
        <w:ind w:firstLine="1090"/>
        <w:rPr>
          <w:rFonts w:ascii="宋体" w:hAnsi="宋体"/>
          <w:color w:val="000000"/>
          <w:kern w:val="0"/>
          <w:sz w:val="28"/>
          <w:szCs w:val="28"/>
          <w:highlight w:val="none"/>
        </w:rPr>
      </w:pPr>
      <w:r>
        <w:rPr>
          <w:rFonts w:hint="eastAsia" w:ascii="宋体" w:hAnsi="宋体"/>
          <w:color w:val="000000"/>
          <w:kern w:val="0"/>
          <w:sz w:val="28"/>
          <w:szCs w:val="28"/>
          <w:highlight w:val="none"/>
        </w:rPr>
        <w:t xml:space="preserve"> </w:t>
      </w:r>
    </w:p>
    <w:p w14:paraId="37852113">
      <w:pPr>
        <w:widowControl/>
        <w:spacing w:line="480" w:lineRule="auto"/>
        <w:ind w:firstLine="1090"/>
        <w:rPr>
          <w:rFonts w:ascii="宋体" w:hAnsi="宋体"/>
          <w:color w:val="000000"/>
          <w:kern w:val="0"/>
          <w:sz w:val="28"/>
          <w:szCs w:val="28"/>
          <w:highlight w:val="none"/>
        </w:rPr>
      </w:pPr>
      <w:r>
        <w:rPr>
          <w:rFonts w:hint="eastAsia" w:ascii="宋体" w:hAnsi="宋体"/>
          <w:color w:val="000000"/>
          <w:kern w:val="0"/>
          <w:sz w:val="28"/>
          <w:szCs w:val="28"/>
          <w:highlight w:val="none"/>
        </w:rPr>
        <w:t xml:space="preserve"> </w:t>
      </w:r>
    </w:p>
    <w:p w14:paraId="3431F5AE">
      <w:pPr>
        <w:widowControl/>
        <w:spacing w:line="480" w:lineRule="auto"/>
        <w:ind w:firstLine="1090"/>
        <w:rPr>
          <w:rFonts w:ascii="宋体" w:hAnsi="宋体"/>
          <w:color w:val="000000"/>
          <w:kern w:val="0"/>
          <w:sz w:val="28"/>
          <w:szCs w:val="28"/>
          <w:highlight w:val="none"/>
        </w:rPr>
      </w:pPr>
      <w:r>
        <w:rPr>
          <w:rFonts w:hint="eastAsia" w:ascii="宋体" w:hAnsi="宋体"/>
          <w:color w:val="000000"/>
          <w:kern w:val="0"/>
          <w:sz w:val="28"/>
          <w:szCs w:val="28"/>
          <w:highlight w:val="none"/>
        </w:rPr>
        <w:t xml:space="preserve"> </w:t>
      </w:r>
    </w:p>
    <w:p w14:paraId="6A3C3E20">
      <w:pPr>
        <w:widowControl/>
        <w:spacing w:line="480" w:lineRule="auto"/>
        <w:ind w:firstLine="1090"/>
        <w:rPr>
          <w:rFonts w:ascii="宋体" w:hAnsi="宋体"/>
          <w:color w:val="000000"/>
          <w:kern w:val="0"/>
          <w:sz w:val="28"/>
          <w:szCs w:val="28"/>
          <w:highlight w:val="none"/>
        </w:rPr>
      </w:pPr>
    </w:p>
    <w:p w14:paraId="2C7486D9">
      <w:pPr>
        <w:widowControl/>
        <w:spacing w:line="480" w:lineRule="auto"/>
        <w:rPr>
          <w:rFonts w:ascii="宋体" w:hAnsi="宋体"/>
          <w:color w:val="000000"/>
          <w:kern w:val="0"/>
          <w:sz w:val="20"/>
          <w:szCs w:val="20"/>
          <w:highlight w:val="none"/>
        </w:rPr>
      </w:pPr>
    </w:p>
    <w:p w14:paraId="54088155">
      <w:pPr>
        <w:widowControl/>
        <w:spacing w:line="480" w:lineRule="auto"/>
        <w:jc w:val="center"/>
        <w:rPr>
          <w:rFonts w:ascii="宋体" w:hAnsi="宋体"/>
          <w:color w:val="000000"/>
          <w:kern w:val="0"/>
          <w:sz w:val="20"/>
          <w:szCs w:val="20"/>
          <w:highlight w:val="none"/>
        </w:rPr>
      </w:pPr>
      <w:r>
        <w:rPr>
          <w:rFonts w:hint="eastAsia" w:ascii="宋体" w:hAnsi="宋体"/>
          <w:color w:val="000000"/>
          <w:kern w:val="0"/>
          <w:sz w:val="28"/>
          <w:szCs w:val="28"/>
          <w:highlight w:val="none"/>
        </w:rPr>
        <w:t xml:space="preserve">     谈判供应商：</w:t>
      </w:r>
      <w:r>
        <w:rPr>
          <w:rFonts w:hint="eastAsia" w:ascii="宋体" w:hAnsi="宋体"/>
          <w:color w:val="000000"/>
          <w:kern w:val="0"/>
          <w:sz w:val="28"/>
          <w:szCs w:val="28"/>
          <w:highlight w:val="none"/>
          <w:u w:val="single"/>
        </w:rPr>
        <w:t xml:space="preserve">               </w:t>
      </w:r>
      <w:r>
        <w:rPr>
          <w:rFonts w:hint="eastAsia" w:ascii="宋体" w:hAnsi="宋体"/>
          <w:color w:val="000000"/>
          <w:kern w:val="0"/>
          <w:sz w:val="28"/>
          <w:szCs w:val="28"/>
          <w:highlight w:val="none"/>
        </w:rPr>
        <w:t>（</w:t>
      </w:r>
      <w:r>
        <w:rPr>
          <w:rFonts w:hint="eastAsia" w:ascii="宋体" w:hAnsi="宋体"/>
          <w:bCs/>
          <w:color w:val="000000"/>
          <w:kern w:val="0"/>
          <w:sz w:val="28"/>
          <w:szCs w:val="28"/>
          <w:highlight w:val="none"/>
        </w:rPr>
        <w:t>电子签章</w:t>
      </w:r>
      <w:r>
        <w:rPr>
          <w:rFonts w:hint="eastAsia" w:ascii="宋体" w:hAnsi="宋体"/>
          <w:color w:val="000000"/>
          <w:kern w:val="0"/>
          <w:sz w:val="28"/>
          <w:szCs w:val="28"/>
          <w:highlight w:val="none"/>
        </w:rPr>
        <w:t>）</w:t>
      </w:r>
    </w:p>
    <w:p w14:paraId="74B9437A">
      <w:pPr>
        <w:widowControl/>
        <w:spacing w:line="480" w:lineRule="auto"/>
        <w:jc w:val="center"/>
        <w:rPr>
          <w:rFonts w:ascii="宋体" w:hAnsi="宋体"/>
          <w:color w:val="000000"/>
          <w:kern w:val="0"/>
          <w:sz w:val="20"/>
          <w:szCs w:val="20"/>
          <w:highlight w:val="none"/>
        </w:rPr>
      </w:pPr>
      <w:r>
        <w:rPr>
          <w:rFonts w:hint="eastAsia" w:ascii="宋体" w:hAnsi="宋体"/>
          <w:color w:val="000000"/>
          <w:kern w:val="0"/>
          <w:sz w:val="28"/>
          <w:szCs w:val="28"/>
          <w:highlight w:val="none"/>
          <w:lang w:val="en-US" w:eastAsia="zh-CN"/>
        </w:rPr>
        <w:t xml:space="preserve"> </w:t>
      </w:r>
      <w:r>
        <w:rPr>
          <w:rFonts w:hint="eastAsia" w:ascii="宋体" w:hAnsi="宋体"/>
          <w:color w:val="000000"/>
          <w:kern w:val="0"/>
          <w:sz w:val="28"/>
          <w:szCs w:val="28"/>
          <w:highlight w:val="none"/>
        </w:rPr>
        <w:t>法定代表人：</w:t>
      </w:r>
      <w:r>
        <w:rPr>
          <w:rFonts w:hint="eastAsia" w:ascii="宋体" w:hAnsi="宋体"/>
          <w:color w:val="000000"/>
          <w:kern w:val="0"/>
          <w:sz w:val="28"/>
          <w:szCs w:val="28"/>
          <w:highlight w:val="none"/>
          <w:u w:val="single"/>
        </w:rPr>
        <w:t xml:space="preserve">           </w:t>
      </w:r>
      <w:r>
        <w:rPr>
          <w:rFonts w:hint="eastAsia" w:ascii="宋体" w:hAnsi="宋体"/>
          <w:color w:val="000000"/>
          <w:kern w:val="0"/>
          <w:sz w:val="28"/>
          <w:szCs w:val="28"/>
          <w:highlight w:val="none"/>
        </w:rPr>
        <w:t>（</w:t>
      </w:r>
      <w:r>
        <w:rPr>
          <w:rFonts w:hint="eastAsia" w:ascii="宋体" w:hAnsi="宋体"/>
          <w:bCs/>
          <w:color w:val="000000"/>
          <w:kern w:val="0"/>
          <w:sz w:val="28"/>
          <w:szCs w:val="28"/>
          <w:highlight w:val="none"/>
        </w:rPr>
        <w:t>电子签章</w:t>
      </w:r>
      <w:r>
        <w:rPr>
          <w:rFonts w:hint="eastAsia" w:ascii="宋体" w:hAnsi="宋体"/>
          <w:color w:val="000000"/>
          <w:kern w:val="0"/>
          <w:sz w:val="28"/>
          <w:szCs w:val="28"/>
          <w:highlight w:val="none"/>
        </w:rPr>
        <w:t>）</w:t>
      </w:r>
    </w:p>
    <w:p w14:paraId="573D7978">
      <w:pPr>
        <w:spacing w:line="360" w:lineRule="auto"/>
        <w:ind w:left="-359" w:leftChars="-171" w:right="-334" w:rightChars="-159" w:firstLine="3080" w:firstLineChars="1100"/>
        <w:rPr>
          <w:rFonts w:ascii="宋体" w:hAnsi="宋体" w:cs="宋体"/>
          <w:b/>
          <w:bCs/>
          <w:color w:val="000000"/>
          <w:kern w:val="10"/>
          <w:sz w:val="28"/>
          <w:szCs w:val="28"/>
          <w:highlight w:val="none"/>
        </w:rPr>
      </w:pPr>
      <w:r>
        <w:rPr>
          <w:rFonts w:hint="eastAsia" w:ascii="宋体" w:hAnsi="宋体"/>
          <w:color w:val="000000"/>
          <w:kern w:val="0"/>
          <w:sz w:val="28"/>
          <w:szCs w:val="28"/>
          <w:highlight w:val="none"/>
        </w:rPr>
        <w:t>日期： 年 月 日</w:t>
      </w:r>
    </w:p>
    <w:p w14:paraId="5D0F0A2C">
      <w:pPr>
        <w:spacing w:line="360" w:lineRule="auto"/>
        <w:ind w:right="-334" w:rightChars="-159"/>
        <w:jc w:val="center"/>
        <w:rPr>
          <w:rFonts w:ascii="宋体" w:hAnsi="宋体"/>
          <w:b/>
          <w:color w:val="000000"/>
          <w:spacing w:val="20"/>
          <w:sz w:val="28"/>
          <w:szCs w:val="28"/>
          <w:highlight w:val="none"/>
        </w:rPr>
      </w:pPr>
    </w:p>
    <w:p w14:paraId="5F79D065">
      <w:pPr>
        <w:pStyle w:val="8"/>
        <w:rPr>
          <w:color w:val="000000"/>
          <w:highlight w:val="none"/>
        </w:rPr>
      </w:pPr>
    </w:p>
    <w:p w14:paraId="3779A98B">
      <w:pPr>
        <w:spacing w:line="360" w:lineRule="auto"/>
        <w:ind w:right="-334" w:rightChars="-159"/>
        <w:jc w:val="center"/>
        <w:rPr>
          <w:rFonts w:ascii="宋体" w:hAnsi="宋体"/>
          <w:b/>
          <w:color w:val="000000"/>
          <w:spacing w:val="20"/>
          <w:sz w:val="28"/>
          <w:szCs w:val="28"/>
          <w:highlight w:val="none"/>
        </w:rPr>
      </w:pPr>
    </w:p>
    <w:p w14:paraId="2591E053">
      <w:pPr>
        <w:spacing w:line="360" w:lineRule="auto"/>
        <w:ind w:right="-334" w:rightChars="-159"/>
        <w:jc w:val="center"/>
        <w:rPr>
          <w:rFonts w:ascii="宋体" w:hAnsi="宋体"/>
          <w:b/>
          <w:color w:val="000000"/>
          <w:spacing w:val="20"/>
          <w:sz w:val="36"/>
          <w:szCs w:val="36"/>
          <w:highlight w:val="none"/>
        </w:rPr>
      </w:pPr>
      <w:r>
        <w:rPr>
          <w:rFonts w:hint="eastAsia" w:ascii="宋体" w:hAnsi="宋体"/>
          <w:b/>
          <w:color w:val="000000"/>
          <w:spacing w:val="20"/>
          <w:sz w:val="36"/>
          <w:szCs w:val="36"/>
          <w:highlight w:val="none"/>
        </w:rPr>
        <w:t>目录</w:t>
      </w:r>
    </w:p>
    <w:p w14:paraId="6335A804">
      <w:pPr>
        <w:tabs>
          <w:tab w:val="left" w:pos="0"/>
        </w:tabs>
        <w:spacing w:line="480" w:lineRule="auto"/>
        <w:ind w:left="1622"/>
        <w:rPr>
          <w:rFonts w:ascii="宋体" w:hAnsi="宋体"/>
          <w:b/>
          <w:color w:val="000000"/>
          <w:sz w:val="28"/>
          <w:szCs w:val="28"/>
          <w:highlight w:val="none"/>
        </w:rPr>
      </w:pPr>
      <w:r>
        <w:rPr>
          <w:rFonts w:ascii="宋体" w:hAnsi="宋体"/>
          <w:b/>
          <w:color w:val="000000"/>
          <w:sz w:val="28"/>
          <w:szCs w:val="28"/>
          <w:highlight w:val="none"/>
        </w:rPr>
        <w:t>1</w:t>
      </w:r>
      <w:r>
        <w:rPr>
          <w:rFonts w:hint="eastAsia" w:ascii="宋体" w:hAnsi="宋体"/>
          <w:b/>
          <w:color w:val="000000"/>
          <w:sz w:val="28"/>
          <w:szCs w:val="28"/>
          <w:highlight w:val="none"/>
        </w:rPr>
        <w:t>、</w:t>
      </w:r>
      <w:bookmarkStart w:id="170" w:name="_Hlt532935815"/>
      <w:bookmarkEnd w:id="170"/>
      <w:bookmarkStart w:id="171" w:name="_Hlt532935814"/>
      <w:bookmarkEnd w:id="171"/>
      <w:r>
        <w:rPr>
          <w:rFonts w:hint="eastAsia" w:ascii="宋体" w:hAnsi="宋体"/>
          <w:b/>
          <w:color w:val="000000"/>
          <w:sz w:val="28"/>
          <w:szCs w:val="28"/>
          <w:highlight w:val="none"/>
        </w:rPr>
        <w:t>投标函及谈判报价表</w:t>
      </w:r>
    </w:p>
    <w:p w14:paraId="6B8307CD">
      <w:pPr>
        <w:tabs>
          <w:tab w:val="left" w:pos="0"/>
        </w:tabs>
        <w:spacing w:line="480" w:lineRule="auto"/>
        <w:ind w:left="1622"/>
        <w:jc w:val="left"/>
        <w:rPr>
          <w:rFonts w:ascii="宋体" w:hAnsi="宋体"/>
          <w:b/>
          <w:color w:val="000000"/>
          <w:sz w:val="28"/>
          <w:szCs w:val="28"/>
          <w:highlight w:val="none"/>
        </w:rPr>
      </w:pPr>
      <w:r>
        <w:rPr>
          <w:rFonts w:hint="eastAsia" w:ascii="宋体" w:hAnsi="宋体"/>
          <w:b/>
          <w:color w:val="000000"/>
          <w:sz w:val="28"/>
          <w:szCs w:val="28"/>
          <w:highlight w:val="none"/>
        </w:rPr>
        <w:t>2、法定代表人身份证明及授权委托书</w:t>
      </w:r>
      <w:r>
        <w:rPr>
          <w:rFonts w:ascii="宋体" w:hAnsi="宋体"/>
          <w:b/>
          <w:color w:val="000000"/>
          <w:sz w:val="28"/>
          <w:szCs w:val="28"/>
          <w:highlight w:val="none"/>
        </w:rPr>
        <w:tab/>
      </w:r>
    </w:p>
    <w:p w14:paraId="65E793D4">
      <w:pPr>
        <w:tabs>
          <w:tab w:val="left" w:pos="0"/>
        </w:tabs>
        <w:spacing w:line="480" w:lineRule="auto"/>
        <w:ind w:left="1622"/>
        <w:rPr>
          <w:rFonts w:ascii="宋体" w:hAnsi="宋体"/>
          <w:b/>
          <w:color w:val="000000"/>
          <w:sz w:val="28"/>
          <w:szCs w:val="28"/>
          <w:highlight w:val="none"/>
        </w:rPr>
      </w:pPr>
      <w:r>
        <w:rPr>
          <w:rFonts w:hint="eastAsia" w:ascii="宋体" w:hAnsi="宋体"/>
          <w:b/>
          <w:color w:val="000000"/>
          <w:sz w:val="28"/>
          <w:szCs w:val="28"/>
          <w:highlight w:val="none"/>
        </w:rPr>
        <w:t>3、谈判承诺函</w:t>
      </w:r>
    </w:p>
    <w:p w14:paraId="36D14F4B">
      <w:pPr>
        <w:tabs>
          <w:tab w:val="left" w:pos="0"/>
        </w:tabs>
        <w:spacing w:line="480" w:lineRule="auto"/>
        <w:ind w:left="1622"/>
        <w:rPr>
          <w:rFonts w:ascii="宋体" w:hAnsi="宋体"/>
          <w:b/>
          <w:color w:val="000000"/>
          <w:sz w:val="28"/>
          <w:szCs w:val="28"/>
          <w:highlight w:val="none"/>
        </w:rPr>
      </w:pPr>
      <w:r>
        <w:rPr>
          <w:rFonts w:hint="eastAsia" w:ascii="宋体" w:hAnsi="宋体"/>
          <w:b/>
          <w:color w:val="000000"/>
          <w:sz w:val="28"/>
          <w:szCs w:val="28"/>
          <w:highlight w:val="none"/>
        </w:rPr>
        <w:t>4、谈判供应商情况</w:t>
      </w:r>
      <w:r>
        <w:rPr>
          <w:rFonts w:ascii="宋体" w:hAnsi="宋体"/>
          <w:b/>
          <w:color w:val="000000"/>
          <w:sz w:val="28"/>
          <w:szCs w:val="28"/>
          <w:highlight w:val="none"/>
        </w:rPr>
        <w:tab/>
      </w:r>
    </w:p>
    <w:p w14:paraId="727BBFED">
      <w:pPr>
        <w:tabs>
          <w:tab w:val="left" w:pos="0"/>
        </w:tabs>
        <w:spacing w:line="480" w:lineRule="auto"/>
        <w:ind w:left="1622"/>
        <w:rPr>
          <w:rFonts w:hint="eastAsia" w:ascii="宋体" w:hAnsi="宋体"/>
          <w:b/>
          <w:color w:val="000000"/>
          <w:sz w:val="28"/>
          <w:szCs w:val="28"/>
          <w:highlight w:val="none"/>
        </w:rPr>
      </w:pPr>
      <w:r>
        <w:rPr>
          <w:rFonts w:hint="eastAsia" w:ascii="宋体" w:hAnsi="宋体"/>
          <w:b/>
          <w:color w:val="000000"/>
          <w:sz w:val="28"/>
          <w:szCs w:val="28"/>
          <w:highlight w:val="none"/>
        </w:rPr>
        <w:t>5、投标供应商资格声明函</w:t>
      </w:r>
    </w:p>
    <w:p w14:paraId="6B65EB2D">
      <w:pPr>
        <w:tabs>
          <w:tab w:val="left" w:pos="0"/>
        </w:tabs>
        <w:spacing w:line="480" w:lineRule="auto"/>
        <w:ind w:left="1622"/>
        <w:rPr>
          <w:rFonts w:hint="eastAsia" w:ascii="宋体" w:hAnsi="宋体"/>
          <w:b/>
          <w:color w:val="000000"/>
          <w:sz w:val="28"/>
          <w:szCs w:val="28"/>
          <w:highlight w:val="none"/>
        </w:rPr>
      </w:pPr>
      <w:r>
        <w:rPr>
          <w:rFonts w:hint="eastAsia" w:ascii="宋体" w:hAnsi="宋体"/>
          <w:b/>
          <w:color w:val="000000"/>
          <w:sz w:val="28"/>
          <w:szCs w:val="28"/>
          <w:highlight w:val="none"/>
          <w:lang w:val="en-US" w:eastAsia="zh-CN"/>
        </w:rPr>
        <w:t>6、</w:t>
      </w:r>
      <w:r>
        <w:rPr>
          <w:rFonts w:hint="eastAsia" w:ascii="宋体" w:hAnsi="宋体"/>
          <w:b/>
          <w:color w:val="000000"/>
          <w:sz w:val="28"/>
          <w:szCs w:val="28"/>
          <w:highlight w:val="none"/>
        </w:rPr>
        <w:t>享受政府采购政策扶持的证明材料</w:t>
      </w:r>
    </w:p>
    <w:p w14:paraId="7EF28444">
      <w:pPr>
        <w:tabs>
          <w:tab w:val="left" w:pos="0"/>
        </w:tabs>
        <w:spacing w:line="480" w:lineRule="auto"/>
        <w:ind w:left="1622"/>
        <w:rPr>
          <w:rFonts w:ascii="宋体" w:hAnsi="宋体"/>
          <w:color w:val="000000"/>
          <w:szCs w:val="20"/>
          <w:highlight w:val="none"/>
        </w:rPr>
      </w:pPr>
      <w:r>
        <w:rPr>
          <w:rFonts w:hint="eastAsia" w:ascii="宋体" w:hAnsi="宋体"/>
          <w:b/>
          <w:color w:val="000000"/>
          <w:sz w:val="28"/>
          <w:szCs w:val="28"/>
          <w:highlight w:val="none"/>
          <w:lang w:val="en-US" w:eastAsia="zh-CN"/>
        </w:rPr>
        <w:t>7</w:t>
      </w:r>
      <w:r>
        <w:rPr>
          <w:rFonts w:hint="eastAsia" w:ascii="宋体" w:hAnsi="宋体"/>
          <w:b/>
          <w:color w:val="000000"/>
          <w:sz w:val="28"/>
          <w:szCs w:val="28"/>
          <w:highlight w:val="none"/>
        </w:rPr>
        <w:t>、其它相关资料</w:t>
      </w:r>
    </w:p>
    <w:p w14:paraId="134113BC">
      <w:pPr>
        <w:spacing w:line="360" w:lineRule="auto"/>
        <w:ind w:right="-334" w:rightChars="-159"/>
        <w:jc w:val="center"/>
        <w:rPr>
          <w:rFonts w:ascii="宋体" w:hAnsi="宋体"/>
          <w:b/>
          <w:color w:val="000000"/>
          <w:spacing w:val="20"/>
          <w:sz w:val="28"/>
          <w:szCs w:val="28"/>
          <w:highlight w:val="none"/>
        </w:rPr>
      </w:pPr>
    </w:p>
    <w:p w14:paraId="7930D4D2">
      <w:pPr>
        <w:spacing w:line="360" w:lineRule="auto"/>
        <w:ind w:right="-334" w:rightChars="-159"/>
        <w:jc w:val="center"/>
        <w:rPr>
          <w:rFonts w:ascii="宋体" w:hAnsi="宋体"/>
          <w:b/>
          <w:color w:val="000000"/>
          <w:spacing w:val="20"/>
          <w:sz w:val="28"/>
          <w:szCs w:val="28"/>
          <w:highlight w:val="none"/>
        </w:rPr>
      </w:pPr>
    </w:p>
    <w:p w14:paraId="225976CC">
      <w:pPr>
        <w:spacing w:line="360" w:lineRule="auto"/>
        <w:ind w:right="-334" w:rightChars="-159"/>
        <w:jc w:val="center"/>
        <w:rPr>
          <w:rFonts w:ascii="宋体" w:hAnsi="宋体"/>
          <w:b/>
          <w:color w:val="000000"/>
          <w:spacing w:val="20"/>
          <w:sz w:val="28"/>
          <w:szCs w:val="28"/>
          <w:highlight w:val="none"/>
        </w:rPr>
      </w:pPr>
    </w:p>
    <w:p w14:paraId="10DC801C">
      <w:pPr>
        <w:spacing w:line="360" w:lineRule="auto"/>
        <w:ind w:right="-334" w:rightChars="-159"/>
        <w:jc w:val="center"/>
        <w:rPr>
          <w:rFonts w:ascii="宋体" w:hAnsi="宋体"/>
          <w:b/>
          <w:color w:val="000000"/>
          <w:spacing w:val="20"/>
          <w:sz w:val="28"/>
          <w:szCs w:val="28"/>
          <w:highlight w:val="none"/>
        </w:rPr>
      </w:pPr>
    </w:p>
    <w:p w14:paraId="47350B3E">
      <w:pPr>
        <w:spacing w:line="360" w:lineRule="auto"/>
        <w:ind w:right="-334" w:rightChars="-159"/>
        <w:jc w:val="center"/>
        <w:rPr>
          <w:rFonts w:ascii="宋体" w:hAnsi="宋体"/>
          <w:b/>
          <w:color w:val="000000"/>
          <w:spacing w:val="20"/>
          <w:sz w:val="28"/>
          <w:szCs w:val="28"/>
          <w:highlight w:val="none"/>
        </w:rPr>
      </w:pPr>
    </w:p>
    <w:p w14:paraId="7D2D8F46">
      <w:pPr>
        <w:spacing w:line="360" w:lineRule="auto"/>
        <w:ind w:right="-334" w:rightChars="-159"/>
        <w:jc w:val="center"/>
        <w:rPr>
          <w:rFonts w:ascii="宋体" w:hAnsi="宋体"/>
          <w:b/>
          <w:color w:val="000000"/>
          <w:spacing w:val="20"/>
          <w:sz w:val="28"/>
          <w:szCs w:val="28"/>
          <w:highlight w:val="none"/>
        </w:rPr>
      </w:pPr>
    </w:p>
    <w:p w14:paraId="62BFCFA1">
      <w:pPr>
        <w:spacing w:line="360" w:lineRule="auto"/>
        <w:ind w:right="-334" w:rightChars="-159"/>
        <w:jc w:val="center"/>
        <w:rPr>
          <w:rFonts w:ascii="宋体" w:hAnsi="宋体"/>
          <w:b/>
          <w:color w:val="000000"/>
          <w:spacing w:val="20"/>
          <w:sz w:val="28"/>
          <w:szCs w:val="28"/>
          <w:highlight w:val="none"/>
        </w:rPr>
      </w:pPr>
    </w:p>
    <w:p w14:paraId="179ACC9D">
      <w:pPr>
        <w:spacing w:line="360" w:lineRule="auto"/>
        <w:ind w:right="-334" w:rightChars="-159"/>
        <w:jc w:val="center"/>
        <w:rPr>
          <w:rFonts w:ascii="宋体" w:hAnsi="宋体"/>
          <w:b/>
          <w:color w:val="000000"/>
          <w:spacing w:val="20"/>
          <w:sz w:val="28"/>
          <w:szCs w:val="28"/>
          <w:highlight w:val="none"/>
        </w:rPr>
      </w:pPr>
    </w:p>
    <w:p w14:paraId="67D6684A">
      <w:pPr>
        <w:spacing w:line="360" w:lineRule="auto"/>
        <w:ind w:right="-334" w:rightChars="-159"/>
        <w:jc w:val="center"/>
        <w:rPr>
          <w:rFonts w:ascii="宋体" w:hAnsi="宋体"/>
          <w:b/>
          <w:color w:val="000000"/>
          <w:spacing w:val="20"/>
          <w:sz w:val="28"/>
          <w:szCs w:val="28"/>
          <w:highlight w:val="none"/>
        </w:rPr>
      </w:pPr>
    </w:p>
    <w:p w14:paraId="54C4B253">
      <w:pPr>
        <w:spacing w:line="360" w:lineRule="auto"/>
        <w:ind w:right="-334" w:rightChars="-159"/>
        <w:jc w:val="center"/>
        <w:rPr>
          <w:rFonts w:ascii="宋体" w:hAnsi="宋体"/>
          <w:b/>
          <w:color w:val="000000"/>
          <w:spacing w:val="20"/>
          <w:sz w:val="28"/>
          <w:szCs w:val="28"/>
          <w:highlight w:val="none"/>
        </w:rPr>
      </w:pPr>
    </w:p>
    <w:p w14:paraId="53459BCA">
      <w:pPr>
        <w:spacing w:line="360" w:lineRule="auto"/>
        <w:ind w:right="-334" w:rightChars="-159"/>
        <w:jc w:val="center"/>
        <w:rPr>
          <w:rFonts w:ascii="宋体" w:hAnsi="宋体"/>
          <w:b/>
          <w:color w:val="000000"/>
          <w:spacing w:val="20"/>
          <w:sz w:val="32"/>
          <w:szCs w:val="28"/>
          <w:highlight w:val="none"/>
        </w:rPr>
      </w:pPr>
    </w:p>
    <w:p w14:paraId="5A162754">
      <w:pPr>
        <w:spacing w:line="360" w:lineRule="auto"/>
        <w:ind w:right="-334" w:rightChars="-159"/>
        <w:jc w:val="center"/>
        <w:rPr>
          <w:rFonts w:ascii="宋体" w:hAnsi="宋体"/>
          <w:b/>
          <w:color w:val="000000"/>
          <w:spacing w:val="20"/>
          <w:sz w:val="32"/>
          <w:szCs w:val="28"/>
          <w:highlight w:val="none"/>
        </w:rPr>
      </w:pPr>
    </w:p>
    <w:p w14:paraId="0E4E6107">
      <w:pPr>
        <w:spacing w:line="360" w:lineRule="auto"/>
        <w:ind w:right="-334" w:rightChars="-159"/>
        <w:jc w:val="center"/>
        <w:rPr>
          <w:rFonts w:ascii="宋体" w:hAnsi="宋体"/>
          <w:b/>
          <w:color w:val="000000"/>
          <w:sz w:val="32"/>
          <w:szCs w:val="28"/>
          <w:highlight w:val="none"/>
        </w:rPr>
      </w:pPr>
      <w:r>
        <w:rPr>
          <w:rFonts w:hint="eastAsia" w:ascii="宋体" w:hAnsi="宋体"/>
          <w:b/>
          <w:color w:val="000000"/>
          <w:spacing w:val="20"/>
          <w:sz w:val="32"/>
          <w:szCs w:val="28"/>
          <w:highlight w:val="none"/>
        </w:rPr>
        <w:t>一、</w:t>
      </w:r>
      <w:bookmarkEnd w:id="161"/>
      <w:bookmarkEnd w:id="162"/>
      <w:bookmarkEnd w:id="163"/>
      <w:bookmarkEnd w:id="164"/>
      <w:bookmarkEnd w:id="165"/>
      <w:bookmarkStart w:id="172" w:name="_Toc234382958"/>
      <w:r>
        <w:rPr>
          <w:rFonts w:hint="eastAsia" w:ascii="宋体" w:hAnsi="宋体"/>
          <w:b/>
          <w:color w:val="000000"/>
          <w:sz w:val="32"/>
          <w:szCs w:val="28"/>
          <w:highlight w:val="none"/>
        </w:rPr>
        <w:t>谈判函及谈判报价表</w:t>
      </w:r>
    </w:p>
    <w:p w14:paraId="1BE424E0">
      <w:pPr>
        <w:spacing w:line="360" w:lineRule="auto"/>
        <w:ind w:right="-334" w:rightChars="-159"/>
        <w:jc w:val="center"/>
        <w:rPr>
          <w:rFonts w:ascii="宋体" w:hAnsi="宋体" w:cs="宋体"/>
          <w:bCs/>
          <w:color w:val="000000"/>
          <w:kern w:val="10"/>
          <w:sz w:val="32"/>
          <w:szCs w:val="28"/>
          <w:highlight w:val="none"/>
        </w:rPr>
      </w:pPr>
      <w:r>
        <w:rPr>
          <w:rFonts w:hint="eastAsia" w:ascii="宋体" w:hAnsi="宋体"/>
          <w:bCs/>
          <w:color w:val="000000"/>
          <w:sz w:val="32"/>
          <w:szCs w:val="28"/>
          <w:highlight w:val="none"/>
        </w:rPr>
        <w:t>（一）谈判函</w:t>
      </w:r>
    </w:p>
    <w:p w14:paraId="79176B47">
      <w:pPr>
        <w:spacing w:line="360" w:lineRule="auto"/>
        <w:ind w:left="-359" w:leftChars="-171" w:right="-334" w:rightChars="-159" w:firstLine="1"/>
        <w:rPr>
          <w:rFonts w:ascii="宋体" w:hAnsi="宋体" w:cs="宋体"/>
          <w:b/>
          <w:bCs/>
          <w:color w:val="000000"/>
          <w:kern w:val="10"/>
          <w:sz w:val="28"/>
          <w:szCs w:val="28"/>
          <w:highlight w:val="none"/>
        </w:rPr>
      </w:pPr>
    </w:p>
    <w:bookmarkEnd w:id="172"/>
    <w:p w14:paraId="7DD8E0EB">
      <w:pPr>
        <w:widowControl/>
        <w:spacing w:line="600" w:lineRule="exact"/>
        <w:jc w:val="left"/>
        <w:rPr>
          <w:rFonts w:ascii="宋体" w:hAnsi="宋体"/>
          <w:color w:val="000000"/>
          <w:kern w:val="0"/>
          <w:sz w:val="24"/>
          <w:szCs w:val="24"/>
          <w:highlight w:val="none"/>
        </w:rPr>
      </w:pPr>
      <w:r>
        <w:rPr>
          <w:rFonts w:hint="eastAsia" w:ascii="宋体" w:hAnsi="宋体" w:cs="宋体"/>
          <w:color w:val="000000"/>
          <w:kern w:val="10"/>
          <w:sz w:val="24"/>
          <w:highlight w:val="none"/>
        </w:rPr>
        <w:t xml:space="preserve">   </w:t>
      </w:r>
      <w:r>
        <w:rPr>
          <w:rFonts w:hint="eastAsia" w:ascii="宋体" w:hAnsi="宋体"/>
          <w:color w:val="000000"/>
          <w:spacing w:val="46"/>
          <w:kern w:val="0"/>
          <w:sz w:val="24"/>
          <w:szCs w:val="24"/>
          <w:highlight w:val="none"/>
        </w:rPr>
        <w:t>致</w:t>
      </w:r>
      <w:r>
        <w:rPr>
          <w:rFonts w:hint="eastAsia" w:ascii="宋体" w:hAnsi="宋体"/>
          <w:color w:val="000000"/>
          <w:spacing w:val="46"/>
          <w:kern w:val="0"/>
          <w:sz w:val="24"/>
          <w:szCs w:val="24"/>
          <w:highlight w:val="none"/>
          <w:u w:val="single"/>
        </w:rPr>
        <w:t xml:space="preserve"> （采购人） </w:t>
      </w:r>
      <w:r>
        <w:rPr>
          <w:rFonts w:hint="eastAsia" w:ascii="宋体" w:hAnsi="宋体"/>
          <w:color w:val="000000"/>
          <w:spacing w:val="46"/>
          <w:kern w:val="0"/>
          <w:sz w:val="24"/>
          <w:szCs w:val="24"/>
          <w:highlight w:val="none"/>
        </w:rPr>
        <w:t>：</w:t>
      </w:r>
    </w:p>
    <w:p w14:paraId="7A05F1F5">
      <w:pPr>
        <w:widowControl/>
        <w:spacing w:line="600" w:lineRule="exact"/>
        <w:ind w:firstLine="480"/>
        <w:jc w:val="left"/>
        <w:rPr>
          <w:rFonts w:ascii="宋体" w:hAnsi="宋体"/>
          <w:color w:val="000000"/>
          <w:kern w:val="0"/>
          <w:sz w:val="24"/>
          <w:szCs w:val="24"/>
          <w:highlight w:val="none"/>
        </w:rPr>
      </w:pPr>
      <w:r>
        <w:rPr>
          <w:rFonts w:hint="eastAsia" w:ascii="宋体" w:hAnsi="宋体"/>
          <w:color w:val="000000"/>
          <w:kern w:val="0"/>
          <w:sz w:val="24"/>
          <w:szCs w:val="24"/>
          <w:highlight w:val="none"/>
        </w:rPr>
        <w:t>根据已收到贵方</w:t>
      </w:r>
      <w:r>
        <w:rPr>
          <w:rFonts w:hint="eastAsia" w:ascii="宋体" w:hAnsi="宋体"/>
          <w:color w:val="000000"/>
          <w:kern w:val="0"/>
          <w:sz w:val="24"/>
          <w:szCs w:val="24"/>
          <w:highlight w:val="none"/>
          <w:u w:val="single"/>
        </w:rPr>
        <w:t xml:space="preserve">    （项目名称）  </w:t>
      </w:r>
      <w:r>
        <w:rPr>
          <w:rFonts w:hint="eastAsia" w:ascii="宋体" w:hAnsi="宋体"/>
          <w:color w:val="000000"/>
          <w:kern w:val="0"/>
          <w:sz w:val="24"/>
          <w:szCs w:val="24"/>
          <w:highlight w:val="none"/>
        </w:rPr>
        <w:t>的谈判文件，我单位经研究上述谈判文件的供应商须知、合同条款、采购需求及其它有关文件后，我方愿以人民币（大写）</w:t>
      </w:r>
      <w:r>
        <w:rPr>
          <w:rFonts w:hint="eastAsia" w:ascii="宋体" w:hAnsi="宋体"/>
          <w:color w:val="000000"/>
          <w:kern w:val="0"/>
          <w:sz w:val="24"/>
          <w:szCs w:val="24"/>
          <w:highlight w:val="none"/>
          <w:u w:val="single"/>
        </w:rPr>
        <w:t xml:space="preserve">         </w:t>
      </w:r>
      <w:r>
        <w:rPr>
          <w:rFonts w:hint="eastAsia" w:ascii="宋体" w:hAnsi="宋体"/>
          <w:color w:val="000000"/>
          <w:kern w:val="0"/>
          <w:sz w:val="24"/>
          <w:szCs w:val="24"/>
          <w:highlight w:val="none"/>
        </w:rPr>
        <w:t>（小写：</w:t>
      </w:r>
      <w:r>
        <w:rPr>
          <w:rFonts w:hint="eastAsia" w:ascii="宋体" w:hAnsi="宋体"/>
          <w:color w:val="000000"/>
          <w:kern w:val="0"/>
          <w:sz w:val="24"/>
          <w:szCs w:val="24"/>
          <w:highlight w:val="none"/>
          <w:u w:val="single"/>
        </w:rPr>
        <w:t xml:space="preserve">    </w:t>
      </w:r>
      <w:r>
        <w:rPr>
          <w:rFonts w:hint="eastAsia" w:ascii="宋体" w:hAnsi="宋体"/>
          <w:color w:val="000000"/>
          <w:kern w:val="0"/>
          <w:sz w:val="24"/>
          <w:szCs w:val="24"/>
          <w:highlight w:val="none"/>
        </w:rPr>
        <w:t>元）的谈判报价（该报价为“谈判报价表”中各单项单款的价格合计）；承包上述项目的采购工作。</w:t>
      </w:r>
    </w:p>
    <w:p w14:paraId="1E16808D">
      <w:pPr>
        <w:widowControl/>
        <w:spacing w:line="600" w:lineRule="exact"/>
        <w:ind w:firstLine="420"/>
        <w:jc w:val="left"/>
        <w:rPr>
          <w:rFonts w:ascii="宋体" w:hAnsi="宋体"/>
          <w:color w:val="000000"/>
          <w:kern w:val="0"/>
          <w:sz w:val="24"/>
          <w:szCs w:val="24"/>
          <w:highlight w:val="none"/>
        </w:rPr>
      </w:pPr>
      <w:r>
        <w:rPr>
          <w:rFonts w:ascii="宋体" w:hAnsi="宋体"/>
          <w:color w:val="000000"/>
          <w:kern w:val="0"/>
          <w:sz w:val="24"/>
          <w:szCs w:val="24"/>
          <w:highlight w:val="none"/>
        </w:rPr>
        <w:t xml:space="preserve">1、 </w:t>
      </w:r>
      <w:r>
        <w:rPr>
          <w:rFonts w:hint="eastAsia" w:ascii="宋体" w:hAnsi="宋体"/>
          <w:color w:val="000000"/>
          <w:kern w:val="0"/>
          <w:sz w:val="24"/>
          <w:szCs w:val="24"/>
          <w:highlight w:val="none"/>
        </w:rPr>
        <w:t>我方已详细审阅全部谈判文件，包括修改文件（如果有的话）及有关附件，我方完全知道必须放弃提出含糊不清或误解的权力。</w:t>
      </w:r>
    </w:p>
    <w:p w14:paraId="3F720FF3">
      <w:pPr>
        <w:widowControl/>
        <w:spacing w:line="600" w:lineRule="exact"/>
        <w:ind w:firstLine="420"/>
        <w:jc w:val="left"/>
        <w:rPr>
          <w:rFonts w:ascii="宋体" w:hAnsi="宋体"/>
          <w:color w:val="000000"/>
          <w:kern w:val="0"/>
          <w:sz w:val="24"/>
          <w:szCs w:val="24"/>
          <w:highlight w:val="none"/>
        </w:rPr>
      </w:pPr>
      <w:r>
        <w:rPr>
          <w:rFonts w:ascii="宋体" w:hAnsi="宋体"/>
          <w:color w:val="000000"/>
          <w:kern w:val="0"/>
          <w:sz w:val="24"/>
          <w:szCs w:val="24"/>
          <w:highlight w:val="none"/>
        </w:rPr>
        <w:t xml:space="preserve">2、 </w:t>
      </w:r>
      <w:r>
        <w:rPr>
          <w:rFonts w:hint="eastAsia" w:ascii="宋体" w:hAnsi="宋体"/>
          <w:color w:val="000000"/>
          <w:kern w:val="0"/>
          <w:sz w:val="24"/>
          <w:szCs w:val="24"/>
          <w:highlight w:val="none"/>
        </w:rPr>
        <w:t>我方承认谈判报价表是我方投标函的组成部分。</w:t>
      </w:r>
    </w:p>
    <w:p w14:paraId="7535AEB9">
      <w:pPr>
        <w:widowControl/>
        <w:spacing w:line="600" w:lineRule="exact"/>
        <w:ind w:firstLine="420"/>
        <w:jc w:val="left"/>
        <w:rPr>
          <w:rFonts w:ascii="宋体" w:hAnsi="宋体"/>
          <w:color w:val="000000"/>
          <w:kern w:val="0"/>
          <w:sz w:val="24"/>
          <w:szCs w:val="24"/>
          <w:highlight w:val="none"/>
        </w:rPr>
      </w:pPr>
      <w:r>
        <w:rPr>
          <w:rFonts w:ascii="宋体" w:hAnsi="宋体"/>
          <w:color w:val="000000"/>
          <w:kern w:val="0"/>
          <w:sz w:val="24"/>
          <w:szCs w:val="24"/>
          <w:highlight w:val="none"/>
        </w:rPr>
        <w:t xml:space="preserve">3、 </w:t>
      </w:r>
      <w:r>
        <w:rPr>
          <w:rFonts w:hint="eastAsia" w:ascii="宋体" w:hAnsi="宋体"/>
          <w:color w:val="000000"/>
          <w:kern w:val="0"/>
          <w:sz w:val="24"/>
          <w:szCs w:val="24"/>
          <w:highlight w:val="none"/>
        </w:rPr>
        <w:t>一旦我方成交，我们将按照谈判文件中规定的各项要求和我们的响应文件中的表述和承诺，按期、按质、按量完成项目。</w:t>
      </w:r>
    </w:p>
    <w:p w14:paraId="5677411E">
      <w:pPr>
        <w:widowControl/>
        <w:spacing w:line="600" w:lineRule="exact"/>
        <w:ind w:firstLine="420"/>
        <w:jc w:val="left"/>
        <w:rPr>
          <w:rFonts w:ascii="宋体" w:hAnsi="宋体"/>
          <w:color w:val="000000"/>
          <w:kern w:val="0"/>
          <w:sz w:val="24"/>
          <w:szCs w:val="24"/>
          <w:highlight w:val="none"/>
        </w:rPr>
      </w:pPr>
      <w:r>
        <w:rPr>
          <w:rFonts w:hint="eastAsia" w:ascii="宋体" w:hAnsi="宋体"/>
          <w:color w:val="000000"/>
          <w:kern w:val="0"/>
          <w:sz w:val="24"/>
          <w:szCs w:val="24"/>
          <w:highlight w:val="none"/>
        </w:rPr>
        <w:t>4</w:t>
      </w:r>
      <w:r>
        <w:rPr>
          <w:rFonts w:ascii="宋体" w:hAnsi="宋体"/>
          <w:color w:val="000000"/>
          <w:kern w:val="0"/>
          <w:sz w:val="24"/>
          <w:szCs w:val="24"/>
          <w:highlight w:val="none"/>
        </w:rPr>
        <w:t xml:space="preserve">、 </w:t>
      </w:r>
      <w:r>
        <w:rPr>
          <w:rFonts w:hint="eastAsia" w:ascii="宋体" w:hAnsi="宋体"/>
          <w:color w:val="000000"/>
          <w:kern w:val="0"/>
          <w:sz w:val="24"/>
          <w:szCs w:val="24"/>
          <w:highlight w:val="none"/>
        </w:rPr>
        <w:t>我方愿在成交后向采购代理机构交纳招标代理费以及相关费用。</w:t>
      </w:r>
    </w:p>
    <w:p w14:paraId="27EBFA1B">
      <w:pPr>
        <w:widowControl/>
        <w:spacing w:line="600" w:lineRule="exact"/>
        <w:ind w:firstLine="420"/>
        <w:jc w:val="left"/>
        <w:rPr>
          <w:rFonts w:ascii="宋体" w:hAnsi="宋体"/>
          <w:color w:val="000000"/>
          <w:kern w:val="0"/>
          <w:sz w:val="24"/>
          <w:szCs w:val="24"/>
          <w:highlight w:val="none"/>
        </w:rPr>
      </w:pPr>
      <w:r>
        <w:rPr>
          <w:rFonts w:hint="eastAsia" w:ascii="宋体" w:hAnsi="宋体"/>
          <w:color w:val="000000"/>
          <w:kern w:val="0"/>
          <w:sz w:val="24"/>
          <w:szCs w:val="24"/>
          <w:highlight w:val="none"/>
        </w:rPr>
        <w:t>5</w:t>
      </w:r>
      <w:r>
        <w:rPr>
          <w:rFonts w:ascii="宋体" w:hAnsi="宋体"/>
          <w:color w:val="000000"/>
          <w:kern w:val="0"/>
          <w:sz w:val="24"/>
          <w:szCs w:val="24"/>
          <w:highlight w:val="none"/>
        </w:rPr>
        <w:t xml:space="preserve">、 </w:t>
      </w:r>
      <w:r>
        <w:rPr>
          <w:rFonts w:hint="eastAsia" w:ascii="宋体" w:hAnsi="宋体"/>
          <w:color w:val="000000"/>
          <w:kern w:val="0"/>
          <w:sz w:val="24"/>
          <w:szCs w:val="24"/>
          <w:highlight w:val="none"/>
        </w:rPr>
        <w:t>我方同意所递交的响应文件在谈判文件规定的谈判有效期</w:t>
      </w:r>
      <w:r>
        <w:rPr>
          <w:rFonts w:hint="eastAsia" w:ascii="宋体" w:hAnsi="宋体"/>
          <w:color w:val="000000"/>
          <w:kern w:val="0"/>
          <w:sz w:val="24"/>
          <w:szCs w:val="24"/>
          <w:highlight w:val="none"/>
          <w:u w:val="single"/>
        </w:rPr>
        <w:t xml:space="preserve">        </w:t>
      </w:r>
      <w:r>
        <w:rPr>
          <w:rFonts w:hint="eastAsia" w:ascii="宋体" w:hAnsi="宋体"/>
          <w:color w:val="000000"/>
          <w:kern w:val="0"/>
          <w:sz w:val="24"/>
          <w:szCs w:val="24"/>
          <w:highlight w:val="none"/>
        </w:rPr>
        <w:t>日历天内有效，在此期间我方投标有可能成交，我方将受此约束。</w:t>
      </w:r>
    </w:p>
    <w:p w14:paraId="4D561EA1">
      <w:pPr>
        <w:widowControl/>
        <w:spacing w:line="600" w:lineRule="exact"/>
        <w:ind w:firstLine="420"/>
        <w:jc w:val="left"/>
        <w:rPr>
          <w:rFonts w:ascii="宋体" w:hAnsi="宋体"/>
          <w:color w:val="000000"/>
          <w:kern w:val="0"/>
          <w:sz w:val="24"/>
          <w:szCs w:val="24"/>
          <w:highlight w:val="none"/>
        </w:rPr>
      </w:pPr>
      <w:r>
        <w:rPr>
          <w:rFonts w:ascii="宋体" w:hAnsi="宋体"/>
          <w:color w:val="000000"/>
          <w:spacing w:val="44"/>
          <w:kern w:val="0"/>
          <w:sz w:val="24"/>
          <w:szCs w:val="24"/>
          <w:highlight w:val="none"/>
        </w:rPr>
        <w:t>7、</w:t>
      </w:r>
      <w:r>
        <w:rPr>
          <w:rFonts w:hint="eastAsia" w:ascii="宋体" w:hAnsi="宋体"/>
          <w:color w:val="000000"/>
          <w:kern w:val="0"/>
          <w:sz w:val="24"/>
          <w:szCs w:val="24"/>
          <w:highlight w:val="none"/>
        </w:rPr>
        <w:t>除非另外达成协议并生效，贵方的成交通知书和本响应文件将构成约束我们双方的合同。</w:t>
      </w:r>
    </w:p>
    <w:p w14:paraId="6C876F21">
      <w:pPr>
        <w:widowControl/>
        <w:spacing w:line="600" w:lineRule="exact"/>
        <w:ind w:firstLine="480" w:firstLineChars="200"/>
        <w:jc w:val="left"/>
        <w:rPr>
          <w:rFonts w:ascii="宋体" w:hAnsi="宋体"/>
          <w:color w:val="000000"/>
          <w:kern w:val="0"/>
          <w:sz w:val="24"/>
          <w:szCs w:val="24"/>
          <w:highlight w:val="none"/>
        </w:rPr>
      </w:pPr>
      <w:r>
        <w:rPr>
          <w:rFonts w:hint="eastAsia" w:ascii="宋体" w:hAnsi="宋体"/>
          <w:color w:val="000000"/>
          <w:sz w:val="24"/>
          <w:szCs w:val="24"/>
          <w:highlight w:val="none"/>
        </w:rPr>
        <w:t>谈判</w:t>
      </w:r>
      <w:r>
        <w:rPr>
          <w:rFonts w:hint="eastAsia" w:ascii="宋体" w:hAnsi="宋体"/>
          <w:color w:val="000000"/>
          <w:kern w:val="0"/>
          <w:sz w:val="24"/>
          <w:szCs w:val="24"/>
          <w:highlight w:val="none"/>
        </w:rPr>
        <w:t>供应商：</w:t>
      </w:r>
      <w:r>
        <w:rPr>
          <w:rFonts w:hint="eastAsia" w:ascii="宋体" w:hAnsi="宋体"/>
          <w:color w:val="000000"/>
          <w:kern w:val="0"/>
          <w:sz w:val="24"/>
          <w:szCs w:val="24"/>
          <w:highlight w:val="none"/>
          <w:u w:val="single"/>
        </w:rPr>
        <w:t xml:space="preserve">          </w:t>
      </w:r>
      <w:r>
        <w:rPr>
          <w:rFonts w:hint="eastAsia" w:ascii="宋体" w:hAnsi="宋体"/>
          <w:color w:val="000000"/>
          <w:kern w:val="0"/>
          <w:sz w:val="24"/>
          <w:szCs w:val="24"/>
          <w:highlight w:val="none"/>
        </w:rPr>
        <w:t>（</w:t>
      </w:r>
      <w:r>
        <w:rPr>
          <w:rFonts w:hint="eastAsia"/>
          <w:color w:val="000000"/>
          <w:sz w:val="24"/>
          <w:szCs w:val="24"/>
          <w:highlight w:val="none"/>
          <w:lang w:val="en-US" w:eastAsia="zh-CN"/>
        </w:rPr>
        <w:t>电子</w:t>
      </w:r>
      <w:r>
        <w:rPr>
          <w:rFonts w:hint="eastAsia"/>
          <w:color w:val="000000"/>
          <w:sz w:val="24"/>
          <w:szCs w:val="24"/>
          <w:highlight w:val="none"/>
        </w:rPr>
        <w:t>签章</w:t>
      </w:r>
      <w:r>
        <w:rPr>
          <w:rFonts w:hint="eastAsia" w:ascii="宋体" w:hAnsi="宋体"/>
          <w:color w:val="000000"/>
          <w:kern w:val="0"/>
          <w:sz w:val="24"/>
          <w:szCs w:val="24"/>
          <w:highlight w:val="none"/>
        </w:rPr>
        <w:t xml:space="preserve">） </w:t>
      </w:r>
    </w:p>
    <w:p w14:paraId="697C99FD">
      <w:pPr>
        <w:widowControl/>
        <w:spacing w:line="60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法定代表人：</w:t>
      </w:r>
      <w:r>
        <w:rPr>
          <w:rFonts w:hint="eastAsia" w:ascii="宋体" w:hAnsi="宋体"/>
          <w:color w:val="000000"/>
          <w:kern w:val="0"/>
          <w:sz w:val="24"/>
          <w:szCs w:val="24"/>
          <w:highlight w:val="none"/>
          <w:u w:val="single"/>
        </w:rPr>
        <w:t xml:space="preserve">          </w:t>
      </w:r>
      <w:r>
        <w:rPr>
          <w:rFonts w:hint="eastAsia" w:ascii="宋体" w:hAnsi="宋体"/>
          <w:color w:val="000000"/>
          <w:kern w:val="0"/>
          <w:sz w:val="24"/>
          <w:szCs w:val="24"/>
          <w:highlight w:val="none"/>
        </w:rPr>
        <w:t>（电子签章）</w:t>
      </w:r>
    </w:p>
    <w:p w14:paraId="112A692D">
      <w:pPr>
        <w:spacing w:line="600" w:lineRule="exact"/>
        <w:ind w:left="-359" w:leftChars="-171" w:right="-334" w:rightChars="-159" w:firstLine="840" w:firstLineChars="350"/>
        <w:rPr>
          <w:rFonts w:ascii="宋体" w:hAnsi="宋体" w:cs="宋体"/>
          <w:color w:val="000000"/>
          <w:kern w:val="10"/>
          <w:sz w:val="24"/>
          <w:highlight w:val="none"/>
        </w:rPr>
      </w:pPr>
      <w:r>
        <w:rPr>
          <w:rFonts w:hint="eastAsia" w:ascii="宋体" w:hAnsi="宋体"/>
          <w:color w:val="000000"/>
          <w:kern w:val="0"/>
          <w:sz w:val="24"/>
          <w:szCs w:val="24"/>
          <w:highlight w:val="none"/>
        </w:rPr>
        <w:t>日 期： 年 月 日</w:t>
      </w:r>
    </w:p>
    <w:p w14:paraId="0BEAB32E">
      <w:pPr>
        <w:spacing w:line="360" w:lineRule="auto"/>
        <w:ind w:firstLine="1785" w:firstLineChars="850"/>
        <w:rPr>
          <w:rFonts w:ascii="宋体" w:hAnsi="宋体"/>
          <w:color w:val="000000"/>
          <w:szCs w:val="21"/>
          <w:highlight w:val="none"/>
        </w:rPr>
      </w:pPr>
    </w:p>
    <w:p w14:paraId="4750369D">
      <w:pPr>
        <w:spacing w:line="360" w:lineRule="auto"/>
        <w:jc w:val="center"/>
        <w:rPr>
          <w:rFonts w:ascii="宋体" w:hAnsi="宋体"/>
          <w:b/>
          <w:color w:val="000000"/>
          <w:spacing w:val="20"/>
          <w:sz w:val="28"/>
          <w:szCs w:val="28"/>
          <w:highlight w:val="none"/>
        </w:rPr>
      </w:pPr>
      <w:bookmarkStart w:id="173" w:name="_Toc15611"/>
    </w:p>
    <w:p w14:paraId="626AC461">
      <w:pPr>
        <w:spacing w:line="360" w:lineRule="auto"/>
        <w:ind w:right="-334" w:rightChars="-159"/>
        <w:jc w:val="center"/>
        <w:rPr>
          <w:rFonts w:ascii="宋体" w:hAnsi="宋体"/>
          <w:bCs/>
          <w:color w:val="000000"/>
          <w:sz w:val="32"/>
          <w:szCs w:val="28"/>
          <w:highlight w:val="none"/>
        </w:rPr>
      </w:pPr>
      <w:bookmarkStart w:id="174" w:name="_Toc403418420"/>
      <w:bookmarkStart w:id="175" w:name="_Toc216842529"/>
      <w:bookmarkStart w:id="176" w:name="_Toc403418354"/>
      <w:bookmarkStart w:id="177" w:name="_Toc20293"/>
      <w:bookmarkStart w:id="178" w:name="_Toc25194"/>
      <w:bookmarkStart w:id="179" w:name="_Toc13604_WPSOffice_Level2"/>
      <w:bookmarkStart w:id="180" w:name="_Toc14822"/>
      <w:r>
        <w:rPr>
          <w:rFonts w:hint="eastAsia" w:ascii="宋体" w:hAnsi="宋体"/>
          <w:bCs/>
          <w:color w:val="000000"/>
          <w:sz w:val="32"/>
          <w:szCs w:val="28"/>
          <w:highlight w:val="none"/>
        </w:rPr>
        <w:t>（二）</w:t>
      </w:r>
      <w:bookmarkEnd w:id="174"/>
      <w:bookmarkEnd w:id="175"/>
      <w:bookmarkEnd w:id="176"/>
      <w:r>
        <w:rPr>
          <w:rFonts w:hint="eastAsia" w:ascii="宋体" w:hAnsi="宋体"/>
          <w:bCs/>
          <w:color w:val="000000"/>
          <w:sz w:val="32"/>
          <w:szCs w:val="28"/>
          <w:highlight w:val="none"/>
        </w:rPr>
        <w:t>谈判函附录</w:t>
      </w:r>
      <w:bookmarkEnd w:id="177"/>
      <w:bookmarkEnd w:id="178"/>
      <w:bookmarkEnd w:id="179"/>
      <w:bookmarkEnd w:id="180"/>
    </w:p>
    <w:p w14:paraId="2FCC891A">
      <w:pPr>
        <w:pStyle w:val="19"/>
        <w:jc w:val="center"/>
        <w:rPr>
          <w:rFonts w:ascii="宋体" w:hAnsi="宋体" w:cs="宋体"/>
          <w:color w:val="000000"/>
          <w:sz w:val="24"/>
          <w:szCs w:val="24"/>
          <w:highlight w:val="none"/>
          <w:lang w:bidi="zh-CN"/>
        </w:rPr>
      </w:pPr>
      <w:r>
        <w:rPr>
          <w:rFonts w:hint="eastAsia" w:ascii="宋体" w:hAnsi="宋体" w:cs="宋体"/>
          <w:color w:val="000000"/>
          <w:sz w:val="24"/>
          <w:szCs w:val="24"/>
          <w:highlight w:val="none"/>
          <w:lang w:bidi="zh-CN"/>
        </w:rPr>
        <w:t>1、</w:t>
      </w:r>
      <w:r>
        <w:rPr>
          <w:rFonts w:hint="eastAsia"/>
          <w:color w:val="000000"/>
          <w:sz w:val="24"/>
          <w:szCs w:val="24"/>
          <w:highlight w:val="none"/>
        </w:rPr>
        <w:t>谈判</w:t>
      </w:r>
      <w:r>
        <w:rPr>
          <w:rFonts w:hint="eastAsia" w:ascii="宋体" w:hAnsi="宋体" w:cs="宋体"/>
          <w:color w:val="000000"/>
          <w:sz w:val="24"/>
          <w:szCs w:val="24"/>
          <w:highlight w:val="none"/>
          <w:lang w:bidi="zh-CN"/>
        </w:rPr>
        <w:t>函附录（一次报价）</w:t>
      </w:r>
    </w:p>
    <w:tbl>
      <w:tblPr>
        <w:tblStyle w:val="21"/>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2879"/>
        <w:gridCol w:w="1870"/>
        <w:gridCol w:w="2885"/>
      </w:tblGrid>
      <w:tr w14:paraId="131B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485" w:type="dxa"/>
            <w:noWrap/>
            <w:vAlign w:val="center"/>
          </w:tcPr>
          <w:p w14:paraId="013D800D">
            <w:pPr>
              <w:wordWrap w:val="0"/>
              <w:adjustRightInd w:val="0"/>
              <w:snapToGrid w:val="0"/>
              <w:spacing w:line="300" w:lineRule="exact"/>
              <w:jc w:val="center"/>
              <w:rPr>
                <w:color w:val="000000"/>
                <w:sz w:val="24"/>
                <w:szCs w:val="24"/>
                <w:highlight w:val="none"/>
              </w:rPr>
            </w:pPr>
            <w:r>
              <w:rPr>
                <w:rFonts w:hint="eastAsia"/>
                <w:color w:val="000000"/>
                <w:sz w:val="24"/>
                <w:szCs w:val="24"/>
                <w:highlight w:val="none"/>
              </w:rPr>
              <w:t>项目名称</w:t>
            </w:r>
          </w:p>
        </w:tc>
        <w:tc>
          <w:tcPr>
            <w:tcW w:w="7634" w:type="dxa"/>
            <w:gridSpan w:val="3"/>
            <w:noWrap/>
            <w:vAlign w:val="center"/>
          </w:tcPr>
          <w:p w14:paraId="6B19BD0E">
            <w:pPr>
              <w:wordWrap w:val="0"/>
              <w:adjustRightInd w:val="0"/>
              <w:snapToGrid w:val="0"/>
              <w:spacing w:line="300" w:lineRule="exact"/>
              <w:jc w:val="center"/>
              <w:rPr>
                <w:color w:val="000000"/>
                <w:sz w:val="24"/>
                <w:szCs w:val="24"/>
                <w:highlight w:val="none"/>
              </w:rPr>
            </w:pPr>
          </w:p>
        </w:tc>
      </w:tr>
      <w:tr w14:paraId="6975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485" w:type="dxa"/>
            <w:noWrap/>
            <w:vAlign w:val="center"/>
          </w:tcPr>
          <w:p w14:paraId="72BEC5FA">
            <w:pPr>
              <w:wordWrap w:val="0"/>
              <w:adjustRightInd w:val="0"/>
              <w:snapToGrid w:val="0"/>
              <w:spacing w:line="300" w:lineRule="exact"/>
              <w:jc w:val="center"/>
              <w:rPr>
                <w:color w:val="000000"/>
                <w:sz w:val="24"/>
                <w:szCs w:val="24"/>
                <w:highlight w:val="none"/>
              </w:rPr>
            </w:pPr>
            <w:r>
              <w:rPr>
                <w:rFonts w:hint="eastAsia"/>
                <w:color w:val="000000"/>
                <w:sz w:val="24"/>
                <w:szCs w:val="24"/>
                <w:highlight w:val="none"/>
              </w:rPr>
              <w:t>项目编号</w:t>
            </w:r>
          </w:p>
        </w:tc>
        <w:tc>
          <w:tcPr>
            <w:tcW w:w="7634" w:type="dxa"/>
            <w:gridSpan w:val="3"/>
            <w:noWrap/>
            <w:vAlign w:val="center"/>
          </w:tcPr>
          <w:p w14:paraId="722EB828">
            <w:pPr>
              <w:wordWrap w:val="0"/>
              <w:adjustRightInd w:val="0"/>
              <w:snapToGrid w:val="0"/>
              <w:spacing w:line="300" w:lineRule="exact"/>
              <w:jc w:val="center"/>
              <w:rPr>
                <w:color w:val="000000"/>
                <w:sz w:val="24"/>
                <w:szCs w:val="24"/>
                <w:highlight w:val="none"/>
              </w:rPr>
            </w:pPr>
          </w:p>
        </w:tc>
      </w:tr>
      <w:tr w14:paraId="0F60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485" w:type="dxa"/>
            <w:noWrap/>
            <w:vAlign w:val="center"/>
          </w:tcPr>
          <w:p w14:paraId="0506ED0F">
            <w:pPr>
              <w:wordWrap w:val="0"/>
              <w:adjustRightInd w:val="0"/>
              <w:snapToGrid w:val="0"/>
              <w:spacing w:line="300" w:lineRule="exact"/>
              <w:jc w:val="center"/>
              <w:rPr>
                <w:color w:val="000000"/>
                <w:sz w:val="24"/>
                <w:szCs w:val="24"/>
                <w:highlight w:val="none"/>
              </w:rPr>
            </w:pPr>
            <w:r>
              <w:rPr>
                <w:rFonts w:hint="eastAsia"/>
                <w:color w:val="000000"/>
                <w:sz w:val="24"/>
                <w:szCs w:val="24"/>
                <w:highlight w:val="none"/>
              </w:rPr>
              <w:t>供应商</w:t>
            </w:r>
          </w:p>
          <w:p w14:paraId="65D3BEF3">
            <w:pPr>
              <w:wordWrap w:val="0"/>
              <w:adjustRightInd w:val="0"/>
              <w:snapToGrid w:val="0"/>
              <w:spacing w:line="300" w:lineRule="exact"/>
              <w:jc w:val="center"/>
              <w:rPr>
                <w:color w:val="000000"/>
                <w:sz w:val="24"/>
                <w:szCs w:val="24"/>
                <w:highlight w:val="none"/>
              </w:rPr>
            </w:pPr>
            <w:r>
              <w:rPr>
                <w:rFonts w:hint="eastAsia"/>
                <w:color w:val="000000"/>
                <w:sz w:val="24"/>
                <w:szCs w:val="24"/>
                <w:highlight w:val="none"/>
              </w:rPr>
              <w:t>名称</w:t>
            </w:r>
          </w:p>
        </w:tc>
        <w:tc>
          <w:tcPr>
            <w:tcW w:w="7634" w:type="dxa"/>
            <w:gridSpan w:val="3"/>
            <w:noWrap/>
            <w:vAlign w:val="center"/>
          </w:tcPr>
          <w:p w14:paraId="7E80786D">
            <w:pPr>
              <w:wordWrap w:val="0"/>
              <w:adjustRightInd w:val="0"/>
              <w:snapToGrid w:val="0"/>
              <w:spacing w:line="300" w:lineRule="exact"/>
              <w:jc w:val="center"/>
              <w:rPr>
                <w:color w:val="000000"/>
                <w:sz w:val="24"/>
                <w:szCs w:val="24"/>
                <w:highlight w:val="none"/>
              </w:rPr>
            </w:pPr>
          </w:p>
        </w:tc>
      </w:tr>
      <w:tr w14:paraId="6A66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485" w:type="dxa"/>
            <w:noWrap/>
            <w:vAlign w:val="center"/>
          </w:tcPr>
          <w:p w14:paraId="6686E984">
            <w:pPr>
              <w:wordWrap w:val="0"/>
              <w:adjustRightInd w:val="0"/>
              <w:snapToGrid w:val="0"/>
              <w:spacing w:line="300" w:lineRule="exact"/>
              <w:jc w:val="center"/>
              <w:rPr>
                <w:color w:val="000000"/>
                <w:sz w:val="24"/>
                <w:szCs w:val="24"/>
                <w:highlight w:val="none"/>
              </w:rPr>
            </w:pPr>
            <w:r>
              <w:rPr>
                <w:rFonts w:hint="eastAsia"/>
                <w:color w:val="000000"/>
                <w:sz w:val="24"/>
                <w:szCs w:val="24"/>
                <w:highlight w:val="none"/>
              </w:rPr>
              <w:t>谈判内容</w:t>
            </w:r>
          </w:p>
        </w:tc>
        <w:tc>
          <w:tcPr>
            <w:tcW w:w="7634" w:type="dxa"/>
            <w:gridSpan w:val="3"/>
            <w:noWrap/>
            <w:vAlign w:val="center"/>
          </w:tcPr>
          <w:p w14:paraId="256955CD">
            <w:pPr>
              <w:wordWrap w:val="0"/>
              <w:adjustRightInd w:val="0"/>
              <w:snapToGrid w:val="0"/>
              <w:spacing w:line="380" w:lineRule="exact"/>
              <w:jc w:val="center"/>
              <w:rPr>
                <w:color w:val="000000"/>
                <w:sz w:val="24"/>
                <w:szCs w:val="24"/>
                <w:highlight w:val="none"/>
              </w:rPr>
            </w:pPr>
          </w:p>
        </w:tc>
      </w:tr>
      <w:tr w14:paraId="0EAC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485" w:type="dxa"/>
            <w:noWrap/>
            <w:vAlign w:val="center"/>
          </w:tcPr>
          <w:p w14:paraId="6BADE548">
            <w:pPr>
              <w:wordWrap w:val="0"/>
              <w:adjustRightInd w:val="0"/>
              <w:snapToGrid w:val="0"/>
              <w:spacing w:line="300" w:lineRule="exact"/>
              <w:jc w:val="center"/>
              <w:rPr>
                <w:color w:val="000000"/>
                <w:sz w:val="24"/>
                <w:szCs w:val="24"/>
                <w:highlight w:val="none"/>
              </w:rPr>
            </w:pPr>
            <w:r>
              <w:rPr>
                <w:rFonts w:hint="eastAsia"/>
                <w:color w:val="000000"/>
                <w:sz w:val="24"/>
                <w:szCs w:val="24"/>
                <w:highlight w:val="none"/>
              </w:rPr>
              <w:t>谈判总报价（元）</w:t>
            </w:r>
          </w:p>
        </w:tc>
        <w:tc>
          <w:tcPr>
            <w:tcW w:w="7634" w:type="dxa"/>
            <w:gridSpan w:val="3"/>
            <w:noWrap/>
            <w:vAlign w:val="center"/>
          </w:tcPr>
          <w:p w14:paraId="7092B306">
            <w:pPr>
              <w:wordWrap w:val="0"/>
              <w:adjustRightInd w:val="0"/>
              <w:snapToGrid w:val="0"/>
              <w:spacing w:line="380" w:lineRule="exact"/>
              <w:rPr>
                <w:color w:val="000000"/>
                <w:sz w:val="24"/>
                <w:szCs w:val="24"/>
                <w:highlight w:val="none"/>
              </w:rPr>
            </w:pPr>
            <w:r>
              <w:rPr>
                <w:rFonts w:hint="eastAsia"/>
                <w:color w:val="000000"/>
                <w:sz w:val="24"/>
                <w:szCs w:val="24"/>
                <w:highlight w:val="none"/>
              </w:rPr>
              <w:t>大写：</w:t>
            </w:r>
          </w:p>
          <w:p w14:paraId="76FC92B2">
            <w:pPr>
              <w:wordWrap w:val="0"/>
              <w:adjustRightInd w:val="0"/>
              <w:snapToGrid w:val="0"/>
              <w:spacing w:line="380" w:lineRule="exact"/>
              <w:rPr>
                <w:color w:val="000000"/>
                <w:sz w:val="24"/>
                <w:szCs w:val="24"/>
                <w:highlight w:val="none"/>
              </w:rPr>
            </w:pPr>
            <w:r>
              <w:rPr>
                <w:rFonts w:hint="eastAsia"/>
                <w:color w:val="000000"/>
                <w:sz w:val="24"/>
                <w:szCs w:val="24"/>
                <w:highlight w:val="none"/>
              </w:rPr>
              <w:t>小写：</w:t>
            </w:r>
          </w:p>
        </w:tc>
      </w:tr>
      <w:tr w14:paraId="1F80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485" w:type="dxa"/>
            <w:noWrap/>
            <w:vAlign w:val="center"/>
          </w:tcPr>
          <w:p w14:paraId="6A9705BC">
            <w:pPr>
              <w:wordWrap w:val="0"/>
              <w:adjustRightInd w:val="0"/>
              <w:snapToGrid w:val="0"/>
              <w:spacing w:line="300" w:lineRule="exact"/>
              <w:jc w:val="center"/>
              <w:rPr>
                <w:color w:val="000000"/>
                <w:sz w:val="24"/>
                <w:szCs w:val="24"/>
                <w:highlight w:val="none"/>
              </w:rPr>
            </w:pPr>
            <w:r>
              <w:rPr>
                <w:rFonts w:hint="eastAsia"/>
                <w:color w:val="000000"/>
                <w:sz w:val="24"/>
                <w:szCs w:val="24"/>
                <w:highlight w:val="none"/>
              </w:rPr>
              <w:t>项目负责人</w:t>
            </w:r>
          </w:p>
        </w:tc>
        <w:tc>
          <w:tcPr>
            <w:tcW w:w="2879" w:type="dxa"/>
            <w:tcBorders>
              <w:right w:val="single" w:color="auto" w:sz="4" w:space="0"/>
            </w:tcBorders>
            <w:noWrap/>
            <w:vAlign w:val="center"/>
          </w:tcPr>
          <w:p w14:paraId="483A3193">
            <w:pPr>
              <w:wordWrap w:val="0"/>
              <w:adjustRightInd w:val="0"/>
              <w:snapToGrid w:val="0"/>
              <w:spacing w:line="380" w:lineRule="exact"/>
              <w:rPr>
                <w:color w:val="000000"/>
                <w:sz w:val="24"/>
                <w:szCs w:val="24"/>
                <w:highlight w:val="none"/>
              </w:rPr>
            </w:pPr>
          </w:p>
        </w:tc>
        <w:tc>
          <w:tcPr>
            <w:tcW w:w="1870" w:type="dxa"/>
            <w:tcBorders>
              <w:left w:val="single" w:color="auto" w:sz="4" w:space="0"/>
              <w:right w:val="single" w:color="auto" w:sz="4" w:space="0"/>
            </w:tcBorders>
            <w:noWrap/>
            <w:vAlign w:val="center"/>
          </w:tcPr>
          <w:p w14:paraId="1C6C6423">
            <w:pPr>
              <w:wordWrap w:val="0"/>
              <w:adjustRightInd w:val="0"/>
              <w:snapToGrid w:val="0"/>
              <w:spacing w:line="380" w:lineRule="exact"/>
              <w:jc w:val="center"/>
              <w:rPr>
                <w:color w:val="000000"/>
                <w:sz w:val="24"/>
                <w:szCs w:val="24"/>
                <w:highlight w:val="none"/>
              </w:rPr>
            </w:pPr>
            <w:r>
              <w:rPr>
                <w:rFonts w:hint="eastAsia"/>
                <w:color w:val="000000"/>
                <w:sz w:val="24"/>
                <w:szCs w:val="24"/>
                <w:highlight w:val="none"/>
              </w:rPr>
              <w:t>联系电话</w:t>
            </w:r>
          </w:p>
        </w:tc>
        <w:tc>
          <w:tcPr>
            <w:tcW w:w="2885" w:type="dxa"/>
            <w:tcBorders>
              <w:left w:val="single" w:color="auto" w:sz="4" w:space="0"/>
            </w:tcBorders>
            <w:noWrap/>
            <w:vAlign w:val="center"/>
          </w:tcPr>
          <w:p w14:paraId="25D2B0BD">
            <w:pPr>
              <w:wordWrap w:val="0"/>
              <w:adjustRightInd w:val="0"/>
              <w:snapToGrid w:val="0"/>
              <w:spacing w:line="380" w:lineRule="exact"/>
              <w:rPr>
                <w:color w:val="000000"/>
                <w:sz w:val="24"/>
                <w:szCs w:val="24"/>
                <w:highlight w:val="none"/>
              </w:rPr>
            </w:pPr>
          </w:p>
        </w:tc>
      </w:tr>
      <w:tr w14:paraId="29E9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85" w:type="dxa"/>
            <w:noWrap/>
            <w:vAlign w:val="center"/>
          </w:tcPr>
          <w:p w14:paraId="15172D0F">
            <w:pPr>
              <w:wordWrap w:val="0"/>
              <w:adjustRightInd w:val="0"/>
              <w:snapToGrid w:val="0"/>
              <w:spacing w:line="300" w:lineRule="exact"/>
              <w:jc w:val="center"/>
              <w:rPr>
                <w:color w:val="000000"/>
                <w:sz w:val="24"/>
                <w:szCs w:val="24"/>
                <w:highlight w:val="none"/>
              </w:rPr>
            </w:pPr>
            <w:r>
              <w:rPr>
                <w:rFonts w:hint="eastAsia"/>
                <w:color w:val="000000"/>
                <w:sz w:val="24"/>
                <w:szCs w:val="24"/>
                <w:highlight w:val="none"/>
              </w:rPr>
              <w:t>供货期</w:t>
            </w:r>
          </w:p>
        </w:tc>
        <w:tc>
          <w:tcPr>
            <w:tcW w:w="7634" w:type="dxa"/>
            <w:gridSpan w:val="3"/>
            <w:noWrap/>
            <w:vAlign w:val="center"/>
          </w:tcPr>
          <w:p w14:paraId="7DDEB4B4">
            <w:pPr>
              <w:wordWrap w:val="0"/>
              <w:adjustRightInd w:val="0"/>
              <w:snapToGrid w:val="0"/>
              <w:spacing w:line="300" w:lineRule="exact"/>
              <w:jc w:val="center"/>
              <w:rPr>
                <w:color w:val="000000"/>
                <w:sz w:val="24"/>
                <w:szCs w:val="24"/>
                <w:highlight w:val="none"/>
              </w:rPr>
            </w:pPr>
          </w:p>
        </w:tc>
      </w:tr>
      <w:tr w14:paraId="3FAE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85" w:type="dxa"/>
            <w:noWrap/>
            <w:vAlign w:val="center"/>
          </w:tcPr>
          <w:p w14:paraId="6A906B74">
            <w:pPr>
              <w:wordWrap w:val="0"/>
              <w:adjustRightInd w:val="0"/>
              <w:snapToGrid w:val="0"/>
              <w:spacing w:line="300" w:lineRule="exact"/>
              <w:jc w:val="center"/>
              <w:rPr>
                <w:rFonts w:hint="default" w:eastAsia="宋体"/>
                <w:color w:val="000000"/>
                <w:sz w:val="24"/>
                <w:szCs w:val="24"/>
                <w:highlight w:val="none"/>
                <w:lang w:val="en-US" w:eastAsia="zh-CN"/>
              </w:rPr>
            </w:pPr>
            <w:r>
              <w:rPr>
                <w:rFonts w:hint="eastAsia"/>
                <w:color w:val="000000"/>
                <w:sz w:val="24"/>
                <w:szCs w:val="24"/>
                <w:highlight w:val="none"/>
                <w:lang w:val="en-US" w:eastAsia="zh-CN"/>
              </w:rPr>
              <w:t>质量要求</w:t>
            </w:r>
          </w:p>
        </w:tc>
        <w:tc>
          <w:tcPr>
            <w:tcW w:w="7634" w:type="dxa"/>
            <w:gridSpan w:val="3"/>
            <w:noWrap/>
            <w:vAlign w:val="center"/>
          </w:tcPr>
          <w:p w14:paraId="4EF2364B">
            <w:pPr>
              <w:wordWrap w:val="0"/>
              <w:adjustRightInd w:val="0"/>
              <w:snapToGrid w:val="0"/>
              <w:spacing w:line="300" w:lineRule="exact"/>
              <w:jc w:val="center"/>
              <w:rPr>
                <w:color w:val="000000"/>
                <w:sz w:val="24"/>
                <w:szCs w:val="24"/>
                <w:highlight w:val="none"/>
              </w:rPr>
            </w:pPr>
          </w:p>
        </w:tc>
      </w:tr>
      <w:tr w14:paraId="4649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85" w:type="dxa"/>
            <w:noWrap/>
            <w:vAlign w:val="center"/>
          </w:tcPr>
          <w:p w14:paraId="38E58014">
            <w:pPr>
              <w:wordWrap w:val="0"/>
              <w:adjustRightInd w:val="0"/>
              <w:snapToGrid w:val="0"/>
              <w:spacing w:line="300" w:lineRule="exact"/>
              <w:jc w:val="center"/>
              <w:rPr>
                <w:color w:val="000000"/>
                <w:sz w:val="24"/>
                <w:szCs w:val="24"/>
                <w:highlight w:val="none"/>
              </w:rPr>
            </w:pPr>
            <w:r>
              <w:rPr>
                <w:rFonts w:hint="eastAsia"/>
                <w:color w:val="000000"/>
                <w:sz w:val="24"/>
                <w:szCs w:val="24"/>
                <w:highlight w:val="none"/>
              </w:rPr>
              <w:t>供货地点</w:t>
            </w:r>
          </w:p>
        </w:tc>
        <w:tc>
          <w:tcPr>
            <w:tcW w:w="7634" w:type="dxa"/>
            <w:gridSpan w:val="3"/>
            <w:noWrap/>
            <w:vAlign w:val="center"/>
          </w:tcPr>
          <w:p w14:paraId="24FEC2C3">
            <w:pPr>
              <w:wordWrap w:val="0"/>
              <w:adjustRightInd w:val="0"/>
              <w:snapToGrid w:val="0"/>
              <w:spacing w:line="300" w:lineRule="exact"/>
              <w:jc w:val="center"/>
              <w:rPr>
                <w:color w:val="000000"/>
                <w:sz w:val="24"/>
                <w:szCs w:val="24"/>
                <w:highlight w:val="none"/>
              </w:rPr>
            </w:pPr>
          </w:p>
        </w:tc>
      </w:tr>
      <w:tr w14:paraId="5941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485" w:type="dxa"/>
            <w:noWrap/>
            <w:vAlign w:val="center"/>
          </w:tcPr>
          <w:p w14:paraId="4497B312">
            <w:pPr>
              <w:wordWrap w:val="0"/>
              <w:adjustRightInd w:val="0"/>
              <w:snapToGrid w:val="0"/>
              <w:spacing w:line="300" w:lineRule="exact"/>
              <w:jc w:val="center"/>
              <w:rPr>
                <w:color w:val="000000"/>
                <w:sz w:val="24"/>
                <w:szCs w:val="24"/>
                <w:highlight w:val="none"/>
              </w:rPr>
            </w:pPr>
            <w:r>
              <w:rPr>
                <w:rFonts w:hint="eastAsia"/>
                <w:color w:val="000000"/>
                <w:sz w:val="24"/>
                <w:szCs w:val="24"/>
                <w:highlight w:val="none"/>
              </w:rPr>
              <w:t>谈判有效期</w:t>
            </w:r>
          </w:p>
        </w:tc>
        <w:tc>
          <w:tcPr>
            <w:tcW w:w="7634" w:type="dxa"/>
            <w:gridSpan w:val="3"/>
            <w:noWrap/>
            <w:vAlign w:val="center"/>
          </w:tcPr>
          <w:p w14:paraId="7772211A">
            <w:pPr>
              <w:wordWrap w:val="0"/>
              <w:adjustRightInd w:val="0"/>
              <w:snapToGrid w:val="0"/>
              <w:spacing w:line="300" w:lineRule="exact"/>
              <w:jc w:val="center"/>
              <w:rPr>
                <w:color w:val="000000"/>
                <w:sz w:val="24"/>
                <w:szCs w:val="24"/>
                <w:highlight w:val="none"/>
                <w:lang w:eastAsia="en-US"/>
              </w:rPr>
            </w:pPr>
            <w:r>
              <w:rPr>
                <w:rFonts w:hint="eastAsia"/>
                <w:color w:val="000000"/>
                <w:sz w:val="24"/>
                <w:szCs w:val="24"/>
                <w:highlight w:val="none"/>
                <w:lang w:eastAsia="en-US"/>
              </w:rPr>
              <w:t>60日历天</w:t>
            </w:r>
          </w:p>
        </w:tc>
      </w:tr>
    </w:tbl>
    <w:p w14:paraId="51AD5AB9">
      <w:pPr>
        <w:wordWrap w:val="0"/>
        <w:spacing w:line="300" w:lineRule="exact"/>
        <w:rPr>
          <w:color w:val="000000"/>
          <w:sz w:val="24"/>
          <w:szCs w:val="24"/>
          <w:highlight w:val="none"/>
        </w:rPr>
      </w:pPr>
    </w:p>
    <w:p w14:paraId="487A88FF">
      <w:pPr>
        <w:spacing w:line="460" w:lineRule="exact"/>
        <w:ind w:firstLine="480" w:firstLineChars="200"/>
        <w:rPr>
          <w:color w:val="000000"/>
          <w:sz w:val="24"/>
          <w:szCs w:val="24"/>
          <w:highlight w:val="none"/>
        </w:rPr>
      </w:pPr>
      <w:r>
        <w:rPr>
          <w:rFonts w:hint="eastAsia"/>
          <w:color w:val="000000"/>
          <w:sz w:val="24"/>
          <w:szCs w:val="24"/>
          <w:highlight w:val="none"/>
        </w:rPr>
        <w:t>注1：上述日期均以日历天为单位，包括法定节假日。</w:t>
      </w:r>
    </w:p>
    <w:p w14:paraId="5E9CD98E">
      <w:pPr>
        <w:ind w:firstLine="480" w:firstLineChars="200"/>
        <w:rPr>
          <w:color w:val="000000"/>
          <w:sz w:val="24"/>
          <w:szCs w:val="24"/>
          <w:highlight w:val="none"/>
        </w:rPr>
      </w:pPr>
      <w:r>
        <w:rPr>
          <w:rFonts w:hint="eastAsia"/>
          <w:color w:val="000000"/>
          <w:sz w:val="24"/>
          <w:szCs w:val="24"/>
          <w:highlight w:val="none"/>
        </w:rPr>
        <w:t>注2：</w:t>
      </w:r>
      <w:bookmarkStart w:id="181" w:name="_Toc26489"/>
      <w:r>
        <w:rPr>
          <w:rFonts w:hint="eastAsia"/>
          <w:color w:val="000000"/>
          <w:sz w:val="24"/>
          <w:szCs w:val="24"/>
          <w:highlight w:val="none"/>
        </w:rPr>
        <w:t>投标报价包含履行本采购合同范围内的相关的</w:t>
      </w:r>
      <w:r>
        <w:rPr>
          <w:rFonts w:hint="eastAsia" w:ascii="宋体"/>
          <w:color w:val="000000"/>
          <w:sz w:val="24"/>
          <w:szCs w:val="24"/>
          <w:highlight w:val="none"/>
        </w:rPr>
        <w:t>服务、配件、人工费、运输、安装、税金</w:t>
      </w:r>
      <w:r>
        <w:rPr>
          <w:rFonts w:hint="eastAsia"/>
          <w:color w:val="000000"/>
          <w:sz w:val="24"/>
          <w:szCs w:val="24"/>
          <w:highlight w:val="none"/>
        </w:rPr>
        <w:t>及利润等一切费用。</w:t>
      </w:r>
      <w:bookmarkEnd w:id="181"/>
    </w:p>
    <w:p w14:paraId="1BA65E67">
      <w:pPr>
        <w:tabs>
          <w:tab w:val="left" w:pos="4180"/>
        </w:tabs>
        <w:spacing w:line="500" w:lineRule="exact"/>
        <w:ind w:firstLine="3120" w:firstLineChars="1300"/>
        <w:rPr>
          <w:color w:val="000000"/>
          <w:sz w:val="24"/>
          <w:szCs w:val="24"/>
          <w:highlight w:val="none"/>
        </w:rPr>
      </w:pPr>
      <w:r>
        <w:rPr>
          <w:rFonts w:hint="eastAsia"/>
          <w:color w:val="000000"/>
          <w:sz w:val="24"/>
          <w:szCs w:val="24"/>
          <w:highlight w:val="none"/>
        </w:rPr>
        <w:t>供应商：（</w:t>
      </w:r>
      <w:r>
        <w:rPr>
          <w:rFonts w:hint="eastAsia"/>
          <w:color w:val="000000"/>
          <w:sz w:val="24"/>
          <w:szCs w:val="24"/>
          <w:highlight w:val="none"/>
          <w:lang w:val="en-US" w:eastAsia="zh-CN"/>
        </w:rPr>
        <w:t>电子</w:t>
      </w:r>
      <w:r>
        <w:rPr>
          <w:rFonts w:hint="eastAsia"/>
          <w:color w:val="000000"/>
          <w:sz w:val="24"/>
          <w:szCs w:val="24"/>
          <w:highlight w:val="none"/>
        </w:rPr>
        <w:t>签章）</w:t>
      </w:r>
    </w:p>
    <w:p w14:paraId="3F7ED5BF">
      <w:pPr>
        <w:tabs>
          <w:tab w:val="left" w:pos="4180"/>
        </w:tabs>
        <w:spacing w:line="500" w:lineRule="exact"/>
        <w:ind w:firstLine="3120" w:firstLineChars="1300"/>
        <w:rPr>
          <w:color w:val="000000"/>
          <w:sz w:val="24"/>
          <w:szCs w:val="24"/>
          <w:highlight w:val="none"/>
        </w:rPr>
      </w:pPr>
      <w:r>
        <w:rPr>
          <w:rFonts w:hint="eastAsia"/>
          <w:color w:val="000000"/>
          <w:sz w:val="24"/>
          <w:szCs w:val="24"/>
          <w:highlight w:val="none"/>
        </w:rPr>
        <w:t>法定代表人</w:t>
      </w:r>
      <w:r>
        <w:rPr>
          <w:rFonts w:hint="eastAsia"/>
          <w:color w:val="000000"/>
          <w:sz w:val="24"/>
          <w:szCs w:val="24"/>
          <w:highlight w:val="none"/>
          <w:lang w:eastAsia="zh-CN"/>
        </w:rPr>
        <w:t>：</w:t>
      </w:r>
      <w:r>
        <w:rPr>
          <w:rFonts w:hint="eastAsia"/>
          <w:color w:val="000000"/>
          <w:sz w:val="24"/>
          <w:szCs w:val="24"/>
          <w:highlight w:val="none"/>
        </w:rPr>
        <w:t>（</w:t>
      </w:r>
      <w:r>
        <w:rPr>
          <w:rFonts w:hint="eastAsia"/>
          <w:color w:val="000000"/>
          <w:sz w:val="24"/>
          <w:szCs w:val="24"/>
          <w:highlight w:val="none"/>
          <w:lang w:val="en-US" w:eastAsia="zh-CN"/>
        </w:rPr>
        <w:t>电子</w:t>
      </w:r>
      <w:r>
        <w:rPr>
          <w:rFonts w:hint="eastAsia"/>
          <w:color w:val="000000"/>
          <w:sz w:val="24"/>
          <w:szCs w:val="24"/>
          <w:highlight w:val="none"/>
        </w:rPr>
        <w:t>签章） ：</w:t>
      </w:r>
    </w:p>
    <w:p w14:paraId="1C8C6155">
      <w:pPr>
        <w:tabs>
          <w:tab w:val="left" w:pos="4180"/>
        </w:tabs>
        <w:spacing w:line="500" w:lineRule="exact"/>
        <w:ind w:firstLine="3120" w:firstLineChars="1300"/>
        <w:rPr>
          <w:color w:val="000000"/>
          <w:sz w:val="24"/>
          <w:szCs w:val="24"/>
          <w:highlight w:val="none"/>
        </w:rPr>
      </w:pPr>
      <w:r>
        <w:rPr>
          <w:rFonts w:hint="eastAsia"/>
          <w:color w:val="000000"/>
          <w:sz w:val="24"/>
          <w:szCs w:val="24"/>
          <w:highlight w:val="none"/>
        </w:rPr>
        <w:t xml:space="preserve"> 日期：     年   月   日</w:t>
      </w:r>
    </w:p>
    <w:p w14:paraId="62883183">
      <w:pPr>
        <w:pStyle w:val="47"/>
        <w:ind w:firstLine="643"/>
        <w:rPr>
          <w:b/>
          <w:bCs/>
          <w:color w:val="000000" w:themeColor="text1"/>
          <w:kern w:val="0"/>
          <w:sz w:val="32"/>
          <w:szCs w:val="32"/>
          <w:highlight w:val="none"/>
          <w14:textFill>
            <w14:solidFill>
              <w14:schemeClr w14:val="tx1"/>
            </w14:solidFill>
          </w14:textFill>
        </w:rPr>
      </w:pPr>
    </w:p>
    <w:p w14:paraId="2AA94E32">
      <w:pPr>
        <w:widowControl/>
        <w:rPr>
          <w:rFonts w:hint="eastAsia" w:ascii="宋体" w:hAnsi="宋体"/>
          <w:b/>
          <w:bCs/>
          <w:color w:val="000000" w:themeColor="text1"/>
          <w:kern w:val="0"/>
          <w:sz w:val="32"/>
          <w:szCs w:val="32"/>
          <w:highlight w:val="none"/>
          <w14:textFill>
            <w14:solidFill>
              <w14:schemeClr w14:val="tx1"/>
            </w14:solidFill>
          </w14:textFill>
        </w:rPr>
      </w:pPr>
      <w:r>
        <w:rPr>
          <w:rFonts w:hint="eastAsia" w:ascii="宋体" w:hAnsi="宋体"/>
          <w:b/>
          <w:bCs/>
          <w:color w:val="000000" w:themeColor="text1"/>
          <w:kern w:val="0"/>
          <w:sz w:val="32"/>
          <w:szCs w:val="32"/>
          <w:highlight w:val="none"/>
          <w14:textFill>
            <w14:solidFill>
              <w14:schemeClr w14:val="tx1"/>
            </w14:solidFill>
          </w14:textFill>
        </w:rPr>
        <w:t xml:space="preserve">         </w:t>
      </w:r>
    </w:p>
    <w:p w14:paraId="72CEB078">
      <w:pPr>
        <w:rPr>
          <w:rFonts w:hint="eastAsia" w:ascii="宋体" w:hAnsi="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b w:val="0"/>
          <w:bCs w:val="0"/>
          <w:color w:val="000000" w:themeColor="text1"/>
          <w:kern w:val="0"/>
          <w:sz w:val="24"/>
          <w:szCs w:val="24"/>
          <w:highlight w:val="none"/>
          <w:lang w:val="en-US" w:eastAsia="zh-CN"/>
          <w14:textFill>
            <w14:solidFill>
              <w14:schemeClr w14:val="tx1"/>
            </w14:solidFill>
          </w14:textFill>
        </w:rPr>
        <w:br w:type="page"/>
      </w:r>
    </w:p>
    <w:p w14:paraId="11577AEE">
      <w:pPr>
        <w:pStyle w:val="19"/>
        <w:rPr>
          <w:rFonts w:hint="eastAsia"/>
          <w:lang w:val="en-US" w:eastAsia="zh-CN"/>
        </w:rPr>
      </w:pPr>
    </w:p>
    <w:p w14:paraId="406A83BB">
      <w:pPr>
        <w:widowControl/>
        <w:rPr>
          <w:rFonts w:hint="eastAsia" w:ascii="宋体" w:hAnsi="宋体"/>
          <w:b w:val="0"/>
          <w:bCs w:val="0"/>
          <w:color w:val="000000" w:themeColor="text1"/>
          <w:kern w:val="0"/>
          <w:sz w:val="28"/>
          <w:szCs w:val="28"/>
          <w:highlight w:val="none"/>
          <w14:textFill>
            <w14:solidFill>
              <w14:schemeClr w14:val="tx1"/>
            </w14:solidFill>
          </w14:textFill>
        </w:rPr>
      </w:pPr>
      <w:r>
        <w:rPr>
          <w:rFonts w:hint="eastAsia" w:ascii="宋体" w:hAnsi="宋体"/>
          <w:b w:val="0"/>
          <w:bCs w:val="0"/>
          <w:color w:val="000000" w:themeColor="text1"/>
          <w:kern w:val="0"/>
          <w:sz w:val="24"/>
          <w:szCs w:val="24"/>
          <w:highlight w:val="none"/>
          <w:lang w:val="en-US" w:eastAsia="zh-CN"/>
          <w14:textFill>
            <w14:solidFill>
              <w14:schemeClr w14:val="tx1"/>
            </w14:solidFill>
          </w14:textFill>
        </w:rPr>
        <w:t>2、</w:t>
      </w:r>
      <w:r>
        <w:rPr>
          <w:rFonts w:hint="eastAsia" w:ascii="宋体" w:hAnsi="宋体"/>
          <w:b w:val="0"/>
          <w:bCs w:val="0"/>
          <w:color w:val="000000" w:themeColor="text1"/>
          <w:kern w:val="0"/>
          <w:sz w:val="24"/>
          <w:szCs w:val="24"/>
          <w:highlight w:val="none"/>
          <w14:textFill>
            <w14:solidFill>
              <w14:schemeClr w14:val="tx1"/>
            </w14:solidFill>
          </w14:textFill>
        </w:rPr>
        <w:t xml:space="preserve">  </w:t>
      </w:r>
      <w:r>
        <w:rPr>
          <w:rFonts w:hint="eastAsia" w:ascii="宋体" w:hAnsi="宋体"/>
          <w:b w:val="0"/>
          <w:bCs w:val="0"/>
          <w:color w:val="000000" w:themeColor="text1"/>
          <w:kern w:val="0"/>
          <w:sz w:val="24"/>
          <w:szCs w:val="24"/>
          <w:highlight w:val="none"/>
          <w:lang w:eastAsia="zh-CN"/>
          <w14:textFill>
            <w14:solidFill>
              <w14:schemeClr w14:val="tx1"/>
            </w14:solidFill>
          </w14:textFill>
        </w:rPr>
        <w:t>谈判</w:t>
      </w:r>
      <w:r>
        <w:rPr>
          <w:rFonts w:hint="eastAsia" w:ascii="宋体" w:hAnsi="宋体"/>
          <w:b w:val="0"/>
          <w:bCs w:val="0"/>
          <w:color w:val="000000" w:themeColor="text1"/>
          <w:kern w:val="0"/>
          <w:sz w:val="24"/>
          <w:szCs w:val="24"/>
          <w:highlight w:val="none"/>
          <w14:textFill>
            <w14:solidFill>
              <w14:schemeClr w14:val="tx1"/>
            </w14:solidFill>
          </w14:textFill>
        </w:rPr>
        <w:t>报价明细表</w:t>
      </w:r>
    </w:p>
    <w:tbl>
      <w:tblPr>
        <w:tblStyle w:val="21"/>
        <w:tblpPr w:leftFromText="180" w:rightFromText="180" w:vertAnchor="text" w:horzAnchor="page" w:tblpX="1054" w:tblpY="383"/>
        <w:tblOverlap w:val="never"/>
        <w:tblW w:w="10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80"/>
        <w:gridCol w:w="800"/>
        <w:gridCol w:w="840"/>
        <w:gridCol w:w="814"/>
        <w:gridCol w:w="837"/>
        <w:gridCol w:w="318"/>
        <w:gridCol w:w="620"/>
        <w:gridCol w:w="958"/>
        <w:gridCol w:w="854"/>
        <w:gridCol w:w="975"/>
        <w:gridCol w:w="863"/>
        <w:gridCol w:w="787"/>
      </w:tblGrid>
      <w:tr w14:paraId="7F04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716" w:type="dxa"/>
            <w:tcBorders>
              <w:top w:val="single" w:color="auto" w:sz="4" w:space="0"/>
              <w:left w:val="single" w:color="auto" w:sz="4" w:space="0"/>
              <w:bottom w:val="single" w:color="auto" w:sz="4" w:space="0"/>
              <w:right w:val="single" w:color="auto" w:sz="4" w:space="0"/>
            </w:tcBorders>
          </w:tcPr>
          <w:p w14:paraId="012594E4">
            <w:pPr>
              <w:jc w:val="center"/>
              <w:rPr>
                <w:highlight w:val="none"/>
              </w:rPr>
            </w:pPr>
          </w:p>
          <w:p w14:paraId="39AE372F">
            <w:pPr>
              <w:pStyle w:val="2"/>
              <w:ind w:left="2250" w:hanging="1200"/>
              <w:rPr>
                <w:highlight w:val="none"/>
              </w:rPr>
            </w:pPr>
          </w:p>
          <w:p w14:paraId="56B3D917">
            <w:pPr>
              <w:pStyle w:val="36"/>
              <w:ind w:firstLine="560"/>
              <w:rPr>
                <w:highlight w:val="none"/>
              </w:rPr>
            </w:pPr>
          </w:p>
          <w:p w14:paraId="2C595C59">
            <w:pPr>
              <w:pStyle w:val="36"/>
              <w:ind w:firstLine="560"/>
              <w:rPr>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14:paraId="6A20DE23">
            <w:pPr>
              <w:jc w:val="center"/>
              <w:rPr>
                <w:rFonts w:hint="eastAsia" w:eastAsia="宋体"/>
                <w:color w:val="000000" w:themeColor="text1"/>
                <w:sz w:val="24"/>
                <w:szCs w:val="32"/>
                <w:highlight w:val="none"/>
                <w:lang w:eastAsia="zh-CN"/>
                <w14:textFill>
                  <w14:solidFill>
                    <w14:schemeClr w14:val="tx1"/>
                  </w14:solidFill>
                </w14:textFill>
              </w:rPr>
            </w:pPr>
            <w:r>
              <w:rPr>
                <w:rFonts w:hint="eastAsia"/>
                <w:color w:val="000000" w:themeColor="text1"/>
                <w:sz w:val="24"/>
                <w:szCs w:val="32"/>
                <w:highlight w:val="none"/>
                <w:lang w:val="en-US" w:eastAsia="zh-CN"/>
                <w14:textFill>
                  <w14:solidFill>
                    <w14:schemeClr w14:val="tx1"/>
                  </w14:solidFill>
                </w14:textFill>
              </w:rPr>
              <w:t>类型</w:t>
            </w:r>
          </w:p>
        </w:tc>
        <w:tc>
          <w:tcPr>
            <w:tcW w:w="800" w:type="dxa"/>
            <w:tcBorders>
              <w:top w:val="single" w:color="auto" w:sz="4" w:space="0"/>
              <w:left w:val="single" w:color="auto" w:sz="4" w:space="0"/>
              <w:bottom w:val="single" w:color="auto" w:sz="4" w:space="0"/>
              <w:right w:val="single" w:color="auto" w:sz="4" w:space="0"/>
            </w:tcBorders>
            <w:vAlign w:val="center"/>
          </w:tcPr>
          <w:p w14:paraId="3A7BA949">
            <w:pPr>
              <w:jc w:val="center"/>
              <w:rPr>
                <w:rFonts w:hint="eastAsia"/>
                <w:color w:val="000000" w:themeColor="text1"/>
                <w:sz w:val="24"/>
                <w:szCs w:val="32"/>
                <w:highlight w:val="none"/>
                <w14:textFill>
                  <w14:solidFill>
                    <w14:schemeClr w14:val="tx1"/>
                  </w14:solidFill>
                </w14:textFill>
              </w:rPr>
            </w:pPr>
            <w:r>
              <w:rPr>
                <w:rFonts w:hint="eastAsia"/>
                <w:color w:val="000000" w:themeColor="text1"/>
                <w:sz w:val="24"/>
                <w:szCs w:val="32"/>
                <w:highlight w:val="none"/>
                <w:lang w:eastAsia="zh-CN"/>
                <w14:textFill>
                  <w14:solidFill>
                    <w14:schemeClr w14:val="tx1"/>
                  </w14:solidFill>
                </w14:textFill>
              </w:rPr>
              <w:t>货物</w:t>
            </w:r>
            <w:r>
              <w:rPr>
                <w:rFonts w:hint="eastAsia"/>
                <w:color w:val="000000" w:themeColor="text1"/>
                <w:sz w:val="24"/>
                <w:szCs w:val="32"/>
                <w:highlight w:val="none"/>
                <w14:textFill>
                  <w14:solidFill>
                    <w14:schemeClr w14:val="tx1"/>
                  </w14:solidFill>
                </w14:textFill>
              </w:rPr>
              <w:t>名称</w:t>
            </w:r>
          </w:p>
        </w:tc>
        <w:tc>
          <w:tcPr>
            <w:tcW w:w="840" w:type="dxa"/>
            <w:tcBorders>
              <w:top w:val="single" w:color="auto" w:sz="4" w:space="0"/>
              <w:left w:val="single" w:color="auto" w:sz="4" w:space="0"/>
              <w:bottom w:val="single" w:color="auto" w:sz="4" w:space="0"/>
              <w:right w:val="single" w:color="auto" w:sz="4" w:space="0"/>
            </w:tcBorders>
            <w:vAlign w:val="center"/>
          </w:tcPr>
          <w:p w14:paraId="3DF7A543">
            <w:pPr>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品牌</w:t>
            </w:r>
          </w:p>
          <w:p w14:paraId="3B6DF160">
            <w:pPr>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型号</w:t>
            </w:r>
          </w:p>
        </w:tc>
        <w:tc>
          <w:tcPr>
            <w:tcW w:w="814" w:type="dxa"/>
            <w:tcBorders>
              <w:top w:val="single" w:color="auto" w:sz="4" w:space="0"/>
              <w:left w:val="single" w:color="auto" w:sz="4" w:space="0"/>
              <w:bottom w:val="single" w:color="auto" w:sz="4" w:space="0"/>
              <w:right w:val="single" w:color="auto" w:sz="4" w:space="0"/>
            </w:tcBorders>
            <w:vAlign w:val="center"/>
          </w:tcPr>
          <w:p w14:paraId="3BF3AD48">
            <w:pPr>
              <w:jc w:val="center"/>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color w:val="000000" w:themeColor="text1"/>
                <w:sz w:val="24"/>
                <w:szCs w:val="32"/>
                <w:highlight w:val="none"/>
                <w14:textFill>
                  <w14:solidFill>
                    <w14:schemeClr w14:val="tx1"/>
                  </w14:solidFill>
                </w14:textFill>
              </w:rPr>
              <w:t>生产厂家</w:t>
            </w:r>
          </w:p>
        </w:tc>
        <w:tc>
          <w:tcPr>
            <w:tcW w:w="837" w:type="dxa"/>
            <w:tcBorders>
              <w:top w:val="single" w:color="auto" w:sz="4" w:space="0"/>
              <w:left w:val="single" w:color="auto" w:sz="4" w:space="0"/>
              <w:bottom w:val="single" w:color="auto" w:sz="4" w:space="0"/>
              <w:right w:val="single" w:color="auto" w:sz="4" w:space="0"/>
            </w:tcBorders>
            <w:vAlign w:val="center"/>
          </w:tcPr>
          <w:p w14:paraId="634DF711">
            <w:pPr>
              <w:jc w:val="center"/>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产地</w:t>
            </w:r>
          </w:p>
        </w:tc>
        <w:tc>
          <w:tcPr>
            <w:tcW w:w="938" w:type="dxa"/>
            <w:gridSpan w:val="2"/>
            <w:tcBorders>
              <w:top w:val="single" w:color="auto" w:sz="4" w:space="0"/>
              <w:left w:val="single" w:color="auto" w:sz="4" w:space="0"/>
              <w:bottom w:val="single" w:color="auto" w:sz="4" w:space="0"/>
              <w:right w:val="single" w:color="auto" w:sz="4" w:space="0"/>
            </w:tcBorders>
            <w:vAlign w:val="center"/>
          </w:tcPr>
          <w:p w14:paraId="51965304">
            <w:pPr>
              <w:jc w:val="center"/>
              <w:rPr>
                <w:rFonts w:hint="eastAsia"/>
                <w:color w:val="000000" w:themeColor="text1"/>
                <w:sz w:val="24"/>
                <w:szCs w:val="32"/>
                <w:highlight w:val="none"/>
                <w:lang w:eastAsia="zh-CN"/>
                <w14:textFill>
                  <w14:solidFill>
                    <w14:schemeClr w14:val="tx1"/>
                  </w14:solidFill>
                </w14:textFill>
              </w:rPr>
            </w:pPr>
            <w:r>
              <w:rPr>
                <w:rFonts w:hint="eastAsia"/>
                <w:color w:val="000000" w:themeColor="text1"/>
                <w:sz w:val="24"/>
                <w:szCs w:val="32"/>
                <w:highlight w:val="none"/>
                <w:lang w:eastAsia="zh-CN"/>
                <w14:textFill>
                  <w14:solidFill>
                    <w14:schemeClr w14:val="tx1"/>
                  </w14:solidFill>
                </w14:textFill>
              </w:rPr>
              <w:t>技术</w:t>
            </w:r>
          </w:p>
          <w:p w14:paraId="49E5DBC3">
            <w:pPr>
              <w:jc w:val="center"/>
              <w:rPr>
                <w:color w:val="000000" w:themeColor="text1"/>
                <w:sz w:val="24"/>
                <w:szCs w:val="32"/>
                <w:highlight w:val="none"/>
                <w14:textFill>
                  <w14:solidFill>
                    <w14:schemeClr w14:val="tx1"/>
                  </w14:solidFill>
                </w14:textFill>
              </w:rPr>
            </w:pPr>
            <w:r>
              <w:rPr>
                <w:rFonts w:hint="eastAsia"/>
                <w:color w:val="000000" w:themeColor="text1"/>
                <w:sz w:val="24"/>
                <w:szCs w:val="32"/>
                <w:highlight w:val="none"/>
                <w:lang w:eastAsia="zh-CN"/>
                <w14:textFill>
                  <w14:solidFill>
                    <w14:schemeClr w14:val="tx1"/>
                  </w14:solidFill>
                </w14:textFill>
              </w:rPr>
              <w:t>参数</w:t>
            </w:r>
          </w:p>
        </w:tc>
        <w:tc>
          <w:tcPr>
            <w:tcW w:w="958" w:type="dxa"/>
            <w:tcBorders>
              <w:top w:val="single" w:color="auto" w:sz="4" w:space="0"/>
              <w:left w:val="single" w:color="auto" w:sz="4" w:space="0"/>
              <w:bottom w:val="single" w:color="auto" w:sz="4" w:space="0"/>
              <w:right w:val="single" w:color="auto" w:sz="4" w:space="0"/>
            </w:tcBorders>
            <w:vAlign w:val="center"/>
          </w:tcPr>
          <w:p w14:paraId="33E40D6E">
            <w:pPr>
              <w:jc w:val="center"/>
              <w:rPr>
                <w:rFonts w:ascii="宋体" w:hAnsi="宋体" w:cs="宋体"/>
                <w:color w:val="000000" w:themeColor="text1"/>
                <w:kern w:val="0"/>
                <w:sz w:val="28"/>
                <w:szCs w:val="28"/>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单位</w:t>
            </w:r>
          </w:p>
        </w:tc>
        <w:tc>
          <w:tcPr>
            <w:tcW w:w="854" w:type="dxa"/>
            <w:tcBorders>
              <w:top w:val="single" w:color="auto" w:sz="4" w:space="0"/>
              <w:left w:val="single" w:color="auto" w:sz="4" w:space="0"/>
              <w:bottom w:val="single" w:color="auto" w:sz="4" w:space="0"/>
              <w:right w:val="single" w:color="auto" w:sz="4" w:space="0"/>
            </w:tcBorders>
            <w:vAlign w:val="center"/>
          </w:tcPr>
          <w:p w14:paraId="63DA605E">
            <w:pPr>
              <w:jc w:val="center"/>
              <w:rPr>
                <w:rFonts w:ascii="宋体" w:hAnsi="宋体" w:cs="宋体"/>
                <w:color w:val="000000" w:themeColor="text1"/>
                <w:kern w:val="0"/>
                <w:sz w:val="28"/>
                <w:szCs w:val="28"/>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数量</w:t>
            </w:r>
          </w:p>
        </w:tc>
        <w:tc>
          <w:tcPr>
            <w:tcW w:w="975" w:type="dxa"/>
            <w:tcBorders>
              <w:top w:val="single" w:color="auto" w:sz="4" w:space="0"/>
              <w:left w:val="single" w:color="auto" w:sz="4" w:space="0"/>
              <w:bottom w:val="single" w:color="auto" w:sz="4" w:space="0"/>
              <w:right w:val="single" w:color="auto" w:sz="4" w:space="0"/>
            </w:tcBorders>
            <w:vAlign w:val="center"/>
          </w:tcPr>
          <w:p w14:paraId="487F6E16">
            <w:pPr>
              <w:jc w:val="center"/>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单价</w:t>
            </w:r>
          </w:p>
          <w:p w14:paraId="2F54B9DA">
            <w:pPr>
              <w:jc w:val="center"/>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（元）</w:t>
            </w:r>
          </w:p>
        </w:tc>
        <w:tc>
          <w:tcPr>
            <w:tcW w:w="863" w:type="dxa"/>
            <w:tcBorders>
              <w:top w:val="single" w:color="auto" w:sz="4" w:space="0"/>
              <w:left w:val="single" w:color="auto" w:sz="4" w:space="0"/>
              <w:bottom w:val="single" w:color="auto" w:sz="4" w:space="0"/>
              <w:right w:val="single" w:color="auto" w:sz="4" w:space="0"/>
            </w:tcBorders>
            <w:vAlign w:val="center"/>
          </w:tcPr>
          <w:p w14:paraId="59A42AE0">
            <w:pPr>
              <w:jc w:val="center"/>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小计</w:t>
            </w:r>
          </w:p>
          <w:p w14:paraId="7C6CBDF7">
            <w:pPr>
              <w:jc w:val="center"/>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（元）</w:t>
            </w:r>
          </w:p>
        </w:tc>
        <w:tc>
          <w:tcPr>
            <w:tcW w:w="787" w:type="dxa"/>
            <w:tcBorders>
              <w:top w:val="single" w:color="auto" w:sz="4" w:space="0"/>
              <w:left w:val="single" w:color="auto" w:sz="4" w:space="0"/>
              <w:bottom w:val="single" w:color="auto" w:sz="4" w:space="0"/>
              <w:right w:val="single" w:color="auto" w:sz="4" w:space="0"/>
            </w:tcBorders>
            <w:vAlign w:val="center"/>
          </w:tcPr>
          <w:p w14:paraId="210C72E2">
            <w:pPr>
              <w:jc w:val="center"/>
              <w:rPr>
                <w:rFonts w:hint="default" w:eastAsia="宋体"/>
                <w:color w:val="000000" w:themeColor="text1"/>
                <w:sz w:val="24"/>
                <w:szCs w:val="32"/>
                <w:highlight w:val="none"/>
                <w:lang w:val="en-US" w:eastAsia="zh-CN"/>
                <w14:textFill>
                  <w14:solidFill>
                    <w14:schemeClr w14:val="tx1"/>
                  </w14:solidFill>
                </w14:textFill>
              </w:rPr>
            </w:pPr>
            <w:r>
              <w:rPr>
                <w:rFonts w:hint="eastAsia"/>
                <w:color w:val="000000" w:themeColor="text1"/>
                <w:sz w:val="24"/>
                <w:szCs w:val="32"/>
                <w:highlight w:val="none"/>
                <w:lang w:val="en-US" w:eastAsia="zh-CN"/>
                <w14:textFill>
                  <w14:solidFill>
                    <w14:schemeClr w14:val="tx1"/>
                  </w14:solidFill>
                </w14:textFill>
              </w:rPr>
              <w:t>备注</w:t>
            </w:r>
          </w:p>
        </w:tc>
      </w:tr>
      <w:tr w14:paraId="374F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716" w:type="dxa"/>
            <w:tcBorders>
              <w:top w:val="single" w:color="auto" w:sz="4" w:space="0"/>
              <w:left w:val="single" w:color="auto" w:sz="4" w:space="0"/>
              <w:bottom w:val="single" w:color="auto" w:sz="4" w:space="0"/>
              <w:right w:val="single" w:color="auto" w:sz="4" w:space="0"/>
            </w:tcBorders>
            <w:vAlign w:val="center"/>
          </w:tcPr>
          <w:p w14:paraId="6B25FA90">
            <w:pPr>
              <w:widowControl/>
              <w:jc w:val="center"/>
              <w:rPr>
                <w:rFonts w:ascii="宋体" w:hAnsi="宋体"/>
                <w:b/>
                <w:bCs/>
                <w:color w:val="000000" w:themeColor="text1"/>
                <w:kern w:val="0"/>
                <w:sz w:val="28"/>
                <w:szCs w:val="28"/>
                <w:highlight w:val="none"/>
                <w14:textFill>
                  <w14:solidFill>
                    <w14:schemeClr w14:val="tx1"/>
                  </w14:solidFill>
                </w14:textFill>
              </w:rPr>
            </w:pPr>
            <w:r>
              <w:rPr>
                <w:rFonts w:hint="eastAsia" w:ascii="宋体" w:hAnsi="宋体"/>
                <w:b/>
                <w:bCs/>
                <w:color w:val="000000" w:themeColor="text1"/>
                <w:kern w:val="0"/>
                <w:sz w:val="28"/>
                <w:szCs w:val="28"/>
                <w:highlight w:val="none"/>
                <w14:textFill>
                  <w14:solidFill>
                    <w14:schemeClr w14:val="tx1"/>
                  </w14:solidFill>
                </w14:textFill>
              </w:rPr>
              <w:t>1</w:t>
            </w:r>
          </w:p>
        </w:tc>
        <w:tc>
          <w:tcPr>
            <w:tcW w:w="680" w:type="dxa"/>
            <w:tcBorders>
              <w:top w:val="single" w:color="auto" w:sz="4" w:space="0"/>
              <w:left w:val="single" w:color="auto" w:sz="4" w:space="0"/>
              <w:bottom w:val="single" w:color="auto" w:sz="4" w:space="0"/>
              <w:right w:val="single" w:color="auto" w:sz="4" w:space="0"/>
            </w:tcBorders>
          </w:tcPr>
          <w:p w14:paraId="04CBB63D">
            <w:pPr>
              <w:widowControl/>
              <w:rPr>
                <w:rFonts w:ascii="宋体" w:hAnsi="宋体"/>
                <w:b/>
                <w:bCs/>
                <w:color w:val="000000" w:themeColor="text1"/>
                <w:kern w:val="0"/>
                <w:sz w:val="28"/>
                <w:szCs w:val="28"/>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tcPr>
          <w:p w14:paraId="2C7CF598">
            <w:pPr>
              <w:widowControl/>
              <w:rPr>
                <w:rFonts w:ascii="宋体" w:hAnsi="宋体"/>
                <w:b/>
                <w:bCs/>
                <w:color w:val="000000" w:themeColor="text1"/>
                <w:kern w:val="0"/>
                <w:sz w:val="28"/>
                <w:szCs w:val="28"/>
                <w:highlight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tcPr>
          <w:p w14:paraId="09D32F02">
            <w:pPr>
              <w:widowControl/>
              <w:rPr>
                <w:rFonts w:ascii="宋体" w:hAnsi="宋体"/>
                <w:b/>
                <w:bCs/>
                <w:color w:val="000000" w:themeColor="text1"/>
                <w:kern w:val="0"/>
                <w:sz w:val="28"/>
                <w:szCs w:val="28"/>
                <w:highlight w:val="none"/>
                <w14:textFill>
                  <w14:solidFill>
                    <w14:schemeClr w14:val="tx1"/>
                  </w14:solidFill>
                </w14:textFill>
              </w:rPr>
            </w:pPr>
          </w:p>
        </w:tc>
        <w:tc>
          <w:tcPr>
            <w:tcW w:w="814" w:type="dxa"/>
            <w:tcBorders>
              <w:top w:val="single" w:color="auto" w:sz="4" w:space="0"/>
              <w:left w:val="single" w:color="auto" w:sz="4" w:space="0"/>
              <w:bottom w:val="single" w:color="auto" w:sz="4" w:space="0"/>
              <w:right w:val="single" w:color="auto" w:sz="4" w:space="0"/>
            </w:tcBorders>
          </w:tcPr>
          <w:p w14:paraId="0ADC95E0">
            <w:pPr>
              <w:widowControl/>
              <w:rPr>
                <w:rFonts w:ascii="宋体" w:hAnsi="宋体"/>
                <w:b/>
                <w:bCs/>
                <w:color w:val="000000" w:themeColor="text1"/>
                <w:kern w:val="0"/>
                <w:sz w:val="28"/>
                <w:szCs w:val="28"/>
                <w:highlight w:val="none"/>
                <w14:textFill>
                  <w14:solidFill>
                    <w14:schemeClr w14:val="tx1"/>
                  </w14:solidFill>
                </w14:textFill>
              </w:rPr>
            </w:pPr>
          </w:p>
        </w:tc>
        <w:tc>
          <w:tcPr>
            <w:tcW w:w="837" w:type="dxa"/>
            <w:tcBorders>
              <w:top w:val="single" w:color="auto" w:sz="4" w:space="0"/>
              <w:left w:val="single" w:color="auto" w:sz="4" w:space="0"/>
              <w:bottom w:val="single" w:color="auto" w:sz="4" w:space="0"/>
              <w:right w:val="single" w:color="auto" w:sz="4" w:space="0"/>
            </w:tcBorders>
          </w:tcPr>
          <w:p w14:paraId="26BD93AA">
            <w:pPr>
              <w:widowControl/>
              <w:rPr>
                <w:rFonts w:ascii="宋体" w:hAnsi="宋体"/>
                <w:b/>
                <w:bCs/>
                <w:color w:val="000000" w:themeColor="text1"/>
                <w:kern w:val="0"/>
                <w:sz w:val="28"/>
                <w:szCs w:val="28"/>
                <w:highlight w:val="none"/>
                <w14:textFill>
                  <w14:solidFill>
                    <w14:schemeClr w14:val="tx1"/>
                  </w14:solidFill>
                </w14:textFill>
              </w:rPr>
            </w:pPr>
          </w:p>
        </w:tc>
        <w:tc>
          <w:tcPr>
            <w:tcW w:w="938" w:type="dxa"/>
            <w:gridSpan w:val="2"/>
            <w:tcBorders>
              <w:top w:val="single" w:color="auto" w:sz="4" w:space="0"/>
              <w:left w:val="single" w:color="auto" w:sz="4" w:space="0"/>
              <w:bottom w:val="single" w:color="auto" w:sz="4" w:space="0"/>
              <w:right w:val="single" w:color="auto" w:sz="4" w:space="0"/>
            </w:tcBorders>
          </w:tcPr>
          <w:p w14:paraId="4B75DC68">
            <w:pPr>
              <w:widowControl/>
              <w:rPr>
                <w:rFonts w:ascii="宋体" w:hAnsi="宋体"/>
                <w:b/>
                <w:bCs/>
                <w:color w:val="000000" w:themeColor="text1"/>
                <w:kern w:val="0"/>
                <w:sz w:val="28"/>
                <w:szCs w:val="28"/>
                <w:highlight w:val="none"/>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tcPr>
          <w:p w14:paraId="3F518EF8">
            <w:pPr>
              <w:widowControl/>
              <w:rPr>
                <w:rFonts w:ascii="宋体" w:hAnsi="宋体"/>
                <w:b/>
                <w:bCs/>
                <w:color w:val="000000" w:themeColor="text1"/>
                <w:kern w:val="0"/>
                <w:sz w:val="28"/>
                <w:szCs w:val="28"/>
                <w:highlight w:val="none"/>
                <w14:textFill>
                  <w14:solidFill>
                    <w14:schemeClr w14:val="tx1"/>
                  </w14:solidFill>
                </w14:textFill>
              </w:rPr>
            </w:pPr>
          </w:p>
        </w:tc>
        <w:tc>
          <w:tcPr>
            <w:tcW w:w="854" w:type="dxa"/>
            <w:tcBorders>
              <w:top w:val="single" w:color="auto" w:sz="4" w:space="0"/>
              <w:left w:val="single" w:color="auto" w:sz="4" w:space="0"/>
              <w:bottom w:val="single" w:color="auto" w:sz="4" w:space="0"/>
              <w:right w:val="single" w:color="auto" w:sz="4" w:space="0"/>
            </w:tcBorders>
          </w:tcPr>
          <w:p w14:paraId="51F9F456">
            <w:pPr>
              <w:widowControl/>
              <w:rPr>
                <w:rFonts w:ascii="宋体" w:hAnsi="宋体"/>
                <w:b/>
                <w:bCs/>
                <w:color w:val="000000" w:themeColor="text1"/>
                <w:kern w:val="0"/>
                <w:sz w:val="28"/>
                <w:szCs w:val="28"/>
                <w:highlight w:val="none"/>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tcPr>
          <w:p w14:paraId="017AB068">
            <w:pPr>
              <w:widowControl/>
              <w:rPr>
                <w:rFonts w:ascii="宋体" w:hAnsi="宋体"/>
                <w:b/>
                <w:bCs/>
                <w:color w:val="000000" w:themeColor="text1"/>
                <w:kern w:val="0"/>
                <w:sz w:val="28"/>
                <w:szCs w:val="28"/>
                <w:highlight w:val="none"/>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tcPr>
          <w:p w14:paraId="7A4109FE">
            <w:pPr>
              <w:widowControl/>
              <w:rPr>
                <w:rFonts w:ascii="宋体" w:hAnsi="宋体"/>
                <w:b/>
                <w:bCs/>
                <w:color w:val="000000" w:themeColor="text1"/>
                <w:kern w:val="0"/>
                <w:sz w:val="28"/>
                <w:szCs w:val="28"/>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tcPr>
          <w:p w14:paraId="5FEBB594">
            <w:pPr>
              <w:widowControl/>
              <w:rPr>
                <w:rFonts w:ascii="宋体" w:hAnsi="宋体"/>
                <w:b/>
                <w:bCs/>
                <w:color w:val="000000" w:themeColor="text1"/>
                <w:kern w:val="0"/>
                <w:sz w:val="28"/>
                <w:szCs w:val="28"/>
                <w:highlight w:val="none"/>
                <w14:textFill>
                  <w14:solidFill>
                    <w14:schemeClr w14:val="tx1"/>
                  </w14:solidFill>
                </w14:textFill>
              </w:rPr>
            </w:pPr>
          </w:p>
        </w:tc>
      </w:tr>
      <w:tr w14:paraId="377F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716" w:type="dxa"/>
            <w:tcBorders>
              <w:top w:val="single" w:color="auto" w:sz="4" w:space="0"/>
              <w:left w:val="single" w:color="auto" w:sz="4" w:space="0"/>
              <w:bottom w:val="single" w:color="auto" w:sz="4" w:space="0"/>
              <w:right w:val="single" w:color="auto" w:sz="4" w:space="0"/>
            </w:tcBorders>
            <w:vAlign w:val="center"/>
          </w:tcPr>
          <w:p w14:paraId="2BB6D5AC">
            <w:pPr>
              <w:widowControl/>
              <w:jc w:val="center"/>
              <w:rPr>
                <w:rFonts w:ascii="宋体" w:hAnsi="宋体"/>
                <w:b/>
                <w:bCs/>
                <w:color w:val="000000" w:themeColor="text1"/>
                <w:kern w:val="0"/>
                <w:sz w:val="28"/>
                <w:szCs w:val="28"/>
                <w:highlight w:val="none"/>
                <w14:textFill>
                  <w14:solidFill>
                    <w14:schemeClr w14:val="tx1"/>
                  </w14:solidFill>
                </w14:textFill>
              </w:rPr>
            </w:pPr>
            <w:r>
              <w:rPr>
                <w:rFonts w:hint="eastAsia" w:ascii="宋体" w:hAnsi="宋体"/>
                <w:b/>
                <w:bCs/>
                <w:color w:val="000000" w:themeColor="text1"/>
                <w:kern w:val="0"/>
                <w:sz w:val="28"/>
                <w:szCs w:val="28"/>
                <w:highlight w:val="none"/>
                <w14:textFill>
                  <w14:solidFill>
                    <w14:schemeClr w14:val="tx1"/>
                  </w14:solidFill>
                </w14:textFill>
              </w:rPr>
              <w:t>2</w:t>
            </w:r>
          </w:p>
        </w:tc>
        <w:tc>
          <w:tcPr>
            <w:tcW w:w="680" w:type="dxa"/>
            <w:tcBorders>
              <w:top w:val="single" w:color="auto" w:sz="4" w:space="0"/>
              <w:left w:val="single" w:color="auto" w:sz="4" w:space="0"/>
              <w:bottom w:val="single" w:color="auto" w:sz="4" w:space="0"/>
              <w:right w:val="single" w:color="auto" w:sz="4" w:space="0"/>
            </w:tcBorders>
          </w:tcPr>
          <w:p w14:paraId="665BA0D4">
            <w:pPr>
              <w:widowControl/>
              <w:rPr>
                <w:rFonts w:ascii="宋体" w:hAnsi="宋体"/>
                <w:b/>
                <w:bCs/>
                <w:color w:val="000000" w:themeColor="text1"/>
                <w:kern w:val="0"/>
                <w:sz w:val="28"/>
                <w:szCs w:val="28"/>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tcPr>
          <w:p w14:paraId="3C91BEB4">
            <w:pPr>
              <w:widowControl/>
              <w:rPr>
                <w:rFonts w:ascii="宋体" w:hAnsi="宋体"/>
                <w:b/>
                <w:bCs/>
                <w:color w:val="000000" w:themeColor="text1"/>
                <w:kern w:val="0"/>
                <w:sz w:val="28"/>
                <w:szCs w:val="28"/>
                <w:highlight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tcPr>
          <w:p w14:paraId="4E0EEF73">
            <w:pPr>
              <w:widowControl/>
              <w:rPr>
                <w:rFonts w:ascii="宋体" w:hAnsi="宋体"/>
                <w:b/>
                <w:bCs/>
                <w:color w:val="000000" w:themeColor="text1"/>
                <w:kern w:val="0"/>
                <w:sz w:val="28"/>
                <w:szCs w:val="28"/>
                <w:highlight w:val="none"/>
                <w14:textFill>
                  <w14:solidFill>
                    <w14:schemeClr w14:val="tx1"/>
                  </w14:solidFill>
                </w14:textFill>
              </w:rPr>
            </w:pPr>
          </w:p>
        </w:tc>
        <w:tc>
          <w:tcPr>
            <w:tcW w:w="814" w:type="dxa"/>
            <w:tcBorders>
              <w:top w:val="single" w:color="auto" w:sz="4" w:space="0"/>
              <w:left w:val="single" w:color="auto" w:sz="4" w:space="0"/>
              <w:bottom w:val="single" w:color="auto" w:sz="4" w:space="0"/>
              <w:right w:val="single" w:color="auto" w:sz="4" w:space="0"/>
            </w:tcBorders>
          </w:tcPr>
          <w:p w14:paraId="3B549A8B">
            <w:pPr>
              <w:widowControl/>
              <w:rPr>
                <w:rFonts w:ascii="宋体" w:hAnsi="宋体"/>
                <w:b/>
                <w:bCs/>
                <w:color w:val="000000" w:themeColor="text1"/>
                <w:kern w:val="0"/>
                <w:sz w:val="28"/>
                <w:szCs w:val="28"/>
                <w:highlight w:val="none"/>
                <w14:textFill>
                  <w14:solidFill>
                    <w14:schemeClr w14:val="tx1"/>
                  </w14:solidFill>
                </w14:textFill>
              </w:rPr>
            </w:pPr>
          </w:p>
        </w:tc>
        <w:tc>
          <w:tcPr>
            <w:tcW w:w="837" w:type="dxa"/>
            <w:tcBorders>
              <w:top w:val="single" w:color="auto" w:sz="4" w:space="0"/>
              <w:left w:val="single" w:color="auto" w:sz="4" w:space="0"/>
              <w:bottom w:val="single" w:color="auto" w:sz="4" w:space="0"/>
              <w:right w:val="single" w:color="auto" w:sz="4" w:space="0"/>
            </w:tcBorders>
          </w:tcPr>
          <w:p w14:paraId="28BEED2C">
            <w:pPr>
              <w:widowControl/>
              <w:rPr>
                <w:rFonts w:ascii="宋体" w:hAnsi="宋体"/>
                <w:b/>
                <w:bCs/>
                <w:color w:val="000000" w:themeColor="text1"/>
                <w:kern w:val="0"/>
                <w:sz w:val="28"/>
                <w:szCs w:val="28"/>
                <w:highlight w:val="none"/>
                <w14:textFill>
                  <w14:solidFill>
                    <w14:schemeClr w14:val="tx1"/>
                  </w14:solidFill>
                </w14:textFill>
              </w:rPr>
            </w:pPr>
          </w:p>
        </w:tc>
        <w:tc>
          <w:tcPr>
            <w:tcW w:w="938" w:type="dxa"/>
            <w:gridSpan w:val="2"/>
            <w:tcBorders>
              <w:top w:val="single" w:color="auto" w:sz="4" w:space="0"/>
              <w:left w:val="single" w:color="auto" w:sz="4" w:space="0"/>
              <w:bottom w:val="single" w:color="auto" w:sz="4" w:space="0"/>
              <w:right w:val="single" w:color="auto" w:sz="4" w:space="0"/>
            </w:tcBorders>
          </w:tcPr>
          <w:p w14:paraId="2E3A7E49">
            <w:pPr>
              <w:widowControl/>
              <w:rPr>
                <w:rFonts w:ascii="宋体" w:hAnsi="宋体"/>
                <w:b/>
                <w:bCs/>
                <w:color w:val="000000" w:themeColor="text1"/>
                <w:kern w:val="0"/>
                <w:sz w:val="28"/>
                <w:szCs w:val="28"/>
                <w:highlight w:val="none"/>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tcPr>
          <w:p w14:paraId="79F06DB8">
            <w:pPr>
              <w:widowControl/>
              <w:rPr>
                <w:rFonts w:ascii="宋体" w:hAnsi="宋体"/>
                <w:b/>
                <w:bCs/>
                <w:color w:val="000000" w:themeColor="text1"/>
                <w:kern w:val="0"/>
                <w:sz w:val="28"/>
                <w:szCs w:val="28"/>
                <w:highlight w:val="none"/>
                <w14:textFill>
                  <w14:solidFill>
                    <w14:schemeClr w14:val="tx1"/>
                  </w14:solidFill>
                </w14:textFill>
              </w:rPr>
            </w:pPr>
          </w:p>
        </w:tc>
        <w:tc>
          <w:tcPr>
            <w:tcW w:w="854" w:type="dxa"/>
            <w:tcBorders>
              <w:top w:val="single" w:color="auto" w:sz="4" w:space="0"/>
              <w:left w:val="single" w:color="auto" w:sz="4" w:space="0"/>
              <w:bottom w:val="single" w:color="auto" w:sz="4" w:space="0"/>
              <w:right w:val="single" w:color="auto" w:sz="4" w:space="0"/>
            </w:tcBorders>
          </w:tcPr>
          <w:p w14:paraId="6CB0B6B0">
            <w:pPr>
              <w:widowControl/>
              <w:rPr>
                <w:rFonts w:ascii="宋体" w:hAnsi="宋体"/>
                <w:b/>
                <w:bCs/>
                <w:color w:val="000000" w:themeColor="text1"/>
                <w:kern w:val="0"/>
                <w:sz w:val="28"/>
                <w:szCs w:val="28"/>
                <w:highlight w:val="none"/>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tcPr>
          <w:p w14:paraId="19EF8F47">
            <w:pPr>
              <w:widowControl/>
              <w:rPr>
                <w:rFonts w:ascii="宋体" w:hAnsi="宋体"/>
                <w:b/>
                <w:bCs/>
                <w:color w:val="000000" w:themeColor="text1"/>
                <w:kern w:val="0"/>
                <w:sz w:val="28"/>
                <w:szCs w:val="28"/>
                <w:highlight w:val="none"/>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tcPr>
          <w:p w14:paraId="71D3090C">
            <w:pPr>
              <w:widowControl/>
              <w:rPr>
                <w:rFonts w:ascii="宋体" w:hAnsi="宋体"/>
                <w:b/>
                <w:bCs/>
                <w:color w:val="000000" w:themeColor="text1"/>
                <w:kern w:val="0"/>
                <w:sz w:val="28"/>
                <w:szCs w:val="28"/>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tcPr>
          <w:p w14:paraId="1573C893">
            <w:pPr>
              <w:widowControl/>
              <w:rPr>
                <w:rFonts w:ascii="宋体" w:hAnsi="宋体"/>
                <w:b/>
                <w:bCs/>
                <w:color w:val="000000" w:themeColor="text1"/>
                <w:kern w:val="0"/>
                <w:sz w:val="28"/>
                <w:szCs w:val="28"/>
                <w:highlight w:val="none"/>
                <w14:textFill>
                  <w14:solidFill>
                    <w14:schemeClr w14:val="tx1"/>
                  </w14:solidFill>
                </w14:textFill>
              </w:rPr>
            </w:pPr>
          </w:p>
        </w:tc>
      </w:tr>
      <w:tr w14:paraId="16F7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716" w:type="dxa"/>
            <w:tcBorders>
              <w:top w:val="single" w:color="auto" w:sz="4" w:space="0"/>
              <w:left w:val="single" w:color="auto" w:sz="4" w:space="0"/>
              <w:bottom w:val="single" w:color="auto" w:sz="4" w:space="0"/>
              <w:right w:val="single" w:color="auto" w:sz="4" w:space="0"/>
            </w:tcBorders>
            <w:vAlign w:val="center"/>
          </w:tcPr>
          <w:p w14:paraId="0ED29E9C">
            <w:pPr>
              <w:widowControl/>
              <w:jc w:val="center"/>
              <w:rPr>
                <w:rFonts w:hint="eastAsia" w:ascii="宋体" w:hAnsi="宋体" w:eastAsia="宋体"/>
                <w:b/>
                <w:bCs/>
                <w:color w:val="000000" w:themeColor="text1"/>
                <w:kern w:val="0"/>
                <w:sz w:val="28"/>
                <w:szCs w:val="28"/>
                <w:highlight w:val="none"/>
                <w:lang w:val="en-US" w:eastAsia="zh-CN"/>
                <w14:textFill>
                  <w14:solidFill>
                    <w14:schemeClr w14:val="tx1"/>
                  </w14:solidFill>
                </w14:textFill>
              </w:rPr>
            </w:pPr>
            <w:r>
              <w:rPr>
                <w:rFonts w:hint="eastAsia" w:ascii="宋体" w:hAnsi="宋体"/>
                <w:b/>
                <w:bCs/>
                <w:color w:val="000000" w:themeColor="text1"/>
                <w:kern w:val="0"/>
                <w:sz w:val="28"/>
                <w:szCs w:val="28"/>
                <w:highlight w:val="none"/>
                <w:lang w:val="en-US" w:eastAsia="zh-CN"/>
                <w14:textFill>
                  <w14:solidFill>
                    <w14:schemeClr w14:val="tx1"/>
                  </w14:solidFill>
                </w14:textFill>
              </w:rPr>
              <w:t>3</w:t>
            </w:r>
          </w:p>
        </w:tc>
        <w:tc>
          <w:tcPr>
            <w:tcW w:w="680" w:type="dxa"/>
            <w:tcBorders>
              <w:top w:val="single" w:color="auto" w:sz="4" w:space="0"/>
              <w:left w:val="single" w:color="auto" w:sz="4" w:space="0"/>
              <w:bottom w:val="single" w:color="auto" w:sz="4" w:space="0"/>
              <w:right w:val="single" w:color="auto" w:sz="4" w:space="0"/>
            </w:tcBorders>
          </w:tcPr>
          <w:p w14:paraId="1430F034">
            <w:pPr>
              <w:widowControl/>
              <w:rPr>
                <w:rFonts w:ascii="宋体" w:hAnsi="宋体"/>
                <w:b/>
                <w:bCs/>
                <w:color w:val="000000" w:themeColor="text1"/>
                <w:kern w:val="0"/>
                <w:sz w:val="28"/>
                <w:szCs w:val="28"/>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tcPr>
          <w:p w14:paraId="0192E910">
            <w:pPr>
              <w:widowControl/>
              <w:rPr>
                <w:rFonts w:ascii="宋体" w:hAnsi="宋体"/>
                <w:b/>
                <w:bCs/>
                <w:color w:val="000000" w:themeColor="text1"/>
                <w:kern w:val="0"/>
                <w:sz w:val="28"/>
                <w:szCs w:val="28"/>
                <w:highlight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tcPr>
          <w:p w14:paraId="11C0C8A0">
            <w:pPr>
              <w:widowControl/>
              <w:rPr>
                <w:rFonts w:ascii="宋体" w:hAnsi="宋体"/>
                <w:b/>
                <w:bCs/>
                <w:color w:val="000000" w:themeColor="text1"/>
                <w:kern w:val="0"/>
                <w:sz w:val="28"/>
                <w:szCs w:val="28"/>
                <w:highlight w:val="none"/>
                <w14:textFill>
                  <w14:solidFill>
                    <w14:schemeClr w14:val="tx1"/>
                  </w14:solidFill>
                </w14:textFill>
              </w:rPr>
            </w:pPr>
          </w:p>
        </w:tc>
        <w:tc>
          <w:tcPr>
            <w:tcW w:w="814" w:type="dxa"/>
            <w:tcBorders>
              <w:top w:val="single" w:color="auto" w:sz="4" w:space="0"/>
              <w:left w:val="single" w:color="auto" w:sz="4" w:space="0"/>
              <w:bottom w:val="single" w:color="auto" w:sz="4" w:space="0"/>
              <w:right w:val="single" w:color="auto" w:sz="4" w:space="0"/>
            </w:tcBorders>
          </w:tcPr>
          <w:p w14:paraId="145620F5">
            <w:pPr>
              <w:widowControl/>
              <w:rPr>
                <w:rFonts w:ascii="宋体" w:hAnsi="宋体"/>
                <w:b/>
                <w:bCs/>
                <w:color w:val="000000" w:themeColor="text1"/>
                <w:kern w:val="0"/>
                <w:sz w:val="28"/>
                <w:szCs w:val="28"/>
                <w:highlight w:val="none"/>
                <w14:textFill>
                  <w14:solidFill>
                    <w14:schemeClr w14:val="tx1"/>
                  </w14:solidFill>
                </w14:textFill>
              </w:rPr>
            </w:pPr>
          </w:p>
        </w:tc>
        <w:tc>
          <w:tcPr>
            <w:tcW w:w="837" w:type="dxa"/>
            <w:tcBorders>
              <w:top w:val="single" w:color="auto" w:sz="4" w:space="0"/>
              <w:left w:val="single" w:color="auto" w:sz="4" w:space="0"/>
              <w:bottom w:val="single" w:color="auto" w:sz="4" w:space="0"/>
              <w:right w:val="single" w:color="auto" w:sz="4" w:space="0"/>
            </w:tcBorders>
          </w:tcPr>
          <w:p w14:paraId="79943A67">
            <w:pPr>
              <w:widowControl/>
              <w:rPr>
                <w:rFonts w:ascii="宋体" w:hAnsi="宋体"/>
                <w:b/>
                <w:bCs/>
                <w:color w:val="000000" w:themeColor="text1"/>
                <w:kern w:val="0"/>
                <w:sz w:val="28"/>
                <w:szCs w:val="28"/>
                <w:highlight w:val="none"/>
                <w14:textFill>
                  <w14:solidFill>
                    <w14:schemeClr w14:val="tx1"/>
                  </w14:solidFill>
                </w14:textFill>
              </w:rPr>
            </w:pPr>
          </w:p>
        </w:tc>
        <w:tc>
          <w:tcPr>
            <w:tcW w:w="938" w:type="dxa"/>
            <w:gridSpan w:val="2"/>
            <w:tcBorders>
              <w:top w:val="single" w:color="auto" w:sz="4" w:space="0"/>
              <w:left w:val="single" w:color="auto" w:sz="4" w:space="0"/>
              <w:bottom w:val="single" w:color="auto" w:sz="4" w:space="0"/>
              <w:right w:val="single" w:color="auto" w:sz="4" w:space="0"/>
            </w:tcBorders>
          </w:tcPr>
          <w:p w14:paraId="5D9ADABA">
            <w:pPr>
              <w:widowControl/>
              <w:rPr>
                <w:rFonts w:ascii="宋体" w:hAnsi="宋体"/>
                <w:b/>
                <w:bCs/>
                <w:color w:val="000000" w:themeColor="text1"/>
                <w:kern w:val="0"/>
                <w:sz w:val="28"/>
                <w:szCs w:val="28"/>
                <w:highlight w:val="none"/>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tcPr>
          <w:p w14:paraId="5492C5ED">
            <w:pPr>
              <w:widowControl/>
              <w:rPr>
                <w:rFonts w:ascii="宋体" w:hAnsi="宋体"/>
                <w:b/>
                <w:bCs/>
                <w:color w:val="000000" w:themeColor="text1"/>
                <w:kern w:val="0"/>
                <w:sz w:val="28"/>
                <w:szCs w:val="28"/>
                <w:highlight w:val="none"/>
                <w14:textFill>
                  <w14:solidFill>
                    <w14:schemeClr w14:val="tx1"/>
                  </w14:solidFill>
                </w14:textFill>
              </w:rPr>
            </w:pPr>
          </w:p>
        </w:tc>
        <w:tc>
          <w:tcPr>
            <w:tcW w:w="854" w:type="dxa"/>
            <w:tcBorders>
              <w:top w:val="single" w:color="auto" w:sz="4" w:space="0"/>
              <w:left w:val="single" w:color="auto" w:sz="4" w:space="0"/>
              <w:bottom w:val="single" w:color="auto" w:sz="4" w:space="0"/>
              <w:right w:val="single" w:color="auto" w:sz="4" w:space="0"/>
            </w:tcBorders>
          </w:tcPr>
          <w:p w14:paraId="4DD4ECE8">
            <w:pPr>
              <w:widowControl/>
              <w:rPr>
                <w:rFonts w:ascii="宋体" w:hAnsi="宋体"/>
                <w:b/>
                <w:bCs/>
                <w:color w:val="000000" w:themeColor="text1"/>
                <w:kern w:val="0"/>
                <w:sz w:val="28"/>
                <w:szCs w:val="28"/>
                <w:highlight w:val="none"/>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tcPr>
          <w:p w14:paraId="59423651">
            <w:pPr>
              <w:widowControl/>
              <w:rPr>
                <w:rFonts w:ascii="宋体" w:hAnsi="宋体"/>
                <w:b/>
                <w:bCs/>
                <w:color w:val="000000" w:themeColor="text1"/>
                <w:kern w:val="0"/>
                <w:sz w:val="28"/>
                <w:szCs w:val="28"/>
                <w:highlight w:val="none"/>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tcPr>
          <w:p w14:paraId="0FAF0319">
            <w:pPr>
              <w:widowControl/>
              <w:rPr>
                <w:rFonts w:ascii="宋体" w:hAnsi="宋体"/>
                <w:b/>
                <w:bCs/>
                <w:color w:val="000000" w:themeColor="text1"/>
                <w:kern w:val="0"/>
                <w:sz w:val="28"/>
                <w:szCs w:val="28"/>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tcPr>
          <w:p w14:paraId="5B8B40B4">
            <w:pPr>
              <w:widowControl/>
              <w:rPr>
                <w:rFonts w:ascii="宋体" w:hAnsi="宋体"/>
                <w:b/>
                <w:bCs/>
                <w:color w:val="000000" w:themeColor="text1"/>
                <w:kern w:val="0"/>
                <w:sz w:val="28"/>
                <w:szCs w:val="28"/>
                <w:highlight w:val="none"/>
                <w14:textFill>
                  <w14:solidFill>
                    <w14:schemeClr w14:val="tx1"/>
                  </w14:solidFill>
                </w14:textFill>
              </w:rPr>
            </w:pPr>
          </w:p>
        </w:tc>
      </w:tr>
      <w:tr w14:paraId="4990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716" w:type="dxa"/>
            <w:tcBorders>
              <w:top w:val="single" w:color="auto" w:sz="4" w:space="0"/>
              <w:left w:val="single" w:color="auto" w:sz="4" w:space="0"/>
              <w:bottom w:val="single" w:color="auto" w:sz="4" w:space="0"/>
              <w:right w:val="single" w:color="auto" w:sz="4" w:space="0"/>
            </w:tcBorders>
            <w:vAlign w:val="center"/>
          </w:tcPr>
          <w:p w14:paraId="48D66A01">
            <w:pPr>
              <w:widowControl/>
              <w:jc w:val="center"/>
              <w:rPr>
                <w:rFonts w:hint="default" w:ascii="宋体" w:hAnsi="宋体" w:eastAsia="宋体"/>
                <w:b/>
                <w:bCs/>
                <w:color w:val="000000" w:themeColor="text1"/>
                <w:kern w:val="0"/>
                <w:sz w:val="28"/>
                <w:szCs w:val="28"/>
                <w:highlight w:val="none"/>
                <w:lang w:val="en-US" w:eastAsia="zh-CN"/>
                <w14:textFill>
                  <w14:solidFill>
                    <w14:schemeClr w14:val="tx1"/>
                  </w14:solidFill>
                </w14:textFill>
              </w:rPr>
            </w:pPr>
            <w:r>
              <w:rPr>
                <w:rFonts w:hint="eastAsia" w:ascii="宋体" w:hAnsi="宋体"/>
                <w:b/>
                <w:bCs/>
                <w:color w:val="000000" w:themeColor="text1"/>
                <w:kern w:val="0"/>
                <w:sz w:val="28"/>
                <w:szCs w:val="28"/>
                <w:highlight w:val="none"/>
                <w:lang w:val="en-US" w:eastAsia="zh-CN"/>
                <w14:textFill>
                  <w14:solidFill>
                    <w14:schemeClr w14:val="tx1"/>
                  </w14:solidFill>
                </w14:textFill>
              </w:rPr>
              <w:t>...</w:t>
            </w:r>
          </w:p>
        </w:tc>
        <w:tc>
          <w:tcPr>
            <w:tcW w:w="680" w:type="dxa"/>
            <w:tcBorders>
              <w:top w:val="single" w:color="auto" w:sz="4" w:space="0"/>
              <w:left w:val="single" w:color="auto" w:sz="4" w:space="0"/>
              <w:bottom w:val="single" w:color="auto" w:sz="4" w:space="0"/>
              <w:right w:val="single" w:color="auto" w:sz="4" w:space="0"/>
            </w:tcBorders>
          </w:tcPr>
          <w:p w14:paraId="1180F2A7">
            <w:pPr>
              <w:widowControl/>
              <w:rPr>
                <w:rFonts w:ascii="宋体" w:hAnsi="宋体"/>
                <w:b/>
                <w:bCs/>
                <w:color w:val="000000" w:themeColor="text1"/>
                <w:kern w:val="0"/>
                <w:sz w:val="28"/>
                <w:szCs w:val="28"/>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tcPr>
          <w:p w14:paraId="13341144">
            <w:pPr>
              <w:widowControl/>
              <w:rPr>
                <w:rFonts w:ascii="宋体" w:hAnsi="宋体"/>
                <w:b/>
                <w:bCs/>
                <w:color w:val="000000" w:themeColor="text1"/>
                <w:kern w:val="0"/>
                <w:sz w:val="28"/>
                <w:szCs w:val="28"/>
                <w:highlight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tcPr>
          <w:p w14:paraId="0EA32765">
            <w:pPr>
              <w:widowControl/>
              <w:rPr>
                <w:rFonts w:ascii="宋体" w:hAnsi="宋体"/>
                <w:b/>
                <w:bCs/>
                <w:color w:val="000000" w:themeColor="text1"/>
                <w:kern w:val="0"/>
                <w:sz w:val="28"/>
                <w:szCs w:val="28"/>
                <w:highlight w:val="none"/>
                <w14:textFill>
                  <w14:solidFill>
                    <w14:schemeClr w14:val="tx1"/>
                  </w14:solidFill>
                </w14:textFill>
              </w:rPr>
            </w:pPr>
          </w:p>
        </w:tc>
        <w:tc>
          <w:tcPr>
            <w:tcW w:w="814" w:type="dxa"/>
            <w:tcBorders>
              <w:top w:val="single" w:color="auto" w:sz="4" w:space="0"/>
              <w:left w:val="single" w:color="auto" w:sz="4" w:space="0"/>
              <w:bottom w:val="single" w:color="auto" w:sz="4" w:space="0"/>
              <w:right w:val="single" w:color="auto" w:sz="4" w:space="0"/>
            </w:tcBorders>
          </w:tcPr>
          <w:p w14:paraId="2E9DD7D4">
            <w:pPr>
              <w:widowControl/>
              <w:rPr>
                <w:rFonts w:ascii="宋体" w:hAnsi="宋体"/>
                <w:b/>
                <w:bCs/>
                <w:color w:val="000000" w:themeColor="text1"/>
                <w:kern w:val="0"/>
                <w:sz w:val="28"/>
                <w:szCs w:val="28"/>
                <w:highlight w:val="none"/>
                <w14:textFill>
                  <w14:solidFill>
                    <w14:schemeClr w14:val="tx1"/>
                  </w14:solidFill>
                </w14:textFill>
              </w:rPr>
            </w:pPr>
          </w:p>
        </w:tc>
        <w:tc>
          <w:tcPr>
            <w:tcW w:w="837" w:type="dxa"/>
            <w:tcBorders>
              <w:top w:val="single" w:color="auto" w:sz="4" w:space="0"/>
              <w:left w:val="single" w:color="auto" w:sz="4" w:space="0"/>
              <w:bottom w:val="single" w:color="auto" w:sz="4" w:space="0"/>
              <w:right w:val="single" w:color="auto" w:sz="4" w:space="0"/>
            </w:tcBorders>
          </w:tcPr>
          <w:p w14:paraId="25669D62">
            <w:pPr>
              <w:widowControl/>
              <w:rPr>
                <w:rFonts w:ascii="宋体" w:hAnsi="宋体"/>
                <w:b/>
                <w:bCs/>
                <w:color w:val="000000" w:themeColor="text1"/>
                <w:kern w:val="0"/>
                <w:sz w:val="28"/>
                <w:szCs w:val="28"/>
                <w:highlight w:val="none"/>
                <w14:textFill>
                  <w14:solidFill>
                    <w14:schemeClr w14:val="tx1"/>
                  </w14:solidFill>
                </w14:textFill>
              </w:rPr>
            </w:pPr>
          </w:p>
        </w:tc>
        <w:tc>
          <w:tcPr>
            <w:tcW w:w="938" w:type="dxa"/>
            <w:gridSpan w:val="2"/>
            <w:tcBorders>
              <w:top w:val="single" w:color="auto" w:sz="4" w:space="0"/>
              <w:left w:val="single" w:color="auto" w:sz="4" w:space="0"/>
              <w:bottom w:val="single" w:color="auto" w:sz="4" w:space="0"/>
              <w:right w:val="single" w:color="auto" w:sz="4" w:space="0"/>
            </w:tcBorders>
          </w:tcPr>
          <w:p w14:paraId="60EEE6D2">
            <w:pPr>
              <w:widowControl/>
              <w:rPr>
                <w:rFonts w:ascii="宋体" w:hAnsi="宋体"/>
                <w:b/>
                <w:bCs/>
                <w:color w:val="000000" w:themeColor="text1"/>
                <w:kern w:val="0"/>
                <w:sz w:val="28"/>
                <w:szCs w:val="28"/>
                <w:highlight w:val="none"/>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tcPr>
          <w:p w14:paraId="7EE36110">
            <w:pPr>
              <w:widowControl/>
              <w:rPr>
                <w:rFonts w:ascii="宋体" w:hAnsi="宋体"/>
                <w:b/>
                <w:bCs/>
                <w:color w:val="000000" w:themeColor="text1"/>
                <w:kern w:val="0"/>
                <w:sz w:val="28"/>
                <w:szCs w:val="28"/>
                <w:highlight w:val="none"/>
                <w14:textFill>
                  <w14:solidFill>
                    <w14:schemeClr w14:val="tx1"/>
                  </w14:solidFill>
                </w14:textFill>
              </w:rPr>
            </w:pPr>
          </w:p>
        </w:tc>
        <w:tc>
          <w:tcPr>
            <w:tcW w:w="854" w:type="dxa"/>
            <w:tcBorders>
              <w:top w:val="single" w:color="auto" w:sz="4" w:space="0"/>
              <w:left w:val="single" w:color="auto" w:sz="4" w:space="0"/>
              <w:bottom w:val="single" w:color="auto" w:sz="4" w:space="0"/>
              <w:right w:val="single" w:color="auto" w:sz="4" w:space="0"/>
            </w:tcBorders>
          </w:tcPr>
          <w:p w14:paraId="2EAE86A7">
            <w:pPr>
              <w:widowControl/>
              <w:rPr>
                <w:rFonts w:ascii="宋体" w:hAnsi="宋体"/>
                <w:b/>
                <w:bCs/>
                <w:color w:val="000000" w:themeColor="text1"/>
                <w:kern w:val="0"/>
                <w:sz w:val="28"/>
                <w:szCs w:val="28"/>
                <w:highlight w:val="none"/>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tcPr>
          <w:p w14:paraId="43A1584D">
            <w:pPr>
              <w:widowControl/>
              <w:rPr>
                <w:rFonts w:ascii="宋体" w:hAnsi="宋体"/>
                <w:b/>
                <w:bCs/>
                <w:color w:val="000000" w:themeColor="text1"/>
                <w:kern w:val="0"/>
                <w:sz w:val="28"/>
                <w:szCs w:val="28"/>
                <w:highlight w:val="none"/>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tcPr>
          <w:p w14:paraId="65757972">
            <w:pPr>
              <w:widowControl/>
              <w:rPr>
                <w:rFonts w:ascii="宋体" w:hAnsi="宋体"/>
                <w:b/>
                <w:bCs/>
                <w:color w:val="000000" w:themeColor="text1"/>
                <w:kern w:val="0"/>
                <w:sz w:val="28"/>
                <w:szCs w:val="28"/>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tcPr>
          <w:p w14:paraId="096F740B">
            <w:pPr>
              <w:widowControl/>
              <w:rPr>
                <w:rFonts w:ascii="宋体" w:hAnsi="宋体"/>
                <w:b/>
                <w:bCs/>
                <w:color w:val="000000" w:themeColor="text1"/>
                <w:kern w:val="0"/>
                <w:sz w:val="28"/>
                <w:szCs w:val="28"/>
                <w:highlight w:val="none"/>
                <w14:textFill>
                  <w14:solidFill>
                    <w14:schemeClr w14:val="tx1"/>
                  </w14:solidFill>
                </w14:textFill>
              </w:rPr>
            </w:pPr>
          </w:p>
        </w:tc>
      </w:tr>
      <w:tr w14:paraId="0899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1396" w:type="dxa"/>
            <w:gridSpan w:val="2"/>
            <w:tcBorders>
              <w:top w:val="single" w:color="auto" w:sz="4" w:space="0"/>
              <w:left w:val="single" w:color="auto" w:sz="4" w:space="0"/>
              <w:bottom w:val="single" w:color="auto" w:sz="4" w:space="0"/>
              <w:right w:val="single" w:color="auto" w:sz="4" w:space="0"/>
            </w:tcBorders>
            <w:vAlign w:val="center"/>
          </w:tcPr>
          <w:p w14:paraId="1EB6BBE0">
            <w:pPr>
              <w:autoSpaceDE w:val="0"/>
              <w:autoSpaceDN w:val="0"/>
              <w:adjustRightInd w:val="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合计（元）</w:t>
            </w:r>
          </w:p>
        </w:tc>
        <w:tc>
          <w:tcPr>
            <w:tcW w:w="3609" w:type="dxa"/>
            <w:gridSpan w:val="5"/>
            <w:tcBorders>
              <w:top w:val="single" w:color="auto" w:sz="4" w:space="0"/>
              <w:left w:val="single" w:color="auto" w:sz="4" w:space="0"/>
              <w:bottom w:val="single" w:color="auto" w:sz="4" w:space="0"/>
              <w:right w:val="single" w:color="auto" w:sz="4" w:space="0"/>
            </w:tcBorders>
          </w:tcPr>
          <w:p w14:paraId="4E2F6D17">
            <w:pPr>
              <w:autoSpaceDE w:val="0"/>
              <w:autoSpaceDN w:val="0"/>
              <w:adjustRightInd w:val="0"/>
              <w:jc w:val="center"/>
              <w:rPr>
                <w:rFonts w:hint="eastAsia" w:ascii="宋体" w:hAnsi="宋体" w:cs="宋体"/>
                <w:b/>
                <w:color w:val="000000" w:themeColor="text1"/>
                <w:sz w:val="28"/>
                <w:szCs w:val="28"/>
                <w:highlight w:val="none"/>
                <w14:textFill>
                  <w14:solidFill>
                    <w14:schemeClr w14:val="tx1"/>
                  </w14:solidFill>
                </w14:textFill>
              </w:rPr>
            </w:pPr>
          </w:p>
        </w:tc>
        <w:tc>
          <w:tcPr>
            <w:tcW w:w="5057" w:type="dxa"/>
            <w:gridSpan w:val="6"/>
            <w:tcBorders>
              <w:top w:val="single" w:color="auto" w:sz="4" w:space="0"/>
              <w:left w:val="single" w:color="auto" w:sz="4" w:space="0"/>
              <w:bottom w:val="single" w:color="auto" w:sz="4" w:space="0"/>
              <w:right w:val="single" w:color="auto" w:sz="4" w:space="0"/>
            </w:tcBorders>
          </w:tcPr>
          <w:p w14:paraId="5B0ED38A">
            <w:pPr>
              <w:autoSpaceDE w:val="0"/>
              <w:autoSpaceDN w:val="0"/>
              <w:adjustRightInd w:val="0"/>
              <w:jc w:val="center"/>
              <w:rPr>
                <w:rFonts w:ascii="宋体" w:hAnsi="宋体" w:cs="宋体"/>
                <w:color w:val="000000" w:themeColor="text1"/>
                <w:sz w:val="28"/>
                <w:szCs w:val="28"/>
                <w:highlight w:val="none"/>
                <w14:textFill>
                  <w14:solidFill>
                    <w14:schemeClr w14:val="tx1"/>
                  </w14:solidFill>
                </w14:textFill>
              </w:rPr>
            </w:pPr>
          </w:p>
        </w:tc>
      </w:tr>
    </w:tbl>
    <w:p w14:paraId="74138BDB">
      <w:pPr>
        <w:widowControl/>
        <w:spacing w:line="460" w:lineRule="atLeast"/>
        <w:ind w:firstLine="480"/>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注：表格可自行延续自行改动</w:t>
      </w:r>
    </w:p>
    <w:p w14:paraId="4BB4009B">
      <w:pPr>
        <w:widowControl/>
        <w:spacing w:line="460" w:lineRule="atLeast"/>
        <w:ind w:firstLine="480"/>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 xml:space="preserve">  </w:t>
      </w:r>
      <w:r>
        <w:rPr>
          <w:rFonts w:hint="eastAsia" w:ascii="宋体" w:hAnsi="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color w:val="000000" w:themeColor="text1"/>
          <w:kern w:val="0"/>
          <w:sz w:val="28"/>
          <w:szCs w:val="28"/>
          <w:highlight w:val="none"/>
          <w14:textFill>
            <w14:solidFill>
              <w14:schemeClr w14:val="tx1"/>
            </w14:solidFill>
          </w14:textFill>
        </w:rPr>
        <w:t>投标供应商：（</w:t>
      </w:r>
      <w:r>
        <w:rPr>
          <w:rFonts w:hint="eastAsia" w:ascii="宋体" w:hAnsi="宋体"/>
          <w:color w:val="000000"/>
          <w:kern w:val="0"/>
          <w:sz w:val="24"/>
          <w:szCs w:val="24"/>
          <w:highlight w:val="none"/>
        </w:rPr>
        <w:t>电子签章</w:t>
      </w:r>
      <w:r>
        <w:rPr>
          <w:rFonts w:hint="eastAsia" w:ascii="宋体" w:hAnsi="宋体"/>
          <w:color w:val="000000" w:themeColor="text1"/>
          <w:kern w:val="0"/>
          <w:sz w:val="28"/>
          <w:szCs w:val="28"/>
          <w:highlight w:val="none"/>
          <w14:textFill>
            <w14:solidFill>
              <w14:schemeClr w14:val="tx1"/>
            </w14:solidFill>
          </w14:textFill>
        </w:rPr>
        <w:t>）</w:t>
      </w:r>
    </w:p>
    <w:p w14:paraId="5F1DA10D">
      <w:pPr>
        <w:widowControl/>
        <w:spacing w:line="460" w:lineRule="atLeast"/>
        <w:ind w:firstLine="4060" w:firstLineChars="1450"/>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法定代表人：（</w:t>
      </w:r>
      <w:r>
        <w:rPr>
          <w:rFonts w:hint="eastAsia" w:ascii="宋体" w:hAnsi="宋体"/>
          <w:color w:val="000000"/>
          <w:kern w:val="0"/>
          <w:sz w:val="24"/>
          <w:szCs w:val="24"/>
          <w:highlight w:val="none"/>
        </w:rPr>
        <w:t>电子签章</w:t>
      </w:r>
      <w:r>
        <w:rPr>
          <w:rFonts w:hint="eastAsia" w:ascii="宋体" w:hAnsi="宋体"/>
          <w:color w:val="000000" w:themeColor="text1"/>
          <w:kern w:val="0"/>
          <w:sz w:val="28"/>
          <w:szCs w:val="28"/>
          <w:highlight w:val="none"/>
          <w14:textFill>
            <w14:solidFill>
              <w14:schemeClr w14:val="tx1"/>
            </w14:solidFill>
          </w14:textFill>
        </w:rPr>
        <w:t>）</w:t>
      </w:r>
    </w:p>
    <w:p w14:paraId="18CAFF01">
      <w:pPr>
        <w:widowControl/>
        <w:spacing w:line="460" w:lineRule="atLeast"/>
        <w:ind w:firstLine="4480" w:firstLineChars="1600"/>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 xml:space="preserve">   年  月  日</w:t>
      </w:r>
    </w:p>
    <w:p w14:paraId="240D13CD">
      <w:pPr>
        <w:tabs>
          <w:tab w:val="left" w:pos="4180"/>
        </w:tabs>
        <w:spacing w:line="500" w:lineRule="exact"/>
        <w:rPr>
          <w:color w:val="000000"/>
          <w:sz w:val="24"/>
          <w:szCs w:val="24"/>
          <w:highlight w:val="none"/>
        </w:rPr>
        <w:sectPr>
          <w:pgSz w:w="11906" w:h="16838"/>
          <w:pgMar w:top="1383" w:right="1274" w:bottom="1440" w:left="1800" w:header="851" w:footer="992" w:gutter="0"/>
          <w:pgNumType w:fmt="decimal"/>
          <w:cols w:space="720" w:num="1"/>
          <w:docGrid w:type="lines" w:linePitch="312" w:charSpace="0"/>
        </w:sectPr>
      </w:pPr>
    </w:p>
    <w:p w14:paraId="4668EB65">
      <w:pPr>
        <w:numPr>
          <w:ilvl w:val="0"/>
          <w:numId w:val="0"/>
        </w:numPr>
        <w:autoSpaceDE w:val="0"/>
        <w:autoSpaceDN w:val="0"/>
        <w:adjustRightInd w:val="0"/>
        <w:spacing w:line="360" w:lineRule="auto"/>
        <w:ind w:firstLine="520" w:firstLineChars="200"/>
        <w:jc w:val="both"/>
        <w:rPr>
          <w:rFonts w:hint="eastAsia" w:ascii="宋体" w:hAnsi="宋体" w:cs="宋体"/>
          <w:color w:val="000000" w:themeColor="text1"/>
          <w:spacing w:val="10"/>
          <w:sz w:val="24"/>
          <w:szCs w:val="24"/>
          <w:highlight w:val="none"/>
          <w14:textFill>
            <w14:solidFill>
              <w14:schemeClr w14:val="tx1"/>
            </w14:solidFill>
          </w14:textFill>
        </w:rPr>
      </w:pPr>
      <w:r>
        <w:rPr>
          <w:rFonts w:hint="eastAsia" w:ascii="宋体" w:hAnsi="宋体" w:cs="宋体"/>
          <w:color w:val="000000" w:themeColor="text1"/>
          <w:spacing w:val="10"/>
          <w:sz w:val="24"/>
          <w:szCs w:val="24"/>
          <w:highlight w:val="none"/>
          <w:lang w:val="en-US" w:eastAsia="zh-CN"/>
          <w14:textFill>
            <w14:solidFill>
              <w14:schemeClr w14:val="tx1"/>
            </w14:solidFill>
          </w14:textFill>
        </w:rPr>
        <w:t>3、</w:t>
      </w:r>
      <w:r>
        <w:rPr>
          <w:rFonts w:hint="eastAsia" w:ascii="宋体" w:hAnsi="宋体" w:cs="宋体"/>
          <w:color w:val="000000" w:themeColor="text1"/>
          <w:spacing w:val="10"/>
          <w:sz w:val="24"/>
          <w:szCs w:val="24"/>
          <w:highlight w:val="none"/>
          <w14:textFill>
            <w14:solidFill>
              <w14:schemeClr w14:val="tx1"/>
            </w14:solidFill>
          </w14:textFill>
        </w:rPr>
        <w:t>技术要求响应与偏差表</w:t>
      </w:r>
    </w:p>
    <w:p w14:paraId="134CB3E9">
      <w:pPr>
        <w:numPr>
          <w:ilvl w:val="0"/>
          <w:numId w:val="0"/>
        </w:numPr>
        <w:autoSpaceDE w:val="0"/>
        <w:autoSpaceDN w:val="0"/>
        <w:adjustRightInd w:val="0"/>
        <w:spacing w:line="360" w:lineRule="auto"/>
        <w:ind w:firstLine="520" w:firstLineChars="200"/>
        <w:jc w:val="both"/>
        <w:rPr>
          <w:rFonts w:hint="eastAsia" w:ascii="宋体" w:hAnsi="宋体" w:cs="宋体"/>
          <w:color w:val="000000" w:themeColor="text1"/>
          <w:spacing w:val="10"/>
          <w:sz w:val="24"/>
          <w:szCs w:val="24"/>
          <w:highlight w:val="none"/>
          <w14:textFill>
            <w14:solidFill>
              <w14:schemeClr w14:val="tx1"/>
            </w14:solidFill>
          </w14:textFill>
        </w:rPr>
      </w:pPr>
      <w:r>
        <w:rPr>
          <w:rFonts w:hint="eastAsia" w:ascii="宋体" w:hAnsi="宋体" w:cs="宋体"/>
          <w:color w:val="000000" w:themeColor="text1"/>
          <w:spacing w:val="10"/>
          <w:sz w:val="24"/>
          <w:szCs w:val="24"/>
          <w:highlight w:val="none"/>
          <w14:textFill>
            <w14:solidFill>
              <w14:schemeClr w14:val="tx1"/>
            </w14:solidFill>
          </w14:textFill>
        </w:rPr>
        <w:t xml:space="preserve">项目名称： </w:t>
      </w:r>
    </w:p>
    <w:p w14:paraId="4A7EFE6C">
      <w:pPr>
        <w:numPr>
          <w:ilvl w:val="0"/>
          <w:numId w:val="0"/>
        </w:numPr>
        <w:autoSpaceDE w:val="0"/>
        <w:autoSpaceDN w:val="0"/>
        <w:adjustRightInd w:val="0"/>
        <w:spacing w:line="360" w:lineRule="auto"/>
        <w:ind w:firstLine="520" w:firstLineChars="200"/>
        <w:jc w:val="both"/>
        <w:rPr>
          <w:rFonts w:hint="eastAsia" w:ascii="宋体" w:hAnsi="宋体" w:cs="宋体"/>
          <w:color w:val="000000" w:themeColor="text1"/>
          <w:spacing w:val="10"/>
          <w:sz w:val="24"/>
          <w:szCs w:val="24"/>
          <w:highlight w:val="none"/>
          <w14:textFill>
            <w14:solidFill>
              <w14:schemeClr w14:val="tx1"/>
            </w14:solidFill>
          </w14:textFill>
        </w:rPr>
      </w:pPr>
      <w:r>
        <w:rPr>
          <w:rFonts w:hint="eastAsia" w:ascii="宋体" w:hAnsi="宋体" w:cs="宋体"/>
          <w:color w:val="000000" w:themeColor="text1"/>
          <w:spacing w:val="10"/>
          <w:sz w:val="24"/>
          <w:szCs w:val="24"/>
          <w:highlight w:val="none"/>
          <w14:textFill>
            <w14:solidFill>
              <w14:schemeClr w14:val="tx1"/>
            </w14:solidFill>
          </w14:textFill>
        </w:rPr>
        <w:t>项目编号：</w:t>
      </w:r>
    </w:p>
    <w:p w14:paraId="698ECF4A">
      <w:pPr>
        <w:pStyle w:val="37"/>
        <w:widowControl w:val="0"/>
        <w:numPr>
          <w:ilvl w:val="0"/>
          <w:numId w:val="0"/>
        </w:numPr>
        <w:jc w:val="both"/>
      </w:pPr>
    </w:p>
    <w:p w14:paraId="147F7253">
      <w:pPr>
        <w:pStyle w:val="37"/>
        <w:widowControl w:val="0"/>
        <w:numPr>
          <w:ilvl w:val="0"/>
          <w:numId w:val="0"/>
        </w:numPr>
        <w:jc w:val="both"/>
      </w:pPr>
    </w:p>
    <w:tbl>
      <w:tblPr>
        <w:tblStyle w:val="21"/>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366"/>
        <w:gridCol w:w="2280"/>
        <w:gridCol w:w="2252"/>
        <w:gridCol w:w="1361"/>
        <w:gridCol w:w="892"/>
      </w:tblGrid>
      <w:tr w14:paraId="3778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restart"/>
            <w:tcBorders>
              <w:top w:val="single" w:color="auto" w:sz="4" w:space="0"/>
              <w:left w:val="single" w:color="auto" w:sz="4" w:space="0"/>
              <w:bottom w:val="single" w:color="auto" w:sz="4" w:space="0"/>
              <w:right w:val="single" w:color="auto" w:sz="4" w:space="0"/>
            </w:tcBorders>
            <w:vAlign w:val="center"/>
          </w:tcPr>
          <w:p w14:paraId="63C1D6AD">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r>
              <w:rPr>
                <w:rFonts w:hint="eastAsia" w:ascii="宋体" w:hAnsi="宋体" w:cs="宋体"/>
                <w:color w:val="000000" w:themeColor="text1"/>
                <w:spacing w:val="10"/>
                <w:sz w:val="24"/>
                <w:szCs w:val="24"/>
                <w:highlight w:val="none"/>
                <w14:textFill>
                  <w14:solidFill>
                    <w14:schemeClr w14:val="tx1"/>
                  </w14:solidFill>
                </w14:textFill>
              </w:rPr>
              <w:t>序号</w:t>
            </w:r>
          </w:p>
        </w:tc>
        <w:tc>
          <w:tcPr>
            <w:tcW w:w="1366" w:type="dxa"/>
            <w:vMerge w:val="restart"/>
            <w:tcBorders>
              <w:top w:val="single" w:color="auto" w:sz="4" w:space="0"/>
              <w:left w:val="nil"/>
              <w:bottom w:val="single" w:color="auto" w:sz="4" w:space="0"/>
              <w:right w:val="single" w:color="auto" w:sz="4" w:space="0"/>
            </w:tcBorders>
            <w:vAlign w:val="center"/>
          </w:tcPr>
          <w:p w14:paraId="17041759">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r>
              <w:rPr>
                <w:rFonts w:hint="eastAsia" w:ascii="宋体" w:hAnsi="宋体" w:cs="宋体"/>
                <w:color w:val="000000" w:themeColor="text1"/>
                <w:spacing w:val="10"/>
                <w:sz w:val="24"/>
                <w:szCs w:val="24"/>
                <w:highlight w:val="none"/>
                <w14:textFill>
                  <w14:solidFill>
                    <w14:schemeClr w14:val="tx1"/>
                  </w14:solidFill>
                </w14:textFill>
              </w:rPr>
              <w:t>货物名称</w:t>
            </w:r>
          </w:p>
        </w:tc>
        <w:tc>
          <w:tcPr>
            <w:tcW w:w="4532" w:type="dxa"/>
            <w:gridSpan w:val="2"/>
            <w:tcBorders>
              <w:top w:val="single" w:color="auto" w:sz="4" w:space="0"/>
              <w:left w:val="nil"/>
              <w:right w:val="single" w:color="auto" w:sz="4" w:space="0"/>
            </w:tcBorders>
            <w:vAlign w:val="center"/>
          </w:tcPr>
          <w:p w14:paraId="7E629935">
            <w:pPr>
              <w:autoSpaceDE w:val="0"/>
              <w:autoSpaceDN w:val="0"/>
              <w:adjustRightInd w:val="0"/>
              <w:spacing w:line="360" w:lineRule="auto"/>
              <w:jc w:val="center"/>
              <w:rPr>
                <w:rFonts w:ascii="宋体" w:hAnsi="宋体" w:cs="宋体"/>
                <w:color w:val="000000" w:themeColor="text1"/>
                <w:spacing w:val="10"/>
                <w:sz w:val="24"/>
                <w:szCs w:val="24"/>
                <w:highlight w:val="none"/>
                <w14:textFill>
                  <w14:solidFill>
                    <w14:schemeClr w14:val="tx1"/>
                  </w14:solidFill>
                </w14:textFill>
              </w:rPr>
            </w:pPr>
            <w:r>
              <w:rPr>
                <w:rFonts w:hint="eastAsia" w:ascii="宋体" w:hAnsi="宋体" w:cs="宋体"/>
                <w:color w:val="000000" w:themeColor="text1"/>
                <w:spacing w:val="10"/>
                <w:sz w:val="24"/>
                <w:szCs w:val="24"/>
                <w:highlight w:val="none"/>
                <w14:textFill>
                  <w14:solidFill>
                    <w14:schemeClr w14:val="tx1"/>
                  </w14:solidFill>
                </w14:textFill>
              </w:rPr>
              <w:t>投标产品</w:t>
            </w:r>
          </w:p>
        </w:tc>
        <w:tc>
          <w:tcPr>
            <w:tcW w:w="1361" w:type="dxa"/>
            <w:vMerge w:val="restart"/>
            <w:tcBorders>
              <w:top w:val="single" w:color="auto" w:sz="4" w:space="0"/>
              <w:left w:val="nil"/>
              <w:bottom w:val="single" w:color="auto" w:sz="4" w:space="0"/>
              <w:right w:val="single" w:color="auto" w:sz="4" w:space="0"/>
            </w:tcBorders>
            <w:vAlign w:val="center"/>
          </w:tcPr>
          <w:p w14:paraId="1A9404E8">
            <w:pPr>
              <w:autoSpaceDE w:val="0"/>
              <w:autoSpaceDN w:val="0"/>
              <w:adjustRightInd w:val="0"/>
              <w:spacing w:line="360" w:lineRule="auto"/>
              <w:jc w:val="center"/>
              <w:rPr>
                <w:rFonts w:ascii="宋体" w:hAnsi="宋体" w:cs="宋体"/>
                <w:color w:val="000000" w:themeColor="text1"/>
                <w:spacing w:val="10"/>
                <w:sz w:val="24"/>
                <w:szCs w:val="24"/>
                <w:highlight w:val="none"/>
                <w14:textFill>
                  <w14:solidFill>
                    <w14:schemeClr w14:val="tx1"/>
                  </w14:solidFill>
                </w14:textFill>
              </w:rPr>
            </w:pPr>
            <w:r>
              <w:rPr>
                <w:rFonts w:hint="eastAsia" w:ascii="宋体" w:hAnsi="宋体" w:cs="宋体"/>
                <w:color w:val="000000" w:themeColor="text1"/>
                <w:spacing w:val="10"/>
                <w:sz w:val="24"/>
                <w:szCs w:val="24"/>
                <w:highlight w:val="none"/>
                <w14:textFill>
                  <w14:solidFill>
                    <w14:schemeClr w14:val="tx1"/>
                  </w14:solidFill>
                </w14:textFill>
              </w:rPr>
              <w:t>偏差描述</w:t>
            </w:r>
          </w:p>
        </w:tc>
        <w:tc>
          <w:tcPr>
            <w:tcW w:w="892" w:type="dxa"/>
            <w:vMerge w:val="restart"/>
            <w:tcBorders>
              <w:top w:val="single" w:color="auto" w:sz="4" w:space="0"/>
              <w:left w:val="nil"/>
              <w:bottom w:val="single" w:color="auto" w:sz="4" w:space="0"/>
              <w:right w:val="single" w:color="auto" w:sz="4" w:space="0"/>
            </w:tcBorders>
            <w:vAlign w:val="center"/>
          </w:tcPr>
          <w:p w14:paraId="243B4ADE">
            <w:pPr>
              <w:autoSpaceDE w:val="0"/>
              <w:autoSpaceDN w:val="0"/>
              <w:adjustRightInd w:val="0"/>
              <w:spacing w:line="360" w:lineRule="auto"/>
              <w:jc w:val="center"/>
              <w:rPr>
                <w:rFonts w:ascii="宋体" w:hAnsi="宋体" w:cs="宋体"/>
                <w:color w:val="000000" w:themeColor="text1"/>
                <w:spacing w:val="10"/>
                <w:sz w:val="24"/>
                <w:szCs w:val="24"/>
                <w:highlight w:val="none"/>
                <w14:textFill>
                  <w14:solidFill>
                    <w14:schemeClr w14:val="tx1"/>
                  </w14:solidFill>
                </w14:textFill>
              </w:rPr>
            </w:pPr>
            <w:r>
              <w:rPr>
                <w:rFonts w:hint="eastAsia" w:ascii="宋体" w:hAnsi="宋体" w:cs="宋体"/>
                <w:color w:val="000000" w:themeColor="text1"/>
                <w:spacing w:val="10"/>
                <w:sz w:val="24"/>
                <w:szCs w:val="24"/>
                <w:highlight w:val="none"/>
                <w14:textFill>
                  <w14:solidFill>
                    <w14:schemeClr w14:val="tx1"/>
                  </w14:solidFill>
                </w14:textFill>
              </w:rPr>
              <w:t>结论</w:t>
            </w:r>
          </w:p>
        </w:tc>
      </w:tr>
      <w:tr w14:paraId="50A1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535E2890">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1366" w:type="dxa"/>
            <w:vMerge w:val="continue"/>
            <w:tcBorders>
              <w:top w:val="single" w:color="auto" w:sz="4" w:space="0"/>
              <w:left w:val="nil"/>
              <w:bottom w:val="single" w:color="auto" w:sz="4" w:space="0"/>
              <w:right w:val="single" w:color="auto" w:sz="4" w:space="0"/>
            </w:tcBorders>
            <w:vAlign w:val="center"/>
          </w:tcPr>
          <w:p w14:paraId="66168D36">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2280" w:type="dxa"/>
            <w:tcBorders>
              <w:left w:val="nil"/>
              <w:bottom w:val="single" w:color="auto" w:sz="4" w:space="0"/>
              <w:right w:val="single" w:color="auto" w:sz="4" w:space="0"/>
            </w:tcBorders>
            <w:vAlign w:val="center"/>
          </w:tcPr>
          <w:p w14:paraId="4ACA7C25">
            <w:pPr>
              <w:autoSpaceDE w:val="0"/>
              <w:autoSpaceDN w:val="0"/>
              <w:adjustRightInd w:val="0"/>
              <w:spacing w:line="360" w:lineRule="auto"/>
              <w:jc w:val="center"/>
              <w:rPr>
                <w:rFonts w:hint="eastAsia" w:ascii="宋体" w:hAnsi="宋体" w:eastAsia="宋体" w:cs="宋体"/>
                <w:color w:val="000000" w:themeColor="text1"/>
                <w:spacing w:val="10"/>
                <w:sz w:val="24"/>
                <w:szCs w:val="24"/>
                <w:highlight w:val="none"/>
                <w:lang w:eastAsia="zh-CN"/>
                <w14:textFill>
                  <w14:solidFill>
                    <w14:schemeClr w14:val="tx1"/>
                  </w14:solidFill>
                </w14:textFill>
              </w:rPr>
            </w:pPr>
            <w:r>
              <w:rPr>
                <w:rFonts w:hint="eastAsia" w:ascii="宋体" w:hAnsi="宋体" w:cs="宋体"/>
                <w:color w:val="000000" w:themeColor="text1"/>
                <w:spacing w:val="10"/>
                <w:sz w:val="24"/>
                <w:szCs w:val="24"/>
                <w:highlight w:val="none"/>
                <w14:textFill>
                  <w14:solidFill>
                    <w14:schemeClr w14:val="tx1"/>
                  </w14:solidFill>
                </w14:textFill>
              </w:rPr>
              <w:t>谈判文件</w:t>
            </w:r>
            <w:r>
              <w:rPr>
                <w:rFonts w:hint="eastAsia" w:ascii="宋体" w:hAnsi="宋体" w:cs="宋体"/>
                <w:color w:val="000000" w:themeColor="text1"/>
                <w:spacing w:val="10"/>
                <w:sz w:val="24"/>
                <w:szCs w:val="24"/>
                <w:highlight w:val="none"/>
                <w:lang w:eastAsia="zh-CN"/>
                <w14:textFill>
                  <w14:solidFill>
                    <w14:schemeClr w14:val="tx1"/>
                  </w14:solidFill>
                </w14:textFill>
              </w:rPr>
              <w:t>要求的技术参数</w:t>
            </w:r>
          </w:p>
        </w:tc>
        <w:tc>
          <w:tcPr>
            <w:tcW w:w="2252" w:type="dxa"/>
            <w:tcBorders>
              <w:top w:val="single" w:color="auto" w:sz="4" w:space="0"/>
              <w:left w:val="nil"/>
              <w:bottom w:val="single" w:color="auto" w:sz="4" w:space="0"/>
              <w:right w:val="single" w:color="auto" w:sz="4" w:space="0"/>
            </w:tcBorders>
            <w:vAlign w:val="center"/>
          </w:tcPr>
          <w:p w14:paraId="0995E1F0">
            <w:pPr>
              <w:autoSpaceDE w:val="0"/>
              <w:autoSpaceDN w:val="0"/>
              <w:adjustRightInd w:val="0"/>
              <w:spacing w:line="360" w:lineRule="auto"/>
              <w:jc w:val="center"/>
              <w:rPr>
                <w:rFonts w:ascii="宋体" w:hAnsi="宋体" w:cs="宋体"/>
                <w:color w:val="000000" w:themeColor="text1"/>
                <w:spacing w:val="10"/>
                <w:sz w:val="24"/>
                <w:szCs w:val="24"/>
                <w:highlight w:val="none"/>
                <w14:textFill>
                  <w14:solidFill>
                    <w14:schemeClr w14:val="tx1"/>
                  </w14:solidFill>
                </w14:textFill>
              </w:rPr>
            </w:pPr>
            <w:r>
              <w:rPr>
                <w:rFonts w:hint="eastAsia" w:ascii="宋体" w:hAnsi="宋体" w:cs="宋体"/>
                <w:color w:val="000000" w:themeColor="text1"/>
                <w:spacing w:val="10"/>
                <w:sz w:val="24"/>
                <w:szCs w:val="24"/>
                <w:highlight w:val="none"/>
                <w14:textFill>
                  <w14:solidFill>
                    <w14:schemeClr w14:val="tx1"/>
                  </w14:solidFill>
                </w14:textFill>
              </w:rPr>
              <w:t>响应文件产品技术参数</w:t>
            </w:r>
          </w:p>
        </w:tc>
        <w:tc>
          <w:tcPr>
            <w:tcW w:w="1361" w:type="dxa"/>
            <w:vMerge w:val="continue"/>
            <w:tcBorders>
              <w:top w:val="single" w:color="auto" w:sz="4" w:space="0"/>
              <w:left w:val="nil"/>
              <w:bottom w:val="single" w:color="auto" w:sz="4" w:space="0"/>
              <w:right w:val="single" w:color="auto" w:sz="4" w:space="0"/>
            </w:tcBorders>
            <w:vAlign w:val="center"/>
          </w:tcPr>
          <w:p w14:paraId="26F9D34F">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892" w:type="dxa"/>
            <w:vMerge w:val="continue"/>
            <w:tcBorders>
              <w:top w:val="single" w:color="auto" w:sz="4" w:space="0"/>
              <w:left w:val="nil"/>
              <w:bottom w:val="single" w:color="auto" w:sz="4" w:space="0"/>
              <w:right w:val="single" w:color="auto" w:sz="4" w:space="0"/>
            </w:tcBorders>
            <w:vAlign w:val="center"/>
          </w:tcPr>
          <w:p w14:paraId="2DD6C892">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r>
      <w:tr w14:paraId="0F27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7A5F4FA6">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1366" w:type="dxa"/>
            <w:tcBorders>
              <w:top w:val="single" w:color="auto" w:sz="4" w:space="0"/>
              <w:left w:val="nil"/>
              <w:bottom w:val="single" w:color="auto" w:sz="4" w:space="0"/>
              <w:right w:val="single" w:color="auto" w:sz="4" w:space="0"/>
            </w:tcBorders>
          </w:tcPr>
          <w:p w14:paraId="02E141DC">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2280" w:type="dxa"/>
            <w:tcBorders>
              <w:top w:val="single" w:color="auto" w:sz="4" w:space="0"/>
              <w:left w:val="nil"/>
              <w:bottom w:val="single" w:color="auto" w:sz="4" w:space="0"/>
              <w:right w:val="single" w:color="auto" w:sz="4" w:space="0"/>
            </w:tcBorders>
          </w:tcPr>
          <w:p w14:paraId="03BAF595">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2252" w:type="dxa"/>
            <w:tcBorders>
              <w:top w:val="single" w:color="auto" w:sz="4" w:space="0"/>
              <w:left w:val="nil"/>
              <w:bottom w:val="single" w:color="auto" w:sz="4" w:space="0"/>
              <w:right w:val="single" w:color="auto" w:sz="4" w:space="0"/>
            </w:tcBorders>
          </w:tcPr>
          <w:p w14:paraId="58D68BFA">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1361" w:type="dxa"/>
            <w:tcBorders>
              <w:top w:val="single" w:color="auto" w:sz="4" w:space="0"/>
              <w:left w:val="nil"/>
              <w:bottom w:val="single" w:color="auto" w:sz="4" w:space="0"/>
              <w:right w:val="single" w:color="auto" w:sz="4" w:space="0"/>
            </w:tcBorders>
          </w:tcPr>
          <w:p w14:paraId="36E46D8E">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892" w:type="dxa"/>
            <w:tcBorders>
              <w:top w:val="single" w:color="auto" w:sz="4" w:space="0"/>
              <w:left w:val="nil"/>
              <w:bottom w:val="single" w:color="auto" w:sz="4" w:space="0"/>
              <w:right w:val="single" w:color="auto" w:sz="4" w:space="0"/>
            </w:tcBorders>
          </w:tcPr>
          <w:p w14:paraId="30A63253">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r>
      <w:tr w14:paraId="3098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1A87B53C">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1366" w:type="dxa"/>
            <w:tcBorders>
              <w:top w:val="single" w:color="auto" w:sz="4" w:space="0"/>
              <w:left w:val="nil"/>
              <w:bottom w:val="single" w:color="auto" w:sz="4" w:space="0"/>
              <w:right w:val="single" w:color="auto" w:sz="4" w:space="0"/>
            </w:tcBorders>
          </w:tcPr>
          <w:p w14:paraId="665A56AC">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2280" w:type="dxa"/>
            <w:tcBorders>
              <w:top w:val="single" w:color="auto" w:sz="4" w:space="0"/>
              <w:left w:val="nil"/>
              <w:bottom w:val="single" w:color="auto" w:sz="4" w:space="0"/>
              <w:right w:val="single" w:color="auto" w:sz="4" w:space="0"/>
            </w:tcBorders>
          </w:tcPr>
          <w:p w14:paraId="79AC7E38">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2252" w:type="dxa"/>
            <w:tcBorders>
              <w:top w:val="single" w:color="auto" w:sz="4" w:space="0"/>
              <w:left w:val="nil"/>
              <w:bottom w:val="single" w:color="auto" w:sz="4" w:space="0"/>
              <w:right w:val="single" w:color="auto" w:sz="4" w:space="0"/>
            </w:tcBorders>
          </w:tcPr>
          <w:p w14:paraId="3A362606">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1361" w:type="dxa"/>
            <w:tcBorders>
              <w:top w:val="single" w:color="auto" w:sz="4" w:space="0"/>
              <w:left w:val="nil"/>
              <w:bottom w:val="single" w:color="auto" w:sz="4" w:space="0"/>
              <w:right w:val="single" w:color="auto" w:sz="4" w:space="0"/>
            </w:tcBorders>
          </w:tcPr>
          <w:p w14:paraId="4F4A0632">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892" w:type="dxa"/>
            <w:tcBorders>
              <w:top w:val="single" w:color="auto" w:sz="4" w:space="0"/>
              <w:left w:val="nil"/>
              <w:bottom w:val="single" w:color="auto" w:sz="4" w:space="0"/>
              <w:right w:val="single" w:color="auto" w:sz="4" w:space="0"/>
            </w:tcBorders>
          </w:tcPr>
          <w:p w14:paraId="027FEA8C">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r>
      <w:tr w14:paraId="5BD7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3753B813">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1366" w:type="dxa"/>
            <w:tcBorders>
              <w:top w:val="single" w:color="auto" w:sz="4" w:space="0"/>
              <w:left w:val="nil"/>
              <w:bottom w:val="single" w:color="auto" w:sz="4" w:space="0"/>
              <w:right w:val="single" w:color="auto" w:sz="4" w:space="0"/>
            </w:tcBorders>
          </w:tcPr>
          <w:p w14:paraId="1BA325AD">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2280" w:type="dxa"/>
            <w:tcBorders>
              <w:top w:val="single" w:color="auto" w:sz="4" w:space="0"/>
              <w:left w:val="nil"/>
              <w:bottom w:val="single" w:color="auto" w:sz="4" w:space="0"/>
              <w:right w:val="single" w:color="auto" w:sz="4" w:space="0"/>
            </w:tcBorders>
          </w:tcPr>
          <w:p w14:paraId="68DABFF3">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2252" w:type="dxa"/>
            <w:tcBorders>
              <w:top w:val="single" w:color="auto" w:sz="4" w:space="0"/>
              <w:left w:val="nil"/>
              <w:bottom w:val="single" w:color="auto" w:sz="4" w:space="0"/>
              <w:right w:val="single" w:color="auto" w:sz="4" w:space="0"/>
            </w:tcBorders>
          </w:tcPr>
          <w:p w14:paraId="4205A2FE">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1361" w:type="dxa"/>
            <w:tcBorders>
              <w:top w:val="single" w:color="auto" w:sz="4" w:space="0"/>
              <w:left w:val="nil"/>
              <w:bottom w:val="single" w:color="auto" w:sz="4" w:space="0"/>
              <w:right w:val="single" w:color="auto" w:sz="4" w:space="0"/>
            </w:tcBorders>
          </w:tcPr>
          <w:p w14:paraId="4B7AF777">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892" w:type="dxa"/>
            <w:tcBorders>
              <w:top w:val="single" w:color="auto" w:sz="4" w:space="0"/>
              <w:left w:val="nil"/>
              <w:bottom w:val="single" w:color="auto" w:sz="4" w:space="0"/>
              <w:right w:val="single" w:color="auto" w:sz="4" w:space="0"/>
            </w:tcBorders>
          </w:tcPr>
          <w:p w14:paraId="440E0927">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r>
      <w:tr w14:paraId="729A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0A25825D">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1366" w:type="dxa"/>
            <w:tcBorders>
              <w:top w:val="single" w:color="auto" w:sz="4" w:space="0"/>
              <w:left w:val="nil"/>
              <w:bottom w:val="single" w:color="auto" w:sz="4" w:space="0"/>
              <w:right w:val="single" w:color="auto" w:sz="4" w:space="0"/>
            </w:tcBorders>
          </w:tcPr>
          <w:p w14:paraId="799D17A9">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2280" w:type="dxa"/>
            <w:tcBorders>
              <w:top w:val="single" w:color="auto" w:sz="4" w:space="0"/>
              <w:left w:val="nil"/>
              <w:bottom w:val="single" w:color="auto" w:sz="4" w:space="0"/>
              <w:right w:val="single" w:color="auto" w:sz="4" w:space="0"/>
            </w:tcBorders>
          </w:tcPr>
          <w:p w14:paraId="050AB38A">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2252" w:type="dxa"/>
            <w:tcBorders>
              <w:top w:val="single" w:color="auto" w:sz="4" w:space="0"/>
              <w:left w:val="nil"/>
              <w:bottom w:val="single" w:color="auto" w:sz="4" w:space="0"/>
              <w:right w:val="single" w:color="auto" w:sz="4" w:space="0"/>
            </w:tcBorders>
          </w:tcPr>
          <w:p w14:paraId="5F043EB1">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1361" w:type="dxa"/>
            <w:tcBorders>
              <w:top w:val="single" w:color="auto" w:sz="4" w:space="0"/>
              <w:left w:val="nil"/>
              <w:bottom w:val="single" w:color="auto" w:sz="4" w:space="0"/>
              <w:right w:val="single" w:color="auto" w:sz="4" w:space="0"/>
            </w:tcBorders>
          </w:tcPr>
          <w:p w14:paraId="53AFA513">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892" w:type="dxa"/>
            <w:tcBorders>
              <w:top w:val="single" w:color="auto" w:sz="4" w:space="0"/>
              <w:left w:val="nil"/>
              <w:bottom w:val="single" w:color="auto" w:sz="4" w:space="0"/>
              <w:right w:val="single" w:color="auto" w:sz="4" w:space="0"/>
            </w:tcBorders>
          </w:tcPr>
          <w:p w14:paraId="58301B8C">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r>
      <w:tr w14:paraId="2BB6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06CD35A1">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1366" w:type="dxa"/>
            <w:tcBorders>
              <w:top w:val="single" w:color="auto" w:sz="4" w:space="0"/>
              <w:left w:val="nil"/>
              <w:bottom w:val="single" w:color="auto" w:sz="4" w:space="0"/>
              <w:right w:val="single" w:color="auto" w:sz="4" w:space="0"/>
            </w:tcBorders>
          </w:tcPr>
          <w:p w14:paraId="4DBDDE76">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2280" w:type="dxa"/>
            <w:tcBorders>
              <w:top w:val="single" w:color="auto" w:sz="4" w:space="0"/>
              <w:left w:val="nil"/>
              <w:bottom w:val="single" w:color="auto" w:sz="4" w:space="0"/>
              <w:right w:val="single" w:color="auto" w:sz="4" w:space="0"/>
            </w:tcBorders>
          </w:tcPr>
          <w:p w14:paraId="701987F7">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2252" w:type="dxa"/>
            <w:tcBorders>
              <w:top w:val="single" w:color="auto" w:sz="4" w:space="0"/>
              <w:left w:val="nil"/>
              <w:bottom w:val="single" w:color="auto" w:sz="4" w:space="0"/>
              <w:right w:val="single" w:color="auto" w:sz="4" w:space="0"/>
            </w:tcBorders>
          </w:tcPr>
          <w:p w14:paraId="6157CCDD">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1361" w:type="dxa"/>
            <w:tcBorders>
              <w:top w:val="single" w:color="auto" w:sz="4" w:space="0"/>
              <w:left w:val="nil"/>
              <w:bottom w:val="single" w:color="auto" w:sz="4" w:space="0"/>
              <w:right w:val="single" w:color="auto" w:sz="4" w:space="0"/>
            </w:tcBorders>
          </w:tcPr>
          <w:p w14:paraId="03153AD8">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892" w:type="dxa"/>
            <w:tcBorders>
              <w:top w:val="single" w:color="auto" w:sz="4" w:space="0"/>
              <w:left w:val="nil"/>
              <w:bottom w:val="single" w:color="auto" w:sz="4" w:space="0"/>
              <w:right w:val="single" w:color="auto" w:sz="4" w:space="0"/>
            </w:tcBorders>
          </w:tcPr>
          <w:p w14:paraId="7D5FE061">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r>
      <w:tr w14:paraId="7642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60B0DBC8">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1366" w:type="dxa"/>
            <w:tcBorders>
              <w:top w:val="single" w:color="auto" w:sz="4" w:space="0"/>
              <w:left w:val="nil"/>
              <w:bottom w:val="single" w:color="auto" w:sz="4" w:space="0"/>
              <w:right w:val="single" w:color="auto" w:sz="4" w:space="0"/>
            </w:tcBorders>
          </w:tcPr>
          <w:p w14:paraId="088B50FB">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2280" w:type="dxa"/>
            <w:tcBorders>
              <w:top w:val="single" w:color="auto" w:sz="4" w:space="0"/>
              <w:left w:val="nil"/>
              <w:bottom w:val="single" w:color="auto" w:sz="4" w:space="0"/>
              <w:right w:val="single" w:color="auto" w:sz="4" w:space="0"/>
            </w:tcBorders>
          </w:tcPr>
          <w:p w14:paraId="2DA431F3">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2252" w:type="dxa"/>
            <w:tcBorders>
              <w:top w:val="single" w:color="auto" w:sz="4" w:space="0"/>
              <w:left w:val="nil"/>
              <w:bottom w:val="single" w:color="auto" w:sz="4" w:space="0"/>
              <w:right w:val="single" w:color="auto" w:sz="4" w:space="0"/>
            </w:tcBorders>
          </w:tcPr>
          <w:p w14:paraId="63833648">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1361" w:type="dxa"/>
            <w:tcBorders>
              <w:top w:val="single" w:color="auto" w:sz="4" w:space="0"/>
              <w:left w:val="nil"/>
              <w:bottom w:val="single" w:color="auto" w:sz="4" w:space="0"/>
              <w:right w:val="single" w:color="auto" w:sz="4" w:space="0"/>
            </w:tcBorders>
          </w:tcPr>
          <w:p w14:paraId="0A0E3DEA">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c>
          <w:tcPr>
            <w:tcW w:w="892" w:type="dxa"/>
            <w:tcBorders>
              <w:top w:val="single" w:color="auto" w:sz="4" w:space="0"/>
              <w:left w:val="nil"/>
              <w:bottom w:val="single" w:color="auto" w:sz="4" w:space="0"/>
              <w:right w:val="single" w:color="auto" w:sz="4" w:space="0"/>
            </w:tcBorders>
          </w:tcPr>
          <w:p w14:paraId="275787E2">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tc>
      </w:tr>
    </w:tbl>
    <w:p w14:paraId="569CB5B3">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p w14:paraId="608BA2CE">
      <w:pPr>
        <w:autoSpaceDE w:val="0"/>
        <w:autoSpaceDN w:val="0"/>
        <w:adjustRightInd w:val="0"/>
        <w:spacing w:line="360" w:lineRule="auto"/>
        <w:ind w:firstLine="520" w:firstLineChars="200"/>
        <w:rPr>
          <w:rFonts w:ascii="宋体" w:hAnsi="宋体" w:cs="宋体"/>
          <w:color w:val="000000" w:themeColor="text1"/>
          <w:spacing w:val="10"/>
          <w:sz w:val="24"/>
          <w:szCs w:val="24"/>
          <w:highlight w:val="none"/>
          <w:lang w:val="zh-CN"/>
          <w14:textFill>
            <w14:solidFill>
              <w14:schemeClr w14:val="tx1"/>
            </w14:solidFill>
          </w14:textFill>
        </w:rPr>
      </w:pPr>
      <w:r>
        <w:rPr>
          <w:rFonts w:hint="eastAsia" w:ascii="宋体" w:hAnsi="宋体" w:cs="宋体"/>
          <w:color w:val="000000" w:themeColor="text1"/>
          <w:spacing w:val="10"/>
          <w:sz w:val="24"/>
          <w:szCs w:val="24"/>
          <w:highlight w:val="none"/>
          <w:lang w:val="zh-CN"/>
          <w14:textFill>
            <w14:solidFill>
              <w14:schemeClr w14:val="tx1"/>
            </w14:solidFill>
          </w14:textFill>
        </w:rPr>
        <w:t>注：供应商应按本表“列”的内容要求逐项认真填报，可根据需要自行增减表格行数。</w:t>
      </w:r>
    </w:p>
    <w:p w14:paraId="1DDB3C1E">
      <w:pPr>
        <w:pStyle w:val="47"/>
        <w:ind w:firstLine="420"/>
        <w:rPr>
          <w:color w:val="000000" w:themeColor="text1"/>
          <w:highlight w:val="none"/>
          <w14:textFill>
            <w14:solidFill>
              <w14:schemeClr w14:val="tx1"/>
            </w14:solidFill>
          </w14:textFill>
        </w:rPr>
      </w:pPr>
    </w:p>
    <w:p w14:paraId="36C22868">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p w14:paraId="72B1943F">
      <w:pPr>
        <w:autoSpaceDE w:val="0"/>
        <w:autoSpaceDN w:val="0"/>
        <w:adjustRightInd w:val="0"/>
        <w:spacing w:line="360" w:lineRule="auto"/>
        <w:rPr>
          <w:rFonts w:ascii="宋体" w:hAnsi="宋体" w:cs="宋体"/>
          <w:color w:val="000000" w:themeColor="text1"/>
          <w:spacing w:val="10"/>
          <w:sz w:val="24"/>
          <w:szCs w:val="24"/>
          <w:highlight w:val="none"/>
          <w14:textFill>
            <w14:solidFill>
              <w14:schemeClr w14:val="tx1"/>
            </w14:solidFill>
          </w14:textFill>
        </w:rPr>
      </w:pPr>
    </w:p>
    <w:p w14:paraId="4C33C95A">
      <w:pPr>
        <w:autoSpaceDE w:val="0"/>
        <w:autoSpaceDN w:val="0"/>
        <w:adjustRightInd w:val="0"/>
        <w:spacing w:line="360" w:lineRule="auto"/>
        <w:ind w:firstLine="520" w:firstLineChars="200"/>
        <w:rPr>
          <w:rFonts w:ascii="宋体" w:hAnsi="宋体" w:cs="宋体"/>
          <w:color w:val="000000" w:themeColor="text1"/>
          <w:spacing w:val="10"/>
          <w:sz w:val="24"/>
          <w:szCs w:val="24"/>
          <w:highlight w:val="none"/>
          <w14:textFill>
            <w14:solidFill>
              <w14:schemeClr w14:val="tx1"/>
            </w14:solidFill>
          </w14:textFill>
        </w:rPr>
      </w:pPr>
      <w:r>
        <w:rPr>
          <w:rFonts w:hint="eastAsia" w:ascii="宋体" w:hAnsi="宋体" w:cs="宋体"/>
          <w:color w:val="000000" w:themeColor="text1"/>
          <w:spacing w:val="10"/>
          <w:sz w:val="24"/>
          <w:szCs w:val="24"/>
          <w:highlight w:val="none"/>
          <w14:textFill>
            <w14:solidFill>
              <w14:schemeClr w14:val="tx1"/>
            </w14:solidFill>
          </w14:textFill>
        </w:rPr>
        <w:t>供应商(</w:t>
      </w:r>
      <w:r>
        <w:rPr>
          <w:rFonts w:hint="eastAsia" w:ascii="宋体" w:hAnsi="宋体"/>
          <w:color w:val="000000"/>
          <w:kern w:val="0"/>
          <w:sz w:val="24"/>
          <w:szCs w:val="24"/>
          <w:highlight w:val="none"/>
        </w:rPr>
        <w:t>电子签章</w:t>
      </w:r>
      <w:r>
        <w:rPr>
          <w:rFonts w:hint="eastAsia" w:ascii="宋体" w:hAnsi="宋体" w:cs="宋体"/>
          <w:color w:val="000000" w:themeColor="text1"/>
          <w:spacing w:val="10"/>
          <w:sz w:val="24"/>
          <w:szCs w:val="24"/>
          <w:highlight w:val="none"/>
          <w14:textFill>
            <w14:solidFill>
              <w14:schemeClr w14:val="tx1"/>
            </w14:solidFill>
          </w14:textFill>
        </w:rPr>
        <w:t>)：</w:t>
      </w:r>
    </w:p>
    <w:p w14:paraId="67500BD7">
      <w:pPr>
        <w:autoSpaceDE w:val="0"/>
        <w:autoSpaceDN w:val="0"/>
        <w:adjustRightInd w:val="0"/>
        <w:spacing w:line="360" w:lineRule="auto"/>
        <w:ind w:firstLine="520" w:firstLineChars="200"/>
        <w:rPr>
          <w:rFonts w:ascii="宋体" w:hAnsi="宋体" w:cs="宋体"/>
          <w:color w:val="000000" w:themeColor="text1"/>
          <w:spacing w:val="10"/>
          <w:sz w:val="24"/>
          <w:szCs w:val="24"/>
          <w:highlight w:val="none"/>
          <w14:textFill>
            <w14:solidFill>
              <w14:schemeClr w14:val="tx1"/>
            </w14:solidFill>
          </w14:textFill>
        </w:rPr>
      </w:pPr>
      <w:r>
        <w:rPr>
          <w:rFonts w:hint="eastAsia" w:ascii="宋体" w:hAnsi="宋体" w:cs="宋体"/>
          <w:color w:val="000000" w:themeColor="text1"/>
          <w:spacing w:val="10"/>
          <w:sz w:val="24"/>
          <w:szCs w:val="24"/>
          <w:highlight w:val="none"/>
          <w14:textFill>
            <w14:solidFill>
              <w14:schemeClr w14:val="tx1"/>
            </w14:solidFill>
          </w14:textFill>
        </w:rPr>
        <w:t>法定代表人(</w:t>
      </w:r>
      <w:r>
        <w:rPr>
          <w:rFonts w:hint="eastAsia" w:ascii="宋体" w:hAnsi="宋体"/>
          <w:color w:val="000000"/>
          <w:kern w:val="0"/>
          <w:sz w:val="24"/>
          <w:szCs w:val="24"/>
          <w:highlight w:val="none"/>
        </w:rPr>
        <w:t>电子签章</w:t>
      </w:r>
      <w:r>
        <w:rPr>
          <w:rFonts w:hint="eastAsia" w:ascii="宋体" w:hAnsi="宋体" w:cs="宋体"/>
          <w:color w:val="000000" w:themeColor="text1"/>
          <w:spacing w:val="10"/>
          <w:sz w:val="24"/>
          <w:szCs w:val="24"/>
          <w:highlight w:val="none"/>
          <w14:textFill>
            <w14:solidFill>
              <w14:schemeClr w14:val="tx1"/>
            </w14:solidFill>
          </w14:textFill>
        </w:rPr>
        <w:t>)：</w:t>
      </w:r>
    </w:p>
    <w:p w14:paraId="16B2B299">
      <w:pPr>
        <w:autoSpaceDE w:val="0"/>
        <w:autoSpaceDN w:val="0"/>
        <w:adjustRightInd w:val="0"/>
        <w:spacing w:line="360" w:lineRule="auto"/>
        <w:ind w:firstLine="520" w:firstLineChars="200"/>
        <w:rPr>
          <w:rFonts w:hint="eastAsia" w:ascii="宋体" w:hAnsi="宋体" w:eastAsia="宋体" w:cs="宋体"/>
          <w:color w:val="000000" w:themeColor="text1"/>
          <w:spacing w:val="10"/>
          <w:sz w:val="24"/>
          <w:szCs w:val="24"/>
          <w:highlight w:val="none"/>
          <w:lang w:val="en-US" w:eastAsia="zh-CN"/>
          <w14:textFill>
            <w14:solidFill>
              <w14:schemeClr w14:val="tx1"/>
            </w14:solidFill>
          </w14:textFill>
        </w:rPr>
      </w:pPr>
      <w:r>
        <w:rPr>
          <w:rFonts w:hint="eastAsia" w:ascii="宋体" w:hAnsi="宋体" w:cs="宋体"/>
          <w:color w:val="000000" w:themeColor="text1"/>
          <w:spacing w:val="10"/>
          <w:sz w:val="24"/>
          <w:szCs w:val="24"/>
          <w:highlight w:val="none"/>
          <w14:textFill>
            <w14:solidFill>
              <w14:schemeClr w14:val="tx1"/>
            </w14:solidFill>
          </w14:textFill>
        </w:rPr>
        <w:t>日期：   年   月</w:t>
      </w:r>
      <w:r>
        <w:rPr>
          <w:rFonts w:hint="eastAsia" w:ascii="宋体" w:hAnsi="宋体" w:cs="宋体"/>
          <w:color w:val="000000" w:themeColor="text1"/>
          <w:spacing w:val="1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pacing w:val="10"/>
          <w:sz w:val="24"/>
          <w:szCs w:val="24"/>
          <w:highlight w:val="none"/>
          <w14:textFill>
            <w14:solidFill>
              <w14:schemeClr w14:val="tx1"/>
            </w14:solidFill>
          </w14:textFill>
        </w:rPr>
        <w:t xml:space="preserve"> </w:t>
      </w:r>
      <w:r>
        <w:rPr>
          <w:rFonts w:hint="eastAsia" w:ascii="宋体" w:hAnsi="宋体" w:cs="宋体"/>
          <w:color w:val="000000" w:themeColor="text1"/>
          <w:spacing w:val="10"/>
          <w:sz w:val="24"/>
          <w:szCs w:val="24"/>
          <w:highlight w:val="none"/>
          <w:lang w:val="en-US" w:eastAsia="zh-CN"/>
          <w14:textFill>
            <w14:solidFill>
              <w14:schemeClr w14:val="tx1"/>
            </w14:solidFill>
          </w14:textFill>
        </w:rPr>
        <w:t>日</w:t>
      </w:r>
    </w:p>
    <w:p w14:paraId="68D80AD3">
      <w:pPr>
        <w:pStyle w:val="47"/>
        <w:ind w:firstLine="520"/>
        <w:rPr>
          <w:rFonts w:cs="宋体"/>
          <w:color w:val="000000" w:themeColor="text1"/>
          <w:spacing w:val="10"/>
          <w:sz w:val="24"/>
          <w:szCs w:val="24"/>
          <w:highlight w:val="none"/>
          <w14:textFill>
            <w14:solidFill>
              <w14:schemeClr w14:val="tx1"/>
            </w14:solidFill>
          </w14:textFill>
        </w:rPr>
      </w:pPr>
    </w:p>
    <w:p w14:paraId="22B5428F">
      <w:pPr>
        <w:pStyle w:val="47"/>
        <w:ind w:firstLine="520"/>
        <w:rPr>
          <w:rFonts w:cs="宋体"/>
          <w:color w:val="000000" w:themeColor="text1"/>
          <w:spacing w:val="10"/>
          <w:sz w:val="24"/>
          <w:szCs w:val="24"/>
          <w:highlight w:val="none"/>
          <w14:textFill>
            <w14:solidFill>
              <w14:schemeClr w14:val="tx1"/>
            </w14:solidFill>
          </w14:textFill>
        </w:rPr>
      </w:pPr>
    </w:p>
    <w:p w14:paraId="71EC98CF">
      <w:pPr>
        <w:spacing w:line="360" w:lineRule="auto"/>
        <w:jc w:val="center"/>
        <w:rPr>
          <w:rFonts w:ascii="宋体" w:hAnsi="宋体"/>
          <w:b/>
          <w:color w:val="000000"/>
          <w:spacing w:val="20"/>
          <w:sz w:val="32"/>
          <w:szCs w:val="28"/>
          <w:highlight w:val="none"/>
        </w:rPr>
      </w:pPr>
    </w:p>
    <w:p w14:paraId="4E5C7727">
      <w:pPr>
        <w:spacing w:line="360" w:lineRule="auto"/>
        <w:jc w:val="center"/>
        <w:rPr>
          <w:rFonts w:ascii="宋体" w:hAnsi="宋体"/>
          <w:b/>
          <w:color w:val="000000"/>
          <w:spacing w:val="20"/>
          <w:sz w:val="32"/>
          <w:szCs w:val="28"/>
          <w:highlight w:val="none"/>
        </w:rPr>
      </w:pPr>
    </w:p>
    <w:p w14:paraId="65B48757">
      <w:pPr>
        <w:spacing w:line="360" w:lineRule="auto"/>
        <w:jc w:val="center"/>
        <w:rPr>
          <w:rFonts w:ascii="宋体" w:hAnsi="宋体"/>
          <w:b/>
          <w:color w:val="000000"/>
          <w:spacing w:val="20"/>
          <w:sz w:val="32"/>
          <w:szCs w:val="28"/>
          <w:highlight w:val="none"/>
        </w:rPr>
      </w:pPr>
    </w:p>
    <w:p w14:paraId="34D6BC17">
      <w:pPr>
        <w:spacing w:line="360" w:lineRule="auto"/>
        <w:jc w:val="center"/>
        <w:rPr>
          <w:rFonts w:ascii="宋体" w:hAnsi="宋体"/>
          <w:b/>
          <w:color w:val="000000"/>
          <w:spacing w:val="20"/>
          <w:sz w:val="32"/>
          <w:szCs w:val="28"/>
          <w:highlight w:val="none"/>
        </w:rPr>
      </w:pPr>
    </w:p>
    <w:p w14:paraId="7C396395">
      <w:pPr>
        <w:spacing w:line="360" w:lineRule="auto"/>
        <w:jc w:val="center"/>
        <w:rPr>
          <w:rFonts w:ascii="宋体" w:hAnsi="宋体"/>
          <w:b/>
          <w:color w:val="000000"/>
          <w:spacing w:val="20"/>
          <w:sz w:val="32"/>
          <w:szCs w:val="28"/>
          <w:highlight w:val="none"/>
        </w:rPr>
      </w:pPr>
    </w:p>
    <w:p w14:paraId="57C24D5A">
      <w:pPr>
        <w:spacing w:line="360" w:lineRule="auto"/>
        <w:jc w:val="center"/>
        <w:rPr>
          <w:rFonts w:ascii="宋体" w:hAnsi="宋体"/>
          <w:b/>
          <w:color w:val="000000"/>
          <w:spacing w:val="20"/>
          <w:sz w:val="32"/>
          <w:szCs w:val="28"/>
          <w:highlight w:val="none"/>
        </w:rPr>
      </w:pPr>
    </w:p>
    <w:p w14:paraId="4943603C">
      <w:pPr>
        <w:spacing w:line="360" w:lineRule="auto"/>
        <w:jc w:val="center"/>
        <w:rPr>
          <w:rFonts w:ascii="宋体" w:hAnsi="宋体"/>
          <w:b/>
          <w:color w:val="000000"/>
          <w:spacing w:val="20"/>
          <w:sz w:val="32"/>
          <w:szCs w:val="28"/>
          <w:highlight w:val="none"/>
        </w:rPr>
      </w:pPr>
    </w:p>
    <w:p w14:paraId="613937F9">
      <w:pPr>
        <w:spacing w:line="360" w:lineRule="auto"/>
        <w:jc w:val="center"/>
        <w:rPr>
          <w:rFonts w:ascii="宋体" w:hAnsi="宋体"/>
          <w:b/>
          <w:color w:val="000000"/>
          <w:spacing w:val="20"/>
          <w:sz w:val="32"/>
          <w:szCs w:val="28"/>
          <w:highlight w:val="none"/>
        </w:rPr>
      </w:pPr>
    </w:p>
    <w:p w14:paraId="497B9B2D">
      <w:pPr>
        <w:spacing w:line="360" w:lineRule="auto"/>
        <w:jc w:val="center"/>
        <w:rPr>
          <w:rFonts w:ascii="宋体" w:hAnsi="宋体"/>
          <w:b/>
          <w:color w:val="000000"/>
          <w:spacing w:val="20"/>
          <w:sz w:val="32"/>
          <w:szCs w:val="28"/>
          <w:highlight w:val="none"/>
        </w:rPr>
      </w:pPr>
      <w:r>
        <w:rPr>
          <w:rFonts w:hint="eastAsia" w:ascii="宋体" w:hAnsi="宋体"/>
          <w:b/>
          <w:color w:val="000000"/>
          <w:spacing w:val="20"/>
          <w:sz w:val="32"/>
          <w:szCs w:val="28"/>
          <w:highlight w:val="none"/>
        </w:rPr>
        <w:t>二、</w:t>
      </w:r>
      <w:bookmarkEnd w:id="173"/>
      <w:r>
        <w:rPr>
          <w:rFonts w:hint="eastAsia" w:ascii="宋体" w:hAnsi="宋体"/>
          <w:b/>
          <w:color w:val="000000"/>
          <w:sz w:val="32"/>
          <w:szCs w:val="28"/>
          <w:highlight w:val="none"/>
        </w:rPr>
        <w:t>法定代表人身份证明及授权委托书</w:t>
      </w:r>
    </w:p>
    <w:p w14:paraId="2739851E">
      <w:pPr>
        <w:widowControl/>
        <w:jc w:val="center"/>
        <w:rPr>
          <w:rFonts w:ascii="宋体" w:hAnsi="宋体"/>
          <w:color w:val="000000"/>
          <w:kern w:val="0"/>
          <w:sz w:val="32"/>
          <w:szCs w:val="24"/>
          <w:highlight w:val="none"/>
        </w:rPr>
      </w:pPr>
      <w:bookmarkStart w:id="182" w:name="_Toc10085"/>
      <w:r>
        <w:rPr>
          <w:rFonts w:hint="eastAsia" w:ascii="宋体" w:hAnsi="宋体"/>
          <w:color w:val="000000"/>
          <w:kern w:val="0"/>
          <w:sz w:val="32"/>
          <w:szCs w:val="24"/>
          <w:highlight w:val="none"/>
        </w:rPr>
        <w:t>（一）法定代表人身份证明</w:t>
      </w:r>
    </w:p>
    <w:p w14:paraId="5990A756">
      <w:pPr>
        <w:widowControl/>
        <w:spacing w:line="440" w:lineRule="atLeast"/>
        <w:rPr>
          <w:rFonts w:ascii="宋体" w:hAnsi="宋体"/>
          <w:color w:val="000000"/>
          <w:kern w:val="0"/>
          <w:sz w:val="24"/>
          <w:szCs w:val="24"/>
          <w:highlight w:val="none"/>
        </w:rPr>
      </w:pPr>
      <w:r>
        <w:rPr>
          <w:rFonts w:hint="eastAsia" w:ascii="宋体" w:hAnsi="宋体"/>
          <w:b/>
          <w:bCs/>
          <w:color w:val="000000"/>
          <w:kern w:val="0"/>
          <w:sz w:val="24"/>
          <w:szCs w:val="24"/>
          <w:highlight w:val="none"/>
        </w:rPr>
        <w:t xml:space="preserve"> </w:t>
      </w:r>
    </w:p>
    <w:p w14:paraId="2B5BB046">
      <w:pPr>
        <w:widowControl/>
        <w:spacing w:line="480" w:lineRule="auto"/>
        <w:ind w:firstLine="610"/>
        <w:rPr>
          <w:rFonts w:ascii="宋体" w:hAnsi="宋体"/>
          <w:color w:val="000000"/>
          <w:kern w:val="0"/>
          <w:sz w:val="24"/>
          <w:szCs w:val="24"/>
          <w:highlight w:val="none"/>
        </w:rPr>
      </w:pPr>
      <w:r>
        <w:rPr>
          <w:rFonts w:hint="eastAsia" w:ascii="宋体" w:hAnsi="宋体"/>
          <w:color w:val="000000"/>
          <w:kern w:val="0"/>
          <w:sz w:val="24"/>
          <w:szCs w:val="24"/>
          <w:highlight w:val="none"/>
        </w:rPr>
        <w:t>单位名称：</w:t>
      </w:r>
      <w:r>
        <w:rPr>
          <w:rFonts w:hint="eastAsia" w:ascii="宋体" w:hAnsi="宋体"/>
          <w:color w:val="000000"/>
          <w:kern w:val="0"/>
          <w:sz w:val="24"/>
          <w:szCs w:val="24"/>
          <w:highlight w:val="none"/>
          <w:u w:val="single"/>
        </w:rPr>
        <w:t xml:space="preserve">                     </w:t>
      </w:r>
    </w:p>
    <w:p w14:paraId="49115EE7">
      <w:pPr>
        <w:widowControl/>
        <w:spacing w:line="480" w:lineRule="auto"/>
        <w:ind w:firstLine="610"/>
        <w:rPr>
          <w:rFonts w:ascii="宋体" w:hAnsi="宋体"/>
          <w:color w:val="000000"/>
          <w:kern w:val="0"/>
          <w:sz w:val="24"/>
          <w:szCs w:val="24"/>
          <w:highlight w:val="none"/>
        </w:rPr>
      </w:pPr>
      <w:r>
        <w:rPr>
          <w:rFonts w:hint="eastAsia" w:ascii="宋体" w:hAnsi="宋体"/>
          <w:color w:val="000000"/>
          <w:kern w:val="0"/>
          <w:sz w:val="24"/>
          <w:szCs w:val="24"/>
          <w:highlight w:val="none"/>
        </w:rPr>
        <w:t>单位性质：</w:t>
      </w:r>
      <w:r>
        <w:rPr>
          <w:rFonts w:hint="eastAsia" w:ascii="宋体" w:hAnsi="宋体"/>
          <w:color w:val="000000"/>
          <w:kern w:val="0"/>
          <w:sz w:val="24"/>
          <w:szCs w:val="24"/>
          <w:highlight w:val="none"/>
          <w:u w:val="single"/>
        </w:rPr>
        <w:t xml:space="preserve">                       </w:t>
      </w:r>
    </w:p>
    <w:p w14:paraId="363F7678">
      <w:pPr>
        <w:widowControl/>
        <w:spacing w:line="480" w:lineRule="auto"/>
        <w:ind w:firstLine="610"/>
        <w:rPr>
          <w:rFonts w:ascii="宋体" w:hAnsi="宋体"/>
          <w:color w:val="000000"/>
          <w:kern w:val="0"/>
          <w:sz w:val="24"/>
          <w:szCs w:val="24"/>
          <w:highlight w:val="none"/>
        </w:rPr>
      </w:pPr>
      <w:r>
        <w:rPr>
          <w:rFonts w:hint="eastAsia" w:ascii="宋体" w:hAnsi="宋体"/>
          <w:color w:val="000000"/>
          <w:kern w:val="0"/>
          <w:sz w:val="24"/>
          <w:szCs w:val="24"/>
          <w:highlight w:val="none"/>
        </w:rPr>
        <w:t>地 址：</w:t>
      </w:r>
      <w:r>
        <w:rPr>
          <w:rFonts w:hint="eastAsia" w:ascii="宋体" w:hAnsi="宋体"/>
          <w:color w:val="000000"/>
          <w:kern w:val="0"/>
          <w:sz w:val="24"/>
          <w:szCs w:val="24"/>
          <w:highlight w:val="none"/>
          <w:u w:val="single"/>
        </w:rPr>
        <w:t xml:space="preserve">                         </w:t>
      </w:r>
    </w:p>
    <w:p w14:paraId="74BE1300">
      <w:pPr>
        <w:widowControl/>
        <w:spacing w:line="480" w:lineRule="auto"/>
        <w:ind w:firstLine="610"/>
        <w:rPr>
          <w:rFonts w:ascii="宋体" w:hAnsi="宋体"/>
          <w:color w:val="000000"/>
          <w:kern w:val="0"/>
          <w:sz w:val="24"/>
          <w:szCs w:val="24"/>
          <w:highlight w:val="none"/>
        </w:rPr>
      </w:pPr>
      <w:r>
        <w:rPr>
          <w:rFonts w:hint="eastAsia" w:ascii="宋体" w:hAnsi="宋体"/>
          <w:color w:val="000000"/>
          <w:kern w:val="0"/>
          <w:sz w:val="24"/>
          <w:szCs w:val="24"/>
          <w:highlight w:val="none"/>
        </w:rPr>
        <w:t>成立时间：</w:t>
      </w:r>
      <w:r>
        <w:rPr>
          <w:rFonts w:hint="eastAsia" w:ascii="宋体" w:hAnsi="宋体"/>
          <w:color w:val="000000"/>
          <w:kern w:val="0"/>
          <w:sz w:val="24"/>
          <w:szCs w:val="24"/>
          <w:highlight w:val="none"/>
          <w:u w:val="single"/>
        </w:rPr>
        <w:t xml:space="preserve">       </w:t>
      </w:r>
      <w:r>
        <w:rPr>
          <w:rFonts w:hint="eastAsia" w:ascii="宋体" w:hAnsi="宋体"/>
          <w:color w:val="000000"/>
          <w:kern w:val="0"/>
          <w:sz w:val="24"/>
          <w:szCs w:val="24"/>
          <w:highlight w:val="none"/>
        </w:rPr>
        <w:t>年</w:t>
      </w:r>
      <w:r>
        <w:rPr>
          <w:rFonts w:hint="eastAsia" w:ascii="宋体" w:hAnsi="宋体"/>
          <w:color w:val="000000"/>
          <w:kern w:val="0"/>
          <w:sz w:val="24"/>
          <w:szCs w:val="24"/>
          <w:highlight w:val="none"/>
          <w:u w:val="single"/>
        </w:rPr>
        <w:t xml:space="preserve">       </w:t>
      </w:r>
      <w:r>
        <w:rPr>
          <w:rFonts w:hint="eastAsia" w:ascii="宋体" w:hAnsi="宋体"/>
          <w:color w:val="000000"/>
          <w:kern w:val="0"/>
          <w:sz w:val="24"/>
          <w:szCs w:val="24"/>
          <w:highlight w:val="none"/>
        </w:rPr>
        <w:t>月</w:t>
      </w:r>
      <w:r>
        <w:rPr>
          <w:rFonts w:hint="eastAsia" w:ascii="宋体" w:hAnsi="宋体"/>
          <w:color w:val="000000"/>
          <w:kern w:val="0"/>
          <w:sz w:val="24"/>
          <w:szCs w:val="24"/>
          <w:highlight w:val="none"/>
          <w:u w:val="single"/>
        </w:rPr>
        <w:t xml:space="preserve">       </w:t>
      </w:r>
      <w:r>
        <w:rPr>
          <w:rFonts w:hint="eastAsia" w:ascii="宋体" w:hAnsi="宋体"/>
          <w:color w:val="000000"/>
          <w:kern w:val="0"/>
          <w:sz w:val="24"/>
          <w:szCs w:val="24"/>
          <w:highlight w:val="none"/>
        </w:rPr>
        <w:t>日</w:t>
      </w:r>
    </w:p>
    <w:p w14:paraId="39090C71">
      <w:pPr>
        <w:widowControl/>
        <w:spacing w:line="480" w:lineRule="auto"/>
        <w:ind w:firstLine="610"/>
        <w:rPr>
          <w:rFonts w:ascii="宋体" w:hAnsi="宋体"/>
          <w:color w:val="000000"/>
          <w:kern w:val="0"/>
          <w:sz w:val="24"/>
          <w:szCs w:val="24"/>
          <w:highlight w:val="none"/>
        </w:rPr>
      </w:pPr>
      <w:r>
        <w:rPr>
          <w:rFonts w:hint="eastAsia" w:ascii="宋体" w:hAnsi="宋体"/>
          <w:color w:val="000000"/>
          <w:kern w:val="0"/>
          <w:sz w:val="24"/>
          <w:szCs w:val="24"/>
          <w:highlight w:val="none"/>
        </w:rPr>
        <w:t>经营期限：</w:t>
      </w:r>
      <w:r>
        <w:rPr>
          <w:rFonts w:hint="eastAsia" w:ascii="宋体" w:hAnsi="宋体"/>
          <w:color w:val="000000"/>
          <w:kern w:val="0"/>
          <w:sz w:val="24"/>
          <w:szCs w:val="24"/>
          <w:highlight w:val="none"/>
          <w:u w:val="single"/>
        </w:rPr>
        <w:t xml:space="preserve">          </w:t>
      </w:r>
    </w:p>
    <w:p w14:paraId="1C7ECEB9">
      <w:pPr>
        <w:widowControl/>
        <w:spacing w:line="480" w:lineRule="auto"/>
        <w:ind w:firstLine="610"/>
        <w:rPr>
          <w:rFonts w:ascii="宋体" w:hAnsi="宋体"/>
          <w:color w:val="000000"/>
          <w:kern w:val="0"/>
          <w:sz w:val="24"/>
          <w:szCs w:val="24"/>
          <w:highlight w:val="none"/>
        </w:rPr>
      </w:pPr>
      <w:r>
        <w:rPr>
          <w:rFonts w:hint="eastAsia" w:ascii="宋体" w:hAnsi="宋体"/>
          <w:color w:val="000000"/>
          <w:kern w:val="0"/>
          <w:sz w:val="24"/>
          <w:szCs w:val="24"/>
          <w:highlight w:val="none"/>
        </w:rPr>
        <w:t>姓 名：</w:t>
      </w:r>
      <w:r>
        <w:rPr>
          <w:rFonts w:hint="eastAsia" w:ascii="宋体" w:hAnsi="宋体"/>
          <w:color w:val="000000"/>
          <w:kern w:val="0"/>
          <w:sz w:val="24"/>
          <w:szCs w:val="24"/>
          <w:highlight w:val="none"/>
          <w:u w:val="single"/>
        </w:rPr>
        <w:t xml:space="preserve">       </w:t>
      </w:r>
      <w:r>
        <w:rPr>
          <w:rFonts w:hint="eastAsia" w:ascii="宋体" w:hAnsi="宋体"/>
          <w:color w:val="000000"/>
          <w:kern w:val="0"/>
          <w:sz w:val="24"/>
          <w:szCs w:val="24"/>
          <w:highlight w:val="none"/>
        </w:rPr>
        <w:t>性别：</w:t>
      </w:r>
      <w:r>
        <w:rPr>
          <w:rFonts w:hint="eastAsia" w:ascii="宋体" w:hAnsi="宋体"/>
          <w:color w:val="000000"/>
          <w:kern w:val="0"/>
          <w:sz w:val="24"/>
          <w:szCs w:val="24"/>
          <w:highlight w:val="none"/>
          <w:u w:val="single"/>
        </w:rPr>
        <w:t xml:space="preserve">       </w:t>
      </w:r>
      <w:r>
        <w:rPr>
          <w:rFonts w:hint="eastAsia" w:ascii="宋体" w:hAnsi="宋体"/>
          <w:color w:val="000000"/>
          <w:kern w:val="0"/>
          <w:sz w:val="24"/>
          <w:szCs w:val="24"/>
          <w:highlight w:val="none"/>
        </w:rPr>
        <w:t>年龄：</w:t>
      </w:r>
      <w:r>
        <w:rPr>
          <w:rFonts w:hint="eastAsia" w:ascii="宋体" w:hAnsi="宋体"/>
          <w:color w:val="000000"/>
          <w:kern w:val="0"/>
          <w:sz w:val="24"/>
          <w:szCs w:val="24"/>
          <w:highlight w:val="none"/>
          <w:u w:val="single"/>
        </w:rPr>
        <w:t xml:space="preserve">       </w:t>
      </w:r>
      <w:r>
        <w:rPr>
          <w:rFonts w:hint="eastAsia" w:ascii="宋体" w:hAnsi="宋体"/>
          <w:color w:val="000000"/>
          <w:kern w:val="0"/>
          <w:sz w:val="24"/>
          <w:szCs w:val="24"/>
          <w:highlight w:val="none"/>
        </w:rPr>
        <w:t>职务：</w:t>
      </w:r>
      <w:r>
        <w:rPr>
          <w:rFonts w:hint="eastAsia" w:ascii="宋体" w:hAnsi="宋体"/>
          <w:color w:val="000000"/>
          <w:kern w:val="0"/>
          <w:sz w:val="24"/>
          <w:szCs w:val="24"/>
          <w:highlight w:val="none"/>
          <w:u w:val="single"/>
        </w:rPr>
        <w:t xml:space="preserve">       </w:t>
      </w:r>
    </w:p>
    <w:p w14:paraId="71E67C64">
      <w:pPr>
        <w:widowControl/>
        <w:spacing w:line="480" w:lineRule="auto"/>
        <w:ind w:firstLine="610"/>
        <w:rPr>
          <w:rFonts w:ascii="宋体" w:hAnsi="宋体"/>
          <w:color w:val="000000"/>
          <w:kern w:val="0"/>
          <w:sz w:val="24"/>
          <w:szCs w:val="24"/>
          <w:highlight w:val="none"/>
        </w:rPr>
      </w:pPr>
      <w:r>
        <w:rPr>
          <w:rFonts w:hint="eastAsia" w:ascii="宋体" w:hAnsi="宋体"/>
          <w:color w:val="000000"/>
          <w:kern w:val="0"/>
          <w:sz w:val="24"/>
          <w:szCs w:val="24"/>
          <w:highlight w:val="none"/>
        </w:rPr>
        <w:t>系</w:t>
      </w:r>
      <w:r>
        <w:rPr>
          <w:rFonts w:hint="eastAsia" w:ascii="宋体" w:hAnsi="宋体"/>
          <w:color w:val="000000"/>
          <w:kern w:val="0"/>
          <w:sz w:val="24"/>
          <w:szCs w:val="24"/>
          <w:highlight w:val="none"/>
          <w:u w:val="single"/>
        </w:rPr>
        <w:t xml:space="preserve"> （投标供应商名称） </w:t>
      </w:r>
      <w:r>
        <w:rPr>
          <w:rFonts w:hint="eastAsia" w:ascii="宋体" w:hAnsi="宋体"/>
          <w:color w:val="000000"/>
          <w:kern w:val="0"/>
          <w:sz w:val="24"/>
          <w:szCs w:val="24"/>
          <w:highlight w:val="none"/>
        </w:rPr>
        <w:t>的法定代表人。</w:t>
      </w:r>
    </w:p>
    <w:p w14:paraId="59C3EF84">
      <w:pPr>
        <w:widowControl/>
        <w:spacing w:line="480" w:lineRule="auto"/>
        <w:ind w:firstLine="610"/>
        <w:rPr>
          <w:rFonts w:ascii="宋体" w:hAnsi="宋体"/>
          <w:color w:val="000000"/>
          <w:kern w:val="0"/>
          <w:sz w:val="24"/>
          <w:szCs w:val="24"/>
          <w:highlight w:val="none"/>
        </w:rPr>
      </w:pPr>
      <w:r>
        <w:rPr>
          <w:rFonts w:hint="eastAsia" w:ascii="宋体" w:hAnsi="宋体"/>
          <w:color w:val="000000"/>
          <w:kern w:val="0"/>
          <w:sz w:val="24"/>
          <w:szCs w:val="24"/>
          <w:highlight w:val="none"/>
        </w:rPr>
        <w:t xml:space="preserve"> </w:t>
      </w:r>
    </w:p>
    <w:p w14:paraId="52546BA3">
      <w:pPr>
        <w:widowControl/>
        <w:spacing w:line="480" w:lineRule="auto"/>
        <w:ind w:firstLine="1090"/>
        <w:rPr>
          <w:rFonts w:ascii="宋体" w:hAnsi="宋体"/>
          <w:color w:val="000000"/>
          <w:kern w:val="0"/>
          <w:sz w:val="24"/>
          <w:szCs w:val="24"/>
          <w:highlight w:val="none"/>
        </w:rPr>
      </w:pPr>
      <w:r>
        <w:rPr>
          <w:rFonts w:hint="eastAsia" w:ascii="宋体" w:hAnsi="宋体"/>
          <w:color w:val="000000"/>
          <w:kern w:val="0"/>
          <w:sz w:val="24"/>
          <w:szCs w:val="24"/>
          <w:highlight w:val="none"/>
        </w:rPr>
        <w:t>特此证明。</w:t>
      </w:r>
    </w:p>
    <w:p w14:paraId="7966519F">
      <w:pPr>
        <w:widowControl/>
        <w:spacing w:line="480" w:lineRule="auto"/>
        <w:ind w:firstLine="5040"/>
        <w:rPr>
          <w:rFonts w:ascii="宋体" w:hAnsi="宋体"/>
          <w:color w:val="000000"/>
          <w:kern w:val="0"/>
          <w:sz w:val="24"/>
          <w:szCs w:val="24"/>
          <w:highlight w:val="none"/>
        </w:rPr>
      </w:pPr>
      <w:r>
        <w:rPr>
          <w:rFonts w:hint="eastAsia" w:ascii="宋体" w:hAnsi="宋体"/>
          <w:color w:val="000000"/>
          <w:kern w:val="0"/>
          <w:sz w:val="24"/>
          <w:szCs w:val="24"/>
          <w:highlight w:val="none"/>
        </w:rPr>
        <w:t xml:space="preserve"> </w:t>
      </w:r>
    </w:p>
    <w:p w14:paraId="29B676F7">
      <w:pPr>
        <w:widowControl/>
        <w:spacing w:line="480" w:lineRule="auto"/>
        <w:ind w:firstLine="5040"/>
        <w:rPr>
          <w:rFonts w:ascii="宋体" w:hAnsi="宋体"/>
          <w:color w:val="000000"/>
          <w:kern w:val="0"/>
          <w:sz w:val="24"/>
          <w:szCs w:val="24"/>
          <w:highlight w:val="none"/>
        </w:rPr>
      </w:pPr>
      <w:r>
        <w:rPr>
          <w:rFonts w:hint="eastAsia" w:ascii="宋体" w:hAnsi="宋体"/>
          <w:color w:val="000000"/>
          <w:kern w:val="0"/>
          <w:sz w:val="24"/>
          <w:szCs w:val="24"/>
          <w:highlight w:val="none"/>
        </w:rPr>
        <w:t xml:space="preserve"> </w:t>
      </w:r>
    </w:p>
    <w:p w14:paraId="0646FC8A">
      <w:pPr>
        <w:widowControl/>
        <w:spacing w:line="480" w:lineRule="auto"/>
        <w:ind w:firstLine="5040"/>
        <w:rPr>
          <w:rFonts w:ascii="宋体" w:hAnsi="宋体"/>
          <w:color w:val="000000"/>
          <w:kern w:val="0"/>
          <w:sz w:val="24"/>
          <w:szCs w:val="24"/>
          <w:highlight w:val="none"/>
        </w:rPr>
      </w:pPr>
      <w:r>
        <w:rPr>
          <w:rFonts w:hint="eastAsia" w:ascii="宋体" w:hAnsi="宋体"/>
          <w:color w:val="000000"/>
          <w:kern w:val="0"/>
          <w:sz w:val="24"/>
          <w:szCs w:val="24"/>
          <w:highlight w:val="none"/>
        </w:rPr>
        <w:t xml:space="preserve"> </w:t>
      </w:r>
    </w:p>
    <w:p w14:paraId="2A11E9B4">
      <w:pPr>
        <w:widowControl/>
        <w:spacing w:line="480" w:lineRule="auto"/>
        <w:ind w:firstLine="4800" w:firstLineChars="2000"/>
        <w:rPr>
          <w:rFonts w:hint="eastAsia" w:ascii="宋体" w:hAnsi="宋体"/>
          <w:color w:val="000000"/>
          <w:kern w:val="0"/>
          <w:sz w:val="24"/>
          <w:szCs w:val="24"/>
          <w:highlight w:val="none"/>
        </w:rPr>
      </w:pPr>
      <w:r>
        <w:rPr>
          <w:rFonts w:hint="eastAsia" w:ascii="宋体" w:hAnsi="宋体"/>
          <w:color w:val="000000"/>
          <w:sz w:val="24"/>
          <w:szCs w:val="24"/>
          <w:highlight w:val="none"/>
        </w:rPr>
        <w:t>谈判</w:t>
      </w:r>
      <w:r>
        <w:rPr>
          <w:rFonts w:hint="eastAsia" w:ascii="宋体" w:hAnsi="宋体"/>
          <w:color w:val="000000"/>
          <w:kern w:val="0"/>
          <w:sz w:val="24"/>
          <w:szCs w:val="24"/>
          <w:highlight w:val="none"/>
        </w:rPr>
        <w:t>供应商：</w:t>
      </w:r>
      <w:r>
        <w:rPr>
          <w:rFonts w:hint="eastAsia" w:ascii="宋体" w:hAnsi="宋体"/>
          <w:color w:val="000000"/>
          <w:kern w:val="0"/>
          <w:sz w:val="24"/>
          <w:szCs w:val="24"/>
          <w:highlight w:val="none"/>
          <w:u w:val="single"/>
        </w:rPr>
        <w:t xml:space="preserve">           </w:t>
      </w:r>
      <w:r>
        <w:rPr>
          <w:rFonts w:hint="eastAsia" w:ascii="宋体" w:hAnsi="宋体"/>
          <w:color w:val="000000"/>
          <w:kern w:val="0"/>
          <w:sz w:val="24"/>
          <w:szCs w:val="24"/>
          <w:highlight w:val="none"/>
        </w:rPr>
        <w:t>（电子签章）</w:t>
      </w:r>
    </w:p>
    <w:p w14:paraId="5B89DE36">
      <w:pPr>
        <w:widowControl/>
        <w:spacing w:line="600" w:lineRule="exact"/>
        <w:ind w:right="720" w:firstLine="480" w:firstLineChars="200"/>
        <w:jc w:val="center"/>
        <w:rPr>
          <w:rFonts w:ascii="宋体" w:hAnsi="宋体"/>
          <w:color w:val="000000"/>
          <w:kern w:val="0"/>
          <w:sz w:val="24"/>
          <w:szCs w:val="24"/>
          <w:highlight w:val="none"/>
        </w:rPr>
      </w:pPr>
      <w:r>
        <w:rPr>
          <w:rFonts w:hint="eastAsia" w:ascii="宋体" w:hAnsi="宋体"/>
          <w:color w:val="000000"/>
          <w:kern w:val="0"/>
          <w:sz w:val="24"/>
          <w:szCs w:val="24"/>
          <w:highlight w:val="none"/>
        </w:rPr>
        <w:t xml:space="preserve">   </w:t>
      </w:r>
      <w:r>
        <w:rPr>
          <w:rFonts w:hint="eastAsia" w:ascii="宋体" w:hAnsi="宋体"/>
          <w:color w:val="000000"/>
          <w:kern w:val="0"/>
          <w:sz w:val="24"/>
          <w:szCs w:val="24"/>
          <w:highlight w:val="none"/>
          <w:lang w:val="en-US" w:eastAsia="zh-CN"/>
        </w:rPr>
        <w:t xml:space="preserve">                    </w:t>
      </w:r>
      <w:r>
        <w:rPr>
          <w:rFonts w:hint="eastAsia" w:ascii="宋体" w:hAnsi="宋体"/>
          <w:color w:val="000000"/>
          <w:kern w:val="0"/>
          <w:sz w:val="24"/>
          <w:szCs w:val="24"/>
          <w:highlight w:val="none"/>
        </w:rPr>
        <w:t xml:space="preserve">  </w:t>
      </w:r>
      <w:r>
        <w:rPr>
          <w:rFonts w:hint="eastAsia" w:ascii="宋体" w:hAnsi="宋体"/>
          <w:color w:val="000000"/>
          <w:kern w:val="0"/>
          <w:sz w:val="24"/>
          <w:szCs w:val="24"/>
          <w:highlight w:val="none"/>
          <w:lang w:val="en-US" w:eastAsia="zh-CN"/>
        </w:rPr>
        <w:t xml:space="preserve">     </w:t>
      </w:r>
      <w:r>
        <w:rPr>
          <w:rFonts w:hint="eastAsia" w:ascii="宋体" w:hAnsi="宋体"/>
          <w:color w:val="000000"/>
          <w:kern w:val="0"/>
          <w:sz w:val="24"/>
          <w:szCs w:val="24"/>
          <w:highlight w:val="none"/>
        </w:rPr>
        <w:t>法定代表人：</w:t>
      </w:r>
      <w:r>
        <w:rPr>
          <w:rFonts w:hint="eastAsia" w:ascii="宋体" w:hAnsi="宋体"/>
          <w:color w:val="000000"/>
          <w:kern w:val="0"/>
          <w:sz w:val="24"/>
          <w:szCs w:val="24"/>
          <w:highlight w:val="none"/>
          <w:u w:val="single"/>
        </w:rPr>
        <w:t xml:space="preserve">           </w:t>
      </w:r>
      <w:r>
        <w:rPr>
          <w:rFonts w:hint="eastAsia" w:ascii="宋体" w:hAnsi="宋体"/>
          <w:color w:val="000000"/>
          <w:kern w:val="0"/>
          <w:sz w:val="24"/>
          <w:szCs w:val="24"/>
          <w:highlight w:val="none"/>
        </w:rPr>
        <w:t>（电子签章）</w:t>
      </w:r>
    </w:p>
    <w:p w14:paraId="5F772764">
      <w:pPr>
        <w:widowControl/>
        <w:spacing w:line="480" w:lineRule="auto"/>
        <w:ind w:firstLine="5040"/>
        <w:rPr>
          <w:rFonts w:hint="eastAsia" w:ascii="宋体" w:hAnsi="宋体"/>
          <w:color w:val="000000"/>
          <w:kern w:val="0"/>
          <w:sz w:val="24"/>
          <w:szCs w:val="24"/>
          <w:highlight w:val="none"/>
        </w:rPr>
      </w:pPr>
    </w:p>
    <w:p w14:paraId="6C1A35F4">
      <w:pPr>
        <w:widowControl/>
        <w:spacing w:line="480" w:lineRule="auto"/>
        <w:ind w:firstLine="5040"/>
        <w:rPr>
          <w:rFonts w:ascii="宋体" w:hAnsi="宋体"/>
          <w:color w:val="000000"/>
          <w:kern w:val="0"/>
          <w:sz w:val="24"/>
          <w:szCs w:val="24"/>
          <w:highlight w:val="none"/>
        </w:rPr>
      </w:pPr>
      <w:r>
        <w:rPr>
          <w:rFonts w:hint="eastAsia" w:ascii="宋体" w:hAnsi="宋体"/>
          <w:color w:val="000000"/>
          <w:kern w:val="0"/>
          <w:sz w:val="24"/>
          <w:szCs w:val="24"/>
          <w:highlight w:val="none"/>
        </w:rPr>
        <w:t xml:space="preserve"> </w:t>
      </w:r>
    </w:p>
    <w:p w14:paraId="39012AB7">
      <w:pPr>
        <w:widowControl/>
        <w:spacing w:line="48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 xml:space="preserve">                                     日 期： 年 月 日</w:t>
      </w:r>
    </w:p>
    <w:p w14:paraId="3BC930FB">
      <w:pPr>
        <w:widowControl/>
        <w:spacing w:line="48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 xml:space="preserve"> </w:t>
      </w:r>
    </w:p>
    <w:p w14:paraId="43632A50">
      <w:pPr>
        <w:widowControl/>
        <w:spacing w:line="48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 xml:space="preserve"> </w:t>
      </w:r>
    </w:p>
    <w:p w14:paraId="4A34A2B2">
      <w:pPr>
        <w:widowControl/>
        <w:jc w:val="center"/>
        <w:rPr>
          <w:rFonts w:ascii="宋体" w:hAnsi="宋体"/>
          <w:color w:val="000000"/>
          <w:kern w:val="0"/>
          <w:sz w:val="32"/>
          <w:szCs w:val="24"/>
          <w:highlight w:val="none"/>
        </w:rPr>
      </w:pPr>
      <w:r>
        <w:rPr>
          <w:rFonts w:hint="eastAsia" w:ascii="宋体" w:hAnsi="宋体"/>
          <w:color w:val="000000"/>
          <w:kern w:val="0"/>
          <w:sz w:val="32"/>
          <w:szCs w:val="24"/>
          <w:highlight w:val="none"/>
        </w:rPr>
        <w:t>（二）授权委托书</w:t>
      </w:r>
    </w:p>
    <w:p w14:paraId="4FCC7B54">
      <w:pPr>
        <w:widowControl/>
        <w:spacing w:after="160" w:line="440" w:lineRule="atLeast"/>
        <w:rPr>
          <w:rFonts w:ascii="宋体" w:hAnsi="宋体"/>
          <w:color w:val="000000"/>
          <w:kern w:val="0"/>
          <w:sz w:val="24"/>
          <w:szCs w:val="24"/>
          <w:highlight w:val="none"/>
        </w:rPr>
      </w:pPr>
      <w:r>
        <w:rPr>
          <w:rFonts w:hint="eastAsia" w:ascii="宋体" w:hAnsi="宋体"/>
          <w:b/>
          <w:bCs/>
          <w:color w:val="000000"/>
          <w:kern w:val="0"/>
          <w:sz w:val="24"/>
          <w:szCs w:val="24"/>
          <w:highlight w:val="none"/>
        </w:rPr>
        <w:t xml:space="preserve"> </w:t>
      </w:r>
    </w:p>
    <w:p w14:paraId="2838DD05">
      <w:pPr>
        <w:widowControl/>
        <w:spacing w:line="600" w:lineRule="exact"/>
        <w:ind w:firstLine="610"/>
        <w:rPr>
          <w:rFonts w:ascii="宋体" w:hAnsi="宋体"/>
          <w:color w:val="000000"/>
          <w:kern w:val="0"/>
          <w:sz w:val="24"/>
          <w:szCs w:val="24"/>
          <w:highlight w:val="none"/>
        </w:rPr>
      </w:pPr>
      <w:r>
        <w:rPr>
          <w:rFonts w:hint="eastAsia" w:ascii="宋体" w:hAnsi="宋体"/>
          <w:color w:val="000000"/>
          <w:kern w:val="0"/>
          <w:sz w:val="24"/>
          <w:szCs w:val="24"/>
          <w:highlight w:val="none"/>
        </w:rPr>
        <w:t>本授权委托书声明：我</w:t>
      </w:r>
      <w:r>
        <w:rPr>
          <w:rFonts w:hint="eastAsia" w:ascii="宋体" w:hAnsi="宋体"/>
          <w:color w:val="000000"/>
          <w:kern w:val="0"/>
          <w:sz w:val="24"/>
          <w:szCs w:val="24"/>
          <w:highlight w:val="none"/>
          <w:u w:val="single"/>
        </w:rPr>
        <w:t>（法定代表人）</w:t>
      </w:r>
      <w:r>
        <w:rPr>
          <w:rFonts w:hint="eastAsia" w:ascii="宋体" w:hAnsi="宋体"/>
          <w:color w:val="000000"/>
          <w:kern w:val="0"/>
          <w:sz w:val="24"/>
          <w:szCs w:val="24"/>
          <w:highlight w:val="none"/>
        </w:rPr>
        <w:t>（姓名）系</w:t>
      </w:r>
      <w:r>
        <w:rPr>
          <w:rFonts w:hint="eastAsia" w:ascii="宋体" w:hAnsi="宋体"/>
          <w:color w:val="000000"/>
          <w:kern w:val="0"/>
          <w:sz w:val="24"/>
          <w:szCs w:val="24"/>
          <w:highlight w:val="none"/>
          <w:u w:val="single"/>
        </w:rPr>
        <w:t>（投 标 人 名 称）</w:t>
      </w:r>
      <w:r>
        <w:rPr>
          <w:rFonts w:hint="eastAsia" w:ascii="宋体" w:hAnsi="宋体"/>
          <w:color w:val="000000"/>
          <w:kern w:val="0"/>
          <w:sz w:val="24"/>
          <w:szCs w:val="24"/>
          <w:highlight w:val="none"/>
        </w:rPr>
        <w:t>的法定代表人，现授权委托</w:t>
      </w:r>
      <w:r>
        <w:rPr>
          <w:rFonts w:hint="eastAsia" w:ascii="宋体" w:hAnsi="宋体"/>
          <w:color w:val="000000"/>
          <w:kern w:val="0"/>
          <w:sz w:val="24"/>
          <w:szCs w:val="24"/>
          <w:highlight w:val="none"/>
          <w:u w:val="single"/>
        </w:rPr>
        <w:t xml:space="preserve"> （单 位 名 称） </w:t>
      </w:r>
      <w:r>
        <w:rPr>
          <w:rFonts w:hint="eastAsia" w:ascii="宋体" w:hAnsi="宋体"/>
          <w:color w:val="000000"/>
          <w:kern w:val="0"/>
          <w:sz w:val="24"/>
          <w:szCs w:val="24"/>
          <w:highlight w:val="none"/>
        </w:rPr>
        <w:t>的</w:t>
      </w:r>
      <w:r>
        <w:rPr>
          <w:rFonts w:hint="eastAsia" w:ascii="宋体" w:hAnsi="宋体"/>
          <w:color w:val="000000"/>
          <w:kern w:val="0"/>
          <w:sz w:val="24"/>
          <w:szCs w:val="24"/>
          <w:highlight w:val="none"/>
          <w:u w:val="single"/>
        </w:rPr>
        <w:t xml:space="preserve"> （姓名） </w:t>
      </w:r>
      <w:r>
        <w:rPr>
          <w:rFonts w:hint="eastAsia" w:ascii="宋体" w:hAnsi="宋体"/>
          <w:color w:val="000000"/>
          <w:kern w:val="0"/>
          <w:sz w:val="24"/>
          <w:szCs w:val="24"/>
          <w:highlight w:val="none"/>
        </w:rPr>
        <w:t>为我公司签署本项目的</w:t>
      </w:r>
      <w:r>
        <w:rPr>
          <w:rFonts w:hint="eastAsia" w:ascii="宋体" w:hAnsi="宋体"/>
          <w:color w:val="000000"/>
          <w:sz w:val="24"/>
          <w:szCs w:val="24"/>
          <w:highlight w:val="none"/>
        </w:rPr>
        <w:t>响应文件</w:t>
      </w:r>
      <w:r>
        <w:rPr>
          <w:rFonts w:hint="eastAsia" w:ascii="宋体" w:hAnsi="宋体"/>
          <w:color w:val="000000"/>
          <w:kern w:val="0"/>
          <w:sz w:val="24"/>
          <w:szCs w:val="24"/>
          <w:highlight w:val="none"/>
        </w:rPr>
        <w:t>的法定代表人授权委托代理人，我承认代理人全权代表我所签署的</w:t>
      </w:r>
      <w:r>
        <w:rPr>
          <w:rFonts w:hint="eastAsia" w:ascii="宋体" w:hAnsi="宋体"/>
          <w:color w:val="000000"/>
          <w:kern w:val="0"/>
          <w:sz w:val="24"/>
          <w:szCs w:val="24"/>
          <w:highlight w:val="none"/>
          <w:u w:val="single"/>
        </w:rPr>
        <w:t xml:space="preserve">  （项目名称）    </w:t>
      </w:r>
      <w:r>
        <w:rPr>
          <w:rFonts w:hint="eastAsia" w:ascii="宋体" w:hAnsi="宋体"/>
          <w:color w:val="000000"/>
          <w:kern w:val="0"/>
          <w:sz w:val="24"/>
          <w:szCs w:val="24"/>
          <w:highlight w:val="none"/>
        </w:rPr>
        <w:t>项目的</w:t>
      </w:r>
      <w:r>
        <w:rPr>
          <w:rFonts w:hint="eastAsia" w:ascii="宋体" w:hAnsi="宋体"/>
          <w:color w:val="000000"/>
          <w:sz w:val="24"/>
          <w:szCs w:val="24"/>
          <w:highlight w:val="none"/>
        </w:rPr>
        <w:t>响应文件</w:t>
      </w:r>
      <w:r>
        <w:rPr>
          <w:rFonts w:hint="eastAsia" w:ascii="宋体" w:hAnsi="宋体"/>
          <w:color w:val="000000"/>
          <w:kern w:val="0"/>
          <w:sz w:val="24"/>
          <w:szCs w:val="24"/>
          <w:highlight w:val="none"/>
        </w:rPr>
        <w:t>的内容。同时授权委托该同志代表我公司参加本项目的投标、开标、合同谈判、处理有关事务等并有权签署有关文件。</w:t>
      </w:r>
    </w:p>
    <w:p w14:paraId="770CD20E">
      <w:pPr>
        <w:widowControl/>
        <w:spacing w:line="600" w:lineRule="exact"/>
        <w:ind w:firstLine="610"/>
        <w:rPr>
          <w:rFonts w:ascii="宋体" w:hAnsi="宋体"/>
          <w:color w:val="000000"/>
          <w:kern w:val="0"/>
          <w:sz w:val="24"/>
          <w:szCs w:val="24"/>
          <w:highlight w:val="none"/>
        </w:rPr>
      </w:pPr>
      <w:r>
        <w:rPr>
          <w:rFonts w:hint="eastAsia" w:ascii="宋体" w:hAnsi="宋体"/>
          <w:color w:val="000000"/>
          <w:kern w:val="0"/>
          <w:sz w:val="24"/>
          <w:szCs w:val="24"/>
          <w:highlight w:val="none"/>
        </w:rPr>
        <w:t xml:space="preserve"> </w:t>
      </w:r>
    </w:p>
    <w:p w14:paraId="7528C856">
      <w:pPr>
        <w:widowControl/>
        <w:spacing w:line="600" w:lineRule="exact"/>
        <w:ind w:firstLine="700"/>
        <w:rPr>
          <w:rFonts w:ascii="宋体" w:hAnsi="宋体"/>
          <w:color w:val="000000"/>
          <w:kern w:val="0"/>
          <w:sz w:val="24"/>
          <w:szCs w:val="24"/>
          <w:highlight w:val="none"/>
        </w:rPr>
      </w:pPr>
      <w:r>
        <w:rPr>
          <w:rFonts w:hint="eastAsia" w:ascii="宋体" w:hAnsi="宋体"/>
          <w:color w:val="000000"/>
          <w:kern w:val="0"/>
          <w:sz w:val="24"/>
          <w:szCs w:val="24"/>
          <w:highlight w:val="none"/>
        </w:rPr>
        <w:t>代理人无转委托权，特此委托。</w:t>
      </w:r>
    </w:p>
    <w:p w14:paraId="037210E2">
      <w:pPr>
        <w:widowControl/>
        <w:spacing w:line="600" w:lineRule="exact"/>
        <w:ind w:firstLine="720" w:firstLineChars="300"/>
        <w:rPr>
          <w:rFonts w:ascii="宋体" w:hAnsi="宋体"/>
          <w:bCs/>
          <w:color w:val="000000"/>
          <w:kern w:val="0"/>
          <w:sz w:val="24"/>
          <w:szCs w:val="24"/>
          <w:highlight w:val="none"/>
        </w:rPr>
      </w:pPr>
      <w:r>
        <w:rPr>
          <w:rFonts w:hint="eastAsia" w:ascii="宋体" w:hAnsi="宋体"/>
          <w:bCs/>
          <w:color w:val="000000"/>
          <w:kern w:val="0"/>
          <w:sz w:val="24"/>
          <w:szCs w:val="24"/>
          <w:highlight w:val="none"/>
        </w:rPr>
        <w:t>附：法人身份证复印件</w:t>
      </w:r>
    </w:p>
    <w:p w14:paraId="07CB0F4E">
      <w:pPr>
        <w:widowControl/>
        <w:spacing w:line="600" w:lineRule="exact"/>
        <w:ind w:firstLine="1200" w:firstLineChars="500"/>
        <w:rPr>
          <w:rFonts w:ascii="宋体" w:hAnsi="宋体"/>
          <w:color w:val="000000"/>
          <w:kern w:val="0"/>
          <w:sz w:val="24"/>
          <w:szCs w:val="24"/>
          <w:highlight w:val="none"/>
        </w:rPr>
      </w:pPr>
      <w:r>
        <w:rPr>
          <w:rFonts w:hint="eastAsia" w:ascii="宋体" w:hAnsi="宋体"/>
          <w:bCs/>
          <w:color w:val="000000"/>
          <w:kern w:val="0"/>
          <w:sz w:val="24"/>
          <w:szCs w:val="24"/>
          <w:highlight w:val="none"/>
        </w:rPr>
        <w:t>授权人身份证复印件</w:t>
      </w:r>
    </w:p>
    <w:p w14:paraId="3B797F0D">
      <w:pPr>
        <w:widowControl/>
        <w:spacing w:line="600" w:lineRule="exact"/>
        <w:rPr>
          <w:rFonts w:ascii="宋体" w:hAnsi="宋体"/>
          <w:color w:val="000000"/>
          <w:kern w:val="0"/>
          <w:sz w:val="24"/>
          <w:szCs w:val="24"/>
          <w:highlight w:val="none"/>
        </w:rPr>
      </w:pPr>
      <w:r>
        <w:rPr>
          <w:rFonts w:hint="eastAsia" w:ascii="宋体" w:hAnsi="宋体"/>
          <w:color w:val="000000"/>
          <w:kern w:val="0"/>
          <w:sz w:val="24"/>
          <w:szCs w:val="24"/>
          <w:highlight w:val="none"/>
        </w:rPr>
        <w:t xml:space="preserve"> </w:t>
      </w:r>
    </w:p>
    <w:p w14:paraId="47C06F61">
      <w:pPr>
        <w:widowControl/>
        <w:spacing w:line="600" w:lineRule="exact"/>
        <w:ind w:right="600" w:firstLine="480" w:firstLineChars="200"/>
        <w:jc w:val="right"/>
        <w:rPr>
          <w:rFonts w:ascii="宋体" w:hAnsi="宋体"/>
          <w:color w:val="000000"/>
          <w:kern w:val="0"/>
          <w:sz w:val="24"/>
          <w:szCs w:val="24"/>
          <w:highlight w:val="none"/>
        </w:rPr>
      </w:pPr>
      <w:r>
        <w:rPr>
          <w:rFonts w:hint="eastAsia" w:ascii="宋体" w:hAnsi="宋体"/>
          <w:color w:val="000000"/>
          <w:sz w:val="24"/>
          <w:szCs w:val="24"/>
          <w:highlight w:val="none"/>
        </w:rPr>
        <w:t>谈判</w:t>
      </w:r>
      <w:r>
        <w:rPr>
          <w:rFonts w:hint="eastAsia" w:ascii="宋体" w:hAnsi="宋体"/>
          <w:color w:val="000000"/>
          <w:kern w:val="0"/>
          <w:sz w:val="24"/>
          <w:szCs w:val="24"/>
          <w:highlight w:val="none"/>
        </w:rPr>
        <w:t>供应商：</w:t>
      </w:r>
      <w:r>
        <w:rPr>
          <w:rFonts w:hint="eastAsia" w:ascii="宋体" w:hAnsi="宋体"/>
          <w:color w:val="000000"/>
          <w:kern w:val="0"/>
          <w:sz w:val="24"/>
          <w:szCs w:val="24"/>
          <w:highlight w:val="none"/>
          <w:u w:val="single"/>
        </w:rPr>
        <w:t xml:space="preserve">           </w:t>
      </w:r>
      <w:r>
        <w:rPr>
          <w:rFonts w:hint="eastAsia" w:ascii="宋体" w:hAnsi="宋体"/>
          <w:color w:val="000000"/>
          <w:kern w:val="0"/>
          <w:sz w:val="24"/>
          <w:szCs w:val="24"/>
          <w:highlight w:val="none"/>
        </w:rPr>
        <w:t>（电子签章）</w:t>
      </w:r>
    </w:p>
    <w:p w14:paraId="76C68AC1">
      <w:pPr>
        <w:widowControl/>
        <w:spacing w:line="600" w:lineRule="exact"/>
        <w:jc w:val="right"/>
        <w:rPr>
          <w:rFonts w:ascii="宋体" w:hAnsi="宋体"/>
          <w:color w:val="000000"/>
          <w:kern w:val="0"/>
          <w:sz w:val="24"/>
          <w:szCs w:val="24"/>
          <w:highlight w:val="none"/>
        </w:rPr>
      </w:pPr>
      <w:r>
        <w:rPr>
          <w:rFonts w:hint="eastAsia" w:ascii="宋体" w:hAnsi="宋体"/>
          <w:color w:val="000000"/>
          <w:kern w:val="0"/>
          <w:sz w:val="24"/>
          <w:szCs w:val="24"/>
          <w:highlight w:val="none"/>
        </w:rPr>
        <w:t xml:space="preserve"> </w:t>
      </w:r>
    </w:p>
    <w:p w14:paraId="4F8735E1">
      <w:pPr>
        <w:widowControl/>
        <w:spacing w:line="600" w:lineRule="exact"/>
        <w:ind w:right="720" w:firstLine="480" w:firstLineChars="200"/>
        <w:jc w:val="center"/>
        <w:rPr>
          <w:rFonts w:ascii="宋体" w:hAnsi="宋体"/>
          <w:color w:val="000000"/>
          <w:kern w:val="0"/>
          <w:sz w:val="24"/>
          <w:szCs w:val="24"/>
          <w:highlight w:val="none"/>
        </w:rPr>
      </w:pPr>
      <w:r>
        <w:rPr>
          <w:rFonts w:hint="eastAsia" w:ascii="宋体" w:hAnsi="宋体"/>
          <w:color w:val="000000"/>
          <w:kern w:val="0"/>
          <w:sz w:val="24"/>
          <w:szCs w:val="24"/>
          <w:highlight w:val="none"/>
        </w:rPr>
        <w:t xml:space="preserve">                                    </w:t>
      </w:r>
      <w:r>
        <w:rPr>
          <w:rFonts w:hint="eastAsia" w:ascii="宋体" w:hAnsi="宋体"/>
          <w:color w:val="000000"/>
          <w:kern w:val="0"/>
          <w:sz w:val="24"/>
          <w:szCs w:val="24"/>
          <w:highlight w:val="none"/>
          <w:lang w:val="en-US" w:eastAsia="zh-CN"/>
        </w:rPr>
        <w:t xml:space="preserve">   </w:t>
      </w:r>
      <w:r>
        <w:rPr>
          <w:rFonts w:hint="eastAsia" w:ascii="宋体" w:hAnsi="宋体"/>
          <w:color w:val="000000"/>
          <w:kern w:val="0"/>
          <w:sz w:val="24"/>
          <w:szCs w:val="24"/>
          <w:highlight w:val="none"/>
        </w:rPr>
        <w:t xml:space="preserve"> </w:t>
      </w:r>
      <w:r>
        <w:rPr>
          <w:rFonts w:hint="eastAsia" w:ascii="宋体" w:hAnsi="宋体"/>
          <w:color w:val="000000"/>
          <w:kern w:val="0"/>
          <w:sz w:val="24"/>
          <w:szCs w:val="24"/>
          <w:highlight w:val="none"/>
          <w:lang w:val="en-US" w:eastAsia="zh-CN"/>
        </w:rPr>
        <w:t xml:space="preserve">   </w:t>
      </w:r>
      <w:r>
        <w:rPr>
          <w:rFonts w:hint="eastAsia" w:ascii="宋体" w:hAnsi="宋体"/>
          <w:color w:val="000000"/>
          <w:kern w:val="0"/>
          <w:sz w:val="24"/>
          <w:szCs w:val="24"/>
          <w:highlight w:val="none"/>
        </w:rPr>
        <w:t>法定代表人：</w:t>
      </w:r>
      <w:r>
        <w:rPr>
          <w:rFonts w:hint="eastAsia" w:ascii="宋体" w:hAnsi="宋体"/>
          <w:color w:val="000000"/>
          <w:kern w:val="0"/>
          <w:sz w:val="24"/>
          <w:szCs w:val="24"/>
          <w:highlight w:val="none"/>
          <w:u w:val="single"/>
        </w:rPr>
        <w:t xml:space="preserve">           </w:t>
      </w:r>
      <w:r>
        <w:rPr>
          <w:rFonts w:hint="eastAsia" w:ascii="宋体" w:hAnsi="宋体"/>
          <w:color w:val="000000"/>
          <w:kern w:val="0"/>
          <w:sz w:val="24"/>
          <w:szCs w:val="24"/>
          <w:highlight w:val="none"/>
        </w:rPr>
        <w:t>（电子签章）</w:t>
      </w:r>
    </w:p>
    <w:p w14:paraId="3026251B">
      <w:pPr>
        <w:widowControl/>
        <w:spacing w:line="600" w:lineRule="exact"/>
        <w:ind w:firstLine="2400"/>
        <w:rPr>
          <w:rFonts w:ascii="宋体" w:hAnsi="宋体"/>
          <w:color w:val="000000"/>
          <w:kern w:val="0"/>
          <w:sz w:val="24"/>
          <w:szCs w:val="24"/>
          <w:highlight w:val="none"/>
        </w:rPr>
      </w:pPr>
      <w:r>
        <w:rPr>
          <w:rFonts w:hint="eastAsia" w:ascii="宋体" w:hAnsi="宋体"/>
          <w:color w:val="000000"/>
          <w:kern w:val="0"/>
          <w:sz w:val="24"/>
          <w:szCs w:val="24"/>
          <w:highlight w:val="none"/>
        </w:rPr>
        <w:t xml:space="preserve"> </w:t>
      </w:r>
    </w:p>
    <w:p w14:paraId="4F964BE3">
      <w:pPr>
        <w:spacing w:line="600" w:lineRule="exact"/>
        <w:ind w:firstLine="5520" w:firstLineChars="2300"/>
        <w:rPr>
          <w:rFonts w:ascii="宋体" w:hAnsi="宋体"/>
          <w:color w:val="000000"/>
          <w:sz w:val="24"/>
          <w:szCs w:val="24"/>
          <w:highlight w:val="none"/>
        </w:rPr>
      </w:pPr>
      <w:r>
        <w:rPr>
          <w:rFonts w:hint="eastAsia" w:ascii="宋体" w:hAnsi="宋体"/>
          <w:color w:val="000000"/>
          <w:kern w:val="0"/>
          <w:sz w:val="24"/>
          <w:szCs w:val="24"/>
          <w:highlight w:val="none"/>
        </w:rPr>
        <w:t>授权委托日期：   年  月  日</w:t>
      </w:r>
    </w:p>
    <w:p w14:paraId="2A35D8D0">
      <w:pPr>
        <w:spacing w:line="360" w:lineRule="auto"/>
        <w:jc w:val="center"/>
        <w:rPr>
          <w:rFonts w:ascii="宋体" w:hAnsi="宋体"/>
          <w:b/>
          <w:color w:val="000000"/>
          <w:spacing w:val="20"/>
          <w:sz w:val="28"/>
          <w:szCs w:val="28"/>
          <w:highlight w:val="none"/>
        </w:rPr>
      </w:pPr>
    </w:p>
    <w:p w14:paraId="17A38CD0">
      <w:pPr>
        <w:spacing w:line="360" w:lineRule="auto"/>
        <w:jc w:val="center"/>
        <w:rPr>
          <w:rFonts w:ascii="宋体" w:hAnsi="宋体"/>
          <w:b/>
          <w:color w:val="000000"/>
          <w:spacing w:val="20"/>
          <w:sz w:val="28"/>
          <w:szCs w:val="28"/>
          <w:highlight w:val="none"/>
        </w:rPr>
      </w:pPr>
    </w:p>
    <w:p w14:paraId="1AB0FB3B">
      <w:pPr>
        <w:spacing w:line="360" w:lineRule="auto"/>
        <w:jc w:val="center"/>
        <w:rPr>
          <w:rFonts w:ascii="宋体" w:hAnsi="宋体"/>
          <w:b/>
          <w:color w:val="000000"/>
          <w:spacing w:val="20"/>
          <w:sz w:val="28"/>
          <w:szCs w:val="28"/>
          <w:highlight w:val="none"/>
        </w:rPr>
      </w:pPr>
    </w:p>
    <w:p w14:paraId="6EE2ABC2">
      <w:pPr>
        <w:spacing w:line="360" w:lineRule="auto"/>
        <w:jc w:val="center"/>
        <w:rPr>
          <w:rFonts w:ascii="宋体" w:hAnsi="宋体"/>
          <w:b/>
          <w:color w:val="000000"/>
          <w:spacing w:val="20"/>
          <w:sz w:val="28"/>
          <w:szCs w:val="28"/>
          <w:highlight w:val="none"/>
        </w:rPr>
      </w:pPr>
    </w:p>
    <w:p w14:paraId="4D34FA9D">
      <w:pPr>
        <w:spacing w:line="360" w:lineRule="auto"/>
        <w:jc w:val="center"/>
        <w:rPr>
          <w:rFonts w:hint="eastAsia" w:ascii="宋体" w:hAnsi="宋体"/>
          <w:b/>
          <w:color w:val="000000"/>
          <w:spacing w:val="20"/>
          <w:sz w:val="32"/>
          <w:szCs w:val="28"/>
          <w:highlight w:val="none"/>
        </w:rPr>
      </w:pPr>
    </w:p>
    <w:p w14:paraId="608293BF">
      <w:pPr>
        <w:spacing w:line="360" w:lineRule="auto"/>
        <w:jc w:val="center"/>
        <w:rPr>
          <w:rFonts w:hint="eastAsia" w:ascii="宋体" w:hAnsi="宋体"/>
          <w:b/>
          <w:color w:val="000000"/>
          <w:spacing w:val="20"/>
          <w:sz w:val="32"/>
          <w:szCs w:val="28"/>
          <w:highlight w:val="none"/>
        </w:rPr>
      </w:pPr>
    </w:p>
    <w:p w14:paraId="6C7B08AD">
      <w:pPr>
        <w:spacing w:line="360" w:lineRule="auto"/>
        <w:jc w:val="center"/>
        <w:rPr>
          <w:rFonts w:hint="eastAsia" w:ascii="宋体" w:hAnsi="宋体"/>
          <w:b/>
          <w:color w:val="000000"/>
          <w:spacing w:val="20"/>
          <w:sz w:val="32"/>
          <w:szCs w:val="28"/>
          <w:highlight w:val="none"/>
        </w:rPr>
      </w:pPr>
    </w:p>
    <w:p w14:paraId="0312B82D">
      <w:pPr>
        <w:spacing w:line="360" w:lineRule="auto"/>
        <w:jc w:val="center"/>
        <w:rPr>
          <w:rFonts w:hint="eastAsia" w:ascii="宋体" w:hAnsi="宋体"/>
          <w:b/>
          <w:color w:val="000000"/>
          <w:spacing w:val="20"/>
          <w:sz w:val="32"/>
          <w:szCs w:val="28"/>
          <w:highlight w:val="none"/>
        </w:rPr>
      </w:pPr>
    </w:p>
    <w:p w14:paraId="53DF8A9B">
      <w:pPr>
        <w:spacing w:line="360" w:lineRule="auto"/>
        <w:jc w:val="center"/>
        <w:rPr>
          <w:rFonts w:ascii="宋体" w:hAnsi="宋体"/>
          <w:b/>
          <w:color w:val="000000"/>
          <w:spacing w:val="20"/>
          <w:sz w:val="32"/>
          <w:szCs w:val="28"/>
          <w:highlight w:val="none"/>
        </w:rPr>
      </w:pPr>
      <w:r>
        <w:rPr>
          <w:rFonts w:hint="eastAsia" w:ascii="宋体" w:hAnsi="宋体"/>
          <w:b/>
          <w:color w:val="000000"/>
          <w:spacing w:val="20"/>
          <w:sz w:val="32"/>
          <w:szCs w:val="28"/>
          <w:highlight w:val="none"/>
        </w:rPr>
        <w:t>三、谈判承诺函</w:t>
      </w:r>
    </w:p>
    <w:p w14:paraId="118A71E3">
      <w:pPr>
        <w:spacing w:line="360" w:lineRule="auto"/>
        <w:rPr>
          <w:color w:val="000000"/>
          <w:sz w:val="24"/>
          <w:szCs w:val="24"/>
          <w:highlight w:val="none"/>
        </w:rPr>
      </w:pPr>
      <w:r>
        <w:rPr>
          <w:rFonts w:hint="eastAsia" w:ascii="宋体" w:hAnsi="宋体"/>
          <w:color w:val="000000"/>
          <w:highlight w:val="none"/>
        </w:rPr>
        <w:t xml:space="preserve">   </w:t>
      </w:r>
      <w:r>
        <w:rPr>
          <w:rFonts w:hint="eastAsia" w:ascii="宋体" w:hAnsi="宋体"/>
          <w:b/>
          <w:bCs/>
          <w:color w:val="000000"/>
          <w:sz w:val="28"/>
          <w:szCs w:val="28"/>
          <w:highlight w:val="none"/>
        </w:rPr>
        <w:t xml:space="preserve"> </w:t>
      </w:r>
      <w:r>
        <w:rPr>
          <w:rFonts w:hint="eastAsia" w:ascii="宋体" w:hAnsi="宋体"/>
          <w:b/>
          <w:bCs/>
          <w:color w:val="000000"/>
          <w:sz w:val="24"/>
          <w:szCs w:val="24"/>
          <w:highlight w:val="none"/>
        </w:rPr>
        <w:t xml:space="preserve"> </w:t>
      </w:r>
      <w:r>
        <w:rPr>
          <w:rFonts w:hint="eastAsia"/>
          <w:b w:val="0"/>
          <w:bCs w:val="0"/>
          <w:color w:val="000000"/>
          <w:sz w:val="24"/>
          <w:szCs w:val="24"/>
          <w:highlight w:val="none"/>
        </w:rPr>
        <w:t>致：</w:t>
      </w:r>
      <w:r>
        <w:rPr>
          <w:rFonts w:hint="eastAsia"/>
          <w:b w:val="0"/>
          <w:bCs w:val="0"/>
          <w:color w:val="000000"/>
          <w:sz w:val="24"/>
          <w:szCs w:val="24"/>
          <w:highlight w:val="none"/>
          <w:u w:val="single"/>
        </w:rPr>
        <w:t xml:space="preserve">              </w:t>
      </w:r>
      <w:r>
        <w:rPr>
          <w:rFonts w:hint="eastAsia"/>
          <w:b w:val="0"/>
          <w:bCs w:val="0"/>
          <w:color w:val="000000"/>
          <w:sz w:val="24"/>
          <w:szCs w:val="24"/>
          <w:highlight w:val="none"/>
        </w:rPr>
        <w:t xml:space="preserve"> </w:t>
      </w:r>
      <w:r>
        <w:rPr>
          <w:rFonts w:hint="eastAsia"/>
          <w:color w:val="000000"/>
          <w:sz w:val="24"/>
          <w:szCs w:val="24"/>
          <w:highlight w:val="none"/>
        </w:rPr>
        <w:t>采购人名称</w:t>
      </w:r>
    </w:p>
    <w:p w14:paraId="12D6C6BF">
      <w:pPr>
        <w:pStyle w:val="40"/>
        <w:spacing w:line="500" w:lineRule="exact"/>
        <w:ind w:firstLine="559" w:firstLineChars="233"/>
        <w:rPr>
          <w:szCs w:val="24"/>
          <w:highlight w:val="none"/>
        </w:rPr>
      </w:pPr>
      <w:r>
        <w:rPr>
          <w:rFonts w:hint="eastAsia"/>
          <w:szCs w:val="24"/>
          <w:highlight w:val="none"/>
        </w:rPr>
        <w:t>我方已充分了解了</w:t>
      </w:r>
      <w:r>
        <w:rPr>
          <w:rFonts w:hint="eastAsia"/>
          <w:szCs w:val="24"/>
          <w:highlight w:val="none"/>
          <w:u w:val="single"/>
        </w:rPr>
        <w:t xml:space="preserve">              </w:t>
      </w:r>
      <w:r>
        <w:rPr>
          <w:rFonts w:hint="eastAsia"/>
          <w:szCs w:val="24"/>
          <w:highlight w:val="none"/>
        </w:rPr>
        <w:t>（项目名称）</w:t>
      </w:r>
      <w:r>
        <w:rPr>
          <w:rFonts w:hint="eastAsia"/>
          <w:szCs w:val="24"/>
          <w:highlight w:val="none"/>
          <w:u w:val="single"/>
        </w:rPr>
        <w:t xml:space="preserve">        </w:t>
      </w:r>
      <w:r>
        <w:rPr>
          <w:rFonts w:hint="eastAsia"/>
          <w:szCs w:val="24"/>
          <w:highlight w:val="none"/>
        </w:rPr>
        <w:t>（项目编号）的谈判文件，愿意遵照本项目《谈判文件》、《中华人民共和国政府采购法》等有关规定参与竞标，并承诺如下：</w:t>
      </w:r>
    </w:p>
    <w:p w14:paraId="235AB973">
      <w:pPr>
        <w:pStyle w:val="40"/>
        <w:spacing w:line="500" w:lineRule="exact"/>
        <w:ind w:firstLine="559" w:firstLineChars="233"/>
        <w:rPr>
          <w:szCs w:val="24"/>
          <w:highlight w:val="none"/>
        </w:rPr>
      </w:pPr>
      <w:r>
        <w:rPr>
          <w:rFonts w:hint="eastAsia"/>
          <w:szCs w:val="24"/>
          <w:highlight w:val="none"/>
        </w:rPr>
        <w:t>1、我方承诺将严格按照“公开、公平、公正和诚实信用原则”参与本项目竞标活动。</w:t>
      </w:r>
    </w:p>
    <w:p w14:paraId="3EC99C47">
      <w:pPr>
        <w:pStyle w:val="40"/>
        <w:spacing w:line="500" w:lineRule="exact"/>
        <w:ind w:firstLine="559" w:firstLineChars="233"/>
        <w:rPr>
          <w:szCs w:val="24"/>
          <w:highlight w:val="none"/>
        </w:rPr>
      </w:pPr>
      <w:r>
        <w:rPr>
          <w:rFonts w:hint="eastAsia"/>
          <w:szCs w:val="24"/>
          <w:highlight w:val="none"/>
        </w:rPr>
        <w:t>2、我方承诺在投标有效期内不撤销响应性文件；</w:t>
      </w:r>
    </w:p>
    <w:p w14:paraId="149478E1">
      <w:pPr>
        <w:pStyle w:val="40"/>
        <w:spacing w:line="500" w:lineRule="exact"/>
        <w:ind w:firstLine="559" w:firstLineChars="233"/>
        <w:rPr>
          <w:szCs w:val="24"/>
          <w:highlight w:val="none"/>
        </w:rPr>
      </w:pPr>
      <w:r>
        <w:rPr>
          <w:rFonts w:hint="eastAsia"/>
          <w:szCs w:val="24"/>
          <w:highlight w:val="none"/>
        </w:rPr>
        <w:t>3、我方承诺在响应性文件及对三门峡市公共资源交易供应商诚信库中提供的材料真实有效；</w:t>
      </w:r>
    </w:p>
    <w:p w14:paraId="092A70AF">
      <w:pPr>
        <w:pStyle w:val="40"/>
        <w:spacing w:line="500" w:lineRule="exact"/>
        <w:ind w:firstLine="559" w:firstLineChars="233"/>
        <w:rPr>
          <w:szCs w:val="24"/>
          <w:highlight w:val="none"/>
        </w:rPr>
      </w:pPr>
      <w:r>
        <w:rPr>
          <w:rFonts w:hint="eastAsia"/>
          <w:szCs w:val="24"/>
          <w:highlight w:val="none"/>
        </w:rPr>
        <w:t>4、我方承诺绝不与采购人、其他投标供应商或者代理机构恶意串通的投标；</w:t>
      </w:r>
    </w:p>
    <w:p w14:paraId="64C08DD6">
      <w:pPr>
        <w:pStyle w:val="40"/>
        <w:spacing w:line="500" w:lineRule="exact"/>
        <w:ind w:firstLine="559" w:firstLineChars="233"/>
        <w:rPr>
          <w:szCs w:val="24"/>
          <w:highlight w:val="none"/>
        </w:rPr>
      </w:pPr>
      <w:r>
        <w:rPr>
          <w:rFonts w:hint="eastAsia"/>
          <w:szCs w:val="24"/>
          <w:highlight w:val="none"/>
        </w:rPr>
        <w:t>5、我方承诺绝不以他人的名义投标、串通投标、以行贿手段谋取中标或者以其他弄虚作假方式投标；</w:t>
      </w:r>
    </w:p>
    <w:p w14:paraId="786D2DCC">
      <w:pPr>
        <w:pStyle w:val="40"/>
        <w:spacing w:line="500" w:lineRule="exact"/>
        <w:ind w:firstLine="559" w:firstLineChars="233"/>
        <w:rPr>
          <w:szCs w:val="24"/>
          <w:highlight w:val="none"/>
        </w:rPr>
      </w:pPr>
      <w:r>
        <w:rPr>
          <w:rFonts w:hint="eastAsia"/>
          <w:szCs w:val="24"/>
          <w:highlight w:val="none"/>
        </w:rPr>
        <w:t>6、我方承诺绝不采取不正当手段谋取中标；</w:t>
      </w:r>
    </w:p>
    <w:p w14:paraId="61796828">
      <w:pPr>
        <w:pStyle w:val="40"/>
        <w:spacing w:line="500" w:lineRule="exact"/>
        <w:ind w:firstLine="559" w:firstLineChars="233"/>
        <w:rPr>
          <w:szCs w:val="24"/>
          <w:highlight w:val="none"/>
        </w:rPr>
      </w:pPr>
      <w:r>
        <w:rPr>
          <w:rFonts w:hint="eastAsia"/>
          <w:szCs w:val="24"/>
          <w:highlight w:val="none"/>
        </w:rPr>
        <w:t>7、如我方中标，我方承诺在收到成交通知书后，在成交通知书规定的期限内，根据谈判文件、我方的谈判响应文件及有关澄清承诺书的要求，与采购人订立书面合同，并按照合同约定承担完成合同的责任和义务.</w:t>
      </w:r>
    </w:p>
    <w:p w14:paraId="1EF4A0E2">
      <w:pPr>
        <w:pStyle w:val="40"/>
        <w:spacing w:line="500" w:lineRule="exact"/>
        <w:ind w:firstLine="559" w:firstLineChars="233"/>
        <w:rPr>
          <w:szCs w:val="24"/>
          <w:highlight w:val="none"/>
        </w:rPr>
      </w:pPr>
      <w:r>
        <w:rPr>
          <w:rFonts w:hint="eastAsia"/>
          <w:szCs w:val="24"/>
          <w:highlight w:val="none"/>
        </w:rPr>
        <w:t>8、如我方违反此约定，愿意承担对本项目造成的一切经济损失，并同时依法承担相应法律责任。</w:t>
      </w:r>
    </w:p>
    <w:p w14:paraId="4D851E57">
      <w:pPr>
        <w:pStyle w:val="40"/>
        <w:spacing w:line="500" w:lineRule="exact"/>
        <w:ind w:firstLine="559" w:firstLineChars="233"/>
        <w:rPr>
          <w:szCs w:val="21"/>
          <w:highlight w:val="none"/>
        </w:rPr>
      </w:pPr>
    </w:p>
    <w:p w14:paraId="3F4475A6">
      <w:pPr>
        <w:spacing w:line="500" w:lineRule="exact"/>
        <w:ind w:left="4828" w:leftChars="2299"/>
        <w:rPr>
          <w:bCs/>
          <w:color w:val="000000"/>
          <w:sz w:val="24"/>
          <w:highlight w:val="none"/>
        </w:rPr>
      </w:pPr>
      <w:r>
        <w:rPr>
          <w:rFonts w:hint="eastAsia"/>
          <w:bCs/>
          <w:color w:val="000000"/>
          <w:sz w:val="24"/>
          <w:highlight w:val="none"/>
        </w:rPr>
        <w:t>投标供应商：（</w:t>
      </w:r>
      <w:r>
        <w:rPr>
          <w:rFonts w:hint="eastAsia" w:ascii="宋体" w:hAnsi="宋体"/>
          <w:color w:val="000000"/>
          <w:kern w:val="0"/>
          <w:sz w:val="24"/>
          <w:szCs w:val="24"/>
          <w:highlight w:val="none"/>
        </w:rPr>
        <w:t>电子签章</w:t>
      </w:r>
      <w:r>
        <w:rPr>
          <w:rFonts w:hint="eastAsia"/>
          <w:bCs/>
          <w:color w:val="000000"/>
          <w:sz w:val="24"/>
          <w:highlight w:val="none"/>
        </w:rPr>
        <w:t xml:space="preserve">） </w:t>
      </w:r>
    </w:p>
    <w:p w14:paraId="547711E9">
      <w:pPr>
        <w:spacing w:line="500" w:lineRule="exact"/>
        <w:ind w:left="4828" w:leftChars="2299"/>
        <w:rPr>
          <w:bCs/>
          <w:color w:val="000000"/>
          <w:sz w:val="24"/>
          <w:highlight w:val="none"/>
        </w:rPr>
      </w:pPr>
      <w:r>
        <w:rPr>
          <w:rFonts w:hint="eastAsia"/>
          <w:bCs/>
          <w:color w:val="000000"/>
          <w:sz w:val="24"/>
          <w:highlight w:val="none"/>
        </w:rPr>
        <w:t>法定代表人：（</w:t>
      </w:r>
      <w:r>
        <w:rPr>
          <w:rFonts w:hint="eastAsia" w:ascii="宋体" w:hAnsi="宋体"/>
          <w:color w:val="000000"/>
          <w:kern w:val="0"/>
          <w:sz w:val="24"/>
          <w:szCs w:val="24"/>
          <w:highlight w:val="none"/>
        </w:rPr>
        <w:t>电子签章</w:t>
      </w:r>
      <w:r>
        <w:rPr>
          <w:rFonts w:hint="eastAsia"/>
          <w:bCs/>
          <w:color w:val="000000"/>
          <w:sz w:val="24"/>
          <w:highlight w:val="none"/>
        </w:rPr>
        <w:t xml:space="preserve">）   </w:t>
      </w:r>
    </w:p>
    <w:p w14:paraId="21FA27A2">
      <w:pPr>
        <w:spacing w:line="500" w:lineRule="exact"/>
        <w:ind w:left="4828" w:leftChars="2299"/>
        <w:rPr>
          <w:bCs/>
          <w:color w:val="000000"/>
          <w:sz w:val="28"/>
          <w:szCs w:val="24"/>
          <w:highlight w:val="none"/>
        </w:rPr>
      </w:pPr>
      <w:r>
        <w:rPr>
          <w:rFonts w:hint="eastAsia"/>
          <w:bCs/>
          <w:color w:val="000000"/>
          <w:sz w:val="24"/>
          <w:highlight w:val="none"/>
        </w:rPr>
        <w:t xml:space="preserve">日期：     年   月   日 </w:t>
      </w:r>
      <w:r>
        <w:rPr>
          <w:rFonts w:hint="eastAsia"/>
          <w:bCs/>
          <w:color w:val="000000"/>
          <w:sz w:val="28"/>
          <w:szCs w:val="24"/>
          <w:highlight w:val="none"/>
        </w:rPr>
        <w:t xml:space="preserve"> </w:t>
      </w:r>
    </w:p>
    <w:p w14:paraId="60D60BA4">
      <w:pPr>
        <w:spacing w:line="360" w:lineRule="auto"/>
        <w:ind w:firstLine="1680" w:firstLineChars="800"/>
        <w:jc w:val="center"/>
        <w:rPr>
          <w:rFonts w:ascii="宋体" w:hAnsi="宋体"/>
          <w:bCs/>
          <w:color w:val="000000"/>
          <w:szCs w:val="21"/>
          <w:highlight w:val="none"/>
        </w:rPr>
      </w:pPr>
    </w:p>
    <w:p w14:paraId="76917E39">
      <w:pPr>
        <w:spacing w:line="360" w:lineRule="auto"/>
        <w:ind w:firstLine="1680" w:firstLineChars="800"/>
        <w:jc w:val="center"/>
        <w:rPr>
          <w:rFonts w:ascii="宋体" w:hAnsi="宋体"/>
          <w:bCs/>
          <w:color w:val="000000"/>
          <w:szCs w:val="21"/>
          <w:highlight w:val="none"/>
        </w:rPr>
      </w:pPr>
    </w:p>
    <w:p w14:paraId="7DD50A25">
      <w:pPr>
        <w:spacing w:line="360" w:lineRule="auto"/>
        <w:ind w:firstLine="1680" w:firstLineChars="800"/>
        <w:jc w:val="center"/>
        <w:rPr>
          <w:rFonts w:ascii="宋体" w:hAnsi="宋体"/>
          <w:bCs/>
          <w:color w:val="000000"/>
          <w:szCs w:val="21"/>
          <w:highlight w:val="none"/>
        </w:rPr>
      </w:pPr>
    </w:p>
    <w:p w14:paraId="4BDAA0CF">
      <w:pPr>
        <w:spacing w:line="360" w:lineRule="auto"/>
        <w:ind w:firstLine="1680" w:firstLineChars="800"/>
        <w:jc w:val="center"/>
        <w:rPr>
          <w:rFonts w:ascii="宋体" w:hAnsi="宋体"/>
          <w:bCs/>
          <w:color w:val="000000"/>
          <w:szCs w:val="21"/>
          <w:highlight w:val="none"/>
        </w:rPr>
      </w:pPr>
    </w:p>
    <w:p w14:paraId="7B2AC8EC">
      <w:pPr>
        <w:spacing w:line="360" w:lineRule="auto"/>
        <w:jc w:val="both"/>
        <w:rPr>
          <w:rFonts w:ascii="宋体" w:hAnsi="宋体"/>
          <w:bCs/>
          <w:color w:val="000000"/>
          <w:szCs w:val="21"/>
          <w:highlight w:val="none"/>
        </w:rPr>
      </w:pPr>
    </w:p>
    <w:p w14:paraId="5C431AA6">
      <w:pPr>
        <w:spacing w:line="360" w:lineRule="auto"/>
        <w:ind w:firstLine="1680" w:firstLineChars="800"/>
        <w:jc w:val="center"/>
        <w:rPr>
          <w:rFonts w:ascii="宋体" w:hAnsi="宋体"/>
          <w:bCs/>
          <w:color w:val="000000"/>
          <w:szCs w:val="21"/>
          <w:highlight w:val="none"/>
        </w:rPr>
      </w:pPr>
    </w:p>
    <w:bookmarkEnd w:id="182"/>
    <w:p w14:paraId="1B0CC8DE">
      <w:pPr>
        <w:spacing w:line="360" w:lineRule="auto"/>
        <w:ind w:left="-359" w:leftChars="-171" w:right="-334" w:rightChars="-159" w:firstLine="1"/>
        <w:jc w:val="center"/>
        <w:rPr>
          <w:rFonts w:hint="eastAsia" w:ascii="宋体" w:hAnsi="宋体" w:cs="宋体"/>
          <w:b/>
          <w:bCs/>
          <w:color w:val="000000"/>
          <w:kern w:val="10"/>
          <w:sz w:val="32"/>
          <w:szCs w:val="24"/>
          <w:highlight w:val="none"/>
        </w:rPr>
      </w:pPr>
      <w:bookmarkStart w:id="183" w:name="_Toc3338"/>
    </w:p>
    <w:p w14:paraId="5DEC38AD">
      <w:pPr>
        <w:spacing w:line="360" w:lineRule="auto"/>
        <w:ind w:left="-359" w:leftChars="-171" w:right="-334" w:rightChars="-159" w:firstLine="1"/>
        <w:jc w:val="center"/>
        <w:rPr>
          <w:rFonts w:hint="eastAsia" w:ascii="宋体" w:hAnsi="宋体" w:cs="宋体"/>
          <w:b/>
          <w:bCs/>
          <w:color w:val="000000"/>
          <w:kern w:val="10"/>
          <w:sz w:val="32"/>
          <w:szCs w:val="24"/>
          <w:highlight w:val="none"/>
        </w:rPr>
      </w:pPr>
    </w:p>
    <w:p w14:paraId="4ABED185">
      <w:pPr>
        <w:spacing w:line="360" w:lineRule="auto"/>
        <w:ind w:left="-359" w:leftChars="-171" w:right="-334" w:rightChars="-159" w:firstLine="1"/>
        <w:jc w:val="center"/>
        <w:rPr>
          <w:rFonts w:hint="eastAsia" w:ascii="宋体" w:hAnsi="宋体" w:cs="宋体"/>
          <w:b/>
          <w:bCs/>
          <w:color w:val="000000"/>
          <w:kern w:val="10"/>
          <w:sz w:val="32"/>
          <w:szCs w:val="24"/>
          <w:highlight w:val="none"/>
        </w:rPr>
      </w:pPr>
    </w:p>
    <w:p w14:paraId="16E3952F">
      <w:pPr>
        <w:spacing w:line="360" w:lineRule="auto"/>
        <w:ind w:left="-359" w:leftChars="-171" w:right="-334" w:rightChars="-159" w:firstLine="1"/>
        <w:jc w:val="center"/>
        <w:rPr>
          <w:rFonts w:ascii="宋体" w:hAnsi="宋体" w:cs="宋体"/>
          <w:b/>
          <w:bCs/>
          <w:color w:val="000000"/>
          <w:kern w:val="10"/>
          <w:sz w:val="32"/>
          <w:szCs w:val="24"/>
          <w:highlight w:val="none"/>
        </w:rPr>
      </w:pPr>
      <w:r>
        <w:rPr>
          <w:rFonts w:hint="eastAsia" w:ascii="宋体" w:hAnsi="宋体" w:cs="宋体"/>
          <w:b/>
          <w:bCs/>
          <w:color w:val="000000"/>
          <w:kern w:val="10"/>
          <w:sz w:val="32"/>
          <w:szCs w:val="24"/>
          <w:highlight w:val="none"/>
        </w:rPr>
        <w:t>四、谈判供应商情况</w:t>
      </w:r>
    </w:p>
    <w:p w14:paraId="400BC009">
      <w:pPr>
        <w:spacing w:after="156" w:afterLines="50"/>
        <w:jc w:val="center"/>
        <w:rPr>
          <w:rFonts w:ascii="宋体" w:hAnsi="宋体"/>
          <w:bCs/>
          <w:color w:val="000000"/>
          <w:sz w:val="32"/>
          <w:szCs w:val="24"/>
          <w:highlight w:val="none"/>
        </w:rPr>
      </w:pPr>
      <w:r>
        <w:rPr>
          <w:rFonts w:hint="eastAsia" w:ascii="宋体" w:hAnsi="宋体"/>
          <w:bCs/>
          <w:color w:val="000000"/>
          <w:sz w:val="32"/>
          <w:szCs w:val="24"/>
          <w:highlight w:val="none"/>
        </w:rPr>
        <w:t>（一）基本情况表</w:t>
      </w:r>
    </w:p>
    <w:tbl>
      <w:tblPr>
        <w:tblStyle w:val="21"/>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912"/>
        <w:gridCol w:w="1275"/>
        <w:gridCol w:w="1259"/>
        <w:gridCol w:w="1259"/>
        <w:gridCol w:w="724"/>
        <w:gridCol w:w="1194"/>
      </w:tblGrid>
      <w:tr w14:paraId="5755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exact"/>
          <w:jc w:val="center"/>
        </w:trPr>
        <w:tc>
          <w:tcPr>
            <w:tcW w:w="2800" w:type="dxa"/>
            <w:tcBorders>
              <w:top w:val="single" w:color="auto" w:sz="4" w:space="0"/>
              <w:left w:val="single" w:color="auto" w:sz="4" w:space="0"/>
              <w:bottom w:val="single" w:color="auto" w:sz="4" w:space="0"/>
              <w:right w:val="single" w:color="auto" w:sz="4" w:space="0"/>
            </w:tcBorders>
            <w:vAlign w:val="center"/>
          </w:tcPr>
          <w:p w14:paraId="5C939F99">
            <w:pPr>
              <w:jc w:val="center"/>
              <w:rPr>
                <w:rFonts w:ascii="宋体" w:hAnsi="宋体"/>
                <w:color w:val="000000"/>
                <w:sz w:val="24"/>
                <w:szCs w:val="24"/>
                <w:highlight w:val="none"/>
              </w:rPr>
            </w:pPr>
            <w:r>
              <w:rPr>
                <w:rFonts w:hint="eastAsia" w:ascii="宋体" w:hAnsi="宋体"/>
                <w:color w:val="000000"/>
                <w:sz w:val="24"/>
                <w:szCs w:val="24"/>
                <w:highlight w:val="none"/>
              </w:rPr>
              <w:t>供应商名称</w:t>
            </w:r>
          </w:p>
        </w:tc>
        <w:tc>
          <w:tcPr>
            <w:tcW w:w="6623" w:type="dxa"/>
            <w:gridSpan w:val="6"/>
            <w:tcBorders>
              <w:top w:val="single" w:color="auto" w:sz="4" w:space="0"/>
              <w:left w:val="single" w:color="auto" w:sz="4" w:space="0"/>
              <w:bottom w:val="single" w:color="auto" w:sz="4" w:space="0"/>
              <w:right w:val="single" w:color="auto" w:sz="4" w:space="0"/>
            </w:tcBorders>
            <w:vAlign w:val="center"/>
          </w:tcPr>
          <w:p w14:paraId="2927A357">
            <w:pPr>
              <w:jc w:val="center"/>
              <w:rPr>
                <w:rFonts w:ascii="宋体" w:hAnsi="宋体"/>
                <w:color w:val="000000"/>
                <w:sz w:val="24"/>
                <w:szCs w:val="24"/>
                <w:highlight w:val="none"/>
              </w:rPr>
            </w:pPr>
          </w:p>
        </w:tc>
      </w:tr>
      <w:tr w14:paraId="5BD1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2800" w:type="dxa"/>
            <w:tcBorders>
              <w:top w:val="single" w:color="auto" w:sz="4" w:space="0"/>
              <w:left w:val="single" w:color="auto" w:sz="4" w:space="0"/>
              <w:bottom w:val="single" w:color="auto" w:sz="4" w:space="0"/>
              <w:right w:val="single" w:color="auto" w:sz="4" w:space="0"/>
            </w:tcBorders>
            <w:vAlign w:val="center"/>
          </w:tcPr>
          <w:p w14:paraId="47422F38">
            <w:pPr>
              <w:jc w:val="center"/>
              <w:rPr>
                <w:rFonts w:ascii="宋体" w:hAnsi="宋体"/>
                <w:color w:val="000000"/>
                <w:sz w:val="24"/>
                <w:szCs w:val="24"/>
                <w:highlight w:val="none"/>
              </w:rPr>
            </w:pPr>
            <w:r>
              <w:rPr>
                <w:rFonts w:hint="eastAsia" w:ascii="宋体" w:hAnsi="宋体"/>
                <w:color w:val="000000"/>
                <w:sz w:val="24"/>
                <w:szCs w:val="24"/>
                <w:highlight w:val="none"/>
              </w:rPr>
              <w:t>注册地址</w:t>
            </w:r>
          </w:p>
        </w:tc>
        <w:tc>
          <w:tcPr>
            <w:tcW w:w="3446" w:type="dxa"/>
            <w:gridSpan w:val="3"/>
            <w:tcBorders>
              <w:top w:val="single" w:color="auto" w:sz="4" w:space="0"/>
              <w:left w:val="single" w:color="auto" w:sz="4" w:space="0"/>
              <w:bottom w:val="single" w:color="auto" w:sz="4" w:space="0"/>
              <w:right w:val="single" w:color="auto" w:sz="4" w:space="0"/>
            </w:tcBorders>
            <w:vAlign w:val="center"/>
          </w:tcPr>
          <w:p w14:paraId="6546660A">
            <w:pPr>
              <w:jc w:val="center"/>
              <w:rPr>
                <w:rFonts w:ascii="宋体" w:hAnsi="宋体"/>
                <w:color w:val="000000"/>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11D4ED9F">
            <w:pPr>
              <w:jc w:val="center"/>
              <w:rPr>
                <w:rFonts w:ascii="宋体" w:hAnsi="宋体"/>
                <w:color w:val="000000"/>
                <w:sz w:val="24"/>
                <w:szCs w:val="24"/>
                <w:highlight w:val="none"/>
              </w:rPr>
            </w:pPr>
            <w:r>
              <w:rPr>
                <w:rFonts w:hint="eastAsia" w:ascii="宋体" w:hAnsi="宋体"/>
                <w:color w:val="000000"/>
                <w:sz w:val="24"/>
                <w:szCs w:val="24"/>
                <w:highlight w:val="none"/>
              </w:rPr>
              <w:t>成立时间</w:t>
            </w:r>
          </w:p>
        </w:tc>
        <w:tc>
          <w:tcPr>
            <w:tcW w:w="1918" w:type="dxa"/>
            <w:gridSpan w:val="2"/>
            <w:tcBorders>
              <w:top w:val="single" w:color="auto" w:sz="4" w:space="0"/>
              <w:left w:val="single" w:color="auto" w:sz="4" w:space="0"/>
              <w:bottom w:val="single" w:color="auto" w:sz="4" w:space="0"/>
              <w:right w:val="single" w:color="auto" w:sz="4" w:space="0"/>
            </w:tcBorders>
            <w:vAlign w:val="center"/>
          </w:tcPr>
          <w:p w14:paraId="593D67B4">
            <w:pPr>
              <w:jc w:val="center"/>
              <w:rPr>
                <w:rFonts w:ascii="宋体" w:hAnsi="宋体"/>
                <w:color w:val="000000"/>
                <w:sz w:val="24"/>
                <w:szCs w:val="24"/>
                <w:highlight w:val="none"/>
              </w:rPr>
            </w:pPr>
          </w:p>
        </w:tc>
      </w:tr>
      <w:tr w14:paraId="3AEF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2800" w:type="dxa"/>
            <w:tcBorders>
              <w:top w:val="single" w:color="auto" w:sz="4" w:space="0"/>
              <w:left w:val="single" w:color="auto" w:sz="4" w:space="0"/>
              <w:bottom w:val="single" w:color="auto" w:sz="4" w:space="0"/>
              <w:right w:val="single" w:color="auto" w:sz="4" w:space="0"/>
            </w:tcBorders>
            <w:vAlign w:val="center"/>
          </w:tcPr>
          <w:p w14:paraId="513873FE">
            <w:pPr>
              <w:jc w:val="center"/>
              <w:rPr>
                <w:rFonts w:ascii="宋体" w:hAnsi="宋体"/>
                <w:color w:val="000000"/>
                <w:sz w:val="24"/>
                <w:szCs w:val="24"/>
                <w:highlight w:val="none"/>
              </w:rPr>
            </w:pPr>
            <w:r>
              <w:rPr>
                <w:rFonts w:hint="eastAsia" w:ascii="宋体" w:hAnsi="宋体"/>
                <w:color w:val="000000"/>
                <w:sz w:val="24"/>
                <w:szCs w:val="24"/>
                <w:highlight w:val="none"/>
              </w:rPr>
              <w:t>法定代表人</w:t>
            </w:r>
          </w:p>
        </w:tc>
        <w:tc>
          <w:tcPr>
            <w:tcW w:w="912" w:type="dxa"/>
            <w:tcBorders>
              <w:top w:val="single" w:color="auto" w:sz="4" w:space="0"/>
              <w:left w:val="single" w:color="auto" w:sz="4" w:space="0"/>
              <w:bottom w:val="single" w:color="auto" w:sz="4" w:space="0"/>
              <w:right w:val="single" w:color="auto" w:sz="4" w:space="0"/>
            </w:tcBorders>
            <w:vAlign w:val="center"/>
          </w:tcPr>
          <w:p w14:paraId="0B651CE5">
            <w:pPr>
              <w:jc w:val="center"/>
              <w:rPr>
                <w:rFonts w:ascii="宋体" w:hAnsi="宋体"/>
                <w:color w:val="000000"/>
                <w:sz w:val="24"/>
                <w:szCs w:val="24"/>
                <w:highlight w:val="none"/>
              </w:rPr>
            </w:pPr>
            <w:r>
              <w:rPr>
                <w:rFonts w:hint="eastAsia" w:ascii="宋体" w:hAnsi="宋体"/>
                <w:color w:val="000000"/>
                <w:sz w:val="24"/>
                <w:szCs w:val="24"/>
                <w:highlight w:val="none"/>
              </w:rPr>
              <w:t>姓名</w:t>
            </w:r>
          </w:p>
        </w:tc>
        <w:tc>
          <w:tcPr>
            <w:tcW w:w="1275" w:type="dxa"/>
            <w:tcBorders>
              <w:top w:val="single" w:color="auto" w:sz="4" w:space="0"/>
              <w:left w:val="single" w:color="auto" w:sz="4" w:space="0"/>
              <w:bottom w:val="single" w:color="auto" w:sz="4" w:space="0"/>
              <w:right w:val="single" w:color="auto" w:sz="4" w:space="0"/>
            </w:tcBorders>
            <w:vAlign w:val="center"/>
          </w:tcPr>
          <w:p w14:paraId="1D28B577">
            <w:pPr>
              <w:jc w:val="center"/>
              <w:rPr>
                <w:rFonts w:ascii="宋体" w:hAnsi="宋体"/>
                <w:color w:val="000000"/>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56A0BFBD">
            <w:pPr>
              <w:jc w:val="center"/>
              <w:rPr>
                <w:rFonts w:ascii="宋体" w:hAnsi="宋体"/>
                <w:color w:val="000000"/>
                <w:sz w:val="24"/>
                <w:szCs w:val="24"/>
                <w:highlight w:val="none"/>
              </w:rPr>
            </w:pPr>
            <w:r>
              <w:rPr>
                <w:rFonts w:hint="eastAsia" w:ascii="宋体" w:hAnsi="宋体"/>
                <w:color w:val="000000"/>
                <w:sz w:val="24"/>
                <w:szCs w:val="24"/>
                <w:highlight w:val="none"/>
              </w:rPr>
              <w:t>职称</w:t>
            </w:r>
          </w:p>
        </w:tc>
        <w:tc>
          <w:tcPr>
            <w:tcW w:w="1259" w:type="dxa"/>
            <w:tcBorders>
              <w:top w:val="single" w:color="auto" w:sz="4" w:space="0"/>
              <w:left w:val="single" w:color="auto" w:sz="4" w:space="0"/>
              <w:bottom w:val="single" w:color="auto" w:sz="4" w:space="0"/>
              <w:right w:val="single" w:color="auto" w:sz="4" w:space="0"/>
            </w:tcBorders>
            <w:vAlign w:val="center"/>
          </w:tcPr>
          <w:p w14:paraId="6CD4FC28">
            <w:pPr>
              <w:jc w:val="center"/>
              <w:rPr>
                <w:rFonts w:ascii="宋体" w:hAnsi="宋体"/>
                <w:color w:val="000000"/>
                <w:sz w:val="24"/>
                <w:szCs w:val="24"/>
                <w:highlight w:val="none"/>
              </w:rPr>
            </w:pPr>
          </w:p>
        </w:tc>
        <w:tc>
          <w:tcPr>
            <w:tcW w:w="724" w:type="dxa"/>
            <w:tcBorders>
              <w:top w:val="single" w:color="auto" w:sz="4" w:space="0"/>
              <w:left w:val="single" w:color="auto" w:sz="4" w:space="0"/>
              <w:bottom w:val="single" w:color="auto" w:sz="4" w:space="0"/>
              <w:right w:val="single" w:color="auto" w:sz="4" w:space="0"/>
            </w:tcBorders>
            <w:vAlign w:val="center"/>
          </w:tcPr>
          <w:p w14:paraId="5BF3F15E">
            <w:pPr>
              <w:jc w:val="center"/>
              <w:rPr>
                <w:rFonts w:ascii="宋体" w:hAnsi="宋体"/>
                <w:color w:val="000000"/>
                <w:sz w:val="24"/>
                <w:szCs w:val="24"/>
                <w:highlight w:val="none"/>
              </w:rPr>
            </w:pPr>
            <w:r>
              <w:rPr>
                <w:rFonts w:hint="eastAsia" w:ascii="宋体" w:hAnsi="宋体"/>
                <w:color w:val="000000"/>
                <w:sz w:val="24"/>
                <w:szCs w:val="24"/>
                <w:highlight w:val="none"/>
              </w:rPr>
              <w:t>电话</w:t>
            </w:r>
          </w:p>
        </w:tc>
        <w:tc>
          <w:tcPr>
            <w:tcW w:w="1194" w:type="dxa"/>
            <w:tcBorders>
              <w:top w:val="single" w:color="auto" w:sz="4" w:space="0"/>
              <w:left w:val="single" w:color="auto" w:sz="4" w:space="0"/>
              <w:bottom w:val="single" w:color="auto" w:sz="4" w:space="0"/>
              <w:right w:val="single" w:color="auto" w:sz="4" w:space="0"/>
            </w:tcBorders>
            <w:vAlign w:val="center"/>
          </w:tcPr>
          <w:p w14:paraId="067C549C">
            <w:pPr>
              <w:jc w:val="center"/>
              <w:rPr>
                <w:rFonts w:ascii="宋体" w:hAnsi="宋体"/>
                <w:color w:val="000000"/>
                <w:sz w:val="24"/>
                <w:szCs w:val="24"/>
                <w:highlight w:val="none"/>
              </w:rPr>
            </w:pPr>
          </w:p>
        </w:tc>
      </w:tr>
      <w:tr w14:paraId="7256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2800" w:type="dxa"/>
            <w:tcBorders>
              <w:top w:val="single" w:color="auto" w:sz="4" w:space="0"/>
              <w:left w:val="single" w:color="auto" w:sz="4" w:space="0"/>
              <w:bottom w:val="single" w:color="auto" w:sz="4" w:space="0"/>
              <w:right w:val="single" w:color="auto" w:sz="4" w:space="0"/>
            </w:tcBorders>
            <w:vAlign w:val="center"/>
          </w:tcPr>
          <w:p w14:paraId="6589B6ED">
            <w:pPr>
              <w:jc w:val="center"/>
              <w:rPr>
                <w:rFonts w:ascii="宋体" w:hAnsi="宋体"/>
                <w:color w:val="000000"/>
                <w:sz w:val="24"/>
                <w:szCs w:val="24"/>
                <w:highlight w:val="none"/>
              </w:rPr>
            </w:pPr>
            <w:r>
              <w:rPr>
                <w:rFonts w:hint="eastAsia" w:ascii="宋体" w:hAnsi="宋体"/>
                <w:color w:val="000000"/>
                <w:sz w:val="24"/>
                <w:szCs w:val="24"/>
                <w:highlight w:val="none"/>
              </w:rPr>
              <w:t>项目负责人</w:t>
            </w:r>
          </w:p>
        </w:tc>
        <w:tc>
          <w:tcPr>
            <w:tcW w:w="912" w:type="dxa"/>
            <w:tcBorders>
              <w:top w:val="single" w:color="auto" w:sz="4" w:space="0"/>
              <w:left w:val="single" w:color="auto" w:sz="4" w:space="0"/>
              <w:bottom w:val="single" w:color="auto" w:sz="4" w:space="0"/>
              <w:right w:val="single" w:color="auto" w:sz="4" w:space="0"/>
            </w:tcBorders>
            <w:vAlign w:val="center"/>
          </w:tcPr>
          <w:p w14:paraId="62871DF6">
            <w:pPr>
              <w:jc w:val="center"/>
              <w:rPr>
                <w:rFonts w:ascii="宋体" w:hAnsi="宋体"/>
                <w:color w:val="000000"/>
                <w:sz w:val="24"/>
                <w:szCs w:val="24"/>
                <w:highlight w:val="none"/>
              </w:rPr>
            </w:pPr>
            <w:r>
              <w:rPr>
                <w:rFonts w:hint="eastAsia" w:ascii="宋体" w:hAnsi="宋体"/>
                <w:color w:val="000000"/>
                <w:sz w:val="24"/>
                <w:szCs w:val="24"/>
                <w:highlight w:val="none"/>
              </w:rPr>
              <w:t>姓名</w:t>
            </w:r>
          </w:p>
        </w:tc>
        <w:tc>
          <w:tcPr>
            <w:tcW w:w="1275" w:type="dxa"/>
            <w:tcBorders>
              <w:top w:val="single" w:color="auto" w:sz="4" w:space="0"/>
              <w:left w:val="single" w:color="auto" w:sz="4" w:space="0"/>
              <w:bottom w:val="single" w:color="auto" w:sz="4" w:space="0"/>
              <w:right w:val="single" w:color="auto" w:sz="4" w:space="0"/>
            </w:tcBorders>
            <w:vAlign w:val="center"/>
          </w:tcPr>
          <w:p w14:paraId="46B36444">
            <w:pPr>
              <w:jc w:val="center"/>
              <w:rPr>
                <w:rFonts w:ascii="宋体" w:hAnsi="宋体"/>
                <w:color w:val="000000"/>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2A84D4C6">
            <w:pPr>
              <w:jc w:val="center"/>
              <w:rPr>
                <w:rFonts w:ascii="宋体" w:hAnsi="宋体"/>
                <w:color w:val="000000"/>
                <w:sz w:val="24"/>
                <w:szCs w:val="24"/>
                <w:highlight w:val="none"/>
              </w:rPr>
            </w:pPr>
            <w:r>
              <w:rPr>
                <w:rFonts w:hint="eastAsia" w:ascii="宋体" w:hAnsi="宋体"/>
                <w:color w:val="000000"/>
                <w:sz w:val="24"/>
                <w:szCs w:val="24"/>
                <w:highlight w:val="none"/>
              </w:rPr>
              <w:t>职称</w:t>
            </w:r>
          </w:p>
        </w:tc>
        <w:tc>
          <w:tcPr>
            <w:tcW w:w="1259" w:type="dxa"/>
            <w:tcBorders>
              <w:top w:val="single" w:color="auto" w:sz="4" w:space="0"/>
              <w:left w:val="single" w:color="auto" w:sz="4" w:space="0"/>
              <w:bottom w:val="single" w:color="auto" w:sz="4" w:space="0"/>
              <w:right w:val="single" w:color="auto" w:sz="4" w:space="0"/>
            </w:tcBorders>
            <w:vAlign w:val="center"/>
          </w:tcPr>
          <w:p w14:paraId="2B4D63C9">
            <w:pPr>
              <w:jc w:val="center"/>
              <w:rPr>
                <w:rFonts w:ascii="宋体" w:hAnsi="宋体"/>
                <w:color w:val="000000"/>
                <w:sz w:val="24"/>
                <w:szCs w:val="24"/>
                <w:highlight w:val="none"/>
              </w:rPr>
            </w:pPr>
          </w:p>
        </w:tc>
        <w:tc>
          <w:tcPr>
            <w:tcW w:w="724" w:type="dxa"/>
            <w:tcBorders>
              <w:top w:val="single" w:color="auto" w:sz="4" w:space="0"/>
              <w:left w:val="single" w:color="auto" w:sz="4" w:space="0"/>
              <w:bottom w:val="single" w:color="auto" w:sz="4" w:space="0"/>
              <w:right w:val="single" w:color="auto" w:sz="4" w:space="0"/>
            </w:tcBorders>
            <w:vAlign w:val="center"/>
          </w:tcPr>
          <w:p w14:paraId="40AADACE">
            <w:pPr>
              <w:jc w:val="center"/>
              <w:rPr>
                <w:rFonts w:ascii="宋体" w:hAnsi="宋体"/>
                <w:color w:val="000000"/>
                <w:sz w:val="24"/>
                <w:szCs w:val="24"/>
                <w:highlight w:val="none"/>
              </w:rPr>
            </w:pPr>
            <w:r>
              <w:rPr>
                <w:rFonts w:hint="eastAsia" w:ascii="宋体" w:hAnsi="宋体"/>
                <w:color w:val="000000"/>
                <w:sz w:val="24"/>
                <w:szCs w:val="24"/>
                <w:highlight w:val="none"/>
              </w:rPr>
              <w:t>电话</w:t>
            </w:r>
          </w:p>
        </w:tc>
        <w:tc>
          <w:tcPr>
            <w:tcW w:w="1194" w:type="dxa"/>
            <w:tcBorders>
              <w:top w:val="single" w:color="auto" w:sz="4" w:space="0"/>
              <w:left w:val="single" w:color="auto" w:sz="4" w:space="0"/>
              <w:bottom w:val="single" w:color="auto" w:sz="4" w:space="0"/>
              <w:right w:val="single" w:color="auto" w:sz="4" w:space="0"/>
            </w:tcBorders>
            <w:vAlign w:val="center"/>
          </w:tcPr>
          <w:p w14:paraId="64B8DFBD">
            <w:pPr>
              <w:jc w:val="center"/>
              <w:rPr>
                <w:rFonts w:ascii="宋体" w:hAnsi="宋体"/>
                <w:color w:val="000000"/>
                <w:sz w:val="24"/>
                <w:szCs w:val="24"/>
                <w:highlight w:val="none"/>
              </w:rPr>
            </w:pPr>
          </w:p>
        </w:tc>
      </w:tr>
      <w:tr w14:paraId="3617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2800" w:type="dxa"/>
            <w:tcBorders>
              <w:top w:val="single" w:color="auto" w:sz="4" w:space="0"/>
              <w:left w:val="single" w:color="auto" w:sz="4" w:space="0"/>
              <w:bottom w:val="single" w:color="auto" w:sz="4" w:space="0"/>
              <w:right w:val="single" w:color="auto" w:sz="4" w:space="0"/>
            </w:tcBorders>
            <w:vAlign w:val="center"/>
          </w:tcPr>
          <w:p w14:paraId="6275D9A7">
            <w:pPr>
              <w:jc w:val="center"/>
              <w:rPr>
                <w:rFonts w:ascii="宋体" w:hAnsi="宋体"/>
                <w:color w:val="000000"/>
                <w:sz w:val="24"/>
                <w:szCs w:val="24"/>
                <w:highlight w:val="none"/>
              </w:rPr>
            </w:pPr>
            <w:r>
              <w:rPr>
                <w:rFonts w:hint="eastAsia" w:ascii="宋体" w:hAnsi="宋体"/>
                <w:color w:val="000000"/>
                <w:sz w:val="24"/>
                <w:szCs w:val="24"/>
                <w:highlight w:val="none"/>
              </w:rPr>
              <w:t>注册资金</w:t>
            </w:r>
          </w:p>
        </w:tc>
        <w:tc>
          <w:tcPr>
            <w:tcW w:w="2187" w:type="dxa"/>
            <w:gridSpan w:val="2"/>
            <w:tcBorders>
              <w:top w:val="single" w:color="auto" w:sz="4" w:space="0"/>
              <w:left w:val="single" w:color="auto" w:sz="4" w:space="0"/>
              <w:bottom w:val="single" w:color="auto" w:sz="4" w:space="0"/>
              <w:right w:val="single" w:color="auto" w:sz="4" w:space="0"/>
            </w:tcBorders>
            <w:vAlign w:val="center"/>
          </w:tcPr>
          <w:p w14:paraId="5B0E1302">
            <w:pPr>
              <w:jc w:val="center"/>
              <w:rPr>
                <w:rFonts w:ascii="宋体" w:hAnsi="宋体"/>
                <w:color w:val="000000"/>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6BA3F6F2">
            <w:pPr>
              <w:jc w:val="center"/>
              <w:rPr>
                <w:rFonts w:ascii="宋体" w:hAnsi="宋体"/>
                <w:color w:val="000000"/>
                <w:sz w:val="24"/>
                <w:szCs w:val="24"/>
                <w:highlight w:val="none"/>
              </w:rPr>
            </w:pPr>
            <w:r>
              <w:rPr>
                <w:rFonts w:hint="eastAsia" w:ascii="宋体" w:hAnsi="宋体"/>
                <w:color w:val="000000"/>
                <w:sz w:val="24"/>
                <w:szCs w:val="24"/>
                <w:highlight w:val="none"/>
              </w:rPr>
              <w:t>资质</w:t>
            </w:r>
          </w:p>
        </w:tc>
        <w:tc>
          <w:tcPr>
            <w:tcW w:w="3177" w:type="dxa"/>
            <w:gridSpan w:val="3"/>
            <w:tcBorders>
              <w:top w:val="single" w:color="auto" w:sz="4" w:space="0"/>
              <w:left w:val="single" w:color="auto" w:sz="4" w:space="0"/>
              <w:bottom w:val="single" w:color="auto" w:sz="4" w:space="0"/>
              <w:right w:val="single" w:color="auto" w:sz="4" w:space="0"/>
            </w:tcBorders>
            <w:vAlign w:val="center"/>
          </w:tcPr>
          <w:p w14:paraId="34159800">
            <w:pPr>
              <w:jc w:val="center"/>
              <w:rPr>
                <w:rFonts w:ascii="宋体" w:hAnsi="宋体"/>
                <w:color w:val="000000"/>
                <w:sz w:val="24"/>
                <w:szCs w:val="24"/>
                <w:highlight w:val="none"/>
              </w:rPr>
            </w:pPr>
          </w:p>
        </w:tc>
      </w:tr>
      <w:tr w14:paraId="2B4D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exact"/>
          <w:jc w:val="center"/>
        </w:trPr>
        <w:tc>
          <w:tcPr>
            <w:tcW w:w="2800" w:type="dxa"/>
            <w:tcBorders>
              <w:top w:val="single" w:color="auto" w:sz="4" w:space="0"/>
              <w:left w:val="single" w:color="auto" w:sz="4" w:space="0"/>
              <w:bottom w:val="single" w:color="auto" w:sz="4" w:space="0"/>
              <w:right w:val="single" w:color="auto" w:sz="4" w:space="0"/>
            </w:tcBorders>
            <w:vAlign w:val="center"/>
          </w:tcPr>
          <w:p w14:paraId="374126D1">
            <w:pPr>
              <w:jc w:val="center"/>
              <w:rPr>
                <w:rFonts w:ascii="宋体" w:hAnsi="宋体"/>
                <w:color w:val="000000"/>
                <w:sz w:val="24"/>
                <w:szCs w:val="24"/>
                <w:highlight w:val="none"/>
              </w:rPr>
            </w:pPr>
            <w:r>
              <w:rPr>
                <w:rFonts w:hint="eastAsia" w:ascii="宋体" w:hAnsi="宋体"/>
                <w:color w:val="000000"/>
                <w:sz w:val="24"/>
                <w:szCs w:val="24"/>
                <w:highlight w:val="none"/>
              </w:rPr>
              <w:t>营业执照号</w:t>
            </w:r>
          </w:p>
        </w:tc>
        <w:tc>
          <w:tcPr>
            <w:tcW w:w="2187" w:type="dxa"/>
            <w:gridSpan w:val="2"/>
            <w:tcBorders>
              <w:top w:val="single" w:color="auto" w:sz="4" w:space="0"/>
              <w:left w:val="single" w:color="auto" w:sz="4" w:space="0"/>
              <w:bottom w:val="single" w:color="auto" w:sz="4" w:space="0"/>
              <w:right w:val="single" w:color="auto" w:sz="4" w:space="0"/>
            </w:tcBorders>
            <w:vAlign w:val="center"/>
          </w:tcPr>
          <w:p w14:paraId="49D761E5">
            <w:pPr>
              <w:jc w:val="center"/>
              <w:rPr>
                <w:rFonts w:ascii="宋体" w:hAnsi="宋体"/>
                <w:color w:val="000000"/>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7FA9C73E">
            <w:pPr>
              <w:jc w:val="center"/>
              <w:rPr>
                <w:rFonts w:ascii="宋体" w:hAnsi="宋体"/>
                <w:color w:val="000000"/>
                <w:sz w:val="24"/>
                <w:szCs w:val="24"/>
                <w:highlight w:val="none"/>
              </w:rPr>
            </w:pPr>
            <w:r>
              <w:rPr>
                <w:rFonts w:hint="eastAsia" w:ascii="宋体" w:hAnsi="宋体"/>
                <w:color w:val="000000"/>
                <w:sz w:val="24"/>
                <w:szCs w:val="24"/>
                <w:highlight w:val="none"/>
              </w:rPr>
              <w:t>认证情况</w:t>
            </w:r>
          </w:p>
        </w:tc>
        <w:tc>
          <w:tcPr>
            <w:tcW w:w="3177" w:type="dxa"/>
            <w:gridSpan w:val="3"/>
            <w:tcBorders>
              <w:top w:val="single" w:color="auto" w:sz="4" w:space="0"/>
              <w:left w:val="single" w:color="auto" w:sz="4" w:space="0"/>
              <w:bottom w:val="single" w:color="auto" w:sz="4" w:space="0"/>
              <w:right w:val="single" w:color="auto" w:sz="4" w:space="0"/>
            </w:tcBorders>
            <w:vAlign w:val="center"/>
          </w:tcPr>
          <w:p w14:paraId="5853DE35">
            <w:pPr>
              <w:jc w:val="center"/>
              <w:rPr>
                <w:rFonts w:ascii="宋体" w:hAnsi="宋体"/>
                <w:color w:val="000000"/>
                <w:sz w:val="24"/>
                <w:szCs w:val="24"/>
                <w:highlight w:val="none"/>
              </w:rPr>
            </w:pPr>
          </w:p>
        </w:tc>
      </w:tr>
      <w:tr w14:paraId="59CB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2800" w:type="dxa"/>
            <w:tcBorders>
              <w:top w:val="single" w:color="auto" w:sz="4" w:space="0"/>
              <w:left w:val="single" w:color="auto" w:sz="4" w:space="0"/>
              <w:bottom w:val="single" w:color="auto" w:sz="4" w:space="0"/>
              <w:right w:val="single" w:color="auto" w:sz="4" w:space="0"/>
            </w:tcBorders>
            <w:vAlign w:val="center"/>
          </w:tcPr>
          <w:p w14:paraId="33A1EDB0">
            <w:pPr>
              <w:jc w:val="center"/>
              <w:rPr>
                <w:rFonts w:ascii="宋体" w:hAnsi="宋体"/>
                <w:color w:val="000000"/>
                <w:sz w:val="24"/>
                <w:szCs w:val="24"/>
                <w:highlight w:val="none"/>
              </w:rPr>
            </w:pPr>
            <w:r>
              <w:rPr>
                <w:rFonts w:hint="eastAsia" w:ascii="宋体" w:hAnsi="宋体"/>
                <w:color w:val="000000"/>
                <w:sz w:val="24"/>
                <w:szCs w:val="24"/>
                <w:highlight w:val="none"/>
              </w:rPr>
              <w:t>备注</w:t>
            </w:r>
          </w:p>
        </w:tc>
        <w:tc>
          <w:tcPr>
            <w:tcW w:w="6623" w:type="dxa"/>
            <w:gridSpan w:val="6"/>
            <w:tcBorders>
              <w:top w:val="single" w:color="auto" w:sz="4" w:space="0"/>
              <w:left w:val="single" w:color="auto" w:sz="4" w:space="0"/>
              <w:bottom w:val="single" w:color="auto" w:sz="4" w:space="0"/>
              <w:right w:val="single" w:color="auto" w:sz="4" w:space="0"/>
            </w:tcBorders>
            <w:vAlign w:val="center"/>
          </w:tcPr>
          <w:p w14:paraId="4C1917ED">
            <w:pPr>
              <w:jc w:val="center"/>
              <w:rPr>
                <w:rFonts w:ascii="宋体" w:hAnsi="宋体"/>
                <w:color w:val="000000"/>
                <w:sz w:val="24"/>
                <w:szCs w:val="24"/>
                <w:highlight w:val="none"/>
              </w:rPr>
            </w:pPr>
          </w:p>
          <w:p w14:paraId="4483F788">
            <w:pPr>
              <w:jc w:val="center"/>
              <w:rPr>
                <w:rFonts w:ascii="宋体" w:hAnsi="宋体"/>
                <w:color w:val="000000"/>
                <w:sz w:val="24"/>
                <w:szCs w:val="24"/>
                <w:highlight w:val="none"/>
              </w:rPr>
            </w:pPr>
          </w:p>
          <w:p w14:paraId="2FD2B392">
            <w:pPr>
              <w:jc w:val="center"/>
              <w:rPr>
                <w:rFonts w:ascii="宋体" w:hAnsi="宋体"/>
                <w:color w:val="000000"/>
                <w:sz w:val="24"/>
                <w:szCs w:val="24"/>
                <w:highlight w:val="none"/>
              </w:rPr>
            </w:pPr>
          </w:p>
          <w:p w14:paraId="1934E0F9">
            <w:pPr>
              <w:rPr>
                <w:rFonts w:ascii="宋体" w:hAnsi="宋体"/>
                <w:color w:val="000000"/>
                <w:sz w:val="24"/>
                <w:szCs w:val="24"/>
                <w:highlight w:val="none"/>
              </w:rPr>
            </w:pPr>
          </w:p>
        </w:tc>
      </w:tr>
    </w:tbl>
    <w:p w14:paraId="4ED247CA">
      <w:pPr>
        <w:rPr>
          <w:rFonts w:ascii="宋体" w:hAnsi="宋体"/>
          <w:b/>
          <w:color w:val="000000"/>
          <w:sz w:val="24"/>
          <w:szCs w:val="24"/>
          <w:highlight w:val="none"/>
        </w:rPr>
      </w:pPr>
      <w:r>
        <w:rPr>
          <w:rFonts w:hint="eastAsia" w:ascii="宋体" w:hAnsi="宋体"/>
          <w:b/>
          <w:color w:val="000000"/>
          <w:sz w:val="24"/>
          <w:szCs w:val="24"/>
          <w:highlight w:val="none"/>
        </w:rPr>
        <w:t>注：此表后应附营业执照等企业证件。</w:t>
      </w:r>
    </w:p>
    <w:p w14:paraId="47A93561">
      <w:pPr>
        <w:rPr>
          <w:rFonts w:ascii="宋体" w:hAnsi="宋体"/>
          <w:color w:val="000000"/>
          <w:sz w:val="24"/>
          <w:szCs w:val="24"/>
          <w:highlight w:val="none"/>
        </w:rPr>
      </w:pPr>
    </w:p>
    <w:p w14:paraId="0430953C">
      <w:pPr>
        <w:jc w:val="center"/>
        <w:rPr>
          <w:rFonts w:ascii="宋体" w:hAnsi="宋体"/>
          <w:color w:val="000000"/>
          <w:sz w:val="24"/>
          <w:szCs w:val="24"/>
          <w:highlight w:val="none"/>
        </w:rPr>
      </w:pPr>
      <w:r>
        <w:rPr>
          <w:rFonts w:ascii="宋体" w:hAnsi="宋体"/>
          <w:color w:val="000000"/>
          <w:sz w:val="24"/>
          <w:szCs w:val="24"/>
          <w:highlight w:val="none"/>
        </w:rPr>
        <w:t xml:space="preserve">                     </w:t>
      </w:r>
      <w:r>
        <w:rPr>
          <w:rFonts w:hint="eastAsia" w:ascii="宋体" w:hAnsi="宋体"/>
          <w:color w:val="000000"/>
          <w:sz w:val="24"/>
          <w:szCs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谈判供应商：</w:t>
      </w:r>
      <w:r>
        <w:rPr>
          <w:rFonts w:hint="eastAsia" w:ascii="宋体" w:hAnsi="宋体"/>
          <w:color w:val="000000"/>
          <w:kern w:val="0"/>
          <w:sz w:val="24"/>
          <w:szCs w:val="24"/>
          <w:highlight w:val="none"/>
          <w:u w:val="single"/>
        </w:rPr>
        <w:t xml:space="preserve">          </w:t>
      </w:r>
      <w:r>
        <w:rPr>
          <w:rFonts w:hint="eastAsia" w:ascii="宋体" w:hAnsi="宋体"/>
          <w:color w:val="000000"/>
          <w:sz w:val="24"/>
          <w:szCs w:val="24"/>
          <w:highlight w:val="none"/>
        </w:rPr>
        <w:t>（</w:t>
      </w:r>
      <w:r>
        <w:rPr>
          <w:rFonts w:hint="eastAsia" w:ascii="宋体" w:hAnsi="宋体"/>
          <w:color w:val="000000"/>
          <w:kern w:val="0"/>
          <w:sz w:val="24"/>
          <w:szCs w:val="24"/>
          <w:highlight w:val="none"/>
        </w:rPr>
        <w:t>电子签章</w:t>
      </w:r>
      <w:r>
        <w:rPr>
          <w:rFonts w:hint="eastAsia" w:ascii="宋体" w:hAnsi="宋体"/>
          <w:color w:val="000000"/>
          <w:sz w:val="24"/>
          <w:szCs w:val="24"/>
          <w:highlight w:val="none"/>
        </w:rPr>
        <w:t>）</w:t>
      </w:r>
    </w:p>
    <w:p w14:paraId="77F3077F">
      <w:pPr>
        <w:jc w:val="center"/>
        <w:rPr>
          <w:rFonts w:ascii="宋体" w:hAnsi="宋体"/>
          <w:color w:val="000000"/>
          <w:sz w:val="24"/>
          <w:szCs w:val="24"/>
          <w:highlight w:val="none"/>
        </w:rPr>
      </w:pPr>
    </w:p>
    <w:p w14:paraId="0EEA2C6E">
      <w:pPr>
        <w:jc w:val="center"/>
        <w:rPr>
          <w:rFonts w:ascii="宋体" w:hAnsi="宋体"/>
          <w:color w:val="000000"/>
          <w:sz w:val="24"/>
          <w:szCs w:val="24"/>
          <w:highlight w:val="none"/>
        </w:rPr>
      </w:pPr>
      <w:r>
        <w:rPr>
          <w:rFonts w:ascii="宋体" w:hAnsi="宋体"/>
          <w:color w:val="000000"/>
          <w:sz w:val="24"/>
          <w:szCs w:val="24"/>
          <w:highlight w:val="none"/>
        </w:rPr>
        <w:t xml:space="preserve">                                </w:t>
      </w:r>
      <w:r>
        <w:rPr>
          <w:rFonts w:hint="eastAsia" w:ascii="宋体" w:hAnsi="宋体"/>
          <w:color w:val="000000"/>
          <w:sz w:val="24"/>
          <w:szCs w:val="24"/>
          <w:highlight w:val="none"/>
        </w:rPr>
        <w:t xml:space="preserve">   法定代表人：</w:t>
      </w:r>
      <w:r>
        <w:rPr>
          <w:rFonts w:hint="eastAsia" w:ascii="宋体" w:hAnsi="宋体"/>
          <w:color w:val="000000"/>
          <w:kern w:val="0"/>
          <w:sz w:val="24"/>
          <w:szCs w:val="24"/>
          <w:highlight w:val="none"/>
          <w:u w:val="single"/>
        </w:rPr>
        <w:t xml:space="preserve">          </w:t>
      </w:r>
      <w:r>
        <w:rPr>
          <w:rFonts w:hint="eastAsia" w:ascii="宋体" w:hAnsi="宋体"/>
          <w:color w:val="000000"/>
          <w:sz w:val="24"/>
          <w:szCs w:val="24"/>
          <w:highlight w:val="none"/>
        </w:rPr>
        <w:t>（电子签章）</w:t>
      </w:r>
    </w:p>
    <w:p w14:paraId="506E3D44">
      <w:pPr>
        <w:jc w:val="center"/>
        <w:rPr>
          <w:rFonts w:ascii="宋体" w:hAnsi="宋体"/>
          <w:color w:val="000000"/>
          <w:sz w:val="24"/>
          <w:szCs w:val="24"/>
          <w:highlight w:val="none"/>
        </w:rPr>
      </w:pPr>
    </w:p>
    <w:p w14:paraId="46DA2FF4">
      <w:pPr>
        <w:jc w:val="center"/>
        <w:rPr>
          <w:rFonts w:ascii="宋体" w:hAnsi="宋体"/>
          <w:color w:val="000000"/>
          <w:sz w:val="24"/>
          <w:szCs w:val="24"/>
          <w:highlight w:val="none"/>
        </w:rPr>
      </w:pPr>
      <w:r>
        <w:rPr>
          <w:rFonts w:ascii="宋体" w:hAnsi="宋体"/>
          <w:color w:val="000000"/>
          <w:sz w:val="24"/>
          <w:szCs w:val="24"/>
          <w:highlight w:val="none"/>
        </w:rPr>
        <w:t xml:space="preserve">                 </w:t>
      </w:r>
      <w:r>
        <w:rPr>
          <w:rFonts w:hint="eastAsia" w:ascii="宋体" w:hAnsi="宋体"/>
          <w:color w:val="000000"/>
          <w:sz w:val="24"/>
          <w:szCs w:val="24"/>
          <w:highlight w:val="none"/>
        </w:rPr>
        <w:t xml:space="preserve">        日</w:t>
      </w:r>
      <w:r>
        <w:rPr>
          <w:rFonts w:ascii="宋体" w:hAnsi="宋体"/>
          <w:color w:val="000000"/>
          <w:sz w:val="24"/>
          <w:szCs w:val="24"/>
          <w:highlight w:val="none"/>
        </w:rPr>
        <w:t xml:space="preserve">      </w:t>
      </w:r>
      <w:r>
        <w:rPr>
          <w:rFonts w:hint="eastAsia" w:ascii="宋体" w:hAnsi="宋体"/>
          <w:color w:val="000000"/>
          <w:sz w:val="24"/>
          <w:szCs w:val="24"/>
          <w:highlight w:val="none"/>
        </w:rPr>
        <w:t>期：</w:t>
      </w:r>
    </w:p>
    <w:p w14:paraId="5BF442B7">
      <w:pPr>
        <w:spacing w:line="360" w:lineRule="auto"/>
        <w:rPr>
          <w:rFonts w:ascii="宋体" w:hAnsi="宋体"/>
          <w:color w:val="000000"/>
          <w:sz w:val="24"/>
          <w:szCs w:val="24"/>
          <w:highlight w:val="none"/>
        </w:rPr>
      </w:pPr>
    </w:p>
    <w:p w14:paraId="66BF8E33">
      <w:pPr>
        <w:spacing w:line="400" w:lineRule="exact"/>
        <w:jc w:val="center"/>
        <w:rPr>
          <w:rFonts w:ascii="宋体" w:hAnsi="宋体"/>
          <w:b/>
          <w:color w:val="000000"/>
          <w:sz w:val="24"/>
          <w:szCs w:val="24"/>
          <w:highlight w:val="none"/>
        </w:rPr>
      </w:pPr>
    </w:p>
    <w:p w14:paraId="7E656059">
      <w:pPr>
        <w:spacing w:line="400" w:lineRule="exact"/>
        <w:jc w:val="center"/>
        <w:rPr>
          <w:rFonts w:ascii="宋体" w:hAnsi="宋体"/>
          <w:b/>
          <w:color w:val="000000"/>
          <w:sz w:val="32"/>
          <w:szCs w:val="32"/>
          <w:highlight w:val="none"/>
        </w:rPr>
      </w:pPr>
    </w:p>
    <w:p w14:paraId="1204419E">
      <w:pPr>
        <w:spacing w:line="400" w:lineRule="exact"/>
        <w:jc w:val="center"/>
        <w:rPr>
          <w:rFonts w:ascii="宋体" w:hAnsi="宋体"/>
          <w:bCs/>
          <w:color w:val="000000"/>
          <w:sz w:val="32"/>
          <w:szCs w:val="24"/>
          <w:highlight w:val="none"/>
        </w:rPr>
      </w:pPr>
    </w:p>
    <w:p w14:paraId="76F6B70F">
      <w:pPr>
        <w:spacing w:line="400" w:lineRule="exact"/>
        <w:jc w:val="center"/>
        <w:rPr>
          <w:rFonts w:ascii="宋体" w:hAnsi="宋体"/>
          <w:bCs/>
          <w:color w:val="000000"/>
          <w:sz w:val="32"/>
          <w:szCs w:val="24"/>
          <w:highlight w:val="none"/>
        </w:rPr>
      </w:pPr>
    </w:p>
    <w:p w14:paraId="630BA705">
      <w:pPr>
        <w:spacing w:line="400" w:lineRule="exact"/>
        <w:jc w:val="center"/>
        <w:rPr>
          <w:rFonts w:ascii="宋体" w:hAnsi="宋体"/>
          <w:bCs/>
          <w:color w:val="000000"/>
          <w:kern w:val="0"/>
          <w:sz w:val="32"/>
          <w:szCs w:val="24"/>
          <w:highlight w:val="none"/>
        </w:rPr>
      </w:pPr>
      <w:r>
        <w:rPr>
          <w:rFonts w:hint="eastAsia" w:ascii="宋体" w:hAnsi="宋体"/>
          <w:bCs/>
          <w:color w:val="000000"/>
          <w:sz w:val="32"/>
          <w:szCs w:val="24"/>
          <w:highlight w:val="none"/>
        </w:rPr>
        <w:t>（二）</w:t>
      </w:r>
      <w:r>
        <w:rPr>
          <w:rFonts w:hint="eastAsia" w:ascii="宋体" w:hAnsi="宋体"/>
          <w:bCs/>
          <w:color w:val="000000"/>
          <w:kern w:val="0"/>
          <w:sz w:val="32"/>
          <w:szCs w:val="24"/>
          <w:highlight w:val="none"/>
        </w:rPr>
        <w:t>证明投标供应商资格和能力的资料：</w:t>
      </w:r>
      <w:r>
        <w:rPr>
          <w:rFonts w:ascii="宋体" w:hAnsi="宋体"/>
          <w:bCs/>
          <w:color w:val="000000"/>
          <w:sz w:val="32"/>
          <w:szCs w:val="24"/>
          <w:highlight w:val="none"/>
        </w:rPr>
        <w:t xml:space="preserve"> </w:t>
      </w:r>
    </w:p>
    <w:p w14:paraId="46685C6C">
      <w:pPr>
        <w:spacing w:line="500" w:lineRule="exact"/>
        <w:ind w:firstLine="560" w:firstLineChars="200"/>
        <w:rPr>
          <w:rFonts w:ascii="宋体" w:hAnsi="宋体" w:cs="新宋体"/>
          <w:color w:val="000000"/>
          <w:sz w:val="28"/>
          <w:szCs w:val="28"/>
          <w:highlight w:val="none"/>
        </w:rPr>
      </w:pPr>
    </w:p>
    <w:p w14:paraId="38D57683">
      <w:pPr>
        <w:spacing w:line="360" w:lineRule="auto"/>
        <w:ind w:left="-359" w:leftChars="-171" w:right="-334" w:rightChars="-159" w:firstLine="1"/>
        <w:jc w:val="center"/>
        <w:rPr>
          <w:rFonts w:ascii="宋体" w:hAnsi="宋体" w:cs="宋体"/>
          <w:b/>
          <w:bCs/>
          <w:color w:val="000000"/>
          <w:kern w:val="10"/>
          <w:sz w:val="28"/>
          <w:szCs w:val="28"/>
          <w:highlight w:val="none"/>
        </w:rPr>
      </w:pPr>
    </w:p>
    <w:p w14:paraId="5F42D278">
      <w:pPr>
        <w:spacing w:line="360" w:lineRule="auto"/>
        <w:ind w:left="-359" w:leftChars="-171" w:right="-334" w:rightChars="-159" w:firstLine="1"/>
        <w:jc w:val="center"/>
        <w:rPr>
          <w:rFonts w:ascii="宋体" w:hAnsi="宋体" w:cs="宋体"/>
          <w:b/>
          <w:bCs/>
          <w:color w:val="000000"/>
          <w:kern w:val="10"/>
          <w:sz w:val="28"/>
          <w:szCs w:val="28"/>
          <w:highlight w:val="none"/>
        </w:rPr>
      </w:pPr>
    </w:p>
    <w:p w14:paraId="18EE5032">
      <w:pPr>
        <w:spacing w:line="360" w:lineRule="auto"/>
        <w:ind w:left="-359" w:leftChars="-171" w:right="-334" w:rightChars="-159" w:firstLine="1"/>
        <w:jc w:val="center"/>
        <w:rPr>
          <w:rFonts w:ascii="宋体" w:hAnsi="宋体" w:cs="宋体"/>
          <w:b/>
          <w:bCs/>
          <w:color w:val="000000"/>
          <w:kern w:val="10"/>
          <w:sz w:val="28"/>
          <w:szCs w:val="28"/>
          <w:highlight w:val="none"/>
        </w:rPr>
      </w:pPr>
    </w:p>
    <w:p w14:paraId="701507E0">
      <w:pPr>
        <w:spacing w:line="360" w:lineRule="auto"/>
        <w:ind w:left="-359" w:leftChars="-171" w:right="-334" w:rightChars="-159" w:firstLine="1"/>
        <w:jc w:val="center"/>
        <w:rPr>
          <w:rFonts w:ascii="宋体" w:hAnsi="宋体" w:cs="宋体"/>
          <w:b/>
          <w:bCs/>
          <w:color w:val="000000"/>
          <w:kern w:val="10"/>
          <w:sz w:val="28"/>
          <w:szCs w:val="28"/>
          <w:highlight w:val="none"/>
        </w:rPr>
      </w:pPr>
    </w:p>
    <w:p w14:paraId="0DC7182F">
      <w:pPr>
        <w:spacing w:line="360" w:lineRule="auto"/>
        <w:ind w:left="-359" w:leftChars="-171" w:right="-334" w:rightChars="-159" w:firstLine="1"/>
        <w:jc w:val="center"/>
        <w:rPr>
          <w:rFonts w:ascii="宋体" w:hAnsi="宋体" w:cs="宋体"/>
          <w:b/>
          <w:bCs/>
          <w:color w:val="000000"/>
          <w:kern w:val="10"/>
          <w:sz w:val="28"/>
          <w:szCs w:val="28"/>
          <w:highlight w:val="none"/>
        </w:rPr>
      </w:pPr>
    </w:p>
    <w:p w14:paraId="75AC582B">
      <w:pPr>
        <w:pStyle w:val="8"/>
        <w:rPr>
          <w:rFonts w:ascii="宋体" w:hAnsi="宋体" w:cs="宋体"/>
          <w:b/>
          <w:bCs/>
          <w:color w:val="000000"/>
          <w:kern w:val="10"/>
          <w:sz w:val="28"/>
          <w:szCs w:val="28"/>
          <w:highlight w:val="none"/>
        </w:rPr>
      </w:pPr>
    </w:p>
    <w:p w14:paraId="32DC1EDC">
      <w:pPr>
        <w:spacing w:line="360" w:lineRule="auto"/>
        <w:ind w:left="-359" w:leftChars="-171" w:right="-334" w:rightChars="-159" w:firstLine="1"/>
        <w:jc w:val="center"/>
        <w:rPr>
          <w:rFonts w:ascii="宋体" w:hAnsi="宋体" w:cs="宋体"/>
          <w:b/>
          <w:bCs/>
          <w:color w:val="000000"/>
          <w:kern w:val="10"/>
          <w:sz w:val="32"/>
          <w:szCs w:val="28"/>
          <w:highlight w:val="none"/>
        </w:rPr>
      </w:pPr>
    </w:p>
    <w:p w14:paraId="09F73ED3">
      <w:pPr>
        <w:spacing w:line="360" w:lineRule="auto"/>
        <w:ind w:left="-359" w:leftChars="-171" w:right="-334" w:rightChars="-159" w:firstLine="1"/>
        <w:jc w:val="center"/>
        <w:rPr>
          <w:rFonts w:ascii="宋体" w:hAnsi="宋体" w:cs="宋体"/>
          <w:b/>
          <w:bCs/>
          <w:color w:val="000000"/>
          <w:kern w:val="10"/>
          <w:sz w:val="32"/>
          <w:szCs w:val="28"/>
          <w:highlight w:val="none"/>
        </w:rPr>
      </w:pPr>
    </w:p>
    <w:p w14:paraId="60751220">
      <w:pPr>
        <w:spacing w:line="360" w:lineRule="auto"/>
        <w:ind w:left="-359" w:leftChars="-171" w:right="-334" w:rightChars="-159" w:firstLine="1"/>
        <w:jc w:val="center"/>
        <w:rPr>
          <w:rFonts w:ascii="宋体" w:hAnsi="宋体" w:cs="宋体"/>
          <w:b/>
          <w:bCs/>
          <w:color w:val="000000"/>
          <w:kern w:val="10"/>
          <w:sz w:val="32"/>
          <w:szCs w:val="28"/>
          <w:highlight w:val="none"/>
        </w:rPr>
      </w:pPr>
    </w:p>
    <w:p w14:paraId="2DCFE01E">
      <w:pPr>
        <w:spacing w:line="360" w:lineRule="auto"/>
        <w:ind w:left="-359" w:leftChars="-171" w:right="-334" w:rightChars="-159" w:firstLine="1"/>
        <w:jc w:val="center"/>
        <w:rPr>
          <w:rFonts w:ascii="宋体" w:hAnsi="宋体" w:cs="宋体"/>
          <w:b/>
          <w:bCs/>
          <w:color w:val="000000"/>
          <w:kern w:val="10"/>
          <w:sz w:val="32"/>
          <w:szCs w:val="28"/>
          <w:highlight w:val="none"/>
        </w:rPr>
      </w:pPr>
    </w:p>
    <w:p w14:paraId="171723A9">
      <w:pPr>
        <w:spacing w:line="360" w:lineRule="auto"/>
        <w:ind w:left="-359" w:leftChars="-171" w:right="-334" w:rightChars="-159" w:firstLine="1"/>
        <w:jc w:val="center"/>
        <w:rPr>
          <w:rFonts w:ascii="宋体" w:hAnsi="宋体" w:cs="宋体"/>
          <w:b/>
          <w:bCs/>
          <w:color w:val="000000"/>
          <w:kern w:val="10"/>
          <w:sz w:val="32"/>
          <w:szCs w:val="28"/>
          <w:highlight w:val="none"/>
        </w:rPr>
      </w:pPr>
    </w:p>
    <w:p w14:paraId="5030F5F1">
      <w:pPr>
        <w:spacing w:line="360" w:lineRule="auto"/>
        <w:ind w:left="-359" w:leftChars="-171" w:right="-334" w:rightChars="-159" w:firstLine="1"/>
        <w:jc w:val="center"/>
        <w:rPr>
          <w:rFonts w:ascii="宋体" w:hAnsi="宋体" w:cs="宋体"/>
          <w:b/>
          <w:bCs/>
          <w:color w:val="000000"/>
          <w:kern w:val="10"/>
          <w:sz w:val="32"/>
          <w:szCs w:val="28"/>
          <w:highlight w:val="none"/>
        </w:rPr>
      </w:pPr>
    </w:p>
    <w:p w14:paraId="79793684">
      <w:pPr>
        <w:spacing w:line="360" w:lineRule="auto"/>
        <w:ind w:left="-359" w:leftChars="-171" w:right="-334" w:rightChars="-159" w:firstLine="1"/>
        <w:jc w:val="center"/>
        <w:rPr>
          <w:rFonts w:ascii="宋体" w:hAnsi="宋体" w:cs="宋体"/>
          <w:b/>
          <w:bCs/>
          <w:color w:val="000000"/>
          <w:kern w:val="10"/>
          <w:sz w:val="32"/>
          <w:szCs w:val="28"/>
          <w:highlight w:val="none"/>
        </w:rPr>
      </w:pPr>
    </w:p>
    <w:p w14:paraId="5C71BEFA">
      <w:pPr>
        <w:spacing w:line="360" w:lineRule="auto"/>
        <w:ind w:left="-359" w:leftChars="-171" w:right="-334" w:rightChars="-159" w:firstLine="1"/>
        <w:jc w:val="center"/>
        <w:rPr>
          <w:rFonts w:ascii="宋体" w:hAnsi="宋体" w:cs="宋体"/>
          <w:b/>
          <w:bCs/>
          <w:color w:val="000000"/>
          <w:kern w:val="10"/>
          <w:sz w:val="32"/>
          <w:szCs w:val="28"/>
          <w:highlight w:val="none"/>
        </w:rPr>
      </w:pPr>
    </w:p>
    <w:p w14:paraId="474161B1">
      <w:pPr>
        <w:spacing w:line="360" w:lineRule="auto"/>
        <w:ind w:left="-359" w:leftChars="-171" w:right="-334" w:rightChars="-159" w:firstLine="1"/>
        <w:jc w:val="center"/>
        <w:rPr>
          <w:rFonts w:ascii="宋体" w:hAnsi="宋体" w:cs="宋体"/>
          <w:b/>
          <w:bCs/>
          <w:color w:val="000000"/>
          <w:kern w:val="10"/>
          <w:sz w:val="32"/>
          <w:szCs w:val="28"/>
          <w:highlight w:val="none"/>
        </w:rPr>
      </w:pPr>
    </w:p>
    <w:p w14:paraId="64A553A4">
      <w:pPr>
        <w:spacing w:line="360" w:lineRule="auto"/>
        <w:ind w:left="-359" w:leftChars="-171" w:right="-334" w:rightChars="-159" w:firstLine="1"/>
        <w:jc w:val="center"/>
        <w:rPr>
          <w:rFonts w:ascii="宋体" w:hAnsi="宋体" w:cs="宋体"/>
          <w:b/>
          <w:bCs/>
          <w:color w:val="000000"/>
          <w:kern w:val="10"/>
          <w:sz w:val="32"/>
          <w:szCs w:val="28"/>
          <w:highlight w:val="none"/>
        </w:rPr>
      </w:pPr>
    </w:p>
    <w:p w14:paraId="66718878">
      <w:pPr>
        <w:spacing w:line="360" w:lineRule="auto"/>
        <w:ind w:left="-359" w:leftChars="-171" w:right="-334" w:rightChars="-159" w:firstLine="1"/>
        <w:jc w:val="center"/>
        <w:rPr>
          <w:rFonts w:ascii="宋体" w:hAnsi="宋体" w:cs="宋体"/>
          <w:b/>
          <w:bCs/>
          <w:color w:val="000000"/>
          <w:kern w:val="10"/>
          <w:sz w:val="32"/>
          <w:szCs w:val="28"/>
          <w:highlight w:val="none"/>
        </w:rPr>
      </w:pPr>
    </w:p>
    <w:p w14:paraId="52BC04A0">
      <w:pPr>
        <w:spacing w:line="360" w:lineRule="auto"/>
        <w:ind w:left="-359" w:leftChars="-171" w:right="-334" w:rightChars="-159" w:firstLine="1"/>
        <w:jc w:val="center"/>
        <w:rPr>
          <w:rFonts w:ascii="宋体" w:hAnsi="宋体" w:cs="宋体"/>
          <w:b/>
          <w:bCs/>
          <w:color w:val="000000"/>
          <w:kern w:val="10"/>
          <w:sz w:val="32"/>
          <w:szCs w:val="28"/>
          <w:highlight w:val="none"/>
        </w:rPr>
      </w:pPr>
    </w:p>
    <w:p w14:paraId="20863AE4">
      <w:pPr>
        <w:spacing w:line="360" w:lineRule="auto"/>
        <w:ind w:left="-359" w:leftChars="-171" w:right="-334" w:rightChars="-159" w:firstLine="1"/>
        <w:jc w:val="center"/>
        <w:rPr>
          <w:rFonts w:ascii="宋体" w:hAnsi="宋体" w:cs="宋体"/>
          <w:b/>
          <w:bCs/>
          <w:color w:val="000000"/>
          <w:kern w:val="10"/>
          <w:sz w:val="32"/>
          <w:szCs w:val="28"/>
          <w:highlight w:val="none"/>
        </w:rPr>
      </w:pPr>
    </w:p>
    <w:p w14:paraId="40D9BCA3">
      <w:pPr>
        <w:spacing w:line="360" w:lineRule="auto"/>
        <w:ind w:left="-359" w:leftChars="-171" w:right="-334" w:rightChars="-159" w:firstLine="1"/>
        <w:jc w:val="center"/>
        <w:rPr>
          <w:rFonts w:ascii="宋体" w:hAnsi="宋体" w:cs="宋体"/>
          <w:b/>
          <w:bCs/>
          <w:color w:val="000000"/>
          <w:kern w:val="10"/>
          <w:sz w:val="32"/>
          <w:szCs w:val="28"/>
          <w:highlight w:val="none"/>
        </w:rPr>
      </w:pPr>
    </w:p>
    <w:p w14:paraId="46768457">
      <w:pPr>
        <w:spacing w:line="360" w:lineRule="auto"/>
        <w:ind w:left="-359" w:leftChars="-171" w:right="-334" w:rightChars="-159" w:firstLine="1"/>
        <w:jc w:val="center"/>
        <w:rPr>
          <w:rFonts w:ascii="宋体" w:hAnsi="宋体" w:cs="宋体"/>
          <w:b/>
          <w:bCs/>
          <w:color w:val="000000"/>
          <w:kern w:val="10"/>
          <w:sz w:val="32"/>
          <w:szCs w:val="28"/>
          <w:highlight w:val="none"/>
        </w:rPr>
      </w:pPr>
    </w:p>
    <w:p w14:paraId="1EF564BB">
      <w:pPr>
        <w:spacing w:line="360" w:lineRule="auto"/>
        <w:ind w:firstLine="1680" w:firstLineChars="800"/>
        <w:rPr>
          <w:rFonts w:ascii="宋体" w:hAnsi="宋体"/>
          <w:bCs/>
          <w:color w:val="000000"/>
          <w:szCs w:val="21"/>
          <w:highlight w:val="none"/>
        </w:rPr>
      </w:pPr>
    </w:p>
    <w:p w14:paraId="7A3A1E49">
      <w:pPr>
        <w:widowControl/>
        <w:jc w:val="center"/>
        <w:rPr>
          <w:rFonts w:ascii="宋体" w:hAnsi="宋体"/>
          <w:b/>
          <w:bCs/>
          <w:color w:val="000000"/>
          <w:kern w:val="0"/>
          <w:sz w:val="32"/>
          <w:szCs w:val="32"/>
          <w:highlight w:val="none"/>
        </w:rPr>
      </w:pPr>
      <w:r>
        <w:rPr>
          <w:rFonts w:hint="eastAsia" w:ascii="宋体" w:hAnsi="宋体" w:cs="宋体"/>
          <w:b/>
          <w:bCs/>
          <w:color w:val="000000"/>
          <w:kern w:val="10"/>
          <w:sz w:val="32"/>
          <w:szCs w:val="32"/>
          <w:highlight w:val="none"/>
        </w:rPr>
        <w:t>五、</w:t>
      </w:r>
      <w:r>
        <w:rPr>
          <w:rFonts w:hint="eastAsia" w:ascii="宋体" w:hAnsi="宋体"/>
          <w:b/>
          <w:bCs/>
          <w:color w:val="000000"/>
          <w:kern w:val="0"/>
          <w:sz w:val="32"/>
          <w:szCs w:val="32"/>
          <w:highlight w:val="none"/>
        </w:rPr>
        <w:t>投标供应商资格声明函</w:t>
      </w:r>
    </w:p>
    <w:p w14:paraId="7A302F29">
      <w:pPr>
        <w:spacing w:line="360" w:lineRule="auto"/>
        <w:rPr>
          <w:rFonts w:ascii="宋体" w:hAnsi="宋体"/>
          <w:color w:val="000000"/>
          <w:sz w:val="24"/>
          <w:szCs w:val="28"/>
          <w:highlight w:val="none"/>
        </w:rPr>
      </w:pPr>
    </w:p>
    <w:p w14:paraId="0DF3E2B5">
      <w:pPr>
        <w:spacing w:line="360" w:lineRule="auto"/>
        <w:rPr>
          <w:rFonts w:ascii="宋体" w:hAnsi="宋体"/>
          <w:color w:val="000000"/>
          <w:sz w:val="24"/>
          <w:szCs w:val="28"/>
          <w:highlight w:val="none"/>
        </w:rPr>
      </w:pPr>
      <w:r>
        <w:rPr>
          <w:rFonts w:hint="eastAsia" w:ascii="宋体" w:hAnsi="宋体"/>
          <w:color w:val="000000"/>
          <w:sz w:val="24"/>
          <w:szCs w:val="28"/>
          <w:highlight w:val="none"/>
        </w:rPr>
        <w:t>致：</w:t>
      </w:r>
      <w:r>
        <w:rPr>
          <w:rFonts w:hint="eastAsia" w:ascii="宋体" w:hAnsi="宋体"/>
          <w:color w:val="000000"/>
          <w:sz w:val="24"/>
          <w:szCs w:val="28"/>
          <w:highlight w:val="none"/>
          <w:u w:val="single"/>
        </w:rPr>
        <w:t xml:space="preserve">                </w:t>
      </w:r>
      <w:r>
        <w:rPr>
          <w:rFonts w:hint="eastAsia" w:ascii="宋体" w:hAnsi="宋体"/>
          <w:color w:val="000000"/>
          <w:sz w:val="24"/>
          <w:szCs w:val="28"/>
          <w:highlight w:val="none"/>
        </w:rPr>
        <w:t>（采购人）</w:t>
      </w:r>
    </w:p>
    <w:p w14:paraId="4042C9FB">
      <w:pPr>
        <w:spacing w:line="360" w:lineRule="auto"/>
        <w:ind w:firstLine="450"/>
        <w:rPr>
          <w:rFonts w:ascii="宋体" w:hAnsi="宋体" w:cs="宋体"/>
          <w:color w:val="000000"/>
          <w:sz w:val="24"/>
          <w:szCs w:val="28"/>
          <w:highlight w:val="none"/>
        </w:rPr>
      </w:pPr>
      <w:r>
        <w:rPr>
          <w:rFonts w:hint="eastAsia" w:ascii="宋体" w:hAnsi="宋体" w:cs="宋体"/>
          <w:color w:val="000000"/>
          <w:sz w:val="24"/>
          <w:szCs w:val="28"/>
          <w:highlight w:val="none"/>
        </w:rPr>
        <w:t>本公司愿意参加投标，提供招标内容中规定的采购内容，并声明提交的下列文件是准确的和真实的。</w:t>
      </w:r>
    </w:p>
    <w:p w14:paraId="7952F362">
      <w:pPr>
        <w:spacing w:line="360" w:lineRule="auto"/>
        <w:ind w:firstLine="480" w:firstLineChars="200"/>
        <w:rPr>
          <w:rFonts w:ascii="宋体" w:hAnsi="宋体" w:cs="宋体"/>
          <w:color w:val="000000"/>
          <w:sz w:val="24"/>
          <w:szCs w:val="28"/>
          <w:highlight w:val="none"/>
        </w:rPr>
      </w:pPr>
      <w:r>
        <w:rPr>
          <w:rFonts w:hint="eastAsia" w:ascii="宋体" w:hAnsi="宋体" w:cs="宋体"/>
          <w:bCs/>
          <w:color w:val="000000"/>
          <w:sz w:val="24"/>
          <w:szCs w:val="28"/>
          <w:highlight w:val="none"/>
        </w:rPr>
        <w:t>1.</w:t>
      </w:r>
      <w:r>
        <w:rPr>
          <w:rFonts w:hint="eastAsia" w:ascii="宋体" w:hAnsi="宋体" w:cs="宋体"/>
          <w:color w:val="000000"/>
          <w:sz w:val="24"/>
          <w:szCs w:val="28"/>
          <w:highlight w:val="none"/>
        </w:rPr>
        <w:t>投标供应商基本情况</w:t>
      </w:r>
    </w:p>
    <w:p w14:paraId="77B76D73">
      <w:pPr>
        <w:spacing w:line="360" w:lineRule="auto"/>
        <w:ind w:firstLine="480" w:firstLineChars="200"/>
        <w:rPr>
          <w:rFonts w:ascii="宋体" w:hAnsi="宋体" w:cs="宋体"/>
          <w:color w:val="000000"/>
          <w:sz w:val="24"/>
          <w:szCs w:val="28"/>
          <w:highlight w:val="none"/>
        </w:rPr>
      </w:pPr>
      <w:r>
        <w:rPr>
          <w:rFonts w:hint="eastAsia" w:ascii="宋体" w:hAnsi="宋体" w:cs="宋体"/>
          <w:color w:val="000000"/>
          <w:sz w:val="24"/>
          <w:szCs w:val="28"/>
          <w:highlight w:val="none"/>
        </w:rPr>
        <w:t>2.投标供应商资格证明文件</w:t>
      </w:r>
    </w:p>
    <w:p w14:paraId="550E4A0F">
      <w:pPr>
        <w:spacing w:line="360" w:lineRule="auto"/>
        <w:ind w:firstLine="480" w:firstLineChars="200"/>
        <w:rPr>
          <w:rFonts w:ascii="宋体" w:hAnsi="宋体" w:cs="宋体"/>
          <w:color w:val="000000"/>
          <w:sz w:val="24"/>
          <w:szCs w:val="28"/>
          <w:highlight w:val="none"/>
        </w:rPr>
      </w:pPr>
      <w:r>
        <w:rPr>
          <w:rFonts w:hint="eastAsia" w:ascii="宋体" w:hAnsi="宋体" w:cs="宋体"/>
          <w:color w:val="000000"/>
          <w:sz w:val="24"/>
          <w:szCs w:val="28"/>
          <w:highlight w:val="none"/>
        </w:rPr>
        <w:t>我方在此声明，我方具备并满足《中华人民共和国政府采购法》二十二条及实施条例第十七条所规定的投标供应商的条件：</w:t>
      </w:r>
    </w:p>
    <w:p w14:paraId="56E23320">
      <w:pPr>
        <w:spacing w:line="360" w:lineRule="auto"/>
        <w:ind w:firstLine="480" w:firstLineChars="200"/>
        <w:rPr>
          <w:rFonts w:ascii="宋体" w:hAnsi="宋体" w:cs="宋体"/>
          <w:color w:val="000000"/>
          <w:sz w:val="24"/>
          <w:szCs w:val="28"/>
          <w:highlight w:val="none"/>
        </w:rPr>
      </w:pPr>
      <w:r>
        <w:rPr>
          <w:rFonts w:hint="eastAsia" w:ascii="宋体" w:hAnsi="宋体" w:cs="宋体"/>
          <w:color w:val="000000"/>
          <w:sz w:val="24"/>
          <w:szCs w:val="28"/>
          <w:highlight w:val="none"/>
        </w:rPr>
        <w:t>（1）具有独立承担民事责任的能力；</w:t>
      </w:r>
    </w:p>
    <w:p w14:paraId="4DF9D03E">
      <w:pPr>
        <w:spacing w:line="360" w:lineRule="auto"/>
        <w:ind w:firstLine="480" w:firstLineChars="200"/>
        <w:rPr>
          <w:rFonts w:ascii="宋体" w:hAnsi="宋体" w:cs="宋体"/>
          <w:color w:val="000000"/>
          <w:sz w:val="24"/>
          <w:szCs w:val="28"/>
          <w:highlight w:val="none"/>
        </w:rPr>
      </w:pPr>
      <w:r>
        <w:rPr>
          <w:rFonts w:hint="eastAsia" w:ascii="宋体" w:hAnsi="宋体" w:cs="宋体"/>
          <w:color w:val="000000"/>
          <w:sz w:val="24"/>
          <w:szCs w:val="28"/>
          <w:highlight w:val="none"/>
        </w:rPr>
        <w:t>（2）具有良好的商业信誉和健全的财务会计制度；</w:t>
      </w:r>
    </w:p>
    <w:p w14:paraId="0B366C67">
      <w:pPr>
        <w:spacing w:line="360" w:lineRule="auto"/>
        <w:ind w:firstLine="480" w:firstLineChars="200"/>
        <w:rPr>
          <w:rFonts w:ascii="宋体" w:hAnsi="宋体" w:cs="宋体"/>
          <w:color w:val="000000"/>
          <w:sz w:val="24"/>
          <w:szCs w:val="28"/>
          <w:highlight w:val="none"/>
        </w:rPr>
      </w:pPr>
      <w:r>
        <w:rPr>
          <w:rFonts w:hint="eastAsia" w:ascii="宋体" w:hAnsi="宋体" w:cs="宋体"/>
          <w:color w:val="000000"/>
          <w:sz w:val="24"/>
          <w:szCs w:val="28"/>
          <w:highlight w:val="none"/>
        </w:rPr>
        <w:t>（3）具有履行合同所必需的设备和专业技术能力；</w:t>
      </w:r>
    </w:p>
    <w:p w14:paraId="32943561">
      <w:pPr>
        <w:spacing w:line="360" w:lineRule="auto"/>
        <w:ind w:firstLine="480" w:firstLineChars="200"/>
        <w:rPr>
          <w:rFonts w:ascii="宋体" w:hAnsi="宋体" w:cs="宋体"/>
          <w:color w:val="000000"/>
          <w:sz w:val="24"/>
          <w:szCs w:val="28"/>
          <w:highlight w:val="none"/>
        </w:rPr>
      </w:pPr>
      <w:r>
        <w:rPr>
          <w:rFonts w:hint="eastAsia" w:ascii="宋体" w:hAnsi="宋体" w:cs="宋体"/>
          <w:color w:val="000000"/>
          <w:sz w:val="24"/>
          <w:szCs w:val="28"/>
          <w:highlight w:val="none"/>
        </w:rPr>
        <w:t>（4）有依法缴纳税收和社会保障资金的良好记录；</w:t>
      </w:r>
    </w:p>
    <w:p w14:paraId="325B621D">
      <w:pPr>
        <w:spacing w:line="360" w:lineRule="auto"/>
        <w:ind w:firstLine="480" w:firstLineChars="200"/>
        <w:rPr>
          <w:rFonts w:ascii="宋体" w:hAnsi="宋体" w:cs="宋体"/>
          <w:color w:val="000000"/>
          <w:sz w:val="24"/>
          <w:szCs w:val="28"/>
          <w:highlight w:val="none"/>
        </w:rPr>
      </w:pPr>
      <w:r>
        <w:rPr>
          <w:rFonts w:hint="eastAsia" w:ascii="宋体" w:hAnsi="宋体" w:cs="宋体"/>
          <w:color w:val="000000"/>
          <w:sz w:val="24"/>
          <w:szCs w:val="28"/>
          <w:highlight w:val="none"/>
        </w:rPr>
        <w:t>（5）参加本次政府采购活动前三年内，在经营活动中没有重大违法记录。</w:t>
      </w:r>
    </w:p>
    <w:p w14:paraId="26C6E2E6">
      <w:pPr>
        <w:spacing w:line="360" w:lineRule="auto"/>
        <w:rPr>
          <w:rFonts w:ascii="宋体" w:hAnsi="宋体" w:cs="宋体"/>
          <w:color w:val="000000"/>
          <w:sz w:val="24"/>
          <w:szCs w:val="28"/>
          <w:highlight w:val="none"/>
        </w:rPr>
      </w:pPr>
    </w:p>
    <w:p w14:paraId="4F76D486">
      <w:pPr>
        <w:spacing w:line="360" w:lineRule="auto"/>
        <w:rPr>
          <w:rFonts w:ascii="宋体" w:hAnsi="宋体" w:cs="宋体"/>
          <w:color w:val="000000"/>
          <w:sz w:val="24"/>
          <w:szCs w:val="28"/>
          <w:highlight w:val="none"/>
        </w:rPr>
      </w:pPr>
    </w:p>
    <w:p w14:paraId="4B754E11">
      <w:pPr>
        <w:rPr>
          <w:rFonts w:ascii="宋体" w:hAnsi="宋体"/>
          <w:color w:val="000000"/>
          <w:sz w:val="24"/>
          <w:szCs w:val="28"/>
          <w:highlight w:val="none"/>
        </w:rPr>
      </w:pPr>
    </w:p>
    <w:p w14:paraId="0D46A227">
      <w:pPr>
        <w:ind w:firstLine="480" w:firstLineChars="200"/>
        <w:rPr>
          <w:rFonts w:ascii="宋体" w:hAnsi="宋体"/>
          <w:color w:val="000000"/>
          <w:sz w:val="24"/>
          <w:szCs w:val="28"/>
          <w:highlight w:val="none"/>
        </w:rPr>
      </w:pPr>
      <w:r>
        <w:rPr>
          <w:rFonts w:hint="eastAsia" w:ascii="宋体" w:hAnsi="宋体"/>
          <w:color w:val="000000"/>
          <w:sz w:val="24"/>
          <w:szCs w:val="28"/>
          <w:highlight w:val="none"/>
        </w:rPr>
        <w:t>法定代表人</w:t>
      </w:r>
      <w:r>
        <w:rPr>
          <w:rFonts w:hint="eastAsia" w:ascii="宋体" w:hAnsi="宋体"/>
          <w:color w:val="000000"/>
          <w:kern w:val="0"/>
          <w:sz w:val="24"/>
          <w:szCs w:val="24"/>
          <w:highlight w:val="none"/>
          <w:lang w:eastAsia="zh-CN"/>
        </w:rPr>
        <w:t>或委托人</w:t>
      </w:r>
      <w:r>
        <w:rPr>
          <w:rFonts w:hint="eastAsia" w:ascii="宋体" w:hAnsi="宋体"/>
          <w:color w:val="000000"/>
          <w:sz w:val="24"/>
          <w:szCs w:val="28"/>
          <w:highlight w:val="none"/>
        </w:rPr>
        <w:t>：</w:t>
      </w:r>
      <w:r>
        <w:rPr>
          <w:rFonts w:hint="eastAsia" w:ascii="宋体" w:hAnsi="宋体"/>
          <w:color w:val="000000"/>
          <w:kern w:val="0"/>
          <w:sz w:val="24"/>
          <w:szCs w:val="24"/>
          <w:highlight w:val="none"/>
          <w:u w:val="single"/>
        </w:rPr>
        <w:t xml:space="preserve">          </w:t>
      </w:r>
      <w:r>
        <w:rPr>
          <w:rFonts w:hint="eastAsia" w:ascii="宋体" w:hAnsi="宋体"/>
          <w:color w:val="000000"/>
          <w:sz w:val="24"/>
          <w:szCs w:val="28"/>
          <w:highlight w:val="none"/>
        </w:rPr>
        <w:t>（电子签章）</w:t>
      </w:r>
    </w:p>
    <w:p w14:paraId="2DE1787F">
      <w:pPr>
        <w:rPr>
          <w:rFonts w:ascii="宋体" w:hAnsi="宋体"/>
          <w:color w:val="000000"/>
          <w:sz w:val="24"/>
          <w:szCs w:val="28"/>
          <w:highlight w:val="none"/>
        </w:rPr>
      </w:pPr>
    </w:p>
    <w:p w14:paraId="5D1B9704">
      <w:pPr>
        <w:ind w:firstLine="480" w:firstLineChars="200"/>
        <w:rPr>
          <w:rFonts w:ascii="宋体" w:hAnsi="宋体"/>
          <w:color w:val="000000"/>
          <w:sz w:val="24"/>
          <w:szCs w:val="28"/>
          <w:highlight w:val="none"/>
        </w:rPr>
      </w:pPr>
      <w:r>
        <w:rPr>
          <w:rFonts w:hint="eastAsia" w:ascii="宋体" w:hAnsi="宋体"/>
          <w:color w:val="000000"/>
          <w:sz w:val="24"/>
          <w:szCs w:val="24"/>
          <w:highlight w:val="none"/>
        </w:rPr>
        <w:t>谈判</w:t>
      </w:r>
      <w:r>
        <w:rPr>
          <w:rFonts w:hint="eastAsia" w:ascii="宋体" w:hAnsi="宋体"/>
          <w:color w:val="000000"/>
          <w:sz w:val="24"/>
          <w:szCs w:val="28"/>
          <w:highlight w:val="none"/>
        </w:rPr>
        <w:t>供应商：</w:t>
      </w:r>
      <w:r>
        <w:rPr>
          <w:rFonts w:hint="eastAsia" w:ascii="宋体" w:hAnsi="宋体"/>
          <w:color w:val="000000"/>
          <w:kern w:val="0"/>
          <w:sz w:val="24"/>
          <w:szCs w:val="24"/>
          <w:highlight w:val="none"/>
          <w:u w:val="single"/>
        </w:rPr>
        <w:t xml:space="preserve">          </w:t>
      </w:r>
      <w:r>
        <w:rPr>
          <w:rFonts w:hint="eastAsia" w:ascii="宋体" w:hAnsi="宋体"/>
          <w:color w:val="000000"/>
          <w:sz w:val="24"/>
          <w:szCs w:val="28"/>
          <w:highlight w:val="none"/>
        </w:rPr>
        <w:t>（电子签章）</w:t>
      </w:r>
    </w:p>
    <w:p w14:paraId="0F412716">
      <w:pPr>
        <w:widowControl/>
        <w:rPr>
          <w:rFonts w:ascii="宋体" w:hAnsi="宋体"/>
          <w:color w:val="000000"/>
          <w:sz w:val="24"/>
          <w:szCs w:val="28"/>
          <w:highlight w:val="none"/>
        </w:rPr>
      </w:pPr>
    </w:p>
    <w:p w14:paraId="41FA691F">
      <w:pPr>
        <w:spacing w:line="360" w:lineRule="auto"/>
        <w:ind w:left="-359" w:leftChars="-171" w:right="-334" w:rightChars="-159"/>
        <w:jc w:val="center"/>
        <w:rPr>
          <w:rFonts w:ascii="宋体" w:hAnsi="宋体" w:cs="宋体"/>
          <w:b/>
          <w:bCs/>
          <w:color w:val="000000"/>
          <w:kern w:val="10"/>
          <w:sz w:val="28"/>
          <w:szCs w:val="28"/>
          <w:highlight w:val="none"/>
        </w:rPr>
      </w:pPr>
      <w:r>
        <w:rPr>
          <w:rFonts w:hint="eastAsia" w:ascii="宋体" w:hAnsi="宋体"/>
          <w:color w:val="000000"/>
          <w:sz w:val="24"/>
          <w:szCs w:val="28"/>
          <w:highlight w:val="none"/>
        </w:rPr>
        <w:t>年  月  日</w:t>
      </w:r>
    </w:p>
    <w:p w14:paraId="06F692DA">
      <w:pPr>
        <w:spacing w:line="360" w:lineRule="auto"/>
        <w:ind w:firstLine="1680" w:firstLineChars="800"/>
        <w:rPr>
          <w:rFonts w:ascii="宋体" w:hAnsi="宋体"/>
          <w:bCs/>
          <w:color w:val="000000"/>
          <w:szCs w:val="21"/>
          <w:highlight w:val="none"/>
        </w:rPr>
      </w:pPr>
    </w:p>
    <w:p w14:paraId="5818125A">
      <w:pPr>
        <w:spacing w:line="360" w:lineRule="auto"/>
        <w:ind w:firstLine="1680" w:firstLineChars="800"/>
        <w:rPr>
          <w:rFonts w:ascii="宋体" w:hAnsi="宋体"/>
          <w:bCs/>
          <w:color w:val="000000"/>
          <w:szCs w:val="21"/>
          <w:highlight w:val="none"/>
        </w:rPr>
      </w:pPr>
    </w:p>
    <w:p w14:paraId="71A92A52">
      <w:pPr>
        <w:spacing w:line="360" w:lineRule="auto"/>
        <w:ind w:firstLine="1680" w:firstLineChars="800"/>
        <w:rPr>
          <w:rFonts w:ascii="宋体" w:hAnsi="宋体"/>
          <w:bCs/>
          <w:color w:val="000000"/>
          <w:szCs w:val="21"/>
          <w:highlight w:val="none"/>
        </w:rPr>
      </w:pPr>
    </w:p>
    <w:p w14:paraId="50C9024D">
      <w:pPr>
        <w:spacing w:line="360" w:lineRule="auto"/>
        <w:ind w:firstLine="1680" w:firstLineChars="800"/>
        <w:rPr>
          <w:rFonts w:ascii="宋体" w:hAnsi="宋体"/>
          <w:bCs/>
          <w:color w:val="000000"/>
          <w:szCs w:val="21"/>
          <w:highlight w:val="none"/>
        </w:rPr>
      </w:pPr>
    </w:p>
    <w:p w14:paraId="74C176C8">
      <w:pPr>
        <w:spacing w:line="360" w:lineRule="auto"/>
        <w:ind w:firstLine="1680" w:firstLineChars="800"/>
        <w:rPr>
          <w:rFonts w:ascii="宋体" w:hAnsi="宋体"/>
          <w:bCs/>
          <w:color w:val="000000"/>
          <w:szCs w:val="21"/>
          <w:highlight w:val="none"/>
        </w:rPr>
      </w:pPr>
    </w:p>
    <w:p w14:paraId="612B4325">
      <w:pPr>
        <w:spacing w:line="360" w:lineRule="auto"/>
        <w:ind w:right="-334" w:rightChars="-159"/>
        <w:rPr>
          <w:rFonts w:ascii="宋体" w:hAnsi="宋体"/>
          <w:bCs/>
          <w:color w:val="000000"/>
          <w:szCs w:val="21"/>
          <w:highlight w:val="none"/>
        </w:rPr>
      </w:pPr>
    </w:p>
    <w:p w14:paraId="14059FD5">
      <w:pPr>
        <w:spacing w:line="360" w:lineRule="auto"/>
        <w:ind w:right="-334" w:rightChars="-159"/>
        <w:rPr>
          <w:rFonts w:ascii="宋体" w:hAnsi="宋体"/>
          <w:bCs/>
          <w:color w:val="000000"/>
          <w:szCs w:val="21"/>
          <w:highlight w:val="none"/>
        </w:rPr>
      </w:pPr>
    </w:p>
    <w:p w14:paraId="71DBF548">
      <w:pPr>
        <w:spacing w:line="360" w:lineRule="auto"/>
        <w:ind w:right="-334" w:rightChars="-159"/>
        <w:rPr>
          <w:rFonts w:ascii="宋体" w:hAnsi="宋体"/>
          <w:bCs/>
          <w:color w:val="000000"/>
          <w:szCs w:val="21"/>
          <w:highlight w:val="none"/>
        </w:rPr>
      </w:pPr>
    </w:p>
    <w:p w14:paraId="580BEF9B">
      <w:pPr>
        <w:spacing w:line="360" w:lineRule="auto"/>
        <w:ind w:right="-334" w:rightChars="-159"/>
        <w:rPr>
          <w:rFonts w:ascii="宋体" w:hAnsi="宋体"/>
          <w:bCs/>
          <w:color w:val="000000"/>
          <w:szCs w:val="21"/>
          <w:highlight w:val="none"/>
        </w:rPr>
      </w:pPr>
    </w:p>
    <w:p w14:paraId="5948654A">
      <w:pPr>
        <w:spacing w:line="360" w:lineRule="auto"/>
        <w:ind w:right="-334" w:rightChars="-159"/>
        <w:rPr>
          <w:rFonts w:ascii="宋体" w:hAnsi="宋体"/>
          <w:bCs/>
          <w:color w:val="000000"/>
          <w:szCs w:val="21"/>
          <w:highlight w:val="none"/>
        </w:rPr>
      </w:pPr>
    </w:p>
    <w:p w14:paraId="71E9C7BE">
      <w:pPr>
        <w:spacing w:line="360" w:lineRule="auto"/>
        <w:ind w:right="-334" w:rightChars="-159"/>
        <w:rPr>
          <w:rFonts w:ascii="宋体" w:hAnsi="宋体"/>
          <w:bCs/>
          <w:color w:val="000000"/>
          <w:szCs w:val="21"/>
          <w:highlight w:val="none"/>
        </w:rPr>
      </w:pPr>
    </w:p>
    <w:bookmarkEnd w:id="183"/>
    <w:p w14:paraId="11787E95">
      <w:pPr>
        <w:spacing w:before="312" w:beforeLines="100" w:after="312" w:afterLines="100" w:line="360" w:lineRule="auto"/>
        <w:jc w:val="center"/>
        <w:outlineLvl w:val="1"/>
        <w:rPr>
          <w:rFonts w:ascii="宋体" w:hAnsi="宋体" w:cs="宋体"/>
          <w:color w:val="000000"/>
          <w:kern w:val="0"/>
          <w:sz w:val="28"/>
          <w:szCs w:val="28"/>
          <w:highlight w:val="none"/>
        </w:rPr>
      </w:pPr>
      <w:r>
        <w:rPr>
          <w:rFonts w:hint="eastAsia" w:ascii="宋体" w:hAnsi="宋体" w:cs="宋体"/>
          <w:b/>
          <w:color w:val="000000"/>
          <w:kern w:val="10"/>
          <w:sz w:val="32"/>
          <w:szCs w:val="32"/>
          <w:highlight w:val="none"/>
        </w:rPr>
        <w:t>六、</w:t>
      </w:r>
      <w:r>
        <w:rPr>
          <w:rFonts w:hint="eastAsia" w:ascii="宋体" w:hAnsi="宋体" w:cs="宋体"/>
          <w:b/>
          <w:bCs/>
          <w:color w:val="000000"/>
          <w:kern w:val="0"/>
          <w:sz w:val="36"/>
          <w:szCs w:val="36"/>
          <w:highlight w:val="none"/>
        </w:rPr>
        <w:t>享受政府采购政策扶持的证明材料</w:t>
      </w:r>
    </w:p>
    <w:p w14:paraId="6A34D8E1">
      <w:pPr>
        <w:keepNext/>
        <w:keepLines/>
        <w:spacing w:line="415" w:lineRule="auto"/>
        <w:jc w:val="center"/>
        <w:rPr>
          <w:rFonts w:ascii="宋体" w:hAnsi="宋体" w:cs="宋体"/>
          <w:b/>
          <w:bCs/>
          <w:sz w:val="28"/>
          <w:szCs w:val="28"/>
          <w:highlight w:val="none"/>
        </w:rPr>
      </w:pPr>
      <w:bookmarkStart w:id="184" w:name="_Toc144905420"/>
      <w:bookmarkStart w:id="185" w:name="_Toc116401619"/>
      <w:bookmarkStart w:id="186" w:name="_Toc3802"/>
      <w:bookmarkStart w:id="187" w:name="_Toc109465630"/>
      <w:r>
        <w:rPr>
          <w:rFonts w:hint="eastAsia" w:ascii="宋体" w:hAnsi="宋体" w:cs="宋体"/>
          <w:b/>
          <w:bCs/>
          <w:sz w:val="28"/>
          <w:szCs w:val="28"/>
          <w:highlight w:val="none"/>
        </w:rPr>
        <w:t>1、中小企业声明函</w:t>
      </w:r>
      <w:bookmarkEnd w:id="184"/>
      <w:bookmarkEnd w:id="185"/>
      <w:bookmarkEnd w:id="186"/>
      <w:bookmarkEnd w:id="187"/>
    </w:p>
    <w:p w14:paraId="54937202">
      <w:pPr>
        <w:jc w:val="center"/>
        <w:rPr>
          <w:rFonts w:ascii="宋体" w:hAnsi="宋体" w:cs="宋体"/>
          <w:b/>
          <w:bCs/>
          <w:iCs/>
          <w:sz w:val="24"/>
          <w:szCs w:val="24"/>
          <w:highlight w:val="none"/>
        </w:rPr>
      </w:pPr>
      <w:r>
        <w:rPr>
          <w:rFonts w:hint="eastAsia" w:ascii="宋体" w:hAnsi="宋体" w:cs="宋体"/>
          <w:b/>
          <w:bCs/>
          <w:iCs/>
          <w:sz w:val="24"/>
          <w:szCs w:val="24"/>
          <w:highlight w:val="none"/>
        </w:rPr>
        <w:t>（属于中小微企业的填写，不属于的无需填写此项内容）</w:t>
      </w:r>
    </w:p>
    <w:p w14:paraId="6236FF7A">
      <w:pPr>
        <w:spacing w:line="360" w:lineRule="auto"/>
        <w:ind w:firstLine="480" w:firstLineChars="200"/>
        <w:rPr>
          <w:rFonts w:ascii="宋体" w:hAnsi="宋体"/>
          <w:sz w:val="24"/>
          <w:szCs w:val="24"/>
          <w:highlight w:val="none"/>
        </w:rPr>
      </w:pPr>
    </w:p>
    <w:p w14:paraId="7BA8F8F5">
      <w:pPr>
        <w:autoSpaceDE w:val="0"/>
        <w:autoSpaceDN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本公司（联合体）郑重声明，根据《政府采购促进中小企业发展管理办法》（财库﹝2020﹞46号）的规定，本公司（联合体）参加</w:t>
      </w:r>
      <w:r>
        <w:rPr>
          <w:rFonts w:hint="eastAsia" w:ascii="宋体" w:hAnsi="宋体" w:cs="宋体"/>
          <w:kern w:val="0"/>
          <w:sz w:val="24"/>
          <w:szCs w:val="24"/>
          <w:highlight w:val="none"/>
          <w:u w:val="single"/>
        </w:rPr>
        <w:t>（单位名称）</w:t>
      </w:r>
      <w:r>
        <w:rPr>
          <w:rFonts w:hint="eastAsia" w:ascii="宋体" w:hAnsi="宋体" w:cs="宋体"/>
          <w:kern w:val="0"/>
          <w:sz w:val="24"/>
          <w:szCs w:val="24"/>
          <w:highlight w:val="none"/>
        </w:rPr>
        <w:t>的</w:t>
      </w:r>
      <w:r>
        <w:rPr>
          <w:rFonts w:hint="eastAsia" w:ascii="宋体" w:hAnsi="宋体" w:cs="宋体"/>
          <w:kern w:val="0"/>
          <w:sz w:val="24"/>
          <w:szCs w:val="24"/>
          <w:highlight w:val="none"/>
          <w:u w:val="single"/>
        </w:rPr>
        <w:t>（项目名称）</w:t>
      </w:r>
      <w:r>
        <w:rPr>
          <w:rFonts w:hint="eastAsia" w:ascii="宋体" w:hAnsi="宋体" w:cs="宋体"/>
          <w:kern w:val="0"/>
          <w:sz w:val="24"/>
          <w:szCs w:val="24"/>
          <w:highlight w:val="none"/>
        </w:rPr>
        <w:t>采购活动，提供的货物全部由符合政策要求的中小企业制造。相关企业（含联合体中的中小企业、签订分包意向协议的中小企业）的具体情况如下：</w:t>
      </w:r>
    </w:p>
    <w:p w14:paraId="053A1DAB">
      <w:pPr>
        <w:autoSpaceDE w:val="0"/>
        <w:autoSpaceDN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u w:val="single"/>
        </w:rPr>
        <w:t>（标的名称）</w:t>
      </w:r>
      <w:r>
        <w:rPr>
          <w:rFonts w:hint="eastAsia" w:ascii="宋体" w:hAnsi="宋体" w:cs="宋体"/>
          <w:kern w:val="0"/>
          <w:sz w:val="24"/>
          <w:szCs w:val="24"/>
          <w:highlight w:val="none"/>
        </w:rPr>
        <w:t xml:space="preserve">，属于 </w:t>
      </w:r>
      <w:r>
        <w:rPr>
          <w:rFonts w:hint="eastAsia" w:ascii="宋体" w:hAnsi="宋体" w:cs="宋体"/>
          <w:kern w:val="0"/>
          <w:sz w:val="24"/>
          <w:szCs w:val="24"/>
          <w:highlight w:val="none"/>
          <w:u w:val="single"/>
        </w:rPr>
        <w:t xml:space="preserve">（采购文件中明确的所属行业）  </w:t>
      </w:r>
      <w:r>
        <w:rPr>
          <w:rFonts w:hint="eastAsia" w:ascii="宋体" w:hAnsi="宋体" w:cs="宋体"/>
          <w:kern w:val="0"/>
          <w:sz w:val="24"/>
          <w:szCs w:val="24"/>
          <w:highlight w:val="none"/>
        </w:rPr>
        <w:t>行业；制造商为</w:t>
      </w:r>
      <w:r>
        <w:rPr>
          <w:rFonts w:hint="eastAsia" w:ascii="宋体" w:hAnsi="宋体" w:cs="宋体"/>
          <w:kern w:val="0"/>
          <w:sz w:val="24"/>
          <w:szCs w:val="24"/>
          <w:highlight w:val="none"/>
          <w:u w:val="single"/>
        </w:rPr>
        <w:t xml:space="preserve"> （企业名称）  </w:t>
      </w:r>
      <w:r>
        <w:rPr>
          <w:rFonts w:hint="eastAsia" w:ascii="宋体" w:hAnsi="宋体" w:cs="宋体"/>
          <w:kern w:val="0"/>
          <w:sz w:val="24"/>
          <w:szCs w:val="24"/>
          <w:highlight w:val="none"/>
        </w:rPr>
        <w:t>，从业人员</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人，营业收入为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万元，资产总额为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万元，属于</w:t>
      </w:r>
      <w:r>
        <w:rPr>
          <w:rFonts w:hint="eastAsia" w:ascii="宋体" w:hAnsi="宋体" w:cs="宋体"/>
          <w:kern w:val="0"/>
          <w:sz w:val="24"/>
          <w:szCs w:val="24"/>
          <w:highlight w:val="none"/>
          <w:u w:val="single"/>
        </w:rPr>
        <w:t xml:space="preserve"> （中型企业、小型企业、微型企业）</w:t>
      </w:r>
      <w:r>
        <w:rPr>
          <w:rFonts w:hint="eastAsia" w:ascii="宋体" w:hAnsi="宋体" w:cs="宋体"/>
          <w:kern w:val="0"/>
          <w:sz w:val="24"/>
          <w:szCs w:val="24"/>
          <w:highlight w:val="none"/>
        </w:rPr>
        <w:t xml:space="preserve"> ；</w:t>
      </w:r>
    </w:p>
    <w:p w14:paraId="63143547">
      <w:pPr>
        <w:autoSpaceDE w:val="0"/>
        <w:autoSpaceDN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u w:val="single"/>
        </w:rPr>
        <w:t>（标的名称）</w:t>
      </w:r>
      <w:r>
        <w:rPr>
          <w:rFonts w:hint="eastAsia" w:ascii="宋体" w:hAnsi="宋体" w:cs="宋体"/>
          <w:kern w:val="0"/>
          <w:sz w:val="24"/>
          <w:szCs w:val="24"/>
          <w:highlight w:val="none"/>
        </w:rPr>
        <w:t xml:space="preserve">，属于 </w:t>
      </w:r>
      <w:r>
        <w:rPr>
          <w:rFonts w:hint="eastAsia" w:ascii="宋体" w:hAnsi="宋体" w:cs="宋体"/>
          <w:kern w:val="0"/>
          <w:sz w:val="24"/>
          <w:szCs w:val="24"/>
          <w:highlight w:val="none"/>
          <w:u w:val="single"/>
        </w:rPr>
        <w:t xml:space="preserve">（采购文件中明确的所属行业）  </w:t>
      </w:r>
      <w:r>
        <w:rPr>
          <w:rFonts w:hint="eastAsia" w:ascii="宋体" w:hAnsi="宋体" w:cs="宋体"/>
          <w:kern w:val="0"/>
          <w:sz w:val="24"/>
          <w:szCs w:val="24"/>
          <w:highlight w:val="none"/>
        </w:rPr>
        <w:t>行业；制造商为</w:t>
      </w:r>
      <w:r>
        <w:rPr>
          <w:rFonts w:hint="eastAsia" w:ascii="宋体" w:hAnsi="宋体" w:cs="宋体"/>
          <w:kern w:val="0"/>
          <w:sz w:val="24"/>
          <w:szCs w:val="24"/>
          <w:highlight w:val="none"/>
          <w:u w:val="single"/>
        </w:rPr>
        <w:t xml:space="preserve"> （企业名称）  </w:t>
      </w:r>
      <w:r>
        <w:rPr>
          <w:rFonts w:hint="eastAsia" w:ascii="宋体" w:hAnsi="宋体" w:cs="宋体"/>
          <w:kern w:val="0"/>
          <w:sz w:val="24"/>
          <w:szCs w:val="24"/>
          <w:highlight w:val="none"/>
        </w:rPr>
        <w:t>，从业人员</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人，营业收入为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万元，资产总额为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万元，属于</w:t>
      </w:r>
      <w:r>
        <w:rPr>
          <w:rFonts w:hint="eastAsia" w:ascii="宋体" w:hAnsi="宋体" w:cs="宋体"/>
          <w:kern w:val="0"/>
          <w:sz w:val="24"/>
          <w:szCs w:val="24"/>
          <w:highlight w:val="none"/>
          <w:u w:val="single"/>
        </w:rPr>
        <w:t xml:space="preserve"> （中型企业、小型企业、微型企业）</w:t>
      </w:r>
      <w:r>
        <w:rPr>
          <w:rFonts w:hint="eastAsia" w:ascii="宋体" w:hAnsi="宋体" w:cs="宋体"/>
          <w:kern w:val="0"/>
          <w:sz w:val="24"/>
          <w:szCs w:val="24"/>
          <w:highlight w:val="none"/>
        </w:rPr>
        <w:t xml:space="preserve"> ；</w:t>
      </w:r>
    </w:p>
    <w:p w14:paraId="44D45811">
      <w:pPr>
        <w:autoSpaceDE w:val="0"/>
        <w:autoSpaceDN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w:t>
      </w:r>
    </w:p>
    <w:p w14:paraId="2CC69FC5">
      <w:pPr>
        <w:autoSpaceDE w:val="0"/>
        <w:autoSpaceDN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以上企业，不属于大企业的分支机构，不存在控股股东为大企业的情形，也不存在与大企业的负责人为同一人的情形。</w:t>
      </w:r>
    </w:p>
    <w:p w14:paraId="7B1D73F3">
      <w:pPr>
        <w:autoSpaceDE w:val="0"/>
        <w:autoSpaceDN w:val="0"/>
        <w:spacing w:line="360" w:lineRule="auto"/>
        <w:ind w:firstLine="480" w:firstLineChars="200"/>
        <w:rPr>
          <w:rFonts w:ascii="宋体" w:hAnsi="宋体" w:cs="宋体"/>
          <w:kern w:val="0"/>
          <w:sz w:val="24"/>
          <w:szCs w:val="24"/>
          <w:highlight w:val="none"/>
        </w:rPr>
      </w:pPr>
    </w:p>
    <w:p w14:paraId="2CC4F55C">
      <w:pPr>
        <w:autoSpaceDE w:val="0"/>
        <w:autoSpaceDN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本企业对上述声明内容的真实性负责。如有虚假，将依法承担相应责任。</w:t>
      </w:r>
    </w:p>
    <w:p w14:paraId="7BED1BBB">
      <w:pPr>
        <w:autoSpaceDE w:val="0"/>
        <w:autoSpaceDN w:val="0"/>
        <w:spacing w:line="360" w:lineRule="auto"/>
        <w:ind w:firstLine="480" w:firstLineChars="200"/>
        <w:rPr>
          <w:rFonts w:ascii="宋体" w:hAnsi="宋体" w:cs="宋体"/>
          <w:kern w:val="0"/>
          <w:sz w:val="24"/>
          <w:szCs w:val="24"/>
          <w:highlight w:val="none"/>
        </w:rPr>
      </w:pPr>
    </w:p>
    <w:p w14:paraId="1F461193">
      <w:pPr>
        <w:autoSpaceDE w:val="0"/>
        <w:autoSpaceDN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企业名称（</w:t>
      </w:r>
      <w:r>
        <w:rPr>
          <w:rFonts w:hint="eastAsia" w:ascii="宋体" w:hAnsi="宋体"/>
          <w:color w:val="000000"/>
          <w:sz w:val="24"/>
          <w:szCs w:val="28"/>
          <w:highlight w:val="none"/>
        </w:rPr>
        <w:t>电子签章</w:t>
      </w:r>
      <w:r>
        <w:rPr>
          <w:rFonts w:hint="eastAsia" w:ascii="宋体" w:hAnsi="宋体" w:cs="宋体"/>
          <w:kern w:val="0"/>
          <w:sz w:val="24"/>
          <w:szCs w:val="24"/>
          <w:highlight w:val="none"/>
        </w:rPr>
        <w:t>）：</w:t>
      </w:r>
      <w:r>
        <w:rPr>
          <w:rFonts w:hint="eastAsia" w:ascii="宋体" w:hAnsi="宋体"/>
          <w:color w:val="000000"/>
          <w:kern w:val="0"/>
          <w:sz w:val="24"/>
          <w:szCs w:val="24"/>
          <w:highlight w:val="none"/>
          <w:u w:val="single"/>
        </w:rPr>
        <w:t xml:space="preserve">          </w:t>
      </w:r>
    </w:p>
    <w:p w14:paraId="2AB97746">
      <w:pPr>
        <w:autoSpaceDE w:val="0"/>
        <w:autoSpaceDN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日期：</w:t>
      </w:r>
      <w:r>
        <w:rPr>
          <w:rFonts w:hint="eastAsia" w:ascii="宋体" w:hAnsi="宋体"/>
          <w:color w:val="000000"/>
          <w:kern w:val="0"/>
          <w:sz w:val="24"/>
          <w:szCs w:val="24"/>
          <w:highlight w:val="none"/>
          <w:u w:val="single"/>
        </w:rPr>
        <w:t xml:space="preserve">     </w:t>
      </w:r>
      <w:r>
        <w:rPr>
          <w:rFonts w:hint="eastAsia" w:ascii="宋体" w:hAnsi="宋体" w:cs="宋体"/>
          <w:kern w:val="0"/>
          <w:sz w:val="24"/>
          <w:szCs w:val="24"/>
          <w:highlight w:val="none"/>
        </w:rPr>
        <w:t>年</w:t>
      </w:r>
      <w:r>
        <w:rPr>
          <w:rFonts w:hint="eastAsia" w:ascii="宋体" w:hAnsi="宋体"/>
          <w:color w:val="000000"/>
          <w:kern w:val="0"/>
          <w:sz w:val="24"/>
          <w:szCs w:val="24"/>
          <w:highlight w:val="none"/>
          <w:u w:val="single"/>
        </w:rPr>
        <w:t xml:space="preserve">     </w:t>
      </w:r>
      <w:r>
        <w:rPr>
          <w:rFonts w:hint="eastAsia" w:ascii="宋体" w:hAnsi="宋体" w:cs="宋体"/>
          <w:kern w:val="0"/>
          <w:sz w:val="24"/>
          <w:szCs w:val="24"/>
          <w:highlight w:val="none"/>
        </w:rPr>
        <w:t>月</w:t>
      </w:r>
      <w:r>
        <w:rPr>
          <w:rFonts w:hint="eastAsia" w:ascii="宋体" w:hAnsi="宋体"/>
          <w:color w:val="000000"/>
          <w:kern w:val="0"/>
          <w:sz w:val="24"/>
          <w:szCs w:val="24"/>
          <w:highlight w:val="none"/>
          <w:u w:val="single"/>
        </w:rPr>
        <w:t xml:space="preserve">     </w:t>
      </w:r>
      <w:r>
        <w:rPr>
          <w:rFonts w:hint="eastAsia" w:ascii="宋体" w:hAnsi="宋体" w:cs="宋体"/>
          <w:kern w:val="0"/>
          <w:sz w:val="24"/>
          <w:szCs w:val="24"/>
          <w:highlight w:val="none"/>
        </w:rPr>
        <w:t>日</w:t>
      </w:r>
    </w:p>
    <w:p w14:paraId="3E840D23">
      <w:pPr>
        <w:autoSpaceDE w:val="0"/>
        <w:autoSpaceDN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说明：</w:t>
      </w:r>
    </w:p>
    <w:p w14:paraId="3E834927">
      <w:pPr>
        <w:autoSpaceDE w:val="0"/>
        <w:autoSpaceDN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1、填写前请认真阅读《财政部、工业和信息化部关于印发《政府采购促进中小企业发展管理办法》的通知（财库[2020]46 号）相关规定。</w:t>
      </w:r>
    </w:p>
    <w:p w14:paraId="5BFD2068">
      <w:pPr>
        <w:autoSpaceDE w:val="0"/>
        <w:autoSpaceDN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2、从业人员、营业收入、资产总额填报上一年度数据，无上一年度数据的新成立企业可不填报。</w:t>
      </w:r>
    </w:p>
    <w:p w14:paraId="29F9B0BF">
      <w:pPr>
        <w:autoSpaceDE w:val="0"/>
        <w:autoSpaceDN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3、未按上述要求提供、填写的，评审时不予以考虑。</w:t>
      </w:r>
    </w:p>
    <w:p w14:paraId="472CE83E">
      <w:pPr>
        <w:spacing w:line="360" w:lineRule="auto"/>
        <w:jc w:val="center"/>
        <w:rPr>
          <w:rFonts w:ascii="宋体" w:hAnsi="宋体" w:cs="宋体"/>
          <w:b/>
          <w:bCs/>
          <w:sz w:val="32"/>
          <w:szCs w:val="32"/>
          <w:highlight w:val="none"/>
        </w:rPr>
      </w:pPr>
      <w:r>
        <w:rPr>
          <w:rFonts w:ascii="宋体" w:hAnsi="宋体"/>
          <w:b/>
          <w:bCs/>
          <w:sz w:val="28"/>
          <w:szCs w:val="32"/>
          <w:highlight w:val="none"/>
        </w:rPr>
        <w:br w:type="page"/>
      </w:r>
      <w:r>
        <w:rPr>
          <w:rFonts w:hint="eastAsia" w:ascii="宋体" w:hAnsi="宋体"/>
          <w:b/>
          <w:bCs/>
          <w:sz w:val="28"/>
          <w:szCs w:val="32"/>
          <w:highlight w:val="none"/>
        </w:rPr>
        <w:t>2、</w:t>
      </w:r>
      <w:r>
        <w:rPr>
          <w:rFonts w:ascii="宋体" w:hAnsi="宋体" w:cs="宋体"/>
          <w:b/>
          <w:bCs/>
          <w:sz w:val="28"/>
          <w:szCs w:val="32"/>
          <w:highlight w:val="none"/>
        </w:rPr>
        <w:t>残疾人福利性单位声明函</w:t>
      </w:r>
    </w:p>
    <w:p w14:paraId="201D1DA1">
      <w:pPr>
        <w:jc w:val="center"/>
        <w:rPr>
          <w:rFonts w:ascii="宋体" w:hAnsi="宋体" w:cs="宋体"/>
          <w:b/>
          <w:bCs/>
          <w:iCs/>
          <w:sz w:val="24"/>
          <w:szCs w:val="24"/>
          <w:highlight w:val="none"/>
        </w:rPr>
      </w:pPr>
      <w:r>
        <w:rPr>
          <w:rFonts w:hint="eastAsia" w:ascii="宋体" w:hAnsi="宋体" w:cs="宋体"/>
          <w:b/>
          <w:bCs/>
          <w:iCs/>
          <w:sz w:val="24"/>
          <w:szCs w:val="24"/>
          <w:highlight w:val="none"/>
        </w:rPr>
        <w:t>（属于残疾人福利性单位的填写，不属于的无需填写此项内容）</w:t>
      </w:r>
    </w:p>
    <w:p w14:paraId="15864CA4">
      <w:pPr>
        <w:spacing w:line="360" w:lineRule="auto"/>
        <w:jc w:val="center"/>
        <w:rPr>
          <w:rFonts w:ascii="宋体" w:hAnsi="宋体" w:cs="宋体"/>
          <w:b/>
          <w:bCs/>
          <w:sz w:val="32"/>
          <w:szCs w:val="32"/>
          <w:highlight w:val="none"/>
        </w:rPr>
      </w:pPr>
    </w:p>
    <w:p w14:paraId="202B13A8">
      <w:pPr>
        <w:snapToGrid w:val="0"/>
        <w:spacing w:line="520" w:lineRule="exact"/>
        <w:ind w:left="1177" w:leftChars="-72" w:right="84" w:rightChars="40" w:hanging="1328" w:hangingChars="415"/>
        <w:jc w:val="center"/>
        <w:rPr>
          <w:rFonts w:ascii="宋体" w:hAnsi="宋体" w:cs="宋体"/>
          <w:sz w:val="32"/>
          <w:szCs w:val="32"/>
          <w:highlight w:val="none"/>
        </w:rPr>
      </w:pPr>
    </w:p>
    <w:p w14:paraId="19677416">
      <w:pPr>
        <w:spacing w:line="360" w:lineRule="auto"/>
        <w:ind w:firstLine="480" w:firstLineChars="200"/>
        <w:rPr>
          <w:rFonts w:ascii="Calibri" w:hAnsi="Calibri" w:cs="宋体"/>
          <w:sz w:val="24"/>
          <w:szCs w:val="24"/>
          <w:highlight w:val="none"/>
        </w:rPr>
      </w:pPr>
      <w:r>
        <w:rPr>
          <w:rFonts w:ascii="Calibri" w:hAnsi="Calibri" w:cs="宋体"/>
          <w:sz w:val="24"/>
          <w:szCs w:val="24"/>
          <w:highlight w:val="none"/>
        </w:rPr>
        <w:t>本单位郑重声明，根据《财政部 民政部 中国残疾人联合会关于促进残疾人就业政府采购政策的通知》（财库</w:t>
      </w:r>
      <w:r>
        <w:rPr>
          <w:rFonts w:ascii="宋体" w:hAnsi="宋体" w:cs="宋体"/>
          <w:sz w:val="24"/>
          <w:szCs w:val="24"/>
          <w:highlight w:val="none"/>
        </w:rPr>
        <w:t>〔2017〕 141</w:t>
      </w:r>
      <w:r>
        <w:rPr>
          <w:rFonts w:ascii="Calibri" w:hAnsi="Calibri" w:cs="宋体"/>
          <w:sz w:val="24"/>
          <w:szCs w:val="24"/>
          <w:highlight w:val="none"/>
        </w:rPr>
        <w:t>号）的规定，本单位为符合条件的残疾人福利性单位，且本单位参加______单位的______项目采购活动，</w:t>
      </w:r>
      <w:r>
        <w:rPr>
          <w:rFonts w:hint="eastAsia" w:ascii="Calibri" w:hAnsi="Calibri" w:cs="宋体"/>
          <w:sz w:val="24"/>
          <w:szCs w:val="24"/>
          <w:highlight w:val="none"/>
        </w:rPr>
        <w:t>提供本</w:t>
      </w:r>
      <w:r>
        <w:rPr>
          <w:rFonts w:ascii="Calibri" w:hAnsi="Calibri" w:cs="宋体"/>
          <w:sz w:val="24"/>
          <w:szCs w:val="24"/>
          <w:highlight w:val="none"/>
        </w:rPr>
        <w:t>单位制造的货物</w:t>
      </w:r>
      <w:r>
        <w:rPr>
          <w:rFonts w:hint="eastAsia" w:ascii="Calibri" w:hAnsi="Calibri" w:cs="宋体"/>
          <w:sz w:val="24"/>
          <w:szCs w:val="24"/>
          <w:highlight w:val="none"/>
        </w:rPr>
        <w:t>，</w:t>
      </w:r>
      <w:r>
        <w:rPr>
          <w:rFonts w:ascii="Calibri" w:hAnsi="Calibri" w:cs="宋体"/>
          <w:sz w:val="24"/>
          <w:szCs w:val="24"/>
          <w:highlight w:val="none"/>
        </w:rPr>
        <w:t>或者提供其他残疾人福利性单位制造的货物（</w:t>
      </w:r>
      <w:r>
        <w:rPr>
          <w:rFonts w:hint="eastAsia" w:ascii="Calibri" w:hAnsi="Calibri" w:cs="宋体"/>
          <w:sz w:val="24"/>
          <w:szCs w:val="24"/>
          <w:highlight w:val="none"/>
        </w:rPr>
        <w:t>不</w:t>
      </w:r>
      <w:r>
        <w:rPr>
          <w:rFonts w:ascii="Calibri" w:hAnsi="Calibri" w:cs="宋体"/>
          <w:sz w:val="24"/>
          <w:szCs w:val="24"/>
          <w:highlight w:val="none"/>
        </w:rPr>
        <w:t>包括使用非残疾人福利性单位注册商标的货物）。</w:t>
      </w:r>
    </w:p>
    <w:p w14:paraId="3E95187D">
      <w:pPr>
        <w:spacing w:line="360" w:lineRule="auto"/>
        <w:ind w:firstLine="480" w:firstLineChars="200"/>
        <w:rPr>
          <w:rFonts w:ascii="宋体" w:hAnsi="宋体" w:cs="宋体"/>
          <w:b/>
          <w:bCs/>
          <w:sz w:val="32"/>
          <w:szCs w:val="32"/>
          <w:highlight w:val="none"/>
        </w:rPr>
      </w:pPr>
      <w:r>
        <w:rPr>
          <w:rFonts w:ascii="Calibri" w:hAnsi="Calibri" w:cs="宋体"/>
          <w:sz w:val="24"/>
          <w:szCs w:val="24"/>
          <w:highlight w:val="none"/>
        </w:rPr>
        <w:t>本单位对上述声明的真实性负责。如有虚假，将依法承担相应责任。</w:t>
      </w:r>
    </w:p>
    <w:p w14:paraId="44629FD0">
      <w:pPr>
        <w:spacing w:line="360" w:lineRule="auto"/>
        <w:jc w:val="center"/>
        <w:rPr>
          <w:rFonts w:ascii="宋体" w:hAnsi="宋体" w:cs="宋体"/>
          <w:b/>
          <w:bCs/>
          <w:sz w:val="32"/>
          <w:szCs w:val="32"/>
          <w:highlight w:val="none"/>
        </w:rPr>
      </w:pPr>
    </w:p>
    <w:p w14:paraId="69FB6084">
      <w:pPr>
        <w:autoSpaceDE w:val="0"/>
        <w:autoSpaceDN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企业名称（</w:t>
      </w:r>
      <w:r>
        <w:rPr>
          <w:rFonts w:hint="eastAsia" w:ascii="宋体" w:hAnsi="宋体"/>
          <w:color w:val="000000"/>
          <w:sz w:val="24"/>
          <w:szCs w:val="28"/>
          <w:highlight w:val="none"/>
        </w:rPr>
        <w:t>电子签章</w:t>
      </w:r>
      <w:r>
        <w:rPr>
          <w:rFonts w:hint="eastAsia" w:ascii="宋体" w:hAnsi="宋体" w:cs="宋体"/>
          <w:kern w:val="0"/>
          <w:sz w:val="24"/>
          <w:szCs w:val="24"/>
          <w:highlight w:val="none"/>
        </w:rPr>
        <w:t>）：</w:t>
      </w:r>
      <w:r>
        <w:rPr>
          <w:rFonts w:hint="eastAsia" w:ascii="宋体" w:hAnsi="宋体"/>
          <w:color w:val="000000"/>
          <w:kern w:val="0"/>
          <w:sz w:val="24"/>
          <w:szCs w:val="24"/>
          <w:highlight w:val="none"/>
          <w:u w:val="single"/>
        </w:rPr>
        <w:t xml:space="preserve">          </w:t>
      </w:r>
    </w:p>
    <w:p w14:paraId="7EF01570">
      <w:pPr>
        <w:autoSpaceDE w:val="0"/>
        <w:autoSpaceDN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日期：</w:t>
      </w:r>
      <w:r>
        <w:rPr>
          <w:rFonts w:hint="eastAsia" w:ascii="宋体" w:hAnsi="宋体"/>
          <w:color w:val="000000"/>
          <w:kern w:val="0"/>
          <w:sz w:val="24"/>
          <w:szCs w:val="24"/>
          <w:highlight w:val="none"/>
          <w:u w:val="single"/>
        </w:rPr>
        <w:t xml:space="preserve">     </w:t>
      </w:r>
      <w:r>
        <w:rPr>
          <w:rFonts w:hint="eastAsia" w:ascii="宋体" w:hAnsi="宋体" w:cs="宋体"/>
          <w:kern w:val="0"/>
          <w:sz w:val="24"/>
          <w:szCs w:val="24"/>
          <w:highlight w:val="none"/>
        </w:rPr>
        <w:t>年</w:t>
      </w:r>
      <w:r>
        <w:rPr>
          <w:rFonts w:hint="eastAsia" w:ascii="宋体" w:hAnsi="宋体"/>
          <w:color w:val="000000"/>
          <w:kern w:val="0"/>
          <w:sz w:val="24"/>
          <w:szCs w:val="24"/>
          <w:highlight w:val="none"/>
          <w:u w:val="single"/>
        </w:rPr>
        <w:t xml:space="preserve">     </w:t>
      </w:r>
      <w:r>
        <w:rPr>
          <w:rFonts w:hint="eastAsia" w:ascii="宋体" w:hAnsi="宋体" w:cs="宋体"/>
          <w:kern w:val="0"/>
          <w:sz w:val="24"/>
          <w:szCs w:val="24"/>
          <w:highlight w:val="none"/>
        </w:rPr>
        <w:t>月</w:t>
      </w:r>
      <w:r>
        <w:rPr>
          <w:rFonts w:hint="eastAsia" w:ascii="宋体" w:hAnsi="宋体"/>
          <w:color w:val="000000"/>
          <w:kern w:val="0"/>
          <w:sz w:val="24"/>
          <w:szCs w:val="24"/>
          <w:highlight w:val="none"/>
          <w:u w:val="single"/>
        </w:rPr>
        <w:t xml:space="preserve">     </w:t>
      </w:r>
      <w:r>
        <w:rPr>
          <w:rFonts w:hint="eastAsia" w:ascii="宋体" w:hAnsi="宋体" w:cs="宋体"/>
          <w:kern w:val="0"/>
          <w:sz w:val="24"/>
          <w:szCs w:val="24"/>
          <w:highlight w:val="none"/>
        </w:rPr>
        <w:t>日</w:t>
      </w:r>
    </w:p>
    <w:p w14:paraId="40B4E955">
      <w:pPr>
        <w:spacing w:line="400" w:lineRule="exact"/>
        <w:jc w:val="center"/>
        <w:rPr>
          <w:rFonts w:ascii="宋体" w:hAnsi="宋体"/>
          <w:bCs/>
          <w:color w:val="000000"/>
          <w:sz w:val="32"/>
          <w:szCs w:val="24"/>
          <w:highlight w:val="none"/>
        </w:rPr>
      </w:pPr>
    </w:p>
    <w:p w14:paraId="5CF1CFA6">
      <w:pPr>
        <w:pStyle w:val="7"/>
        <w:ind w:firstLine="640"/>
        <w:rPr>
          <w:rFonts w:ascii="宋体" w:hAnsi="宋体"/>
          <w:bCs/>
          <w:color w:val="000000"/>
          <w:sz w:val="32"/>
          <w:szCs w:val="24"/>
          <w:highlight w:val="none"/>
        </w:rPr>
      </w:pPr>
    </w:p>
    <w:p w14:paraId="2269B0C6">
      <w:pPr>
        <w:pStyle w:val="7"/>
        <w:ind w:firstLine="640"/>
        <w:rPr>
          <w:rFonts w:ascii="宋体" w:hAnsi="宋体"/>
          <w:bCs/>
          <w:color w:val="000000"/>
          <w:sz w:val="32"/>
          <w:szCs w:val="24"/>
          <w:highlight w:val="none"/>
        </w:rPr>
      </w:pPr>
    </w:p>
    <w:p w14:paraId="2D2C9E49">
      <w:pPr>
        <w:pStyle w:val="7"/>
        <w:ind w:firstLine="640"/>
        <w:rPr>
          <w:rFonts w:ascii="宋体" w:hAnsi="宋体"/>
          <w:bCs/>
          <w:color w:val="000000"/>
          <w:sz w:val="32"/>
          <w:szCs w:val="24"/>
          <w:highlight w:val="none"/>
        </w:rPr>
      </w:pPr>
    </w:p>
    <w:p w14:paraId="6E25360B">
      <w:pPr>
        <w:pStyle w:val="7"/>
        <w:ind w:firstLine="640"/>
        <w:rPr>
          <w:rFonts w:ascii="宋体" w:hAnsi="宋体"/>
          <w:bCs/>
          <w:color w:val="000000"/>
          <w:sz w:val="32"/>
          <w:szCs w:val="24"/>
          <w:highlight w:val="none"/>
        </w:rPr>
      </w:pPr>
    </w:p>
    <w:p w14:paraId="3FEEFDB8">
      <w:pPr>
        <w:pStyle w:val="7"/>
        <w:ind w:firstLine="640"/>
        <w:rPr>
          <w:rFonts w:ascii="宋体" w:hAnsi="宋体"/>
          <w:bCs/>
          <w:color w:val="000000"/>
          <w:sz w:val="32"/>
          <w:szCs w:val="24"/>
          <w:highlight w:val="none"/>
        </w:rPr>
      </w:pPr>
    </w:p>
    <w:p w14:paraId="22129208">
      <w:pPr>
        <w:pStyle w:val="7"/>
        <w:ind w:firstLine="640"/>
        <w:rPr>
          <w:rFonts w:ascii="宋体" w:hAnsi="宋体"/>
          <w:bCs/>
          <w:color w:val="000000"/>
          <w:sz w:val="32"/>
          <w:szCs w:val="24"/>
          <w:highlight w:val="none"/>
        </w:rPr>
      </w:pPr>
    </w:p>
    <w:p w14:paraId="2F305068">
      <w:pPr>
        <w:pStyle w:val="7"/>
        <w:ind w:firstLine="640"/>
        <w:rPr>
          <w:rFonts w:ascii="宋体" w:hAnsi="宋体"/>
          <w:bCs/>
          <w:color w:val="000000"/>
          <w:sz w:val="32"/>
          <w:szCs w:val="24"/>
          <w:highlight w:val="none"/>
        </w:rPr>
      </w:pPr>
    </w:p>
    <w:p w14:paraId="70DC93A7">
      <w:pPr>
        <w:pStyle w:val="7"/>
        <w:ind w:firstLine="640"/>
        <w:rPr>
          <w:rFonts w:ascii="宋体" w:hAnsi="宋体"/>
          <w:bCs/>
          <w:color w:val="000000"/>
          <w:sz w:val="32"/>
          <w:szCs w:val="24"/>
          <w:highlight w:val="none"/>
        </w:rPr>
      </w:pPr>
    </w:p>
    <w:p w14:paraId="6FE1AB30">
      <w:pPr>
        <w:pStyle w:val="7"/>
        <w:ind w:firstLine="640"/>
        <w:rPr>
          <w:rFonts w:ascii="宋体" w:hAnsi="宋体"/>
          <w:bCs/>
          <w:color w:val="000000"/>
          <w:sz w:val="32"/>
          <w:szCs w:val="24"/>
          <w:highlight w:val="none"/>
        </w:rPr>
      </w:pPr>
    </w:p>
    <w:p w14:paraId="5E3E3B03">
      <w:pPr>
        <w:pStyle w:val="7"/>
        <w:ind w:firstLine="640"/>
        <w:rPr>
          <w:rFonts w:ascii="宋体" w:hAnsi="宋体"/>
          <w:bCs/>
          <w:color w:val="000000"/>
          <w:sz w:val="32"/>
          <w:szCs w:val="24"/>
          <w:highlight w:val="none"/>
        </w:rPr>
      </w:pPr>
    </w:p>
    <w:p w14:paraId="2049327D">
      <w:pPr>
        <w:pStyle w:val="7"/>
        <w:ind w:firstLine="640"/>
        <w:rPr>
          <w:rFonts w:ascii="宋体" w:hAnsi="宋体"/>
          <w:bCs/>
          <w:color w:val="000000"/>
          <w:sz w:val="32"/>
          <w:szCs w:val="24"/>
          <w:highlight w:val="none"/>
        </w:rPr>
      </w:pPr>
    </w:p>
    <w:p w14:paraId="09D78EEB">
      <w:pPr>
        <w:pStyle w:val="7"/>
        <w:ind w:firstLine="640"/>
        <w:rPr>
          <w:rFonts w:ascii="宋体" w:hAnsi="宋体"/>
          <w:bCs/>
          <w:color w:val="000000"/>
          <w:sz w:val="32"/>
          <w:szCs w:val="24"/>
          <w:highlight w:val="none"/>
        </w:rPr>
      </w:pPr>
    </w:p>
    <w:p w14:paraId="4DEA7954">
      <w:pPr>
        <w:pStyle w:val="7"/>
        <w:ind w:firstLine="640"/>
        <w:rPr>
          <w:rFonts w:ascii="宋体" w:hAnsi="宋体"/>
          <w:bCs/>
          <w:color w:val="000000"/>
          <w:sz w:val="32"/>
          <w:szCs w:val="24"/>
          <w:highlight w:val="none"/>
        </w:rPr>
      </w:pPr>
    </w:p>
    <w:p w14:paraId="1AEEE2DA">
      <w:pPr>
        <w:pStyle w:val="7"/>
        <w:ind w:firstLine="640"/>
        <w:rPr>
          <w:rFonts w:ascii="宋体" w:hAnsi="宋体"/>
          <w:bCs/>
          <w:color w:val="000000"/>
          <w:sz w:val="32"/>
          <w:szCs w:val="24"/>
          <w:highlight w:val="none"/>
        </w:rPr>
      </w:pPr>
    </w:p>
    <w:p w14:paraId="17A023C6">
      <w:pPr>
        <w:spacing w:line="400" w:lineRule="exact"/>
        <w:jc w:val="center"/>
        <w:rPr>
          <w:rFonts w:ascii="宋体" w:hAnsi="宋体"/>
          <w:bCs/>
          <w:color w:val="000000"/>
          <w:sz w:val="32"/>
          <w:szCs w:val="24"/>
          <w:highlight w:val="none"/>
        </w:rPr>
      </w:pPr>
      <w:r>
        <w:rPr>
          <w:rFonts w:hint="eastAsia" w:ascii="宋体" w:hAnsi="宋体"/>
          <w:bCs/>
          <w:color w:val="000000"/>
          <w:sz w:val="32"/>
          <w:szCs w:val="24"/>
          <w:highlight w:val="none"/>
        </w:rPr>
        <w:t>七、投标供应商认为应附的其它相关资料</w:t>
      </w:r>
    </w:p>
    <w:p w14:paraId="1514993C">
      <w:pPr>
        <w:rPr>
          <w:color w:val="000000"/>
          <w:highlight w:val="none"/>
        </w:rPr>
      </w:pPr>
    </w:p>
    <w:p w14:paraId="6E3FE274">
      <w:pPr>
        <w:widowControl/>
        <w:jc w:val="center"/>
        <w:rPr>
          <w:rFonts w:asciiTheme="minorEastAsia" w:hAnsiTheme="minorEastAsia" w:eastAsiaTheme="minorEastAsia" w:cstheme="minorEastAsia"/>
          <w:b/>
          <w:color w:val="000000" w:themeColor="text1"/>
          <w:sz w:val="24"/>
          <w:szCs w:val="21"/>
          <w:highlight w:val="none"/>
          <w14:textFill>
            <w14:solidFill>
              <w14:schemeClr w14:val="tx1"/>
            </w14:solidFill>
          </w14:textFill>
        </w:rPr>
      </w:pPr>
    </w:p>
    <w:p w14:paraId="7367518B">
      <w:pPr>
        <w:rPr>
          <w:highlight w:val="none"/>
        </w:rPr>
      </w:pPr>
    </w:p>
    <w:sectPr>
      <w:pgSz w:w="11906" w:h="16838"/>
      <w:pgMar w:top="720" w:right="720" w:bottom="720" w:left="7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06292">
    <w:pPr>
      <w:pStyle w:val="15"/>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2038">
    <w:pPr>
      <w:pStyle w:val="15"/>
      <w:jc w:val="righ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13E94">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F213E94">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4D36B">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46A5D">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7F46A5D">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ED5C4">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2F928">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647D5"/>
    <w:multiLevelType w:val="multilevel"/>
    <w:tmpl w:val="C77647D5"/>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0000000D"/>
    <w:multiLevelType w:val="singleLevel"/>
    <w:tmpl w:val="0000000D"/>
    <w:lvl w:ilvl="0" w:tentative="0">
      <w:start w:val="1"/>
      <w:numFmt w:val="upperLetter"/>
      <w:pStyle w:val="3"/>
      <w:lvlText w:val="%1、"/>
      <w:lvlJc w:val="left"/>
      <w:pPr>
        <w:tabs>
          <w:tab w:val="left" w:pos="1755"/>
        </w:tabs>
        <w:ind w:left="1755" w:hanging="480"/>
      </w:pPr>
      <w:rPr>
        <w:rFonts w:hint="eastAsia"/>
      </w:rPr>
    </w:lvl>
  </w:abstractNum>
  <w:abstractNum w:abstractNumId="2">
    <w:nsid w:val="49656203"/>
    <w:multiLevelType w:val="singleLevel"/>
    <w:tmpl w:val="49656203"/>
    <w:lvl w:ilvl="0" w:tentative="0">
      <w:start w:val="3"/>
      <w:numFmt w:val="chineseCounting"/>
      <w:suff w:val="nothing"/>
      <w:lvlText w:val="%1、"/>
      <w:lvlJc w:val="left"/>
      <w:rPr>
        <w:rFonts w:hint="eastAsia"/>
      </w:rPr>
    </w:lvl>
  </w:abstractNum>
  <w:abstractNum w:abstractNumId="3">
    <w:nsid w:val="4F3FF634"/>
    <w:multiLevelType w:val="singleLevel"/>
    <w:tmpl w:val="4F3FF634"/>
    <w:lvl w:ilvl="0" w:tentative="0">
      <w:start w:val="2"/>
      <w:numFmt w:val="decimal"/>
      <w:lvlText w:val="%1."/>
      <w:lvlJc w:val="left"/>
      <w:pPr>
        <w:tabs>
          <w:tab w:val="left" w:pos="312"/>
        </w:tabs>
      </w:pPr>
    </w:lvl>
  </w:abstractNum>
  <w:abstractNum w:abstractNumId="4">
    <w:nsid w:val="6D3D3814"/>
    <w:multiLevelType w:val="singleLevel"/>
    <w:tmpl w:val="6D3D3814"/>
    <w:lvl w:ilvl="0" w:tentative="0">
      <w:start w:val="1"/>
      <w:numFmt w:val="decimal"/>
      <w:suff w:val="nothing"/>
      <w:lvlText w:val="%1、"/>
      <w:lvlJc w:val="left"/>
      <w:pPr>
        <w:ind w:left="15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1jGL+i2GfzS9AW64AqDqpO2Iz/o=" w:salt="H8q/8HKxcH7EEgN/GuIe/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OWI0ZDI2YmI3NTVlZjM2ZmU2OTAwMGI3MzNjOTgifQ=="/>
  </w:docVars>
  <w:rsids>
    <w:rsidRoot w:val="026F20D9"/>
    <w:rsid w:val="001F4C9E"/>
    <w:rsid w:val="002948F1"/>
    <w:rsid w:val="002E18B6"/>
    <w:rsid w:val="00311464"/>
    <w:rsid w:val="004B227D"/>
    <w:rsid w:val="00500C94"/>
    <w:rsid w:val="0050542B"/>
    <w:rsid w:val="00531A2E"/>
    <w:rsid w:val="00630F85"/>
    <w:rsid w:val="00711350"/>
    <w:rsid w:val="0087592F"/>
    <w:rsid w:val="00890A68"/>
    <w:rsid w:val="00AD2445"/>
    <w:rsid w:val="00BC0DB6"/>
    <w:rsid w:val="00CB703E"/>
    <w:rsid w:val="00D30728"/>
    <w:rsid w:val="00EE29B0"/>
    <w:rsid w:val="00EE2C88"/>
    <w:rsid w:val="00F22A3D"/>
    <w:rsid w:val="00F22AB4"/>
    <w:rsid w:val="00F76967"/>
    <w:rsid w:val="00FA041E"/>
    <w:rsid w:val="010263B2"/>
    <w:rsid w:val="026F20D9"/>
    <w:rsid w:val="035F602C"/>
    <w:rsid w:val="0970184A"/>
    <w:rsid w:val="0A0010F3"/>
    <w:rsid w:val="0B705B32"/>
    <w:rsid w:val="0BDD515C"/>
    <w:rsid w:val="0C4750AC"/>
    <w:rsid w:val="0C692CAD"/>
    <w:rsid w:val="0EF3685E"/>
    <w:rsid w:val="10C009C2"/>
    <w:rsid w:val="10ED1D02"/>
    <w:rsid w:val="116E7C0D"/>
    <w:rsid w:val="11926E5A"/>
    <w:rsid w:val="14027543"/>
    <w:rsid w:val="14A4662A"/>
    <w:rsid w:val="14C6541E"/>
    <w:rsid w:val="14F450DE"/>
    <w:rsid w:val="16223ECC"/>
    <w:rsid w:val="18534811"/>
    <w:rsid w:val="1A536B67"/>
    <w:rsid w:val="1A575A5E"/>
    <w:rsid w:val="1D1249A1"/>
    <w:rsid w:val="1DCC2A41"/>
    <w:rsid w:val="1EE937D9"/>
    <w:rsid w:val="1F0A69C2"/>
    <w:rsid w:val="275E1091"/>
    <w:rsid w:val="28F434A6"/>
    <w:rsid w:val="29B35110"/>
    <w:rsid w:val="2AC11AAE"/>
    <w:rsid w:val="2BE07D12"/>
    <w:rsid w:val="2C2C5196"/>
    <w:rsid w:val="2CDC111A"/>
    <w:rsid w:val="2CEE645F"/>
    <w:rsid w:val="2D1D4A94"/>
    <w:rsid w:val="2D9D1BF2"/>
    <w:rsid w:val="321F7EEF"/>
    <w:rsid w:val="332E2319"/>
    <w:rsid w:val="34F12F90"/>
    <w:rsid w:val="35150A2C"/>
    <w:rsid w:val="357E0CC8"/>
    <w:rsid w:val="35EF5721"/>
    <w:rsid w:val="376161AB"/>
    <w:rsid w:val="387851C3"/>
    <w:rsid w:val="3C447E49"/>
    <w:rsid w:val="3E497999"/>
    <w:rsid w:val="3FB67426"/>
    <w:rsid w:val="401144E6"/>
    <w:rsid w:val="447B1E9B"/>
    <w:rsid w:val="46541B0B"/>
    <w:rsid w:val="470D1EAB"/>
    <w:rsid w:val="49E8275C"/>
    <w:rsid w:val="51856AE2"/>
    <w:rsid w:val="536A5F90"/>
    <w:rsid w:val="54A454D1"/>
    <w:rsid w:val="5AEB3E5A"/>
    <w:rsid w:val="5CAF1CBD"/>
    <w:rsid w:val="5FF217E7"/>
    <w:rsid w:val="5FF437B1"/>
    <w:rsid w:val="602F2A3B"/>
    <w:rsid w:val="624034C1"/>
    <w:rsid w:val="64162693"/>
    <w:rsid w:val="65B84B94"/>
    <w:rsid w:val="66E00D35"/>
    <w:rsid w:val="69931944"/>
    <w:rsid w:val="6A1A6CA6"/>
    <w:rsid w:val="6D7F4945"/>
    <w:rsid w:val="70F96E79"/>
    <w:rsid w:val="73DA21D9"/>
    <w:rsid w:val="74746816"/>
    <w:rsid w:val="759F3F48"/>
    <w:rsid w:val="7630676D"/>
    <w:rsid w:val="76E42757"/>
    <w:rsid w:val="774973AC"/>
    <w:rsid w:val="775F555C"/>
    <w:rsid w:val="78A84CE1"/>
    <w:rsid w:val="78BF6EB8"/>
    <w:rsid w:val="79EE3104"/>
    <w:rsid w:val="7A245426"/>
    <w:rsid w:val="7A6F3D08"/>
    <w:rsid w:val="7A917D58"/>
    <w:rsid w:val="7AA710B9"/>
    <w:rsid w:val="7CB63E0B"/>
    <w:rsid w:val="7DB8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numPr>
        <w:ilvl w:val="0"/>
        <w:numId w:val="1"/>
      </w:numPr>
      <w:outlineLvl w:val="0"/>
    </w:pPr>
    <w:rPr>
      <w:sz w:val="28"/>
    </w:rPr>
  </w:style>
  <w:style w:type="paragraph" w:styleId="4">
    <w:name w:val="heading 2"/>
    <w:basedOn w:val="1"/>
    <w:next w:val="1"/>
    <w:link w:val="43"/>
    <w:qFormat/>
    <w:uiPriority w:val="0"/>
    <w:pPr>
      <w:keepNext/>
      <w:jc w:val="center"/>
      <w:outlineLvl w:val="1"/>
    </w:pPr>
    <w:rPr>
      <w:sz w:val="28"/>
      <w:szCs w:val="21"/>
    </w:rPr>
  </w:style>
  <w:style w:type="paragraph" w:styleId="5">
    <w:name w:val="heading 3"/>
    <w:basedOn w:val="4"/>
    <w:next w:val="1"/>
    <w:unhideWhenUsed/>
    <w:qFormat/>
    <w:uiPriority w:val="0"/>
    <w:pPr>
      <w:keepLines/>
      <w:numPr>
        <w:ilvl w:val="2"/>
        <w:numId w:val="2"/>
      </w:numPr>
      <w:spacing w:before="260" w:after="260" w:line="413" w:lineRule="auto"/>
      <w:outlineLvl w:val="2"/>
    </w:pPr>
  </w:style>
  <w:style w:type="paragraph" w:styleId="6">
    <w:name w:val="heading 4"/>
    <w:basedOn w:val="1"/>
    <w:next w:val="1"/>
    <w:unhideWhenUsed/>
    <w:qFormat/>
    <w:uiPriority w:val="0"/>
    <w:pPr>
      <w:keepNext/>
      <w:keepLines/>
      <w:numPr>
        <w:ilvl w:val="3"/>
        <w:numId w:val="2"/>
      </w:numPr>
      <w:spacing w:before="280" w:after="290" w:line="372" w:lineRule="auto"/>
      <w:outlineLvl w:val="3"/>
    </w:pPr>
    <w:rPr>
      <w:rFonts w:ascii="Arial" w:hAnsi="Arial"/>
      <w:b/>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仿宋_GB2312"/>
      <w:sz w:val="24"/>
      <w:szCs w:val="24"/>
      <w:shd w:val="pct20" w:color="auto" w:fill="auto"/>
    </w:rPr>
  </w:style>
  <w:style w:type="paragraph" w:styleId="7">
    <w:name w:val="Normal Indent"/>
    <w:basedOn w:val="1"/>
    <w:qFormat/>
    <w:uiPriority w:val="0"/>
    <w:pPr>
      <w:ind w:firstLine="420" w:firstLineChars="200"/>
    </w:pPr>
  </w:style>
  <w:style w:type="paragraph" w:styleId="8">
    <w:name w:val="Body Text"/>
    <w:basedOn w:val="1"/>
    <w:next w:val="9"/>
    <w:unhideWhenUsed/>
    <w:qFormat/>
    <w:uiPriority w:val="99"/>
    <w:pPr>
      <w:spacing w:line="360" w:lineRule="auto"/>
    </w:pPr>
    <w:rPr>
      <w:rFonts w:ascii="黑体" w:hAnsi="黑体"/>
      <w:sz w:val="24"/>
    </w:rPr>
  </w:style>
  <w:style w:type="paragraph" w:styleId="9">
    <w:name w:val="Body Text 2"/>
    <w:basedOn w:val="1"/>
    <w:next w:val="10"/>
    <w:qFormat/>
    <w:uiPriority w:val="0"/>
    <w:pPr>
      <w:spacing w:after="120" w:line="480" w:lineRule="auto"/>
    </w:pPr>
  </w:style>
  <w:style w:type="paragraph" w:styleId="10">
    <w:name w:val="Plain Text"/>
    <w:basedOn w:val="1"/>
    <w:next w:val="11"/>
    <w:qFormat/>
    <w:uiPriority w:val="0"/>
    <w:rPr>
      <w:sz w:val="28"/>
    </w:rPr>
  </w:style>
  <w:style w:type="paragraph" w:styleId="11">
    <w:name w:val="index 7"/>
    <w:basedOn w:val="1"/>
    <w:next w:val="1"/>
    <w:unhideWhenUsed/>
    <w:qFormat/>
    <w:uiPriority w:val="99"/>
    <w:pPr>
      <w:ind w:left="1200" w:leftChars="1200"/>
    </w:pPr>
  </w:style>
  <w:style w:type="paragraph" w:styleId="12">
    <w:name w:val="Body Text Indent"/>
    <w:basedOn w:val="1"/>
    <w:next w:val="13"/>
    <w:qFormat/>
    <w:uiPriority w:val="0"/>
    <w:pPr>
      <w:spacing w:line="480" w:lineRule="exact"/>
      <w:ind w:firstLine="570"/>
    </w:pPr>
    <w:rPr>
      <w:sz w:val="28"/>
    </w:rPr>
  </w:style>
  <w:style w:type="paragraph" w:styleId="13">
    <w:name w:val="envelope return"/>
    <w:basedOn w:val="1"/>
    <w:qFormat/>
    <w:uiPriority w:val="0"/>
    <w:pPr>
      <w:snapToGrid w:val="0"/>
    </w:pPr>
    <w:rPr>
      <w:rFonts w:ascii="Arial" w:hAnsi="Arial"/>
    </w:rPr>
  </w:style>
  <w:style w:type="paragraph" w:styleId="14">
    <w:name w:val="Balloon Text"/>
    <w:basedOn w:val="1"/>
    <w:link w:val="49"/>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style>
  <w:style w:type="paragraph" w:styleId="18">
    <w:name w:val="Normal (Web)"/>
    <w:basedOn w:val="1"/>
    <w:qFormat/>
    <w:uiPriority w:val="0"/>
    <w:pPr>
      <w:jc w:val="left"/>
    </w:pPr>
    <w:rPr>
      <w:kern w:val="0"/>
      <w:sz w:val="24"/>
    </w:rPr>
  </w:style>
  <w:style w:type="paragraph" w:styleId="19">
    <w:name w:val="Body Text First Indent"/>
    <w:basedOn w:val="1"/>
    <w:next w:val="20"/>
    <w:qFormat/>
    <w:uiPriority w:val="0"/>
    <w:pPr>
      <w:ind w:firstLine="420"/>
    </w:pPr>
    <w:rPr>
      <w:sz w:val="32"/>
    </w:rPr>
  </w:style>
  <w:style w:type="paragraph" w:styleId="20">
    <w:name w:val="Body Text First Indent 2"/>
    <w:basedOn w:val="1"/>
    <w:next w:val="1"/>
    <w:qFormat/>
    <w:uiPriority w:val="0"/>
    <w:pPr>
      <w:ind w:firstLine="20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FollowedHyperlink"/>
    <w:basedOn w:val="23"/>
    <w:qFormat/>
    <w:uiPriority w:val="0"/>
    <w:rPr>
      <w:color w:val="800080"/>
      <w:u w:val="none"/>
    </w:rPr>
  </w:style>
  <w:style w:type="character" w:styleId="26">
    <w:name w:val="Emphasis"/>
    <w:basedOn w:val="23"/>
    <w:qFormat/>
    <w:uiPriority w:val="0"/>
    <w:rPr>
      <w:b/>
    </w:rPr>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qFormat/>
    <w:uiPriority w:val="0"/>
    <w:rPr>
      <w:color w:val="0000FF"/>
      <w:u w:val="none"/>
    </w:rPr>
  </w:style>
  <w:style w:type="character" w:styleId="32">
    <w:name w:val="HTML Code"/>
    <w:basedOn w:val="23"/>
    <w:qFormat/>
    <w:uiPriority w:val="0"/>
    <w:rPr>
      <w:rFonts w:ascii="monospace" w:hAnsi="monospace" w:eastAsia="monospace" w:cs="monospace"/>
      <w:sz w:val="20"/>
    </w:rPr>
  </w:style>
  <w:style w:type="character" w:styleId="33">
    <w:name w:val="HTML Cite"/>
    <w:basedOn w:val="23"/>
    <w:qFormat/>
    <w:uiPriority w:val="0"/>
  </w:style>
  <w:style w:type="character" w:styleId="34">
    <w:name w:val="HTML Keyboard"/>
    <w:basedOn w:val="23"/>
    <w:qFormat/>
    <w:uiPriority w:val="0"/>
    <w:rPr>
      <w:rFonts w:hint="default" w:ascii="monospace" w:hAnsi="monospace" w:eastAsia="monospace" w:cs="monospace"/>
      <w:sz w:val="20"/>
    </w:rPr>
  </w:style>
  <w:style w:type="character" w:styleId="35">
    <w:name w:val="HTML Sample"/>
    <w:basedOn w:val="23"/>
    <w:qFormat/>
    <w:uiPriority w:val="0"/>
    <w:rPr>
      <w:rFonts w:hint="default" w:ascii="monospace" w:hAnsi="monospace" w:eastAsia="monospace" w:cs="monospace"/>
    </w:rPr>
  </w:style>
  <w:style w:type="paragraph" w:customStyle="1" w:styleId="36">
    <w:name w:val="我的正文"/>
    <w:basedOn w:val="12"/>
    <w:qFormat/>
    <w:uiPriority w:val="0"/>
    <w:pPr>
      <w:ind w:firstLine="480" w:firstLineChars="200"/>
    </w:pPr>
    <w:rPr>
      <w:szCs w:val="20"/>
    </w:rPr>
  </w:style>
  <w:style w:type="paragraph" w:styleId="3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8">
    <w:name w:val="style4"/>
    <w:basedOn w:val="1"/>
    <w:next w:val="39"/>
    <w:qFormat/>
    <w:uiPriority w:val="99"/>
    <w:pPr>
      <w:widowControl/>
      <w:spacing w:before="280" w:after="280"/>
    </w:pPr>
    <w:rPr>
      <w:rFonts w:ascii="宋体"/>
      <w:sz w:val="18"/>
    </w:rPr>
  </w:style>
  <w:style w:type="paragraph" w:customStyle="1" w:styleId="39">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40">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41">
    <w:name w:val="Heading #3|1"/>
    <w:basedOn w:val="1"/>
    <w:qFormat/>
    <w:uiPriority w:val="0"/>
    <w:pPr>
      <w:spacing w:after="280"/>
      <w:outlineLvl w:val="2"/>
    </w:pPr>
    <w:rPr>
      <w:rFonts w:ascii="宋体" w:hAnsi="宋体" w:cs="宋体"/>
      <w:sz w:val="32"/>
      <w:szCs w:val="32"/>
      <w:lang w:val="zh-TW" w:eastAsia="zh-TW" w:bidi="zh-TW"/>
    </w:rPr>
  </w:style>
  <w:style w:type="paragraph" w:customStyle="1" w:styleId="42">
    <w:name w:val="Heading #2|1"/>
    <w:basedOn w:val="1"/>
    <w:qFormat/>
    <w:uiPriority w:val="0"/>
    <w:pPr>
      <w:spacing w:after="370"/>
      <w:outlineLvl w:val="1"/>
    </w:pPr>
    <w:rPr>
      <w:rFonts w:ascii="宋体" w:hAnsi="宋体" w:cs="宋体"/>
      <w:sz w:val="32"/>
      <w:szCs w:val="32"/>
      <w:lang w:val="zh-TW" w:eastAsia="zh-TW" w:bidi="zh-TW"/>
    </w:rPr>
  </w:style>
  <w:style w:type="character" w:customStyle="1" w:styleId="43">
    <w:name w:val="标题 2 Char"/>
    <w:link w:val="4"/>
    <w:qFormat/>
    <w:uiPriority w:val="0"/>
    <w:rPr>
      <w:sz w:val="28"/>
      <w:szCs w:val="21"/>
    </w:rPr>
  </w:style>
  <w:style w:type="character" w:customStyle="1" w:styleId="44">
    <w:name w:val="font01"/>
    <w:basedOn w:val="23"/>
    <w:qFormat/>
    <w:uiPriority w:val="0"/>
    <w:rPr>
      <w:rFonts w:hint="eastAsia" w:ascii="仿宋" w:hAnsi="仿宋" w:eastAsia="仿宋" w:cs="仿宋"/>
      <w:b/>
      <w:color w:val="808080"/>
      <w:sz w:val="24"/>
      <w:szCs w:val="24"/>
      <w:u w:val="none"/>
    </w:rPr>
  </w:style>
  <w:style w:type="character" w:customStyle="1" w:styleId="45">
    <w:name w:val="layui-layer-tabnow"/>
    <w:basedOn w:val="23"/>
    <w:qFormat/>
    <w:uiPriority w:val="0"/>
    <w:rPr>
      <w:bdr w:val="single" w:color="CCCCCC" w:sz="4" w:space="0"/>
      <w:shd w:val="clear" w:color="auto" w:fill="FFFFFF"/>
    </w:rPr>
  </w:style>
  <w:style w:type="character" w:customStyle="1" w:styleId="46">
    <w:name w:val="first-child"/>
    <w:basedOn w:val="23"/>
    <w:qFormat/>
    <w:uiPriority w:val="0"/>
  </w:style>
  <w:style w:type="paragraph" w:customStyle="1" w:styleId="47">
    <w:name w:val="*正文"/>
    <w:basedOn w:val="1"/>
    <w:qFormat/>
    <w:uiPriority w:val="0"/>
    <w:pPr>
      <w:keepNext/>
      <w:keepLines/>
      <w:spacing w:line="360" w:lineRule="auto"/>
      <w:ind w:firstLine="200" w:firstLineChars="200"/>
    </w:pPr>
    <w:rPr>
      <w:rFonts w:ascii="宋体" w:hAnsi="宋体"/>
    </w:rPr>
  </w:style>
  <w:style w:type="paragraph" w:styleId="48">
    <w:name w:val="List Paragraph"/>
    <w:basedOn w:val="1"/>
    <w:next w:val="1"/>
    <w:qFormat/>
    <w:uiPriority w:val="34"/>
    <w:pPr>
      <w:ind w:firstLine="420" w:firstLineChars="200"/>
    </w:pPr>
  </w:style>
  <w:style w:type="character" w:customStyle="1" w:styleId="49">
    <w:name w:val="批注框文本 Char"/>
    <w:basedOn w:val="23"/>
    <w:link w:val="14"/>
    <w:qFormat/>
    <w:uiPriority w:val="0"/>
    <w:rPr>
      <w:kern w:val="2"/>
      <w:sz w:val="18"/>
      <w:szCs w:val="18"/>
    </w:rPr>
  </w:style>
  <w:style w:type="character" w:customStyle="1" w:styleId="50">
    <w:name w:val="hover1"/>
    <w:basedOn w:val="23"/>
    <w:qFormat/>
    <w:uiPriority w:val="0"/>
    <w:rPr>
      <w:color w:val="2590EB"/>
    </w:rPr>
  </w:style>
  <w:style w:type="character" w:customStyle="1" w:styleId="51">
    <w:name w:val="hover2"/>
    <w:basedOn w:val="23"/>
    <w:qFormat/>
    <w:uiPriority w:val="0"/>
    <w:rPr>
      <w:color w:val="2590EB"/>
    </w:rPr>
  </w:style>
  <w:style w:type="character" w:customStyle="1" w:styleId="52">
    <w:name w:val="hover3"/>
    <w:basedOn w:val="23"/>
    <w:qFormat/>
    <w:uiPriority w:val="0"/>
  </w:style>
  <w:style w:type="character" w:customStyle="1" w:styleId="53">
    <w:name w:val="mini-outputtext1"/>
    <w:basedOn w:val="23"/>
    <w:qFormat/>
    <w:uiPriority w:val="0"/>
  </w:style>
  <w:style w:type="character" w:customStyle="1" w:styleId="54">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8243</Words>
  <Characters>9821</Characters>
  <Lines>197</Lines>
  <Paragraphs>55</Paragraphs>
  <TotalTime>1</TotalTime>
  <ScaleCrop>false</ScaleCrop>
  <LinksUpToDate>false</LinksUpToDate>
  <CharactersWithSpaces>9939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2023-05-09T09:15:00Z</dcterms:created>
  <dc:creator>又又</dc:creator>
  <cp:lastModifiedBy>PEO</cp:lastModifiedBy>
  <cp:lastPrinted>2024-08-23T08:00:00Z</cp:lastPrinted>
  <dcterms:modified xsi:type="dcterms:W3CDTF">2025-07-25T12:51:36Z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1CDE92520430440B855C3E51963FEE69_13</vt:lpwstr>
  </property>
  <property fmtid="{D5CDD505-2E9C-101B-9397-08002B2CF9AE}" pid="4" name="KSOTemplateDocerSaveRecord">
    <vt:lpwstr>eyJoZGlkIjoiNzliYWI2OTMzMTRlZjlkOGJhMzc0YjliZjdmZWQ1MmQiLCJ1c2VySWQiOiI0Nzg4MTcxMzEifQ==</vt:lpwstr>
  </property>
</Properties>
</file>