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4902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15"/>
          <w:szCs w:val="15"/>
          <w:highlight w:val="none"/>
          <w:lang w:eastAsia="zh-CN"/>
        </w:rPr>
      </w:pPr>
      <w:bookmarkStart w:id="87" w:name="_GoBack"/>
      <w:bookmarkEnd w:id="87"/>
    </w:p>
    <w:p w14:paraId="4E000F4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60"/>
          <w:szCs w:val="60"/>
          <w:highlight w:val="none"/>
          <w:lang w:eastAsia="zh-CN"/>
        </w:rPr>
      </w:pPr>
    </w:p>
    <w:p w14:paraId="016C434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灵宝市中等专业学校智慧康养实训室建设、虚拟仿真思政教室建设及学校内涵提升建设项目</w:t>
      </w:r>
    </w:p>
    <w:p w14:paraId="1149CA1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60"/>
          <w:szCs w:val="60"/>
          <w:highlight w:val="none"/>
        </w:rPr>
      </w:pPr>
    </w:p>
    <w:p w14:paraId="3D204C3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highlight w:val="none"/>
        </w:rPr>
      </w:pPr>
      <w:r>
        <w:rPr>
          <w:rFonts w:hint="eastAsia" w:ascii="宋体" w:hAnsi="宋体" w:eastAsia="宋体" w:cs="宋体"/>
          <w:b/>
          <w:bCs/>
          <w:color w:val="auto"/>
          <w:sz w:val="60"/>
          <w:szCs w:val="60"/>
          <w:highlight w:val="none"/>
        </w:rPr>
        <w:t>招 标 文 件</w:t>
      </w:r>
    </w:p>
    <w:p w14:paraId="2BB103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val="en-US" w:eastAsia="zh-CN"/>
        </w:rPr>
        <w:t xml:space="preserve"> 灵宝公开采购-2025-41；LBGZ[2025]159-ZC109</w:t>
      </w:r>
    </w:p>
    <w:p w14:paraId="37D6086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lang w:val="en-US" w:eastAsia="zh-CN"/>
        </w:rPr>
      </w:pPr>
    </w:p>
    <w:p w14:paraId="5482A85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p w14:paraId="7824B591">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444A61F7">
      <w:pPr>
        <w:pStyle w:val="19"/>
        <w:pageBreakBefore w:val="0"/>
        <w:bidi w:val="0"/>
        <w:adjustRightInd w:val="0"/>
        <w:snapToGrid w:val="0"/>
        <w:spacing w:beforeAutospacing="0" w:after="0" w:afterAutospacing="0" w:line="360" w:lineRule="auto"/>
        <w:ind w:left="0" w:leftChars="0" w:right="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2"/>
          <w:sz w:val="30"/>
          <w:szCs w:val="30"/>
          <w:highlight w:val="none"/>
          <w:lang w:val="en-US" w:eastAsia="zh-CN" w:bidi="ar-SA"/>
        </w:rPr>
        <w:drawing>
          <wp:inline distT="0" distB="0" distL="114300" distR="114300">
            <wp:extent cx="2914650" cy="2714625"/>
            <wp:effectExtent l="0" t="0" r="0" b="9525"/>
            <wp:docPr id="4" name="图片 4" descr="544b2702bf58566d80663de2542f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4b2702bf58566d80663de2542f7c4"/>
                    <pic:cNvPicPr>
                      <a:picLocks noChangeAspect="1"/>
                    </pic:cNvPicPr>
                  </pic:nvPicPr>
                  <pic:blipFill>
                    <a:blip r:embed="rId10"/>
                    <a:stretch>
                      <a:fillRect/>
                    </a:stretch>
                  </pic:blipFill>
                  <pic:spPr>
                    <a:xfrm>
                      <a:off x="0" y="0"/>
                      <a:ext cx="2914650" cy="2714625"/>
                    </a:xfrm>
                    <a:prstGeom prst="rect">
                      <a:avLst/>
                    </a:prstGeom>
                  </pic:spPr>
                </pic:pic>
              </a:graphicData>
            </a:graphic>
          </wp:inline>
        </w:drawing>
      </w:r>
    </w:p>
    <w:p w14:paraId="461A2EBD">
      <w:pPr>
        <w:pageBreakBefore w:val="0"/>
        <w:bidi w:val="0"/>
        <w:adjustRightInd w:val="0"/>
        <w:snapToGrid w:val="0"/>
        <w:spacing w:beforeAutospacing="0" w:afterAutospacing="0" w:line="360" w:lineRule="auto"/>
        <w:ind w:left="0" w:leftChars="0" w:right="0" w:firstLine="1363" w:firstLineChars="485"/>
        <w:jc w:val="left"/>
        <w:rPr>
          <w:rFonts w:hint="eastAsia" w:ascii="宋体" w:hAnsi="宋体" w:eastAsia="宋体" w:cs="宋体"/>
          <w:b/>
          <w:bCs/>
          <w:color w:val="auto"/>
          <w:sz w:val="28"/>
          <w:szCs w:val="28"/>
          <w:highlight w:val="none"/>
        </w:rPr>
      </w:pPr>
    </w:p>
    <w:p w14:paraId="6A7F56F5">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采  </w:t>
      </w:r>
      <w:r>
        <w:rPr>
          <w:rFonts w:hint="eastAsia" w:ascii="宋体" w:hAnsi="宋体" w:eastAsia="宋体" w:cs="宋体"/>
          <w:b/>
          <w:bCs/>
          <w:color w:val="auto"/>
          <w:sz w:val="16"/>
          <w:szCs w:val="28"/>
          <w:highlight w:val="none"/>
        </w:rPr>
        <w:t xml:space="preserve"> </w:t>
      </w:r>
      <w:r>
        <w:rPr>
          <w:rFonts w:hint="eastAsia" w:ascii="宋体" w:hAnsi="宋体" w:eastAsia="宋体" w:cs="宋体"/>
          <w:b/>
          <w:bCs/>
          <w:color w:val="auto"/>
          <w:sz w:val="28"/>
          <w:szCs w:val="28"/>
          <w:highlight w:val="none"/>
        </w:rPr>
        <w:t xml:space="preserve"> 购  </w:t>
      </w:r>
      <w:r>
        <w:rPr>
          <w:rFonts w:hint="eastAsia" w:ascii="宋体" w:hAnsi="宋体" w:eastAsia="宋体" w:cs="宋体"/>
          <w:b/>
          <w:bCs/>
          <w:color w:val="auto"/>
          <w:sz w:val="16"/>
          <w:szCs w:val="28"/>
          <w:highlight w:val="none"/>
        </w:rPr>
        <w:t xml:space="preserve"> </w:t>
      </w:r>
      <w:r>
        <w:rPr>
          <w:rFonts w:hint="eastAsia" w:ascii="宋体" w:hAnsi="宋体" w:eastAsia="宋体" w:cs="宋体"/>
          <w:b/>
          <w:bCs/>
          <w:color w:val="auto"/>
          <w:sz w:val="28"/>
          <w:szCs w:val="28"/>
          <w:highlight w:val="none"/>
        </w:rPr>
        <w:t>人：</w:t>
      </w:r>
      <w:r>
        <w:rPr>
          <w:rFonts w:hint="eastAsia" w:ascii="宋体" w:hAnsi="宋体" w:eastAsia="宋体" w:cs="宋体"/>
          <w:b/>
          <w:bCs/>
          <w:color w:val="auto"/>
          <w:sz w:val="28"/>
          <w:szCs w:val="28"/>
          <w:highlight w:val="none"/>
          <w:lang w:eastAsia="zh-CN"/>
        </w:rPr>
        <w:t>灵宝市中等专业学校</w:t>
      </w:r>
    </w:p>
    <w:p w14:paraId="3E4D1E54">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lang w:eastAsia="zh-CN"/>
        </w:rPr>
        <w:t>河南洲禾建设工程有限公司</w:t>
      </w:r>
    </w:p>
    <w:p w14:paraId="7A5D0990">
      <w:pPr>
        <w:pageBreakBefore w:val="0"/>
        <w:bidi w:val="0"/>
        <w:adjustRightInd w:val="0"/>
        <w:snapToGrid w:val="0"/>
        <w:spacing w:beforeAutospacing="0" w:afterAutospacing="0" w:line="360" w:lineRule="auto"/>
        <w:ind w:left="0" w:leftChars="0" w:right="0" w:firstLine="1923" w:firstLineChars="684"/>
        <w:jc w:val="left"/>
        <w:rPr>
          <w:rFonts w:hint="eastAsia" w:ascii="宋体" w:hAnsi="宋体" w:eastAsia="宋体" w:cs="宋体"/>
          <w:b/>
          <w:bCs/>
          <w:color w:val="auto"/>
          <w:sz w:val="20"/>
          <w:szCs w:val="20"/>
          <w:highlight w:val="none"/>
        </w:rPr>
        <w:sectPr>
          <w:footerReference r:id="rId3" w:type="first"/>
          <w:pgSz w:w="11906" w:h="16838"/>
          <w:pgMar w:top="1440" w:right="1417" w:bottom="1440" w:left="1417" w:header="720" w:footer="720" w:gutter="0"/>
          <w:pgNumType w:fmt="decimal" w:start="0"/>
          <w:cols w:space="0" w:num="1"/>
          <w:rtlGutter w:val="0"/>
          <w:docGrid w:type="lines" w:linePitch="312" w:charSpace="0"/>
        </w:sectPr>
      </w:pPr>
      <w:r>
        <w:rPr>
          <w:rFonts w:hint="eastAsia" w:ascii="宋体" w:hAnsi="宋体" w:eastAsia="宋体" w:cs="宋体"/>
          <w:b/>
          <w:bCs/>
          <w:color w:val="auto"/>
          <w:sz w:val="28"/>
          <w:szCs w:val="28"/>
          <w:highlight w:val="none"/>
        </w:rPr>
        <w:t>日        期：二</w:t>
      </w:r>
      <w:r>
        <w:rPr>
          <w:rFonts w:hint="eastAsia" w:ascii="宋体" w:hAnsi="宋体" w:eastAsia="宋体" w:cs="宋体"/>
          <w:b/>
          <w:bCs/>
          <w:color w:val="auto"/>
          <w:sz w:val="28"/>
          <w:szCs w:val="28"/>
          <w:highlight w:val="none"/>
          <w:lang w:eastAsia="zh-CN"/>
        </w:rPr>
        <w:t>零</w:t>
      </w: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月</w:t>
      </w:r>
    </w:p>
    <w:p w14:paraId="57080F4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auto"/>
        <w:ind w:left="0" w:leftChars="0" w:right="0"/>
        <w:jc w:val="center"/>
        <w:textAlignment w:val="auto"/>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目  录</w:t>
      </w:r>
    </w:p>
    <w:p w14:paraId="068A3717">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
          <w:bCs/>
          <w:color w:val="auto"/>
          <w:kern w:val="0"/>
          <w:sz w:val="24"/>
          <w:szCs w:val="24"/>
          <w:highlight w:val="none"/>
        </w:rPr>
        <w:fldChar w:fldCharType="begin"/>
      </w:r>
      <w:r>
        <w:rPr>
          <w:rFonts w:hint="eastAsia" w:ascii="宋体" w:hAnsi="宋体" w:eastAsia="宋体" w:cs="宋体"/>
          <w:b/>
          <w:bCs/>
          <w:color w:val="auto"/>
          <w:kern w:val="0"/>
          <w:sz w:val="24"/>
          <w:szCs w:val="24"/>
          <w:highlight w:val="none"/>
        </w:rPr>
        <w:instrText xml:space="preserve">TOC \o "1-3" \h \u </w:instrText>
      </w:r>
      <w:r>
        <w:rPr>
          <w:rFonts w:hint="eastAsia" w:ascii="宋体" w:hAnsi="宋体" w:eastAsia="宋体" w:cs="宋体"/>
          <w:b/>
          <w:bCs/>
          <w:color w:val="auto"/>
          <w:kern w:val="0"/>
          <w:sz w:val="24"/>
          <w:szCs w:val="24"/>
          <w:highlight w:val="none"/>
        </w:rPr>
        <w:fldChar w:fldCharType="separate"/>
      </w: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_Toc30268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lang w:eastAsia="zh-CN"/>
        </w:rPr>
        <w:t>第一章</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招标公告</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auto"/>
          <w:kern w:val="0"/>
          <w:sz w:val="24"/>
          <w:szCs w:val="24"/>
          <w:highlight w:val="none"/>
        </w:rPr>
        <w:fldChar w:fldCharType="end"/>
      </w:r>
    </w:p>
    <w:p w14:paraId="139FED04">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_Toc12642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bCs/>
          <w:color w:val="auto"/>
          <w:kern w:val="0"/>
          <w:sz w:val="24"/>
          <w:szCs w:val="24"/>
          <w:highlight w:val="none"/>
        </w:rPr>
        <w:fldChar w:fldCharType="end"/>
      </w:r>
    </w:p>
    <w:p w14:paraId="2342FEDF">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_Toc9430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0"/>
          <w:sz w:val="24"/>
          <w:szCs w:val="24"/>
          <w:highlight w:val="none"/>
        </w:rPr>
        <w:t>第三章  采购内容及参数要求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_Toc9430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3AB9415">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sz w:val="24"/>
          <w:szCs w:val="24"/>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_Toc22285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rPr>
        <w:t xml:space="preserve">第四章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7C9D5720">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_Toc10932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kern w:val="2"/>
          <w:sz w:val="24"/>
          <w:szCs w:val="24"/>
          <w:highlight w:val="none"/>
          <w:lang w:val="en-US" w:eastAsia="zh-CN" w:bidi="ar-SA"/>
        </w:rPr>
        <w:t>第五章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_Toc10932 \h </w:instrText>
      </w:r>
      <w:r>
        <w:rPr>
          <w:rFonts w:hint="eastAsia" w:ascii="宋体" w:hAnsi="宋体" w:eastAsia="宋体" w:cs="宋体"/>
          <w:sz w:val="24"/>
          <w:szCs w:val="24"/>
        </w:rPr>
        <w:fldChar w:fldCharType="separate"/>
      </w:r>
      <w:r>
        <w:rPr>
          <w:rFonts w:hint="eastAsia" w:ascii="宋体" w:hAnsi="宋体" w:eastAsia="宋体" w:cs="宋体"/>
          <w:sz w:val="24"/>
          <w:szCs w:val="24"/>
        </w:rPr>
        <w:t>120</w:t>
      </w:r>
      <w:r>
        <w:rPr>
          <w:rFonts w:hint="eastAsia" w:ascii="宋体" w:hAnsi="宋体" w:eastAsia="宋体" w:cs="宋体"/>
          <w:sz w:val="24"/>
          <w:szCs w:val="24"/>
        </w:rPr>
        <w:fldChar w:fldCharType="end"/>
      </w:r>
      <w:r>
        <w:rPr>
          <w:rFonts w:hint="eastAsia" w:ascii="宋体" w:hAnsi="宋体" w:eastAsia="宋体" w:cs="宋体"/>
          <w:bCs/>
          <w:color w:val="auto"/>
          <w:kern w:val="0"/>
          <w:sz w:val="24"/>
          <w:szCs w:val="24"/>
          <w:highlight w:val="none"/>
        </w:rPr>
        <w:fldChar w:fldCharType="end"/>
      </w:r>
    </w:p>
    <w:p w14:paraId="34DDEADF">
      <w:pPr>
        <w:pStyle w:val="16"/>
        <w:keepNext w:val="0"/>
        <w:keepLines w:val="0"/>
        <w:pageBreakBefore w:val="0"/>
        <w:widowControl w:val="0"/>
        <w:tabs>
          <w:tab w:val="right" w:leader="dot" w:pos="8300"/>
        </w:tabs>
        <w:kinsoku/>
        <w:wordWrap/>
        <w:overflowPunct/>
        <w:topLinePunct w:val="0"/>
        <w:bidi w:val="0"/>
        <w:adjustRightInd w:val="0"/>
        <w:snapToGrid w:val="0"/>
        <w:spacing w:beforeAutospacing="0" w:afterAutospacing="0" w:line="480" w:lineRule="auto"/>
        <w:ind w:left="0" w:leftChars="0" w:right="0"/>
        <w:textAlignment w:val="auto"/>
        <w:rPr>
          <w:rFonts w:hint="default" w:ascii="宋体" w:hAnsi="宋体" w:eastAsia="宋体" w:cs="宋体"/>
          <w:sz w:val="24"/>
          <w:szCs w:val="24"/>
          <w:lang w:val="en-US" w:eastAsia="zh-CN"/>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kern w:val="0"/>
          <w:sz w:val="24"/>
          <w:szCs w:val="24"/>
          <w:highlight w:val="none"/>
        </w:rPr>
        <w:instrText xml:space="preserve"> HYPERLINK \l _Toc21772 </w:instrText>
      </w:r>
      <w:r>
        <w:rPr>
          <w:rFonts w:hint="eastAsia" w:ascii="宋体" w:hAnsi="宋体" w:eastAsia="宋体" w:cs="宋体"/>
          <w:bCs/>
          <w:kern w:val="0"/>
          <w:sz w:val="24"/>
          <w:szCs w:val="24"/>
          <w:highlight w:val="none"/>
        </w:rPr>
        <w:fldChar w:fldCharType="separate"/>
      </w:r>
      <w:r>
        <w:rPr>
          <w:rFonts w:hint="eastAsia" w:ascii="宋体" w:hAnsi="宋体" w:eastAsia="宋体" w:cs="宋体"/>
          <w:bCs/>
          <w:sz w:val="24"/>
          <w:szCs w:val="24"/>
          <w:highlight w:val="none"/>
        </w:rPr>
        <w:t>第六章  投标文件格式</w:t>
      </w:r>
      <w:r>
        <w:rPr>
          <w:rFonts w:hint="eastAsia" w:ascii="宋体" w:hAnsi="宋体" w:eastAsia="宋体" w:cs="宋体"/>
          <w:sz w:val="24"/>
          <w:szCs w:val="24"/>
        </w:rPr>
        <w:tab/>
      </w:r>
      <w:r>
        <w:rPr>
          <w:rFonts w:hint="eastAsia" w:ascii="宋体" w:hAnsi="宋体" w:eastAsia="宋体" w:cs="宋体"/>
          <w:sz w:val="24"/>
          <w:szCs w:val="24"/>
          <w:lang w:val="en-US" w:eastAsia="zh-CN"/>
        </w:rPr>
        <w:t>12</w: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lang w:val="en-US" w:eastAsia="zh-CN"/>
        </w:rPr>
        <w:t>2</w:t>
      </w:r>
    </w:p>
    <w:p w14:paraId="67C80A5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80" w:lineRule="auto"/>
        <w:ind w:left="0" w:leftChars="0" w:right="0"/>
        <w:textAlignment w:val="auto"/>
        <w:rPr>
          <w:rFonts w:hint="eastAsia" w:ascii="宋体" w:hAnsi="宋体" w:eastAsia="宋体" w:cs="宋体"/>
          <w:b/>
          <w:bCs/>
          <w:color w:val="auto"/>
          <w:kern w:val="0"/>
          <w:sz w:val="32"/>
          <w:szCs w:val="32"/>
          <w:highlight w:val="none"/>
        </w:rPr>
        <w:sectPr>
          <w:footerReference r:id="rId4" w:type="default"/>
          <w:pgSz w:w="11906" w:h="16838"/>
          <w:pgMar w:top="1440" w:right="1417" w:bottom="1440" w:left="1417" w:header="720" w:footer="720" w:gutter="0"/>
          <w:pgNumType w:fmt="decimal" w:start="1"/>
          <w:cols w:space="0" w:num="1"/>
          <w:rtlGutter w:val="0"/>
          <w:docGrid w:type="lines" w:linePitch="312" w:charSpace="0"/>
        </w:sectPr>
      </w:pPr>
      <w:r>
        <w:rPr>
          <w:rFonts w:hint="eastAsia" w:ascii="宋体" w:hAnsi="宋体" w:eastAsia="宋体" w:cs="宋体"/>
          <w:bCs/>
          <w:color w:val="auto"/>
          <w:kern w:val="0"/>
          <w:sz w:val="24"/>
          <w:szCs w:val="24"/>
          <w:highlight w:val="none"/>
        </w:rPr>
        <w:fldChar w:fldCharType="end"/>
      </w:r>
    </w:p>
    <w:p w14:paraId="356B8DAA">
      <w:pPr>
        <w:pageBreakBefore w:val="0"/>
        <w:numPr>
          <w:ilvl w:val="0"/>
          <w:numId w:val="0"/>
        </w:numPr>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0" w:name="_Toc30268"/>
      <w:r>
        <w:rPr>
          <w:rFonts w:hint="eastAsia" w:ascii="宋体" w:hAnsi="宋体" w:eastAsia="宋体" w:cs="宋体"/>
          <w:b/>
          <w:bCs/>
          <w:color w:val="auto"/>
          <w:sz w:val="32"/>
          <w:szCs w:val="32"/>
          <w:highlight w:val="none"/>
          <w:lang w:eastAsia="zh-CN"/>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招标公告</w:t>
      </w:r>
      <w:bookmarkEnd w:id="0"/>
    </w:p>
    <w:p w14:paraId="7B9E34D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项目概况</w:t>
      </w:r>
    </w:p>
    <w:p w14:paraId="5994C42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灵宝市中等专业学校智慧康养实训室建设、虚拟仿真思政教室建设及学校内涵提升建设项目的潜在投标供应商应在三门峡市公共资源交易中心获取招标文件，并</w:t>
      </w:r>
      <w:r>
        <w:rPr>
          <w:rFonts w:hint="eastAsia" w:ascii="宋体" w:hAnsi="宋体" w:eastAsia="宋体" w:cs="宋体"/>
          <w:i w:val="0"/>
          <w:iCs w:val="0"/>
          <w:caps w:val="0"/>
          <w:color w:val="000000"/>
          <w:spacing w:val="0"/>
          <w:kern w:val="0"/>
          <w:sz w:val="24"/>
          <w:szCs w:val="24"/>
          <w:highlight w:val="none"/>
          <w:lang w:val="en-US" w:eastAsia="zh-CN" w:bidi="ar"/>
        </w:rPr>
        <w:t>于2025年7月23日08时30分（</w:t>
      </w:r>
      <w:r>
        <w:rPr>
          <w:rFonts w:hint="eastAsia" w:ascii="宋体" w:hAnsi="宋体" w:eastAsia="宋体" w:cs="宋体"/>
          <w:i w:val="0"/>
          <w:iCs w:val="0"/>
          <w:caps w:val="0"/>
          <w:color w:val="000000"/>
          <w:spacing w:val="0"/>
          <w:kern w:val="0"/>
          <w:sz w:val="24"/>
          <w:szCs w:val="24"/>
          <w:lang w:val="en-US" w:eastAsia="zh-CN" w:bidi="ar"/>
        </w:rPr>
        <w:t>北京时间）前递交投标文件。</w:t>
      </w:r>
    </w:p>
    <w:p w14:paraId="4A53F1F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一、项目基本情况 </w:t>
      </w:r>
    </w:p>
    <w:p w14:paraId="4052BF22">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1、采购项目名称：灵宝市中等专业学校智慧康养实训室建设、虚拟仿真思政教室建设及学校内涵提升建设项目</w:t>
      </w:r>
    </w:p>
    <w:p w14:paraId="2FF689DD">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2、采购项目编号：灵宝公开采购-2025-41；LBGZ[2025]159-ZC109</w:t>
      </w:r>
    </w:p>
    <w:p w14:paraId="599E2434">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3、采购方式：公开招标</w:t>
      </w:r>
    </w:p>
    <w:p w14:paraId="3E1F97B9">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firstLine="48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4、最高限价：3000000.00元</w:t>
      </w:r>
    </w:p>
    <w:tbl>
      <w:tblPr>
        <w:tblStyle w:val="21"/>
        <w:tblW w:w="86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736"/>
        <w:gridCol w:w="4008"/>
        <w:gridCol w:w="1895"/>
      </w:tblGrid>
      <w:tr w14:paraId="5018A7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9BA787">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包号</w:t>
            </w:r>
          </w:p>
        </w:tc>
        <w:tc>
          <w:tcPr>
            <w:tcW w:w="439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E9DC7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包名称</w:t>
            </w:r>
          </w:p>
        </w:tc>
        <w:tc>
          <w:tcPr>
            <w:tcW w:w="19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62639A">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最高限价（元）</w:t>
            </w:r>
          </w:p>
        </w:tc>
      </w:tr>
      <w:tr w14:paraId="7272B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044C61">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-1</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FF2958">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灵宝市中等专业学校智慧康养实训室建设、虚拟仿真思政教室建设及学校内涵提升建设项目一标段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80885C">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1000000.00</w:t>
            </w:r>
          </w:p>
        </w:tc>
      </w:tr>
      <w:tr w14:paraId="0E4688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3EBE59">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-2</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38A91D">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灵宝市中等专业学校智慧康养实训室建设、虚拟仿真思政教室建设及学校内涵提升建设项目二标段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748845">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800000.00</w:t>
            </w:r>
          </w:p>
        </w:tc>
      </w:tr>
      <w:tr w14:paraId="3B716B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8" w:hRule="atLeast"/>
        </w:trPr>
        <w:tc>
          <w:tcPr>
            <w:tcW w:w="22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3B978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LBGZ[2025]159-ZC109</w:t>
            </w:r>
            <w:r>
              <w:rPr>
                <w:rFonts w:hint="eastAsia" w:ascii="宋体" w:hAnsi="宋体" w:cs="宋体"/>
                <w:i w:val="0"/>
                <w:iCs w:val="0"/>
                <w:caps w:val="0"/>
                <w:color w:val="000000"/>
                <w:spacing w:val="0"/>
                <w:kern w:val="0"/>
                <w:sz w:val="24"/>
                <w:szCs w:val="24"/>
                <w:lang w:val="en-US" w:eastAsia="zh-CN" w:bidi="ar"/>
              </w:rPr>
              <w:t>-3</w:t>
            </w:r>
          </w:p>
        </w:tc>
        <w:tc>
          <w:tcPr>
            <w:tcW w:w="439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87E8C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灵宝市中等专业学校智慧康养实训室建设、虚拟仿真思政教室建设及学校内涵提升建设项目三标段</w:t>
            </w:r>
          </w:p>
        </w:tc>
        <w:tc>
          <w:tcPr>
            <w:tcW w:w="19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9A75BF">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adjustRightInd w:val="0"/>
              <w:snapToGrid w:val="0"/>
              <w:spacing w:beforeAutospacing="0" w:afterAutospacing="0" w:line="360" w:lineRule="auto"/>
              <w:ind w:left="0" w:leftChars="0" w:right="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1200000.00</w:t>
            </w:r>
          </w:p>
        </w:tc>
      </w:tr>
    </w:tbl>
    <w:p w14:paraId="2ADC2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5、采购需求（包括但不限于标的的名称、数量、简要技术需求或服务要求等）</w:t>
      </w:r>
    </w:p>
    <w:p w14:paraId="5300E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5.1采购内容：本项目共分为三个标段</w:t>
      </w:r>
    </w:p>
    <w:p w14:paraId="3F397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一标段：智慧康养实训室建设项目，采购内容为：养老评估实训室、养老照护实训室、养老康复实训室设备的采购及安装、调试、验收交付、培训、技术支持、售后保修及质保期相关伴随服务（具体详见采购清单及参数要求)</w:t>
      </w:r>
    </w:p>
    <w:p w14:paraId="1E60C4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二标段：虚拟仿真思政教室建设项目，采购内容为：大思政教育教学中心软件、vr党建思政培育中心（党建会议室）、党建思政红色教育基地（大礼堂）、教学楼红色文化打造设备的采购及安装、调试、验收交付、培训、技术支持、售后保修及质保期相关伴随服务，以及教学资源的使用、服务、培训、技术支持（具体详见采购清单及参数要求)</w:t>
      </w:r>
    </w:p>
    <w:p w14:paraId="0ECE3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三标段：学校内涵提升建设项目，采购内容为：教学能力大赛、班主任能力大赛、师生技能竞赛、“文明风采”竞赛、AI教学平台技术服务等大赛参赛教学大赛资源使用、服务、培训、技术支持；展板、桌椅、空调等设备的采购及安装、调试、验收交付、培训、技术支持、售后保修及质保期相关伴随服务（具体详见采购清单及参数要求)</w:t>
      </w:r>
    </w:p>
    <w:p w14:paraId="57A5C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5.2资金来源：财政资金，已落实。</w:t>
      </w:r>
    </w:p>
    <w:p w14:paraId="17E10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lang w:val="en-US" w:eastAsia="zh-CN" w:bidi="ar"/>
        </w:rPr>
        <w:t>5.3交货地点：</w:t>
      </w:r>
      <w:r>
        <w:rPr>
          <w:rFonts w:hint="eastAsia" w:ascii="宋体" w:hAnsi="宋体" w:eastAsia="宋体" w:cs="宋体"/>
          <w:i w:val="0"/>
          <w:iCs w:val="0"/>
          <w:caps w:val="0"/>
          <w:color w:val="000000"/>
          <w:spacing w:val="0"/>
          <w:kern w:val="0"/>
          <w:sz w:val="24"/>
          <w:szCs w:val="24"/>
          <w:highlight w:val="none"/>
          <w:lang w:val="en-US" w:eastAsia="zh-CN" w:bidi="ar"/>
        </w:rPr>
        <w:t>采购人指定地点。</w:t>
      </w:r>
    </w:p>
    <w:p w14:paraId="020A947D">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5.4质量要求：</w:t>
      </w:r>
      <w:r>
        <w:rPr>
          <w:rFonts w:hint="eastAsia" w:ascii="宋体" w:hAnsi="宋体" w:eastAsia="宋体" w:cs="宋体"/>
          <w:sz w:val="24"/>
          <w:highlight w:val="none"/>
        </w:rPr>
        <w:t>符合国家及行业标准</w:t>
      </w:r>
      <w:r>
        <w:rPr>
          <w:rFonts w:hint="eastAsia" w:ascii="宋体" w:hAnsi="宋体" w:eastAsia="宋体" w:cs="宋体"/>
          <w:sz w:val="24"/>
          <w:highlight w:val="none"/>
          <w:lang w:eastAsia="zh-CN"/>
        </w:rPr>
        <w:t>、</w:t>
      </w:r>
      <w:r>
        <w:rPr>
          <w:rFonts w:hint="eastAsia" w:ascii="宋体" w:hAnsi="宋体" w:eastAsia="宋体" w:cs="宋体"/>
          <w:i w:val="0"/>
          <w:iCs w:val="0"/>
          <w:caps w:val="0"/>
          <w:color w:val="333333"/>
          <w:spacing w:val="0"/>
          <w:kern w:val="0"/>
          <w:sz w:val="24"/>
          <w:szCs w:val="24"/>
          <w:highlight w:val="none"/>
          <w:lang w:val="en-US" w:eastAsia="zh-CN" w:bidi="ar"/>
        </w:rPr>
        <w:t>法律规范</w:t>
      </w:r>
      <w:r>
        <w:rPr>
          <w:rFonts w:hint="eastAsia" w:ascii="宋体" w:hAnsi="宋体" w:eastAsia="宋体" w:cs="宋体"/>
          <w:sz w:val="24"/>
          <w:highlight w:val="none"/>
        </w:rPr>
        <w:t>并满足采购人要求。</w:t>
      </w:r>
    </w:p>
    <w:p w14:paraId="6177ACB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5.5交货期：货物</w:t>
      </w:r>
      <w:r>
        <w:rPr>
          <w:rFonts w:hint="eastAsia" w:ascii="宋体" w:hAnsi="宋体" w:eastAsia="宋体" w:cs="宋体"/>
          <w:color w:val="0C0C0C"/>
          <w:kern w:val="0"/>
          <w:sz w:val="24"/>
          <w:szCs w:val="24"/>
          <w:highlight w:val="none"/>
          <w:shd w:val="clear" w:color="auto" w:fill="FFFFFF"/>
          <w:lang w:val="en-US" w:eastAsia="zh-CN"/>
        </w:rPr>
        <w:t>30日历天内供货、安装、调试至正常运行</w:t>
      </w:r>
      <w:r>
        <w:rPr>
          <w:rFonts w:hint="eastAsia" w:ascii="宋体" w:hAnsi="宋体" w:eastAsia="宋体" w:cs="宋体"/>
          <w:i w:val="0"/>
          <w:iCs w:val="0"/>
          <w:caps w:val="0"/>
          <w:color w:val="333333"/>
          <w:spacing w:val="0"/>
          <w:kern w:val="0"/>
          <w:sz w:val="24"/>
          <w:szCs w:val="24"/>
          <w:highlight w:val="none"/>
          <w:lang w:val="en-US" w:eastAsia="zh-CN" w:bidi="ar"/>
        </w:rPr>
        <w:t>，服务期限3年</w:t>
      </w:r>
    </w:p>
    <w:p w14:paraId="38FD039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5.6质保期：质保期三年。</w:t>
      </w:r>
    </w:p>
    <w:p w14:paraId="4C272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6、合同履行期限：按合同约定执行。</w:t>
      </w:r>
    </w:p>
    <w:p w14:paraId="4A675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7、本项目是否接受联合体投标：否</w:t>
      </w:r>
    </w:p>
    <w:p w14:paraId="638FD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8、是否接受进口产品：否</w:t>
      </w:r>
    </w:p>
    <w:p w14:paraId="1B1FF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9、是否专门面向中小企业：否</w:t>
      </w:r>
    </w:p>
    <w:p w14:paraId="60AFC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二、供应商资格要求：</w:t>
      </w:r>
    </w:p>
    <w:p w14:paraId="1EE28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1、满足《中华人民共和国政府采购法》第二十二条规定；</w:t>
      </w:r>
    </w:p>
    <w:p w14:paraId="63FAB9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2、落实政府采购政策满足的资格要求：</w:t>
      </w:r>
      <w:r>
        <w:rPr>
          <w:rFonts w:hint="eastAsia" w:ascii="宋体" w:hAnsi="宋体" w:eastAsia="宋体" w:cs="宋体"/>
          <w:color w:val="0C0C0C"/>
          <w:kern w:val="0"/>
          <w:sz w:val="24"/>
          <w:szCs w:val="24"/>
          <w:highlight w:val="none"/>
          <w:shd w:val="clear" w:color="auto" w:fill="FFFFFF"/>
          <w:lang w:val="en-US" w:eastAsia="zh-CN"/>
        </w:rPr>
        <w:t>本项目非专门面向中小微企业采购项目,执行促进中小企业（监狱企业、残疾人福利性企业）发展等政府采购政策。</w:t>
      </w:r>
    </w:p>
    <w:p w14:paraId="18FF4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3、本项目的特定资格要求</w:t>
      </w:r>
    </w:p>
    <w:p w14:paraId="40209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3.1</w:t>
      </w:r>
      <w:r>
        <w:rPr>
          <w:rFonts w:hint="eastAsia" w:ascii="宋体" w:hAnsi="宋体" w:cs="宋体"/>
          <w:i w:val="0"/>
          <w:iCs w:val="0"/>
          <w:caps w:val="0"/>
          <w:color w:val="333333"/>
          <w:spacing w:val="0"/>
          <w:kern w:val="0"/>
          <w:sz w:val="24"/>
          <w:szCs w:val="24"/>
          <w:highlight w:val="none"/>
          <w:lang w:val="en-US" w:eastAsia="zh-CN" w:bidi="ar"/>
        </w:rPr>
        <w:t>、</w:t>
      </w:r>
      <w:r>
        <w:rPr>
          <w:rFonts w:hint="eastAsia" w:ascii="宋体" w:hAnsi="宋体" w:eastAsia="宋体" w:cs="宋体"/>
          <w:i w:val="0"/>
          <w:iCs w:val="0"/>
          <w:caps w:val="0"/>
          <w:color w:val="333333"/>
          <w:spacing w:val="0"/>
          <w:kern w:val="0"/>
          <w:sz w:val="24"/>
          <w:szCs w:val="24"/>
          <w:highlight w:val="none"/>
          <w:lang w:val="en-US" w:eastAsia="zh-CN" w:bidi="ar"/>
        </w:rPr>
        <w:t>供应商须具有独立承担民事责任能力的法人或其他组织，同时具有有效的营业执照、税务登记证、组织机构代码证或三证合一的营业执照。</w:t>
      </w:r>
    </w:p>
    <w:p w14:paraId="78F3EE18">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3.2、具有良好的商业信誉和健全的财务会计制度（自行作出承诺，格式自拟</w:t>
      </w:r>
      <w:r>
        <w:rPr>
          <w:rFonts w:hint="eastAsia" w:ascii="宋体" w:hAnsi="宋体" w:eastAsia="宋体" w:cs="宋体"/>
          <w:color w:val="auto"/>
          <w:sz w:val="24"/>
          <w:szCs w:val="28"/>
          <w:highlight w:val="none"/>
          <w:lang w:eastAsia="zh-CN"/>
        </w:rPr>
        <w:t>）。</w:t>
      </w:r>
    </w:p>
    <w:p w14:paraId="34554537">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3.3、具有履行合同所必需的设备和专业技术能力（自行作出承诺，格式自拟）</w:t>
      </w:r>
      <w:r>
        <w:rPr>
          <w:rFonts w:hint="eastAsia" w:ascii="宋体" w:hAnsi="宋体" w:eastAsia="宋体" w:cs="宋体"/>
          <w:color w:val="auto"/>
          <w:sz w:val="24"/>
          <w:szCs w:val="28"/>
          <w:highlight w:val="none"/>
          <w:lang w:eastAsia="zh-CN"/>
        </w:rPr>
        <w:t>。</w:t>
      </w:r>
    </w:p>
    <w:p w14:paraId="19F680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3.4、有依法缴纳税收和社会保障资金的良好记录（提供202</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月以来任意</w:t>
      </w:r>
      <w:r>
        <w:rPr>
          <w:rFonts w:hint="eastAsia" w:ascii="宋体" w:hAnsi="宋体" w:eastAsia="宋体" w:cs="宋体"/>
          <w:color w:val="auto"/>
          <w:sz w:val="24"/>
          <w:szCs w:val="28"/>
          <w:highlight w:val="none"/>
          <w:lang w:val="en-US" w:eastAsia="zh-CN"/>
        </w:rPr>
        <w:t>三</w:t>
      </w:r>
      <w:r>
        <w:rPr>
          <w:rFonts w:hint="eastAsia" w:ascii="宋体" w:hAnsi="宋体" w:eastAsia="宋体" w:cs="宋体"/>
          <w:color w:val="auto"/>
          <w:sz w:val="24"/>
          <w:szCs w:val="28"/>
          <w:highlight w:val="none"/>
        </w:rPr>
        <w:t>个月依法缴纳税收和社会保障金的证明材料，依法免税或不需要缴纳社会保障资金的供应商，应提供相应证明文件）</w:t>
      </w:r>
      <w:r>
        <w:rPr>
          <w:rFonts w:hint="eastAsia" w:ascii="宋体" w:hAnsi="宋体" w:eastAsia="宋体" w:cs="宋体"/>
          <w:color w:val="auto"/>
          <w:sz w:val="24"/>
          <w:szCs w:val="28"/>
          <w:highlight w:val="none"/>
          <w:lang w:eastAsia="zh-CN"/>
        </w:rPr>
        <w:t>。</w:t>
      </w:r>
    </w:p>
    <w:p w14:paraId="1BD65BE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3.5、</w:t>
      </w:r>
      <w:r>
        <w:rPr>
          <w:rFonts w:hint="eastAsia" w:ascii="宋体" w:hAnsi="宋体" w:eastAsia="宋体" w:cs="宋体"/>
          <w:color w:val="auto"/>
          <w:sz w:val="24"/>
          <w:szCs w:val="28"/>
          <w:highlight w:val="none"/>
        </w:rPr>
        <w:t>参加政府采购活动近三年内，在经营活动中没有重大违法记录（自行作出承诺，格式自拟</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承诺对象公司、法人</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 xml:space="preserve"> </w:t>
      </w:r>
    </w:p>
    <w:p w14:paraId="3C09624C">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3.6、出具本单位无商业贿赂及无不正当竞争行为的承诺书</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承诺对象公司、法人</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w:t>
      </w:r>
    </w:p>
    <w:p w14:paraId="221EF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i w:val="0"/>
          <w:iCs w:val="0"/>
          <w:caps w:val="0"/>
          <w:color w:val="333333"/>
          <w:spacing w:val="0"/>
          <w:kern w:val="0"/>
          <w:sz w:val="24"/>
          <w:szCs w:val="24"/>
          <w:highlight w:val="none"/>
          <w:lang w:val="en-US" w:eastAsia="zh-CN" w:bidi="ar"/>
        </w:rPr>
        <w:t>3.7、</w:t>
      </w:r>
      <w:r>
        <w:rPr>
          <w:rFonts w:hint="eastAsia" w:ascii="宋体" w:hAnsi="宋体" w:eastAsia="宋体" w:cs="宋体"/>
          <w:color w:val="0C0C0C"/>
          <w:kern w:val="0"/>
          <w:sz w:val="24"/>
          <w:szCs w:val="24"/>
          <w:highlight w:val="none"/>
          <w:shd w:val="clear" w:color="auto" w:fill="FFFFFF"/>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信用中国”网站（https://www.creditchina.gov.cn/）、中国政府采购网（http://www.ccgp.gov.cn/），提供网站的查询信息截图，信用报告，查询时间自公告发布之日起）</w:t>
      </w:r>
    </w:p>
    <w:p w14:paraId="07FBE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3.8、单位负责人为同一人或者存在直接控股、管理关系的不同供应商，不得参加同一合同项下的采购活动；（提供“国家企业信用信息公示系统”中查询的相关信息并加盖公章；查询信息需包含公司基本信息、股东信息及股权变更信息等相关信息，查询起始日期为本项目公告发布之后，查询截止时间为开标时间同一时间）</w:t>
      </w:r>
    </w:p>
    <w:p w14:paraId="0F3CF6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kern w:val="0"/>
          <w:sz w:val="24"/>
          <w:szCs w:val="24"/>
          <w:highlight w:val="none"/>
          <w:lang w:val="en-US"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3.9、本项目不接受联合体投标。</w:t>
      </w:r>
    </w:p>
    <w:p w14:paraId="2CC6D0BE">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color w:val="auto"/>
          <w:sz w:val="24"/>
          <w:szCs w:val="28"/>
          <w:highlight w:val="none"/>
        </w:rPr>
      </w:pPr>
      <w:r>
        <w:rPr>
          <w:rFonts w:hint="eastAsia" w:ascii="宋体" w:hAnsi="宋体" w:eastAsia="宋体" w:cs="宋体"/>
          <w:b/>
          <w:bCs/>
          <w:i w:val="0"/>
          <w:iCs w:val="0"/>
          <w:caps w:val="0"/>
          <w:color w:val="333333"/>
          <w:spacing w:val="0"/>
          <w:kern w:val="0"/>
          <w:sz w:val="24"/>
          <w:szCs w:val="24"/>
          <w:highlight w:val="none"/>
          <w:lang w:val="en-US" w:eastAsia="zh-CN" w:bidi="ar"/>
        </w:rPr>
        <w:t>备注：</w:t>
      </w:r>
      <w:r>
        <w:rPr>
          <w:rFonts w:hint="eastAsia" w:ascii="宋体" w:hAnsi="宋体" w:eastAsia="宋体" w:cs="宋体"/>
          <w:b/>
          <w:bCs/>
          <w:color w:val="auto"/>
          <w:sz w:val="24"/>
          <w:szCs w:val="28"/>
          <w:highlight w:val="none"/>
        </w:rPr>
        <w:t>同一供应商可以同时对一、二</w:t>
      </w:r>
      <w:r>
        <w:rPr>
          <w:rFonts w:hint="eastAsia" w:ascii="宋体" w:hAnsi="宋体" w:eastAsia="宋体" w:cs="宋体"/>
          <w:b/>
          <w:bCs/>
          <w:color w:val="auto"/>
          <w:sz w:val="24"/>
          <w:szCs w:val="28"/>
          <w:highlight w:val="none"/>
          <w:lang w:eastAsia="zh-CN"/>
        </w:rPr>
        <w:t>、</w:t>
      </w:r>
      <w:r>
        <w:rPr>
          <w:rFonts w:hint="eastAsia" w:ascii="宋体" w:hAnsi="宋体" w:eastAsia="宋体" w:cs="宋体"/>
          <w:b/>
          <w:bCs/>
          <w:color w:val="auto"/>
          <w:sz w:val="24"/>
          <w:szCs w:val="28"/>
          <w:highlight w:val="none"/>
          <w:lang w:val="en-US" w:eastAsia="zh-CN"/>
        </w:rPr>
        <w:t>三</w:t>
      </w:r>
      <w:r>
        <w:rPr>
          <w:rFonts w:hint="eastAsia" w:ascii="宋体" w:hAnsi="宋体" w:eastAsia="宋体" w:cs="宋体"/>
          <w:b/>
          <w:bCs/>
          <w:color w:val="auto"/>
          <w:sz w:val="24"/>
          <w:szCs w:val="28"/>
          <w:highlight w:val="none"/>
        </w:rPr>
        <w:t>标段中多个标段进行投标，但只能取得其中一个标段的第一中标候选人资格。如供应商为一标段的第一中标候选人的，可以参与二标段的评审，但不再推荐其为二标段的</w:t>
      </w:r>
      <w:r>
        <w:rPr>
          <w:rFonts w:hint="eastAsia" w:ascii="宋体" w:hAnsi="宋体" w:eastAsia="宋体" w:cs="宋体"/>
          <w:b/>
          <w:bCs/>
          <w:color w:val="auto"/>
          <w:sz w:val="24"/>
          <w:szCs w:val="28"/>
          <w:highlight w:val="none"/>
          <w:lang w:val="en-US" w:eastAsia="zh-CN"/>
        </w:rPr>
        <w:t>第一</w:t>
      </w:r>
      <w:r>
        <w:rPr>
          <w:rFonts w:hint="eastAsia" w:ascii="宋体" w:hAnsi="宋体" w:eastAsia="宋体" w:cs="宋体"/>
          <w:b/>
          <w:bCs/>
          <w:color w:val="auto"/>
          <w:sz w:val="24"/>
          <w:szCs w:val="28"/>
          <w:highlight w:val="none"/>
        </w:rPr>
        <w:t>中标候选人。</w:t>
      </w:r>
    </w:p>
    <w:p w14:paraId="27766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三、获取招标文件</w:t>
      </w:r>
    </w:p>
    <w:p w14:paraId="1657B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1、时间：2025年7月</w:t>
      </w:r>
      <w:r>
        <w:rPr>
          <w:rFonts w:hint="eastAsia" w:ascii="宋体" w:hAnsi="宋体" w:cs="宋体"/>
          <w:i w:val="0"/>
          <w:iCs w:val="0"/>
          <w:caps w:val="0"/>
          <w:color w:val="000000"/>
          <w:spacing w:val="0"/>
          <w:kern w:val="0"/>
          <w:sz w:val="24"/>
          <w:szCs w:val="24"/>
          <w:highlight w:val="none"/>
          <w:lang w:val="en-US" w:eastAsia="zh-CN" w:bidi="ar"/>
        </w:rPr>
        <w:t>3</w:t>
      </w:r>
      <w:r>
        <w:rPr>
          <w:rFonts w:hint="eastAsia" w:ascii="宋体" w:hAnsi="宋体" w:eastAsia="宋体" w:cs="宋体"/>
          <w:i w:val="0"/>
          <w:iCs w:val="0"/>
          <w:caps w:val="0"/>
          <w:color w:val="000000"/>
          <w:spacing w:val="0"/>
          <w:kern w:val="0"/>
          <w:sz w:val="24"/>
          <w:szCs w:val="24"/>
          <w:highlight w:val="none"/>
          <w:lang w:val="en-US" w:eastAsia="zh-CN" w:bidi="ar"/>
        </w:rPr>
        <w:t>日至2025年7月23日</w:t>
      </w:r>
      <w:r>
        <w:rPr>
          <w:rFonts w:hint="eastAsia" w:ascii="宋体" w:hAnsi="宋体" w:eastAsia="宋体" w:cs="宋体"/>
          <w:i w:val="0"/>
          <w:iCs w:val="0"/>
          <w:caps w:val="0"/>
          <w:color w:val="333333"/>
          <w:spacing w:val="0"/>
          <w:kern w:val="0"/>
          <w:sz w:val="24"/>
          <w:szCs w:val="24"/>
          <w:highlight w:val="none"/>
          <w:lang w:val="en-US" w:eastAsia="zh-CN" w:bidi="ar"/>
        </w:rPr>
        <w:t>08时30分</w:t>
      </w:r>
    </w:p>
    <w:p w14:paraId="1AC58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获取方式：本项目没有报名环节，供应商凭CA数字证书通过三门峡市公共资源交易中心网（网址：gzjy.smx.gov.cn），点击交易平台选择“市场主体登录”，在所参与项目右侧点击参与投标，即可直接下载本项目招标文件。本项目采用全电子化招标，不再收取招标文件费。</w:t>
      </w:r>
    </w:p>
    <w:p w14:paraId="01444E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办理CA证书：http://gzjy.smx.gov.cn/bzzx/008001/20211105/57b16af9-ab87-4395-a723-7758c628a3f8.html</w:t>
      </w:r>
    </w:p>
    <w:p w14:paraId="2A75C8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三门峡市公共资源交易平台操作手册：</w:t>
      </w:r>
    </w:p>
    <w:p w14:paraId="587E7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http://gzjy.smx.gov.cn/bzzx/008001/20200325/1d4d9bd4-82a2-4284-b2f7-428c4c69ef58.html</w:t>
      </w:r>
    </w:p>
    <w:p w14:paraId="311586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000000"/>
          <w:spacing w:val="0"/>
          <w:kern w:val="0"/>
          <w:sz w:val="24"/>
          <w:szCs w:val="24"/>
          <w:highlight w:val="none"/>
          <w:lang w:val="en-US" w:eastAsia="zh-CN" w:bidi="ar"/>
        </w:rPr>
        <w:t>四、投标截止时间及地点</w:t>
      </w:r>
    </w:p>
    <w:p w14:paraId="7CEEA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1、时间：2025年7月23日08时30分（北京时间）</w:t>
      </w:r>
    </w:p>
    <w:p w14:paraId="25DA59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2、地点：</w:t>
      </w:r>
      <w:r>
        <w:rPr>
          <w:rFonts w:hint="eastAsia" w:ascii="宋体" w:hAnsi="宋体" w:eastAsia="宋体" w:cs="宋体"/>
          <w:color w:val="0C0C0C"/>
          <w:kern w:val="0"/>
          <w:sz w:val="24"/>
          <w:szCs w:val="24"/>
          <w:highlight w:val="none"/>
          <w:shd w:val="clear" w:color="auto" w:fill="FFFFFF"/>
          <w:lang w:val="en-US" w:eastAsia="zh-CN"/>
        </w:rPr>
        <w:t>在三门峡市公共资源交易中心网络平台上传加密投标文件</w:t>
      </w:r>
      <w:r>
        <w:rPr>
          <w:rFonts w:hint="eastAsia" w:ascii="宋体" w:hAnsi="宋体" w:eastAsia="宋体" w:cs="宋体"/>
          <w:i w:val="0"/>
          <w:iCs w:val="0"/>
          <w:caps w:val="0"/>
          <w:color w:val="333333"/>
          <w:spacing w:val="0"/>
          <w:kern w:val="0"/>
          <w:sz w:val="24"/>
          <w:szCs w:val="24"/>
          <w:highlight w:val="none"/>
          <w:lang w:val="en-US" w:eastAsia="zh-CN" w:bidi="ar"/>
        </w:rPr>
        <w:t>。</w:t>
      </w:r>
    </w:p>
    <w:p w14:paraId="00273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五、开标时间及地点</w:t>
      </w:r>
    </w:p>
    <w:p w14:paraId="1E301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1、时间：2025年7月23日08时30分（北京时间）</w:t>
      </w:r>
    </w:p>
    <w:p w14:paraId="54B99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2、地点：灵宝市公共资源交易中心开标二室</w:t>
      </w:r>
      <w:r>
        <w:rPr>
          <w:rFonts w:hint="eastAsia" w:ascii="宋体" w:hAnsi="宋体" w:eastAsia="宋体" w:cs="宋体"/>
          <w:i w:val="0"/>
          <w:iCs w:val="0"/>
          <w:caps w:val="0"/>
          <w:color w:val="333333"/>
          <w:spacing w:val="0"/>
          <w:kern w:val="0"/>
          <w:sz w:val="24"/>
          <w:szCs w:val="24"/>
          <w:lang w:val="en-US" w:eastAsia="zh-CN" w:bidi="ar"/>
        </w:rPr>
        <w:t>（灵宝市金城大道信用合作联社12楼）</w:t>
      </w:r>
      <w:r>
        <w:rPr>
          <w:rFonts w:hint="eastAsia" w:ascii="宋体" w:hAnsi="宋体" w:eastAsia="宋体" w:cs="宋体"/>
          <w:i w:val="0"/>
          <w:iCs w:val="0"/>
          <w:caps w:val="0"/>
          <w:color w:val="000000"/>
          <w:spacing w:val="0"/>
          <w:kern w:val="0"/>
          <w:sz w:val="24"/>
          <w:szCs w:val="24"/>
          <w:lang w:val="en-US" w:eastAsia="zh-CN" w:bidi="ar"/>
        </w:rPr>
        <w:t>。</w:t>
      </w:r>
    </w:p>
    <w:p w14:paraId="43C282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3、本项目为不见面开标项目，开标当日，供应商无需到开标现场参加开标会议，供应商应当在投标截止时间前，登陆不见面开标大厅选择登陆三门峡市公共资源电子招投标系统进行登陆（网址为</w:t>
      </w:r>
    </w:p>
    <w:p w14:paraId="4C0530F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lang w:val="en-US" w:eastAsia="zh-CN"/>
        </w:rPr>
      </w:pPr>
      <w:r>
        <w:rPr>
          <w:rFonts w:hint="eastAsia" w:ascii="宋体" w:hAnsi="宋体" w:eastAsia="宋体" w:cs="宋体"/>
          <w:color w:val="0C0C0C"/>
          <w:kern w:val="0"/>
          <w:sz w:val="24"/>
          <w:szCs w:val="24"/>
          <w:highlight w:val="none"/>
          <w:shd w:val="clear" w:color="auto" w:fill="FFFFFF"/>
          <w:lang w:val="en-US" w:eastAsia="zh-CN"/>
        </w:rPr>
        <w:t>http://122.112.246.33/BidOpening/bidopeninghallaction/hall/login）。在线准时参加开标活动并进行投标文件解密等。每位供应商的解密时间为开标时间起30分钟内完成。因供应商原因未能解密、解密失败或解密超时的将被拒绝。</w:t>
      </w:r>
    </w:p>
    <w:p w14:paraId="1C6C26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六、投标保证金</w:t>
      </w:r>
    </w:p>
    <w:p w14:paraId="682794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0C0C0C"/>
          <w:kern w:val="0"/>
          <w:sz w:val="24"/>
          <w:szCs w:val="24"/>
          <w:highlight w:val="none"/>
          <w:shd w:val="clear" w:color="auto" w:fill="FFFFFF"/>
          <w:lang w:val="en-US" w:eastAsia="zh-CN"/>
        </w:rPr>
      </w:pPr>
      <w:r>
        <w:rPr>
          <w:rFonts w:hint="eastAsia" w:ascii="宋体" w:hAnsi="宋体" w:eastAsia="宋体" w:cs="宋体"/>
          <w:color w:val="0C0C0C"/>
          <w:kern w:val="0"/>
          <w:sz w:val="24"/>
          <w:szCs w:val="24"/>
          <w:highlight w:val="none"/>
          <w:shd w:val="clear" w:color="auto" w:fill="FFFFFF"/>
          <w:lang w:val="en-US" w:eastAsia="zh-CN"/>
        </w:rPr>
        <w:t>按照《河南省财政厅关于优化政府采购营商环境有关问题的通知》（豫财购[2019]4号文）的要求本项目不再收取保证金。</w:t>
      </w:r>
    </w:p>
    <w:p w14:paraId="541D9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七、发布公告的媒介</w:t>
      </w:r>
    </w:p>
    <w:p w14:paraId="5EB6B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本次招标公告在《河南省政府采购网》、《三门峡市公共资源交易服务平台》、《中国采购与招标网》上发布。</w:t>
      </w:r>
    </w:p>
    <w:p w14:paraId="4A2DE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八、其他补充事宜</w:t>
      </w:r>
    </w:p>
    <w:p w14:paraId="482F8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本项目实行资格后审，根据优化营商环境的要求，评标时审查内容以投标文件为准：</w:t>
      </w:r>
    </w:p>
    <w:p w14:paraId="7EC03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1、资格评（预）审部分：资格评（预）审以投标文件为准，其上传资料真实性由供应商自行承担。</w:t>
      </w:r>
    </w:p>
    <w:p w14:paraId="3C5AE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2、评标打分部分：评标打分部分仍按照100分制原则进行，涉及到资格审查、企业荣誉、人员业绩、企业业绩等计分部分时，以投标单位自行上传到投标文件中的相应内容为准。</w:t>
      </w:r>
    </w:p>
    <w:p w14:paraId="262F5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可使用电子营业执照。</w:t>
      </w:r>
    </w:p>
    <w:p w14:paraId="4D96B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本项目为不见面开标项目，开标当日，供应商无需到开标现场参加开标会议，供应商应当在投标截止时间前，登陆不见面开标大厅选择登陆三门峡市公共资源电子招投标系统进行登陆,在线准时参加开标活动并进行投标文件解密等。</w:t>
      </w:r>
    </w:p>
    <w:p w14:paraId="0D4C4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5、本项目为电子化、无纸化交易项目，开标时不再接受任何纸质资料，为保证您能投标成功，请需仔细阅读招标文件和三门峡市公共资源交易中心官网业务办理指南。</w:t>
      </w:r>
    </w:p>
    <w:p w14:paraId="3B299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lang w:val="en-US" w:eastAsia="zh-CN" w:bidi="ar"/>
        </w:rPr>
        <w:t>九、联系方式</w:t>
      </w:r>
    </w:p>
    <w:p w14:paraId="08C83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监督单位：灵宝市财政局政府采购监督管理科</w:t>
      </w:r>
    </w:p>
    <w:p w14:paraId="29E3C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联系电话：0398-8852670</w:t>
      </w:r>
    </w:p>
    <w:p w14:paraId="7823F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监督单位：灵宝市教育体育局</w:t>
      </w:r>
    </w:p>
    <w:p w14:paraId="07EA0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联系电话：0398-8666249</w:t>
      </w:r>
    </w:p>
    <w:p w14:paraId="441D4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采购人：灵宝市中等专业学校</w:t>
      </w:r>
    </w:p>
    <w:p w14:paraId="15E3C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地址：河南省灵宝市长安路303号</w:t>
      </w:r>
    </w:p>
    <w:p w14:paraId="3EFAE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w:t>
      </w:r>
      <w:r>
        <w:rPr>
          <w:rFonts w:hint="eastAsia" w:ascii="宋体" w:hAnsi="宋体" w:cs="宋体"/>
          <w:i w:val="0"/>
          <w:iCs w:val="0"/>
          <w:caps w:val="0"/>
          <w:color w:val="000000"/>
          <w:spacing w:val="0"/>
          <w:kern w:val="0"/>
          <w:sz w:val="24"/>
          <w:szCs w:val="24"/>
          <w:lang w:val="en-US" w:eastAsia="zh-CN" w:bidi="ar"/>
        </w:rPr>
        <w:t>何女士</w:t>
      </w:r>
    </w:p>
    <w:p w14:paraId="66BEF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联系电话：</w:t>
      </w:r>
      <w:r>
        <w:rPr>
          <w:rFonts w:hint="eastAsia" w:ascii="宋体" w:hAnsi="宋体" w:cs="宋体"/>
          <w:i w:val="0"/>
          <w:iCs w:val="0"/>
          <w:caps w:val="0"/>
          <w:color w:val="000000"/>
          <w:spacing w:val="0"/>
          <w:kern w:val="0"/>
          <w:sz w:val="24"/>
          <w:szCs w:val="24"/>
          <w:lang w:val="en-US" w:eastAsia="zh-CN" w:bidi="ar"/>
        </w:rPr>
        <w:t>0398-2199615</w:t>
      </w:r>
    </w:p>
    <w:p w14:paraId="59A8B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代理机构：河南洲禾建设工程有限公司</w:t>
      </w:r>
    </w:p>
    <w:p w14:paraId="1CD21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联系人：刘女士</w:t>
      </w:r>
    </w:p>
    <w:p w14:paraId="591D5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联系方式：15138163336 </w:t>
      </w:r>
    </w:p>
    <w:p w14:paraId="58CFF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地址：三门峡市商务中心区迎宾大道湖滨大厦A座2513室</w:t>
      </w:r>
    </w:p>
    <w:p w14:paraId="66023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sectPr>
          <w:footerReference r:id="rId5" w:type="default"/>
          <w:pgSz w:w="11906" w:h="16838"/>
          <w:pgMar w:top="1440" w:right="1417" w:bottom="1440" w:left="1417" w:header="720" w:footer="720" w:gutter="0"/>
          <w:pgNumType w:fmt="decimal" w:start="1"/>
          <w:cols w:space="0" w:num="1"/>
          <w:rtlGutter w:val="0"/>
          <w:docGrid w:type="lines" w:linePitch="312" w:charSpace="0"/>
        </w:sectPr>
      </w:pPr>
    </w:p>
    <w:p w14:paraId="4904E2FE">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bookmarkStart w:id="1" w:name="_Toc12642"/>
      <w:r>
        <w:rPr>
          <w:rFonts w:hint="eastAsia" w:ascii="宋体" w:hAnsi="宋体" w:eastAsia="宋体" w:cs="宋体"/>
          <w:b/>
          <w:bCs/>
          <w:color w:val="auto"/>
          <w:kern w:val="0"/>
          <w:sz w:val="32"/>
          <w:szCs w:val="32"/>
          <w:highlight w:val="none"/>
        </w:rPr>
        <w:t>第二章  供应商须知</w:t>
      </w:r>
      <w:bookmarkEnd w:id="1"/>
    </w:p>
    <w:p w14:paraId="7D821C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供应商须知前附表</w:t>
      </w:r>
    </w:p>
    <w:p w14:paraId="64428A13">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p>
    <w:tbl>
      <w:tblPr>
        <w:tblStyle w:val="21"/>
        <w:tblW w:w="9193" w:type="dxa"/>
        <w:tblInd w:w="135" w:type="dxa"/>
        <w:tblLayout w:type="fixed"/>
        <w:tblCellMar>
          <w:top w:w="0" w:type="dxa"/>
          <w:left w:w="108" w:type="dxa"/>
          <w:bottom w:w="0" w:type="dxa"/>
          <w:right w:w="108" w:type="dxa"/>
        </w:tblCellMar>
      </w:tblPr>
      <w:tblGrid>
        <w:gridCol w:w="1010"/>
        <w:gridCol w:w="2082"/>
        <w:gridCol w:w="6101"/>
      </w:tblGrid>
      <w:tr w14:paraId="337220D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8C1877B">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条款号</w:t>
            </w:r>
          </w:p>
        </w:tc>
        <w:tc>
          <w:tcPr>
            <w:tcW w:w="2082" w:type="dxa"/>
            <w:tcBorders>
              <w:top w:val="single" w:color="auto" w:sz="4" w:space="0"/>
              <w:left w:val="nil"/>
              <w:bottom w:val="single" w:color="auto" w:sz="4" w:space="0"/>
              <w:right w:val="single" w:color="auto" w:sz="4" w:space="0"/>
            </w:tcBorders>
            <w:noWrap w:val="0"/>
            <w:vAlign w:val="center"/>
          </w:tcPr>
          <w:p w14:paraId="0429A1E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条款名称</w:t>
            </w:r>
          </w:p>
        </w:tc>
        <w:tc>
          <w:tcPr>
            <w:tcW w:w="6101" w:type="dxa"/>
            <w:tcBorders>
              <w:top w:val="single" w:color="auto" w:sz="4" w:space="0"/>
              <w:left w:val="nil"/>
              <w:bottom w:val="single" w:color="auto" w:sz="4" w:space="0"/>
              <w:right w:val="single" w:color="auto" w:sz="4" w:space="0"/>
            </w:tcBorders>
            <w:noWrap w:val="0"/>
            <w:vAlign w:val="center"/>
          </w:tcPr>
          <w:p w14:paraId="360C9CD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编列内容</w:t>
            </w:r>
          </w:p>
        </w:tc>
      </w:tr>
      <w:tr w14:paraId="705F06BA">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14:paraId="183DA6F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nil"/>
              <w:left w:val="nil"/>
              <w:bottom w:val="single" w:color="auto" w:sz="4" w:space="0"/>
              <w:right w:val="single" w:color="auto" w:sz="4" w:space="0"/>
            </w:tcBorders>
            <w:noWrap w:val="0"/>
            <w:vAlign w:val="center"/>
          </w:tcPr>
          <w:p w14:paraId="4F3F945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p>
        </w:tc>
        <w:tc>
          <w:tcPr>
            <w:tcW w:w="6101" w:type="dxa"/>
            <w:tcBorders>
              <w:top w:val="single" w:color="auto" w:sz="4" w:space="0"/>
              <w:left w:val="nil"/>
              <w:bottom w:val="single" w:color="auto" w:sz="4" w:space="0"/>
              <w:right w:val="single" w:color="auto" w:sz="4" w:space="0"/>
            </w:tcBorders>
            <w:noWrap w:val="0"/>
            <w:vAlign w:val="center"/>
          </w:tcPr>
          <w:p w14:paraId="5CF950A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采购人：灵宝市中等专业学校</w:t>
            </w:r>
          </w:p>
          <w:p w14:paraId="498DF5A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地址：河南省灵宝市长安路303号</w:t>
            </w:r>
          </w:p>
          <w:p w14:paraId="410C90B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联系人：何女士</w:t>
            </w:r>
          </w:p>
          <w:p w14:paraId="728F5AF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联系电话：0398-2199615</w:t>
            </w:r>
          </w:p>
        </w:tc>
      </w:tr>
      <w:tr w14:paraId="622E006D">
        <w:tblPrEx>
          <w:tblCellMar>
            <w:top w:w="0" w:type="dxa"/>
            <w:left w:w="108" w:type="dxa"/>
            <w:bottom w:w="0" w:type="dxa"/>
            <w:right w:w="108" w:type="dxa"/>
          </w:tblCellMar>
        </w:tblPrEx>
        <w:trPr>
          <w:trHeight w:val="800" w:hRule="atLeast"/>
        </w:trPr>
        <w:tc>
          <w:tcPr>
            <w:tcW w:w="1010" w:type="dxa"/>
            <w:tcBorders>
              <w:top w:val="nil"/>
              <w:left w:val="single" w:color="auto" w:sz="4" w:space="0"/>
              <w:bottom w:val="single" w:color="auto" w:sz="4" w:space="0"/>
              <w:right w:val="single" w:color="auto" w:sz="4" w:space="0"/>
            </w:tcBorders>
            <w:noWrap w:val="0"/>
            <w:vAlign w:val="center"/>
          </w:tcPr>
          <w:p w14:paraId="292DBDA6">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nil"/>
              <w:left w:val="nil"/>
              <w:bottom w:val="single" w:color="auto" w:sz="4" w:space="0"/>
              <w:right w:val="single" w:color="auto" w:sz="4" w:space="0"/>
            </w:tcBorders>
            <w:noWrap w:val="0"/>
            <w:vAlign w:val="center"/>
          </w:tcPr>
          <w:p w14:paraId="385C423D">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p>
        </w:tc>
        <w:tc>
          <w:tcPr>
            <w:tcW w:w="6101" w:type="dxa"/>
            <w:tcBorders>
              <w:top w:val="single" w:color="auto" w:sz="4" w:space="0"/>
              <w:left w:val="nil"/>
              <w:bottom w:val="single" w:color="auto" w:sz="4" w:space="0"/>
              <w:right w:val="single" w:color="auto" w:sz="4" w:space="0"/>
            </w:tcBorders>
            <w:noWrap w:val="0"/>
            <w:vAlign w:val="center"/>
          </w:tcPr>
          <w:p w14:paraId="0F74AC5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代理机构：河南洲禾建设工程有限公司</w:t>
            </w:r>
          </w:p>
          <w:p w14:paraId="5B9F381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联系人：刘女士</w:t>
            </w:r>
          </w:p>
          <w:p w14:paraId="76DBC5C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联系方式：15138163336 </w:t>
            </w:r>
          </w:p>
          <w:p w14:paraId="6CE486E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地址：三门峡市商务中心区迎宾大道湖滨大厦A座2513室</w:t>
            </w:r>
          </w:p>
        </w:tc>
      </w:tr>
      <w:tr w14:paraId="005E9EAF">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FB81449">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2A205FC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6101" w:type="dxa"/>
            <w:tcBorders>
              <w:top w:val="single" w:color="auto" w:sz="4" w:space="0"/>
              <w:left w:val="nil"/>
              <w:bottom w:val="single" w:color="auto" w:sz="4" w:space="0"/>
              <w:right w:val="single" w:color="auto" w:sz="4" w:space="0"/>
            </w:tcBorders>
            <w:noWrap w:val="0"/>
            <w:vAlign w:val="center"/>
          </w:tcPr>
          <w:p w14:paraId="7A414C6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sz w:val="24"/>
                <w:szCs w:val="28"/>
                <w:lang w:eastAsia="zh-CN"/>
              </w:rPr>
              <w:t>灵宝市中等专业学校智慧康养实训室建设、虚拟仿真思政教室建设及学校内涵提升建设项目</w:t>
            </w:r>
          </w:p>
        </w:tc>
      </w:tr>
      <w:tr w14:paraId="0C33F341">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45C9610">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45E1898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招标方式</w:t>
            </w:r>
          </w:p>
        </w:tc>
        <w:tc>
          <w:tcPr>
            <w:tcW w:w="6101" w:type="dxa"/>
            <w:tcBorders>
              <w:top w:val="single" w:color="auto" w:sz="4" w:space="0"/>
              <w:left w:val="nil"/>
              <w:bottom w:val="single" w:color="auto" w:sz="4" w:space="0"/>
              <w:right w:val="single" w:color="auto" w:sz="4" w:space="0"/>
            </w:tcBorders>
            <w:noWrap w:val="0"/>
            <w:vAlign w:val="center"/>
          </w:tcPr>
          <w:p w14:paraId="06713971">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3D24D21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550DEE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A9E353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p>
        </w:tc>
        <w:tc>
          <w:tcPr>
            <w:tcW w:w="6101" w:type="dxa"/>
            <w:tcBorders>
              <w:top w:val="single" w:color="auto" w:sz="4" w:space="0"/>
              <w:left w:val="nil"/>
              <w:bottom w:val="single" w:color="auto" w:sz="4" w:space="0"/>
              <w:right w:val="single" w:color="auto" w:sz="4" w:space="0"/>
            </w:tcBorders>
            <w:noWrap w:val="0"/>
            <w:vAlign w:val="center"/>
          </w:tcPr>
          <w:p w14:paraId="3ED9A969">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aps w:val="0"/>
                <w:color w:val="000000"/>
                <w:spacing w:val="0"/>
                <w:kern w:val="0"/>
                <w:sz w:val="24"/>
                <w:szCs w:val="24"/>
                <w:lang w:val="en-US" w:eastAsia="zh-CN" w:bidi="ar"/>
              </w:rPr>
              <w:t>300万</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w:t>
            </w:r>
          </w:p>
          <w:p w14:paraId="6BE5B867">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一标段：</w:t>
            </w:r>
            <w:r>
              <w:rPr>
                <w:rFonts w:hint="eastAsia" w:ascii="宋体" w:hAnsi="宋体" w:eastAsia="宋体" w:cs="宋体"/>
                <w:i w:val="0"/>
                <w:iCs w:val="0"/>
                <w:caps w:val="0"/>
                <w:color w:val="000000"/>
                <w:spacing w:val="0"/>
                <w:kern w:val="0"/>
                <w:sz w:val="24"/>
                <w:szCs w:val="24"/>
                <w:lang w:val="en-US" w:eastAsia="zh-CN" w:bidi="ar"/>
              </w:rPr>
              <w:t>100万元</w:t>
            </w:r>
          </w:p>
          <w:p w14:paraId="43CCF06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auto"/>
                <w:kern w:val="0"/>
                <w:sz w:val="24"/>
                <w:szCs w:val="24"/>
                <w:highlight w:val="none"/>
                <w:lang w:val="en-US" w:eastAsia="zh-CN"/>
              </w:rPr>
              <w:t>二标段：</w:t>
            </w:r>
            <w:r>
              <w:rPr>
                <w:rFonts w:hint="eastAsia" w:ascii="宋体" w:hAnsi="宋体" w:eastAsia="宋体" w:cs="宋体"/>
                <w:i w:val="0"/>
                <w:iCs w:val="0"/>
                <w:caps w:val="0"/>
                <w:color w:val="000000"/>
                <w:spacing w:val="0"/>
                <w:kern w:val="0"/>
                <w:sz w:val="24"/>
                <w:szCs w:val="24"/>
                <w:lang w:val="en-US" w:eastAsia="zh-CN" w:bidi="ar"/>
              </w:rPr>
              <w:t>80万元</w:t>
            </w:r>
          </w:p>
          <w:p w14:paraId="5C3F0632">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lang w:val="en-US"/>
              </w:rPr>
            </w:pPr>
            <w:r>
              <w:rPr>
                <w:rFonts w:hint="eastAsia" w:ascii="宋体" w:hAnsi="宋体" w:eastAsia="宋体" w:cs="宋体"/>
                <w:i w:val="0"/>
                <w:iCs w:val="0"/>
                <w:caps w:val="0"/>
                <w:color w:val="000000"/>
                <w:spacing w:val="0"/>
                <w:kern w:val="0"/>
                <w:sz w:val="24"/>
                <w:szCs w:val="24"/>
                <w:lang w:val="en-US" w:eastAsia="zh-CN" w:bidi="ar"/>
              </w:rPr>
              <w:t>三标段：120万元</w:t>
            </w:r>
          </w:p>
        </w:tc>
      </w:tr>
      <w:tr w14:paraId="63F3965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CFF7888">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0EFDCF4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资金来源及落实情况</w:t>
            </w:r>
          </w:p>
        </w:tc>
        <w:tc>
          <w:tcPr>
            <w:tcW w:w="6101" w:type="dxa"/>
            <w:tcBorders>
              <w:top w:val="single" w:color="auto" w:sz="4" w:space="0"/>
              <w:left w:val="nil"/>
              <w:bottom w:val="single" w:color="auto" w:sz="4" w:space="0"/>
              <w:right w:val="single" w:color="auto" w:sz="4" w:space="0"/>
            </w:tcBorders>
            <w:noWrap w:val="0"/>
            <w:vAlign w:val="center"/>
          </w:tcPr>
          <w:p w14:paraId="52FBAD2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财政资金，已落实。</w:t>
            </w:r>
          </w:p>
        </w:tc>
      </w:tr>
      <w:tr w14:paraId="022124A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5606BF9">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4CA5C9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内容</w:t>
            </w:r>
          </w:p>
        </w:tc>
        <w:tc>
          <w:tcPr>
            <w:tcW w:w="6101" w:type="dxa"/>
            <w:tcBorders>
              <w:top w:val="single" w:color="auto" w:sz="4" w:space="0"/>
              <w:left w:val="nil"/>
              <w:bottom w:val="single" w:color="auto" w:sz="4" w:space="0"/>
              <w:right w:val="single" w:color="auto" w:sz="4" w:space="0"/>
            </w:tcBorders>
            <w:noWrap w:val="0"/>
            <w:vAlign w:val="center"/>
          </w:tcPr>
          <w:p w14:paraId="49B2ECBB">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一标段：智慧康养实训室建设项目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lang w:val="en-US" w:eastAsia="zh-CN"/>
              </w:rPr>
              <w:t>养老评估实训室、养老照护实训室、养老康复实训室设备的采购及安装、调试、验收交付、培训、技术支持、售后保修及质保期相关伴随服务（具体详见采购清单及参数要求)</w:t>
            </w:r>
          </w:p>
          <w:p w14:paraId="06FBA86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二标段：虚拟仿真思政教室建设项目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rPr>
              <w:t>大思政教育教学中心软件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vr党建思政培育中心（党建会议室）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党建思政红色教育基地（大礼堂）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教学楼红色文化打造</w:t>
            </w:r>
            <w:r>
              <w:rPr>
                <w:rFonts w:hint="eastAsia" w:ascii="宋体" w:hAnsi="宋体" w:eastAsia="宋体" w:cs="宋体"/>
                <w:color w:val="auto"/>
                <w:kern w:val="0"/>
                <w:sz w:val="24"/>
                <w:szCs w:val="24"/>
                <w:highlight w:val="none"/>
                <w:lang w:val="en-US" w:eastAsia="zh-CN"/>
              </w:rPr>
              <w:t>设备的采购及安装、调试、验收交付、培训、技术支持、售后保修及质保期相关伴随服务，以及教学资源的使用、服务、培训、技术支持（具体详见采购清单及参数要求)</w:t>
            </w:r>
          </w:p>
          <w:p w14:paraId="208A678D">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三标段：学校内涵提升建设项目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内容为：</w:t>
            </w:r>
            <w:r>
              <w:rPr>
                <w:rFonts w:hint="eastAsia" w:ascii="宋体" w:hAnsi="宋体" w:eastAsia="宋体" w:cs="宋体"/>
                <w:color w:val="auto"/>
                <w:kern w:val="0"/>
                <w:sz w:val="24"/>
                <w:szCs w:val="24"/>
                <w:highlight w:val="none"/>
              </w:rPr>
              <w:t>教学能力大赛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班主任能力大赛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师生技能竞赛、</w:t>
            </w:r>
            <w:r>
              <w:rPr>
                <w:rFonts w:hint="eastAsia" w:ascii="宋体" w:hAnsi="宋体" w:eastAsia="宋体" w:cs="宋体"/>
                <w:color w:val="auto"/>
                <w:kern w:val="0"/>
                <w:sz w:val="24"/>
                <w:szCs w:val="24"/>
                <w:highlight w:val="none"/>
              </w:rPr>
              <w:t>“文明风采”竞赛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AI教学平台技术服务</w:t>
            </w:r>
            <w:r>
              <w:rPr>
                <w:rFonts w:hint="eastAsia" w:ascii="宋体" w:hAnsi="宋体" w:eastAsia="宋体" w:cs="宋体"/>
                <w:color w:val="auto"/>
                <w:kern w:val="0"/>
                <w:sz w:val="24"/>
                <w:szCs w:val="24"/>
                <w:highlight w:val="none"/>
                <w:lang w:val="en-US" w:eastAsia="zh-CN"/>
              </w:rPr>
              <w:t>等大赛参赛教学大赛资源使用、服务、培训、技术支持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展板</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桌椅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空调</w:t>
            </w:r>
            <w:r>
              <w:rPr>
                <w:rFonts w:hint="eastAsia" w:ascii="宋体" w:hAnsi="宋体" w:eastAsia="宋体" w:cs="宋体"/>
                <w:color w:val="auto"/>
                <w:kern w:val="0"/>
                <w:sz w:val="24"/>
                <w:szCs w:val="24"/>
                <w:highlight w:val="none"/>
                <w:lang w:val="en-US" w:eastAsia="zh-CN"/>
              </w:rPr>
              <w:t>等设备的采购及安装、调试、验收交付、培训、技术支持、售后保修及质保期相关伴随服务（具体详见采购清单及参数要求)</w:t>
            </w:r>
          </w:p>
        </w:tc>
      </w:tr>
      <w:tr w14:paraId="290EFD1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C8BCB8C">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E390A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质保期</w:t>
            </w:r>
          </w:p>
        </w:tc>
        <w:tc>
          <w:tcPr>
            <w:tcW w:w="6101" w:type="dxa"/>
            <w:tcBorders>
              <w:top w:val="single" w:color="auto" w:sz="4" w:space="0"/>
              <w:left w:val="nil"/>
              <w:bottom w:val="single" w:color="auto" w:sz="4" w:space="0"/>
              <w:right w:val="single" w:color="auto" w:sz="4" w:space="0"/>
            </w:tcBorders>
            <w:noWrap w:val="0"/>
            <w:vAlign w:val="center"/>
          </w:tcPr>
          <w:p w14:paraId="29606977">
            <w:pPr>
              <w:pStyle w:val="19"/>
              <w:pageBreakBefore w:val="0"/>
              <w:bidi w:val="0"/>
              <w:adjustRightInd w:val="0"/>
              <w:snapToGrid w:val="0"/>
              <w:spacing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质保期三年。</w:t>
            </w:r>
          </w:p>
        </w:tc>
      </w:tr>
      <w:tr w14:paraId="744FE642">
        <w:tblPrEx>
          <w:tblCellMar>
            <w:top w:w="0" w:type="dxa"/>
            <w:left w:w="108" w:type="dxa"/>
            <w:bottom w:w="0" w:type="dxa"/>
            <w:right w:w="108" w:type="dxa"/>
          </w:tblCellMar>
        </w:tblPrEx>
        <w:trPr>
          <w:trHeight w:val="563" w:hRule="atLeast"/>
        </w:trPr>
        <w:tc>
          <w:tcPr>
            <w:tcW w:w="1010" w:type="dxa"/>
            <w:vMerge w:val="restart"/>
            <w:tcBorders>
              <w:top w:val="single" w:color="auto" w:sz="4" w:space="0"/>
              <w:left w:val="single" w:color="auto" w:sz="4" w:space="0"/>
              <w:bottom w:val="single" w:color="auto" w:sz="4" w:space="0"/>
              <w:right w:val="single" w:color="auto" w:sz="4" w:space="0"/>
            </w:tcBorders>
            <w:noWrap w:val="0"/>
            <w:vAlign w:val="center"/>
          </w:tcPr>
          <w:p w14:paraId="6333B4E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5820E10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6101" w:type="dxa"/>
            <w:tcBorders>
              <w:top w:val="single" w:color="auto" w:sz="4" w:space="0"/>
              <w:left w:val="nil"/>
              <w:bottom w:val="single" w:color="auto" w:sz="4" w:space="0"/>
              <w:right w:val="single" w:color="auto" w:sz="4" w:space="0"/>
            </w:tcBorders>
            <w:noWrap w:val="0"/>
            <w:vAlign w:val="center"/>
          </w:tcPr>
          <w:p w14:paraId="0EB44E9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货物30日历天内供货、安装、调试至正常运行，服务期限3年</w:t>
            </w:r>
          </w:p>
        </w:tc>
      </w:tr>
      <w:tr w14:paraId="32A99D70">
        <w:tblPrEx>
          <w:tblCellMar>
            <w:top w:w="0" w:type="dxa"/>
            <w:left w:w="108" w:type="dxa"/>
            <w:bottom w:w="0" w:type="dxa"/>
            <w:right w:w="108" w:type="dxa"/>
          </w:tblCellMar>
        </w:tblPrEx>
        <w:trPr>
          <w:trHeight w:val="563" w:hRule="atLeast"/>
        </w:trPr>
        <w:tc>
          <w:tcPr>
            <w:tcW w:w="1010" w:type="dxa"/>
            <w:vMerge w:val="continue"/>
            <w:tcBorders>
              <w:top w:val="single" w:color="auto" w:sz="4" w:space="0"/>
              <w:left w:val="single" w:color="auto" w:sz="4" w:space="0"/>
              <w:bottom w:val="single" w:color="auto" w:sz="4" w:space="0"/>
              <w:right w:val="single" w:color="auto" w:sz="4" w:space="0"/>
            </w:tcBorders>
            <w:noWrap w:val="0"/>
            <w:vAlign w:val="center"/>
          </w:tcPr>
          <w:p w14:paraId="2DED95B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3C3BB56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101" w:type="dxa"/>
            <w:tcBorders>
              <w:top w:val="single" w:color="auto" w:sz="4" w:space="0"/>
              <w:left w:val="nil"/>
              <w:bottom w:val="single" w:color="auto" w:sz="4" w:space="0"/>
              <w:right w:val="single" w:color="auto" w:sz="4" w:space="0"/>
            </w:tcBorders>
            <w:noWrap w:val="0"/>
            <w:vAlign w:val="center"/>
          </w:tcPr>
          <w:p w14:paraId="27C5D15B">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046C7FF3">
        <w:tblPrEx>
          <w:tblCellMar>
            <w:top w:w="0" w:type="dxa"/>
            <w:left w:w="108" w:type="dxa"/>
            <w:bottom w:w="0" w:type="dxa"/>
            <w:right w:w="108" w:type="dxa"/>
          </w:tblCellMar>
        </w:tblPrEx>
        <w:trPr>
          <w:trHeight w:val="593"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5838CF9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25E5CF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101" w:type="dxa"/>
            <w:tcBorders>
              <w:top w:val="single" w:color="auto" w:sz="4" w:space="0"/>
              <w:left w:val="nil"/>
              <w:bottom w:val="single" w:color="auto" w:sz="4" w:space="0"/>
              <w:right w:val="single" w:color="auto" w:sz="4" w:space="0"/>
            </w:tcBorders>
            <w:noWrap w:val="0"/>
            <w:vAlign w:val="center"/>
          </w:tcPr>
          <w:p w14:paraId="2BB76EB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333333"/>
                <w:spacing w:val="0"/>
                <w:kern w:val="0"/>
                <w:sz w:val="24"/>
                <w:szCs w:val="24"/>
                <w:lang w:val="en-US" w:eastAsia="zh-CN" w:bidi="ar"/>
              </w:rPr>
              <w:t>合格，符合相关法律、规范及采购人要求</w:t>
            </w:r>
          </w:p>
        </w:tc>
      </w:tr>
      <w:tr w14:paraId="6B7408F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3968B23">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single" w:color="auto" w:sz="4" w:space="0"/>
              <w:bottom w:val="single" w:color="auto" w:sz="4" w:space="0"/>
              <w:right w:val="single" w:color="auto" w:sz="4" w:space="0"/>
            </w:tcBorders>
            <w:noWrap w:val="0"/>
            <w:vAlign w:val="center"/>
          </w:tcPr>
          <w:p w14:paraId="45206F6E">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的资质、能力和应具备条件</w:t>
            </w:r>
          </w:p>
        </w:tc>
        <w:tc>
          <w:tcPr>
            <w:tcW w:w="6101" w:type="dxa"/>
            <w:tcBorders>
              <w:top w:val="single" w:color="auto" w:sz="4" w:space="0"/>
              <w:left w:val="nil"/>
              <w:bottom w:val="single" w:color="auto" w:sz="4" w:space="0"/>
              <w:right w:val="single" w:color="auto" w:sz="4" w:space="0"/>
            </w:tcBorders>
            <w:noWrap w:val="0"/>
            <w:vAlign w:val="center"/>
          </w:tcPr>
          <w:p w14:paraId="73C10F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333333"/>
                <w:spacing w:val="0"/>
                <w:kern w:val="0"/>
                <w:sz w:val="24"/>
                <w:szCs w:val="24"/>
                <w:lang w:val="en-US" w:eastAsia="zh-CN" w:bidi="ar"/>
              </w:rPr>
              <w:t>详见招标公告</w:t>
            </w:r>
          </w:p>
        </w:tc>
      </w:tr>
      <w:tr w14:paraId="559DB56C">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7B16A9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234DA7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踏勘现场</w:t>
            </w:r>
          </w:p>
        </w:tc>
        <w:tc>
          <w:tcPr>
            <w:tcW w:w="6101" w:type="dxa"/>
            <w:tcBorders>
              <w:top w:val="single" w:color="auto" w:sz="4" w:space="0"/>
              <w:left w:val="nil"/>
              <w:bottom w:val="single" w:color="auto" w:sz="4" w:space="0"/>
              <w:right w:val="single" w:color="auto" w:sz="4" w:space="0"/>
            </w:tcBorders>
            <w:noWrap w:val="0"/>
            <w:vAlign w:val="center"/>
          </w:tcPr>
          <w:p w14:paraId="2175633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21BAA0D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3921A3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212D6DDE">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snapToGrid w:val="0"/>
                <w:sz w:val="24"/>
                <w:szCs w:val="24"/>
                <w:highlight w:val="none"/>
              </w:rPr>
              <w:t>是否接受联合体</w:t>
            </w:r>
            <w:r>
              <w:rPr>
                <w:rFonts w:hint="eastAsia" w:ascii="宋体" w:hAnsi="宋体" w:eastAsia="宋体" w:cs="宋体"/>
                <w:snapToGrid w:val="0"/>
                <w:sz w:val="24"/>
                <w:szCs w:val="24"/>
                <w:highlight w:val="none"/>
                <w:lang w:val="en-US" w:eastAsia="zh-CN"/>
              </w:rPr>
              <w:t>投标</w:t>
            </w:r>
          </w:p>
        </w:tc>
        <w:tc>
          <w:tcPr>
            <w:tcW w:w="6101" w:type="dxa"/>
            <w:tcBorders>
              <w:top w:val="single" w:color="auto" w:sz="4" w:space="0"/>
              <w:left w:val="nil"/>
              <w:bottom w:val="single" w:color="auto" w:sz="4" w:space="0"/>
              <w:right w:val="single" w:color="auto" w:sz="4" w:space="0"/>
            </w:tcBorders>
            <w:noWrap w:val="0"/>
            <w:vAlign w:val="center"/>
          </w:tcPr>
          <w:p w14:paraId="2A5847B5">
            <w:pPr>
              <w:pageBreakBefore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不接受</w:t>
            </w:r>
          </w:p>
        </w:tc>
      </w:tr>
      <w:tr w14:paraId="6008654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6B699CA">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842CEE6">
            <w:pPr>
              <w:pageBreakBefore w:val="0"/>
              <w:widowControl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spacing w:val="6"/>
                <w:kern w:val="2"/>
                <w:sz w:val="24"/>
                <w:szCs w:val="24"/>
                <w:highlight w:val="none"/>
              </w:rPr>
              <w:t>投标预备会</w:t>
            </w:r>
          </w:p>
        </w:tc>
        <w:tc>
          <w:tcPr>
            <w:tcW w:w="6101" w:type="dxa"/>
            <w:tcBorders>
              <w:top w:val="single" w:color="auto" w:sz="4" w:space="0"/>
              <w:left w:val="nil"/>
              <w:bottom w:val="single" w:color="auto" w:sz="4" w:space="0"/>
              <w:right w:val="single" w:color="auto" w:sz="4" w:space="0"/>
            </w:tcBorders>
            <w:noWrap w:val="0"/>
            <w:vAlign w:val="center"/>
          </w:tcPr>
          <w:p w14:paraId="501DC265">
            <w:pPr>
              <w:pageBreakBefore w:val="0"/>
              <w:widowControl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spacing w:val="6"/>
                <w:kern w:val="2"/>
                <w:sz w:val="24"/>
                <w:szCs w:val="24"/>
                <w:highlight w:val="none"/>
              </w:rPr>
              <w:t>不召开</w:t>
            </w:r>
          </w:p>
        </w:tc>
      </w:tr>
      <w:tr w14:paraId="11420AB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F246AFF">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9914BA7">
            <w:pPr>
              <w:pageBreakBefore w:val="0"/>
              <w:widowControl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snapToGrid w:val="0"/>
                <w:spacing w:val="6"/>
                <w:kern w:val="2"/>
                <w:sz w:val="24"/>
                <w:szCs w:val="24"/>
                <w:highlight w:val="none"/>
              </w:rPr>
              <w:t>分包</w:t>
            </w:r>
          </w:p>
        </w:tc>
        <w:tc>
          <w:tcPr>
            <w:tcW w:w="6101" w:type="dxa"/>
            <w:tcBorders>
              <w:top w:val="single" w:color="auto" w:sz="4" w:space="0"/>
              <w:left w:val="nil"/>
              <w:bottom w:val="single" w:color="auto" w:sz="4" w:space="0"/>
              <w:right w:val="single" w:color="auto" w:sz="4" w:space="0"/>
            </w:tcBorders>
            <w:noWrap w:val="0"/>
            <w:vAlign w:val="center"/>
          </w:tcPr>
          <w:p w14:paraId="142E0CD1">
            <w:pPr>
              <w:pageBreakBefore w:val="0"/>
              <w:widowControl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snapToGrid w:val="0"/>
                <w:spacing w:val="6"/>
                <w:kern w:val="2"/>
                <w:sz w:val="24"/>
                <w:szCs w:val="24"/>
                <w:highlight w:val="none"/>
              </w:rPr>
              <w:t>不允许</w:t>
            </w:r>
          </w:p>
        </w:tc>
      </w:tr>
      <w:tr w14:paraId="2CC6E3F2">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7906E4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B9F0CB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询问和质疑</w:t>
            </w:r>
          </w:p>
        </w:tc>
        <w:tc>
          <w:tcPr>
            <w:tcW w:w="6101" w:type="dxa"/>
            <w:tcBorders>
              <w:top w:val="single" w:color="auto" w:sz="4" w:space="0"/>
              <w:left w:val="nil"/>
              <w:bottom w:val="single" w:color="auto" w:sz="4" w:space="0"/>
              <w:right w:val="single" w:color="auto" w:sz="4" w:space="0"/>
            </w:tcBorders>
            <w:noWrap w:val="0"/>
            <w:vAlign w:val="center"/>
          </w:tcPr>
          <w:p w14:paraId="6F24AD0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如对招标文件有异议的，应在知道或者应知其权益受到损害之日起七个工作日内，向采购人或采购代理机构书面提出，否则，将被视为认可本招标文件所有内容。</w:t>
            </w:r>
          </w:p>
        </w:tc>
      </w:tr>
      <w:tr w14:paraId="4B605F3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636A866B">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7FA96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供应商要求澄清招标文件的截止时间</w:t>
            </w:r>
          </w:p>
        </w:tc>
        <w:tc>
          <w:tcPr>
            <w:tcW w:w="6101" w:type="dxa"/>
            <w:tcBorders>
              <w:top w:val="single" w:color="auto" w:sz="4" w:space="0"/>
              <w:left w:val="nil"/>
              <w:bottom w:val="single" w:color="auto" w:sz="4" w:space="0"/>
              <w:right w:val="single" w:color="auto" w:sz="4" w:space="0"/>
            </w:tcBorders>
            <w:noWrap w:val="0"/>
            <w:vAlign w:val="center"/>
          </w:tcPr>
          <w:p w14:paraId="5FB6265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投标截止时间10日前</w:t>
            </w:r>
          </w:p>
        </w:tc>
      </w:tr>
      <w:tr w14:paraId="1C37205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212EFC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B3AB75C">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采购人书面澄清的时间</w:t>
            </w:r>
          </w:p>
        </w:tc>
        <w:tc>
          <w:tcPr>
            <w:tcW w:w="6101" w:type="dxa"/>
            <w:tcBorders>
              <w:top w:val="single" w:color="auto" w:sz="4" w:space="0"/>
              <w:left w:val="nil"/>
              <w:bottom w:val="single" w:color="auto" w:sz="4" w:space="0"/>
              <w:right w:val="single" w:color="auto" w:sz="4" w:space="0"/>
            </w:tcBorders>
            <w:noWrap w:val="0"/>
            <w:vAlign w:val="center"/>
          </w:tcPr>
          <w:p w14:paraId="5A79F476">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提交</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文件的截止之日</w:t>
            </w:r>
            <w:r>
              <w:rPr>
                <w:rFonts w:hint="eastAsia" w:ascii="宋体" w:hAnsi="宋体" w:eastAsia="宋体" w:cs="宋体"/>
                <w:snapToGrid w:val="0"/>
                <w:sz w:val="24"/>
                <w:szCs w:val="24"/>
                <w:highlight w:val="none"/>
                <w:lang w:val="en-US" w:eastAsia="zh-CN"/>
              </w:rPr>
              <w:t>10</w:t>
            </w:r>
            <w:r>
              <w:rPr>
                <w:rFonts w:hint="eastAsia" w:ascii="宋体" w:hAnsi="宋体" w:eastAsia="宋体" w:cs="宋体"/>
                <w:snapToGrid w:val="0"/>
                <w:sz w:val="24"/>
                <w:szCs w:val="24"/>
                <w:highlight w:val="none"/>
              </w:rPr>
              <w:t>日前</w:t>
            </w:r>
          </w:p>
          <w:p w14:paraId="0FF6DD86">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形式：三门峡市公共资源交易中心电子化交易系统。</w:t>
            </w:r>
          </w:p>
          <w:p w14:paraId="0AD035AE">
            <w:pPr>
              <w:pageBreakBefore w:val="0"/>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8"/>
                <w:highlight w:val="none"/>
                <w:u w:val="single"/>
              </w:rPr>
            </w:pPr>
            <w:r>
              <w:rPr>
                <w:rFonts w:hint="eastAsia" w:ascii="宋体" w:hAnsi="宋体" w:eastAsia="宋体" w:cs="宋体"/>
                <w:snapToGrid w:val="0"/>
                <w:sz w:val="24"/>
                <w:szCs w:val="24"/>
                <w:highlight w:val="none"/>
              </w:rPr>
              <w:t>该项目所有澄清、修改、答疑、变更均在《三门峡市公共资源交易中心网》发布，不再另行通知。如未及时查看影响其投标，后果自负。（如有）</w:t>
            </w:r>
          </w:p>
        </w:tc>
      </w:tr>
      <w:tr w14:paraId="5275C35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C4EDB8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58EFA33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101" w:type="dxa"/>
            <w:tcBorders>
              <w:top w:val="single" w:color="auto" w:sz="4" w:space="0"/>
              <w:left w:val="nil"/>
              <w:bottom w:val="single" w:color="auto" w:sz="4" w:space="0"/>
              <w:right w:val="single" w:color="auto" w:sz="4" w:space="0"/>
            </w:tcBorders>
            <w:noWrap w:val="0"/>
            <w:vAlign w:val="center"/>
          </w:tcPr>
          <w:p w14:paraId="560B70C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见第一章“招标公告”</w:t>
            </w:r>
          </w:p>
        </w:tc>
      </w:tr>
      <w:tr w14:paraId="10501B4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F12A42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4581ACA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投标有效期</w:t>
            </w:r>
          </w:p>
        </w:tc>
        <w:tc>
          <w:tcPr>
            <w:tcW w:w="6101" w:type="dxa"/>
            <w:tcBorders>
              <w:top w:val="single" w:color="auto" w:sz="4" w:space="0"/>
              <w:left w:val="nil"/>
              <w:bottom w:val="single" w:color="auto" w:sz="4" w:space="0"/>
              <w:right w:val="single" w:color="auto" w:sz="4" w:space="0"/>
            </w:tcBorders>
            <w:noWrap w:val="0"/>
            <w:vAlign w:val="center"/>
          </w:tcPr>
          <w:p w14:paraId="6E21E3E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投标截止之日起60日历天</w:t>
            </w:r>
          </w:p>
        </w:tc>
      </w:tr>
      <w:tr w14:paraId="36330FF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5B6A08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7AFAA139">
            <w:pPr>
              <w:pageBreakBefore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文件的编制</w:t>
            </w:r>
          </w:p>
        </w:tc>
        <w:tc>
          <w:tcPr>
            <w:tcW w:w="6101" w:type="dxa"/>
            <w:tcBorders>
              <w:top w:val="single" w:color="auto" w:sz="4" w:space="0"/>
              <w:left w:val="nil"/>
              <w:bottom w:val="single" w:color="auto" w:sz="4" w:space="0"/>
              <w:right w:val="single" w:color="auto" w:sz="4" w:space="0"/>
            </w:tcBorders>
            <w:noWrap w:val="0"/>
            <w:vAlign w:val="center"/>
          </w:tcPr>
          <w:p w14:paraId="2D96F573">
            <w:pPr>
              <w:pageBreakBefore w:val="0"/>
              <w:bidi w:val="0"/>
              <w:adjustRightInd w:val="0"/>
              <w:snapToGrid w:val="0"/>
              <w:spacing w:beforeAutospacing="0" w:afterAutospacing="0" w:line="360" w:lineRule="auto"/>
              <w:ind w:left="0" w:leftChars="0" w:right="0" w:firstLine="240" w:firstLineChars="1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1.投标人所上传的电子化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文件，应是通过中心投标文件制作系统制作的（投标文件制作工具下载地址：https://download.bqpoint.com/download/downloaddetail.html?SourceFrom=Ztb&amp;ZtbSoftXiaQuCode=1506&amp;ZtbSoftType=tballinclusive），经过签章和加密后生成的电子版</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文件。其中包含用于</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文件上传的主文件（后缀为.smxtf）和用于应急补救的</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文件备份文件（后缀为.nsmxtf）。</w:t>
            </w:r>
          </w:p>
          <w:p w14:paraId="3017F452">
            <w:pPr>
              <w:pageBreakBefore w:val="0"/>
              <w:bidi w:val="0"/>
              <w:adjustRightInd w:val="0"/>
              <w:snapToGrid w:val="0"/>
              <w:spacing w:beforeAutospacing="0" w:afterAutospacing="0" w:line="360" w:lineRule="auto"/>
              <w:ind w:left="0" w:leftChars="0" w:right="0" w:firstLine="240" w:firstLineChars="1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文件应在投标截止时间前成功上传至三门峡市公共资源电子化交易系统。至投标截止时间止，仍未上传成功的电子化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文件将不予接收。</w:t>
            </w:r>
          </w:p>
          <w:p w14:paraId="2144E008">
            <w:pPr>
              <w:pageBreakBefore w:val="0"/>
              <w:bidi w:val="0"/>
              <w:adjustRightInd w:val="0"/>
              <w:snapToGrid w:val="0"/>
              <w:spacing w:beforeAutospacing="0" w:afterAutospacing="0" w:line="360" w:lineRule="auto"/>
              <w:ind w:left="0" w:leftChars="0" w:right="0"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snapToGrid w:val="0"/>
                <w:sz w:val="24"/>
                <w:szCs w:val="24"/>
                <w:highlight w:val="none"/>
              </w:rPr>
              <w:t>注：如按照电子化投标操作教材制作完成的电子化</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文件无法上传的，投标人应在投标截止时间前尽早的联系中心技术人员，以便有充分的时间进行处理。投标人应充分考虑到处理技术问题和上传数据等工作所需的时间问题，</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文件未在投标截止时间前成功上传的，其</w:t>
            </w:r>
            <w:r>
              <w:rPr>
                <w:rFonts w:hint="eastAsia" w:ascii="宋体" w:hAnsi="宋体" w:eastAsia="宋体" w:cs="宋体"/>
                <w:snapToGrid w:val="0"/>
                <w:sz w:val="24"/>
                <w:szCs w:val="24"/>
                <w:highlight w:val="none"/>
                <w:lang w:eastAsia="zh-CN"/>
              </w:rPr>
              <w:t>投标</w:t>
            </w:r>
            <w:r>
              <w:rPr>
                <w:rFonts w:hint="eastAsia" w:ascii="宋体" w:hAnsi="宋体" w:eastAsia="宋体" w:cs="宋体"/>
                <w:snapToGrid w:val="0"/>
                <w:sz w:val="24"/>
                <w:szCs w:val="24"/>
                <w:highlight w:val="none"/>
              </w:rPr>
              <w:t>文件不予接收。</w:t>
            </w:r>
          </w:p>
        </w:tc>
      </w:tr>
      <w:tr w14:paraId="090D301A">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B503C3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3EE7F08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近年完成的类似项目的年份要求</w:t>
            </w:r>
          </w:p>
        </w:tc>
        <w:tc>
          <w:tcPr>
            <w:tcW w:w="6101" w:type="dxa"/>
            <w:tcBorders>
              <w:top w:val="single" w:color="auto" w:sz="4" w:space="0"/>
              <w:left w:val="nil"/>
              <w:bottom w:val="single" w:color="auto" w:sz="4" w:space="0"/>
              <w:right w:val="single" w:color="auto" w:sz="4" w:space="0"/>
            </w:tcBorders>
            <w:noWrap w:val="0"/>
            <w:vAlign w:val="center"/>
          </w:tcPr>
          <w:p w14:paraId="034FBF5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w:t>
            </w:r>
          </w:p>
        </w:tc>
      </w:tr>
      <w:tr w14:paraId="71A5A140">
        <w:tblPrEx>
          <w:tblCellMar>
            <w:top w:w="0" w:type="dxa"/>
            <w:left w:w="108" w:type="dxa"/>
            <w:bottom w:w="0" w:type="dxa"/>
            <w:right w:w="108" w:type="dxa"/>
          </w:tblCellMar>
        </w:tblPrEx>
        <w:trPr>
          <w:trHeight w:val="1095"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14:paraId="488C67F1">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1E92041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签字或盖章</w:t>
            </w:r>
          </w:p>
          <w:p w14:paraId="4B43724D">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c>
          <w:tcPr>
            <w:tcW w:w="6101" w:type="dxa"/>
            <w:tcBorders>
              <w:top w:val="single" w:color="auto" w:sz="4" w:space="0"/>
              <w:left w:val="nil"/>
              <w:bottom w:val="single" w:color="auto" w:sz="4" w:space="0"/>
              <w:right w:val="single" w:color="auto" w:sz="4" w:space="0"/>
            </w:tcBorders>
            <w:noWrap w:val="0"/>
            <w:vAlign w:val="center"/>
          </w:tcPr>
          <w:p w14:paraId="27D631D2">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1、供应商在生成电子化投标文件后，应对电子化投标文件进行签章，未进行签章的视为无效投标。</w:t>
            </w:r>
          </w:p>
          <w:p w14:paraId="2CB065BF">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要求法定代表人或授权委托人签字或盖章的，供应商在进行电子化投标文件签章时，以签盖法定代表人签章为准。电子化响应文件工具请点击https://download.bqpoint.com/download/downloadlist.html?SoftTypeCode=03进行下载。</w:t>
            </w:r>
          </w:p>
        </w:tc>
      </w:tr>
      <w:tr w14:paraId="0849DC7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C1503F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082E8498">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电子化投标文件上传</w:t>
            </w:r>
          </w:p>
        </w:tc>
        <w:tc>
          <w:tcPr>
            <w:tcW w:w="6101" w:type="dxa"/>
            <w:tcBorders>
              <w:top w:val="single" w:color="auto" w:sz="4" w:space="0"/>
              <w:left w:val="nil"/>
              <w:bottom w:val="single" w:color="auto" w:sz="4" w:space="0"/>
              <w:right w:val="single" w:color="auto" w:sz="4" w:space="0"/>
            </w:tcBorders>
            <w:noWrap w:val="0"/>
            <w:vAlign w:val="center"/>
          </w:tcPr>
          <w:p w14:paraId="626BC45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3B59B9C1">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569BC1BC">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注：如按照电子化投标操作教材制作完成的电子化投标文件无法上传的，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应在投标截止时间前尽早的联系中心技术人员，以便有充分的时间进行处理。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应充分考虑到处理技术问题和上传数据等工作所需的时间问题，投标文件未在投标截止时间前成功上传的，其投标文件不予接收。</w:t>
            </w:r>
          </w:p>
          <w:p w14:paraId="060DEBBE">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rPr>
            </w:pPr>
            <w:r>
              <w:rPr>
                <w:rFonts w:hint="eastAsia" w:ascii="宋体" w:hAnsi="宋体" w:eastAsia="宋体" w:cs="宋体"/>
                <w:color w:val="auto"/>
                <w:sz w:val="24"/>
                <w:szCs w:val="24"/>
                <w:highlight w:val="none"/>
                <w:lang w:val="en-US" w:eastAsia="zh-CN"/>
              </w:rPr>
              <w:t>3.开标时不再递交纸质投标文件，中标单位领取中标通知书时提交叁份纸质投标文件（投标文件应按以下要求装订：胶装，应有目录，并逐页标注连续页码）。</w:t>
            </w:r>
          </w:p>
        </w:tc>
      </w:tr>
      <w:tr w14:paraId="3A6FF94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2971E60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77CD5FA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开标时间和</w:t>
            </w:r>
          </w:p>
          <w:p w14:paraId="6069AC7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c>
          <w:tcPr>
            <w:tcW w:w="6101" w:type="dxa"/>
            <w:tcBorders>
              <w:top w:val="single" w:color="auto" w:sz="4" w:space="0"/>
              <w:left w:val="nil"/>
              <w:bottom w:val="single" w:color="auto" w:sz="4" w:space="0"/>
              <w:right w:val="single" w:color="auto" w:sz="4" w:space="0"/>
            </w:tcBorders>
            <w:noWrap w:val="0"/>
            <w:vAlign w:val="center"/>
          </w:tcPr>
          <w:p w14:paraId="47AC1594">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见第一章“招标公告”</w:t>
            </w:r>
          </w:p>
        </w:tc>
      </w:tr>
      <w:tr w14:paraId="30148BC4">
        <w:tblPrEx>
          <w:tblCellMar>
            <w:top w:w="0" w:type="dxa"/>
            <w:left w:w="108" w:type="dxa"/>
            <w:bottom w:w="0" w:type="dxa"/>
            <w:right w:w="108" w:type="dxa"/>
          </w:tblCellMar>
        </w:tblPrEx>
        <w:tc>
          <w:tcPr>
            <w:tcW w:w="1010" w:type="dxa"/>
            <w:vMerge w:val="restart"/>
            <w:tcBorders>
              <w:top w:val="single" w:color="auto" w:sz="4" w:space="0"/>
              <w:left w:val="single" w:color="auto" w:sz="4" w:space="0"/>
              <w:right w:val="single" w:color="auto" w:sz="4" w:space="0"/>
            </w:tcBorders>
            <w:noWrap w:val="0"/>
            <w:vAlign w:val="center"/>
          </w:tcPr>
          <w:p w14:paraId="1E49AAC5">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72FF97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开标程序</w:t>
            </w:r>
          </w:p>
        </w:tc>
        <w:tc>
          <w:tcPr>
            <w:tcW w:w="6101" w:type="dxa"/>
            <w:tcBorders>
              <w:top w:val="single" w:color="auto" w:sz="4" w:space="0"/>
              <w:left w:val="nil"/>
              <w:bottom w:val="single" w:color="auto" w:sz="4" w:space="0"/>
              <w:right w:val="single" w:color="auto" w:sz="4" w:space="0"/>
            </w:tcBorders>
            <w:noWrap w:val="0"/>
            <w:vAlign w:val="center"/>
          </w:tcPr>
          <w:p w14:paraId="4847957F">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宣布开标纪律；</w:t>
            </w:r>
          </w:p>
          <w:p w14:paraId="4A9E1C05">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公布在投标截止时间前递交投标文件的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w:t>
            </w:r>
          </w:p>
          <w:p w14:paraId="2FD74234">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3、供应商通过电子招标投标交易平台对已递交的电子投标文件进行解密；</w:t>
            </w:r>
          </w:p>
          <w:p w14:paraId="73426ED7">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由采购人或者采购代理机构工作人员</w:t>
            </w:r>
            <w:r>
              <w:rPr>
                <w:rFonts w:hint="eastAsia" w:ascii="宋体" w:hAnsi="宋体" w:eastAsia="宋体" w:cs="宋体"/>
                <w:color w:val="auto"/>
                <w:sz w:val="24"/>
                <w:highlight w:val="none"/>
                <w:lang w:val="en-US" w:eastAsia="zh-CN"/>
              </w:rPr>
              <w:t>当</w:t>
            </w:r>
            <w:r>
              <w:rPr>
                <w:rFonts w:hint="eastAsia" w:ascii="宋体" w:hAnsi="宋体" w:eastAsia="宋体" w:cs="宋体"/>
                <w:color w:val="auto"/>
                <w:sz w:val="24"/>
                <w:highlight w:val="none"/>
              </w:rPr>
              <w:t>众拆</w:t>
            </w:r>
            <w:r>
              <w:rPr>
                <w:rFonts w:hint="eastAsia" w:ascii="宋体" w:hAnsi="宋体" w:eastAsia="宋体" w:cs="宋体"/>
                <w:color w:val="auto"/>
                <w:sz w:val="24"/>
                <w:highlight w:val="none"/>
                <w:lang w:val="en-US" w:eastAsia="zh-CN"/>
              </w:rPr>
              <w:t>解</w:t>
            </w:r>
            <w:r>
              <w:rPr>
                <w:rFonts w:hint="eastAsia" w:ascii="宋体" w:hAnsi="宋体" w:eastAsia="宋体" w:cs="宋体"/>
                <w:color w:val="auto"/>
                <w:sz w:val="24"/>
                <w:highlight w:val="none"/>
              </w:rPr>
              <w:t>投标文件，宣布</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名称、投标价格以及其他采购人和采购代理机构认为必要的内容，并记录在案；</w:t>
            </w:r>
          </w:p>
          <w:p w14:paraId="513592A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开标结束。</w:t>
            </w:r>
          </w:p>
        </w:tc>
      </w:tr>
      <w:tr w14:paraId="2374D620">
        <w:tblPrEx>
          <w:tblCellMar>
            <w:top w:w="0" w:type="dxa"/>
            <w:left w:w="108" w:type="dxa"/>
            <w:bottom w:w="0" w:type="dxa"/>
            <w:right w:w="108" w:type="dxa"/>
          </w:tblCellMar>
        </w:tblPrEx>
        <w:tc>
          <w:tcPr>
            <w:tcW w:w="1010" w:type="dxa"/>
            <w:vMerge w:val="continue"/>
            <w:tcBorders>
              <w:left w:val="single" w:color="auto" w:sz="4" w:space="0"/>
              <w:bottom w:val="single" w:color="auto" w:sz="4" w:space="0"/>
              <w:right w:val="single" w:color="auto" w:sz="4" w:space="0"/>
            </w:tcBorders>
            <w:noWrap w:val="0"/>
            <w:vAlign w:val="center"/>
          </w:tcPr>
          <w:p w14:paraId="75BC0CE0">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c>
          <w:tcPr>
            <w:tcW w:w="2082" w:type="dxa"/>
            <w:tcBorders>
              <w:top w:val="single" w:color="auto" w:sz="4" w:space="0"/>
              <w:left w:val="nil"/>
              <w:bottom w:val="single" w:color="auto" w:sz="4" w:space="0"/>
              <w:right w:val="single" w:color="auto" w:sz="4" w:space="0"/>
            </w:tcBorders>
            <w:noWrap w:val="0"/>
            <w:vAlign w:val="center"/>
          </w:tcPr>
          <w:p w14:paraId="605C211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偏离</w:t>
            </w:r>
          </w:p>
        </w:tc>
        <w:tc>
          <w:tcPr>
            <w:tcW w:w="6101" w:type="dxa"/>
            <w:tcBorders>
              <w:top w:val="single" w:color="auto" w:sz="4" w:space="0"/>
              <w:left w:val="nil"/>
              <w:bottom w:val="single" w:color="auto" w:sz="4" w:space="0"/>
              <w:right w:val="single" w:color="auto" w:sz="4" w:space="0"/>
            </w:tcBorders>
            <w:noWrap w:val="0"/>
            <w:vAlign w:val="center"/>
          </w:tcPr>
          <w:p w14:paraId="6EA15A80">
            <w:pPr>
              <w:keepLines/>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000000"/>
                <w:kern w:val="10"/>
                <w:sz w:val="24"/>
                <w:szCs w:val="24"/>
              </w:rPr>
              <w:t>在满足采购人采购需要的基础上，允许正负偏离</w:t>
            </w:r>
          </w:p>
        </w:tc>
      </w:tr>
      <w:tr w14:paraId="66E33BB8">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70D5A11">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DE8496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w:t>
            </w:r>
          </w:p>
          <w:p w14:paraId="448F6E15">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的组建</w:t>
            </w:r>
          </w:p>
        </w:tc>
        <w:tc>
          <w:tcPr>
            <w:tcW w:w="6101" w:type="dxa"/>
            <w:tcBorders>
              <w:top w:val="single" w:color="auto" w:sz="4" w:space="0"/>
              <w:left w:val="nil"/>
              <w:bottom w:val="single" w:color="auto" w:sz="4" w:space="0"/>
              <w:right w:val="single" w:color="auto" w:sz="4" w:space="0"/>
            </w:tcBorders>
            <w:noWrap w:val="0"/>
            <w:vAlign w:val="center"/>
          </w:tcPr>
          <w:p w14:paraId="429CBD7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评标委员会构成：5人，其中</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人代表1人，专家4人；</w:t>
            </w:r>
          </w:p>
          <w:p w14:paraId="4AA85BF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4名评标专家确定方式：开标后通过三门峡市公共资源交易中心网络抽取终端从</w:t>
            </w:r>
            <w:r>
              <w:rPr>
                <w:rFonts w:hint="eastAsia" w:ascii="宋体" w:hAnsi="宋体" w:eastAsia="宋体" w:cs="宋体"/>
                <w:color w:val="auto"/>
                <w:sz w:val="24"/>
                <w:szCs w:val="24"/>
                <w:highlight w:val="none"/>
                <w:lang w:eastAsia="zh-CN"/>
              </w:rPr>
              <w:t>相关专家库</w:t>
            </w:r>
            <w:r>
              <w:rPr>
                <w:rFonts w:hint="eastAsia" w:ascii="宋体" w:hAnsi="宋体" w:eastAsia="宋体" w:cs="宋体"/>
                <w:color w:val="auto"/>
                <w:sz w:val="24"/>
                <w:szCs w:val="24"/>
                <w:highlight w:val="none"/>
              </w:rPr>
              <w:t>中随机抽取。</w:t>
            </w:r>
          </w:p>
        </w:tc>
      </w:tr>
      <w:tr w14:paraId="338E198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C52FA3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354F5AA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是否授权评标委员会确定中标供应商</w:t>
            </w:r>
          </w:p>
        </w:tc>
        <w:tc>
          <w:tcPr>
            <w:tcW w:w="6101" w:type="dxa"/>
            <w:tcBorders>
              <w:top w:val="single" w:color="auto" w:sz="4" w:space="0"/>
              <w:left w:val="nil"/>
              <w:bottom w:val="single" w:color="auto" w:sz="4" w:space="0"/>
              <w:right w:val="single" w:color="auto" w:sz="4" w:space="0"/>
            </w:tcBorders>
            <w:noWrap w:val="0"/>
            <w:vAlign w:val="center"/>
          </w:tcPr>
          <w:p w14:paraId="130C1DD1">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否</w:t>
            </w:r>
            <w:r>
              <w:rPr>
                <w:rFonts w:hint="eastAsia" w:ascii="宋体" w:hAnsi="宋体" w:eastAsia="宋体" w:cs="宋体"/>
                <w:color w:val="auto"/>
                <w:sz w:val="24"/>
                <w:szCs w:val="24"/>
                <w:highlight w:val="none"/>
              </w:rPr>
              <w:t>，按顺序推荐的中标候选人数：3名</w:t>
            </w:r>
          </w:p>
          <w:p w14:paraId="52C52301">
            <w:pPr>
              <w:keepLines/>
              <w:pageBreakBefore w:val="0"/>
              <w:bidi w:val="0"/>
              <w:adjustRightInd w:val="0"/>
              <w:snapToGrid w:val="0"/>
              <w:spacing w:beforeAutospacing="0" w:afterAutospacing="0" w:line="360" w:lineRule="auto"/>
              <w:ind w:left="0" w:leftChars="0" w:right="0"/>
              <w:rPr>
                <w:rFonts w:hint="eastAsia" w:ascii="宋体" w:hAnsi="宋体" w:eastAsia="宋体" w:cs="宋体"/>
              </w:rPr>
            </w:pPr>
            <w:r>
              <w:rPr>
                <w:rFonts w:hint="eastAsia" w:ascii="宋体" w:hAnsi="宋体" w:eastAsia="宋体" w:cs="宋体"/>
                <w:color w:val="auto"/>
                <w:sz w:val="24"/>
                <w:szCs w:val="24"/>
                <w:highlight w:val="none"/>
              </w:rPr>
              <w:t>招标人确定评标委员会推荐的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3849BF1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4DF6EF0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3E35A7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w:t>
            </w:r>
          </w:p>
        </w:tc>
        <w:tc>
          <w:tcPr>
            <w:tcW w:w="6101" w:type="dxa"/>
            <w:tcBorders>
              <w:top w:val="single" w:color="auto" w:sz="4" w:space="0"/>
              <w:left w:val="nil"/>
              <w:bottom w:val="single" w:color="auto" w:sz="4" w:space="0"/>
              <w:right w:val="single" w:color="auto" w:sz="4" w:space="0"/>
            </w:tcBorders>
            <w:noWrap w:val="0"/>
            <w:vAlign w:val="center"/>
          </w:tcPr>
          <w:p w14:paraId="78199464">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本项目不收取履约保证金。如供应商违反政府采购合同约定给采购人造成损失的,采购人按照合同约定,要求供应商承担赔偿责任。</w:t>
            </w:r>
          </w:p>
        </w:tc>
      </w:tr>
      <w:tr w14:paraId="79112EA9">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9661D9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4E2001BF">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无效标条件</w:t>
            </w:r>
          </w:p>
        </w:tc>
        <w:tc>
          <w:tcPr>
            <w:tcW w:w="6101" w:type="dxa"/>
            <w:tcBorders>
              <w:top w:val="single" w:color="auto" w:sz="4" w:space="0"/>
              <w:left w:val="nil"/>
              <w:bottom w:val="single" w:color="auto" w:sz="4" w:space="0"/>
              <w:right w:val="single" w:color="auto" w:sz="4" w:space="0"/>
            </w:tcBorders>
            <w:noWrap w:val="0"/>
            <w:vAlign w:val="center"/>
          </w:tcPr>
          <w:p w14:paraId="1C5ECB3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1.电子化投标文件附有采购人不能接受的条件的；</w:t>
            </w:r>
          </w:p>
          <w:p w14:paraId="5BB0F78E">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2.投标报价高于招标文件中投标最高限价的；</w:t>
            </w:r>
          </w:p>
          <w:p w14:paraId="295CB7E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3.以他人的名义投标、串通投标、以行贿手段谋取中标或者以其他弄虚作假方式投标的；</w:t>
            </w:r>
          </w:p>
          <w:p w14:paraId="3529BB8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4.采取不正当手段谋取中标的。</w:t>
            </w:r>
          </w:p>
        </w:tc>
      </w:tr>
      <w:tr w14:paraId="560D4C1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539007E">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D7E9137">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投标最高限价</w:t>
            </w:r>
          </w:p>
        </w:tc>
        <w:tc>
          <w:tcPr>
            <w:tcW w:w="6101" w:type="dxa"/>
            <w:tcBorders>
              <w:top w:val="single" w:color="auto" w:sz="4" w:space="0"/>
              <w:left w:val="nil"/>
              <w:bottom w:val="single" w:color="auto" w:sz="4" w:space="0"/>
              <w:right w:val="single" w:color="auto" w:sz="4" w:space="0"/>
            </w:tcBorders>
            <w:noWrap w:val="0"/>
            <w:vAlign w:val="center"/>
          </w:tcPr>
          <w:p w14:paraId="15FFE0AE">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rPr>
              <w:t>本项目投标</w:t>
            </w:r>
            <w:r>
              <w:rPr>
                <w:rFonts w:hint="eastAsia" w:ascii="宋体" w:hAnsi="宋体" w:eastAsia="宋体" w:cs="宋体"/>
                <w:b/>
                <w:bCs/>
                <w:color w:val="auto"/>
                <w:kern w:val="0"/>
                <w:sz w:val="24"/>
                <w:szCs w:val="24"/>
                <w:highlight w:val="none"/>
              </w:rPr>
              <w:t>最高限价为</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三百万元整（3000000</w:t>
            </w:r>
            <w:r>
              <w:rPr>
                <w:rFonts w:hint="eastAsia" w:ascii="宋体" w:hAnsi="宋体" w:eastAsia="宋体" w:cs="宋体"/>
                <w:b/>
                <w:bCs/>
                <w:color w:val="auto"/>
                <w:kern w:val="0"/>
                <w:sz w:val="24"/>
                <w:szCs w:val="24"/>
                <w:highlight w:val="none"/>
                <w:lang w:eastAsia="zh-CN"/>
              </w:rPr>
              <w:t>.00元）</w:t>
            </w:r>
          </w:p>
          <w:p w14:paraId="4ECD350B">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一标段：壹佰万元整（1000000.00元）；</w:t>
            </w:r>
          </w:p>
          <w:p w14:paraId="5625201B">
            <w:pPr>
              <w:keepLines/>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二标段：捌拾万元整（800000</w:t>
            </w:r>
            <w:r>
              <w:rPr>
                <w:rFonts w:hint="eastAsia" w:ascii="宋体" w:hAnsi="宋体" w:eastAsia="宋体" w:cs="宋体"/>
                <w:b/>
                <w:bCs/>
                <w:color w:val="auto"/>
                <w:sz w:val="24"/>
                <w:szCs w:val="24"/>
                <w:highlight w:val="none"/>
                <w:lang w:eastAsia="zh-CN"/>
              </w:rPr>
              <w:t>.00</w:t>
            </w:r>
            <w:r>
              <w:rPr>
                <w:rFonts w:hint="eastAsia" w:ascii="宋体" w:hAnsi="宋体" w:eastAsia="宋体" w:cs="宋体"/>
                <w:b/>
                <w:bCs/>
                <w:color w:val="auto"/>
                <w:sz w:val="24"/>
                <w:szCs w:val="24"/>
                <w:highlight w:val="none"/>
                <w:lang w:val="en-US" w:eastAsia="zh-CN"/>
              </w:rPr>
              <w:t>元）；</w:t>
            </w:r>
          </w:p>
          <w:p w14:paraId="56A3D7C3">
            <w:pPr>
              <w:keepLines/>
              <w:pageBreakBefore w:val="0"/>
              <w:bidi w:val="0"/>
              <w:adjustRightInd w:val="0"/>
              <w:snapToGrid w:val="0"/>
              <w:spacing w:beforeAutospacing="0" w:afterAutospacing="0" w:line="360" w:lineRule="auto"/>
              <w:ind w:left="0" w:leftChars="0" w:right="0"/>
              <w:rPr>
                <w:rFonts w:hint="eastAsia" w:ascii="宋体" w:hAnsi="宋体" w:eastAsia="宋体" w:cs="宋体"/>
              </w:rPr>
            </w:pPr>
            <w:r>
              <w:rPr>
                <w:rFonts w:hint="eastAsia" w:ascii="宋体" w:hAnsi="宋体" w:eastAsia="宋体" w:cs="宋体"/>
                <w:b/>
                <w:bCs/>
                <w:color w:val="auto"/>
                <w:sz w:val="24"/>
                <w:szCs w:val="24"/>
                <w:highlight w:val="none"/>
                <w:lang w:val="en-US" w:eastAsia="zh-CN"/>
              </w:rPr>
              <w:t>三标段：壹佰贰拾万元整（1200000</w:t>
            </w:r>
            <w:r>
              <w:rPr>
                <w:rFonts w:hint="eastAsia" w:ascii="宋体" w:hAnsi="宋体" w:eastAsia="宋体" w:cs="宋体"/>
                <w:b/>
                <w:bCs/>
                <w:color w:val="auto"/>
                <w:sz w:val="24"/>
                <w:szCs w:val="24"/>
                <w:highlight w:val="none"/>
                <w:lang w:eastAsia="zh-CN"/>
              </w:rPr>
              <w:t>.00</w:t>
            </w:r>
            <w:r>
              <w:rPr>
                <w:rFonts w:hint="eastAsia" w:ascii="宋体" w:hAnsi="宋体" w:eastAsia="宋体" w:cs="宋体"/>
                <w:b/>
                <w:bCs/>
                <w:color w:val="auto"/>
                <w:sz w:val="24"/>
                <w:szCs w:val="24"/>
                <w:highlight w:val="none"/>
                <w:lang w:val="en-US" w:eastAsia="zh-CN"/>
              </w:rPr>
              <w:t>元）；</w:t>
            </w:r>
          </w:p>
          <w:p w14:paraId="5267941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凡供应商投标报价超出“投标最高限价”的，该供应商的电子化投标文件应作无效标处理。</w:t>
            </w:r>
          </w:p>
        </w:tc>
      </w:tr>
      <w:tr w14:paraId="5FFB1BB5">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505C9B4">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BFBEE64">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报价及费用</w:t>
            </w:r>
          </w:p>
        </w:tc>
        <w:tc>
          <w:tcPr>
            <w:tcW w:w="6101" w:type="dxa"/>
            <w:tcBorders>
              <w:top w:val="single" w:color="auto" w:sz="4" w:space="0"/>
              <w:left w:val="nil"/>
              <w:bottom w:val="single" w:color="auto" w:sz="4" w:space="0"/>
              <w:right w:val="single" w:color="auto" w:sz="4" w:space="0"/>
            </w:tcBorders>
            <w:noWrap w:val="0"/>
            <w:vAlign w:val="center"/>
          </w:tcPr>
          <w:p w14:paraId="3996F06D">
            <w:pPr>
              <w:keepLines/>
              <w:pageBreakBefore w:val="0"/>
              <w:numPr>
                <w:ilvl w:val="0"/>
                <w:numId w:val="2"/>
              </w:numPr>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本项目应以人民币报价，</w:t>
            </w:r>
            <w:r>
              <w:rPr>
                <w:rFonts w:hint="eastAsia" w:ascii="宋体" w:hAnsi="宋体" w:eastAsia="宋体" w:cs="宋体"/>
                <w:b w:val="0"/>
                <w:bCs w:val="0"/>
                <w:color w:val="000000"/>
                <w:kern w:val="10"/>
                <w:sz w:val="24"/>
                <w:szCs w:val="24"/>
              </w:rPr>
              <w:t>供应商应就该项目完整投标报价（包括设备货款、标准附件、备品备件、专用工具、人工费、服务费、包装费、运输费、装卸费、保险费、采购保管、安装调试费、设备维护、检测验收费、税金、培训费、利润、售后服务</w:t>
            </w:r>
            <w:r>
              <w:rPr>
                <w:rFonts w:hint="eastAsia" w:ascii="宋体" w:hAnsi="宋体" w:eastAsia="宋体" w:cs="宋体"/>
                <w:b w:val="0"/>
                <w:bCs w:val="0"/>
                <w:color w:val="auto"/>
                <w:kern w:val="0"/>
                <w:sz w:val="24"/>
                <w:szCs w:val="24"/>
                <w:highlight w:val="none"/>
                <w:lang w:val="en-US" w:eastAsia="zh-CN"/>
              </w:rPr>
              <w:t>及质保期相关伴随服务</w:t>
            </w:r>
            <w:r>
              <w:rPr>
                <w:rFonts w:hint="eastAsia" w:ascii="宋体" w:hAnsi="宋体" w:eastAsia="宋体" w:cs="宋体"/>
                <w:b w:val="0"/>
                <w:bCs w:val="0"/>
                <w:color w:val="000000"/>
                <w:kern w:val="10"/>
                <w:sz w:val="24"/>
                <w:szCs w:val="24"/>
                <w:lang w:eastAsia="zh-CN"/>
              </w:rPr>
              <w:t>、</w:t>
            </w:r>
            <w:r>
              <w:rPr>
                <w:rFonts w:hint="eastAsia" w:ascii="宋体" w:hAnsi="宋体" w:eastAsia="宋体" w:cs="宋体"/>
                <w:b w:val="0"/>
                <w:bCs w:val="0"/>
                <w:color w:val="auto"/>
                <w:kern w:val="0"/>
                <w:sz w:val="24"/>
                <w:szCs w:val="24"/>
                <w:highlight w:val="none"/>
                <w:lang w:val="en-US" w:eastAsia="zh-CN"/>
              </w:rPr>
              <w:t>资源使用、技术支持</w:t>
            </w:r>
            <w:r>
              <w:rPr>
                <w:rFonts w:hint="eastAsia" w:ascii="宋体" w:hAnsi="宋体" w:eastAsia="宋体" w:cs="宋体"/>
                <w:b w:val="0"/>
                <w:bCs w:val="0"/>
                <w:color w:val="000000"/>
                <w:kern w:val="10"/>
                <w:sz w:val="24"/>
                <w:szCs w:val="24"/>
              </w:rPr>
              <w:t>等各项与此项目有关的一切费用），采购人不另外支付其他任何费用</w:t>
            </w:r>
            <w:r>
              <w:rPr>
                <w:rFonts w:hint="eastAsia" w:ascii="宋体" w:hAnsi="宋体" w:eastAsia="宋体" w:cs="宋体"/>
                <w:b w:val="0"/>
                <w:bCs w:val="0"/>
                <w:color w:val="auto"/>
                <w:sz w:val="24"/>
                <w:szCs w:val="24"/>
                <w:highlight w:val="none"/>
                <w:lang w:eastAsia="zh-CN"/>
              </w:rPr>
              <w:t>。</w:t>
            </w:r>
          </w:p>
          <w:p w14:paraId="584171B2">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招标代理服务费按《河南省招标代理服务收费指导意见》豫招标（2023）002号</w:t>
            </w:r>
            <w:r>
              <w:rPr>
                <w:rFonts w:hint="eastAsia" w:ascii="宋体" w:hAnsi="宋体" w:eastAsia="宋体" w:cs="宋体"/>
                <w:b w:val="0"/>
                <w:bCs w:val="0"/>
                <w:color w:val="auto"/>
                <w:sz w:val="24"/>
                <w:szCs w:val="24"/>
                <w:highlight w:val="none"/>
                <w:lang w:eastAsia="zh-CN"/>
              </w:rPr>
              <w:t>计取，由</w:t>
            </w:r>
            <w:r>
              <w:rPr>
                <w:rFonts w:hint="eastAsia" w:ascii="宋体" w:hAnsi="宋体" w:eastAsia="宋体" w:cs="宋体"/>
                <w:b w:val="0"/>
                <w:bCs w:val="0"/>
                <w:color w:val="auto"/>
                <w:sz w:val="24"/>
                <w:szCs w:val="24"/>
                <w:highlight w:val="none"/>
              </w:rPr>
              <w:t>中标人</w:t>
            </w:r>
            <w:r>
              <w:rPr>
                <w:rFonts w:hint="eastAsia" w:ascii="宋体" w:hAnsi="宋体" w:eastAsia="宋体" w:cs="宋体"/>
                <w:b w:val="0"/>
                <w:bCs w:val="0"/>
                <w:color w:val="auto"/>
                <w:sz w:val="24"/>
                <w:szCs w:val="24"/>
                <w:highlight w:val="none"/>
                <w:lang w:eastAsia="zh-CN"/>
              </w:rPr>
              <w:t>领取中标通知书时以转账或现金的方式向代理公司缴纳</w:t>
            </w:r>
            <w:r>
              <w:rPr>
                <w:rFonts w:hint="eastAsia" w:ascii="宋体" w:hAnsi="宋体" w:eastAsia="宋体" w:cs="宋体"/>
                <w:b w:val="0"/>
                <w:bCs w:val="0"/>
                <w:color w:val="auto"/>
                <w:sz w:val="24"/>
                <w:szCs w:val="24"/>
                <w:highlight w:val="none"/>
              </w:rPr>
              <w:t>。</w:t>
            </w:r>
          </w:p>
          <w:p w14:paraId="518EF724">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缴纳方式：现金或转账</w:t>
            </w:r>
          </w:p>
          <w:p w14:paraId="7E68962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收费标准：按豫招协[2023]002号河南省招标投标协会关于印发《河南省招标代理服务收费指导意见》规定的收费标准收取。</w:t>
            </w:r>
          </w:p>
        </w:tc>
      </w:tr>
      <w:tr w14:paraId="6E5B24DD">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465DB98">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nil"/>
              <w:bottom w:val="single" w:color="auto" w:sz="4" w:space="0"/>
              <w:right w:val="single" w:color="auto" w:sz="4" w:space="0"/>
            </w:tcBorders>
            <w:noWrap w:val="0"/>
            <w:vAlign w:val="center"/>
          </w:tcPr>
          <w:p w14:paraId="4157045A">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质疑和投诉</w:t>
            </w:r>
          </w:p>
        </w:tc>
        <w:tc>
          <w:tcPr>
            <w:tcW w:w="6101" w:type="dxa"/>
            <w:tcBorders>
              <w:top w:val="single" w:color="auto" w:sz="4" w:space="0"/>
              <w:left w:val="nil"/>
              <w:bottom w:val="single" w:color="auto" w:sz="4" w:space="0"/>
              <w:right w:val="single" w:color="auto" w:sz="4" w:space="0"/>
            </w:tcBorders>
            <w:noWrap w:val="0"/>
            <w:vAlign w:val="center"/>
          </w:tcPr>
          <w:p w14:paraId="2754C3D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1.供应商认为采购文件、采购过程和中标或者成交结果使自己的权益受到损害的，可以在知道或者应知其权益受到损害之日起7个工作日内，以书面形式向采购人、采购代理机构提出质疑。</w:t>
            </w:r>
          </w:p>
          <w:p w14:paraId="512A11E4">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359D7B0F">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超出法定质疑期的、重复提出的、分次提出的或内容、形式不符合《政府采购质疑和投诉办法》的，提出质疑的供应商将依法承担不利后果。</w:t>
            </w:r>
          </w:p>
          <w:p w14:paraId="09E21073">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3.质疑函接收部门、联系电话和通讯地址, 见供应商须知前附表</w:t>
            </w:r>
          </w:p>
          <w:p w14:paraId="49CC1EFA">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4.质疑供应商对采购人、采购代理机构的答复不满意，或者采购人、采购代理机构未在规定时间内作出答复的，可以在答复期满后15个工作日内向财政部门提起投诉。</w:t>
            </w:r>
          </w:p>
          <w:p w14:paraId="06A465DB">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5.投诉人投诉时,应当提交投诉书和必要的证明材料，并按照被投诉采购人、采购代理机构（以下简称被投诉人）和与投诉事项有关的供应商数量提供投诉书的副本。</w:t>
            </w:r>
          </w:p>
        </w:tc>
      </w:tr>
      <w:tr w14:paraId="000D0D9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0BF39E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val="en-US" w:eastAsia="zh-CN"/>
              </w:rPr>
            </w:pPr>
          </w:p>
        </w:tc>
        <w:tc>
          <w:tcPr>
            <w:tcW w:w="2082" w:type="dxa"/>
            <w:tcBorders>
              <w:top w:val="single" w:color="auto" w:sz="4" w:space="0"/>
              <w:left w:val="nil"/>
              <w:bottom w:val="single" w:color="auto" w:sz="4" w:space="0"/>
              <w:right w:val="single" w:color="auto" w:sz="4" w:space="0"/>
            </w:tcBorders>
            <w:noWrap w:val="0"/>
            <w:vAlign w:val="center"/>
          </w:tcPr>
          <w:p w14:paraId="2ACD1BA1">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招标文件解释</w:t>
            </w:r>
          </w:p>
        </w:tc>
        <w:tc>
          <w:tcPr>
            <w:tcW w:w="6101" w:type="dxa"/>
            <w:tcBorders>
              <w:top w:val="single" w:color="auto" w:sz="4" w:space="0"/>
              <w:left w:val="nil"/>
              <w:bottom w:val="single" w:color="auto" w:sz="4" w:space="0"/>
              <w:right w:val="single" w:color="auto" w:sz="4" w:space="0"/>
            </w:tcBorders>
            <w:noWrap w:val="0"/>
            <w:vAlign w:val="center"/>
          </w:tcPr>
          <w:p w14:paraId="73B9F778">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43FE6F4">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55BAA3C">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188DD7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中标结果</w:t>
            </w:r>
          </w:p>
        </w:tc>
        <w:tc>
          <w:tcPr>
            <w:tcW w:w="6101" w:type="dxa"/>
            <w:tcBorders>
              <w:top w:val="single" w:color="auto" w:sz="4" w:space="0"/>
              <w:left w:val="nil"/>
              <w:bottom w:val="single" w:color="auto" w:sz="4" w:space="0"/>
              <w:right w:val="single" w:color="auto" w:sz="4" w:space="0"/>
            </w:tcBorders>
            <w:noWrap w:val="0"/>
            <w:vAlign w:val="center"/>
          </w:tcPr>
          <w:p w14:paraId="593025E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i w:val="0"/>
                <w:iCs w:val="0"/>
                <w:caps w:val="0"/>
                <w:color w:val="000000"/>
                <w:spacing w:val="0"/>
                <w:kern w:val="0"/>
                <w:sz w:val="24"/>
                <w:szCs w:val="24"/>
                <w:lang w:val="en-US" w:eastAsia="zh-CN" w:bidi="ar"/>
              </w:rPr>
              <w:t>《河南省政府采购网》、《三门峡市公共资源交易服务平台》、《中国采购与招标网》</w:t>
            </w:r>
            <w:r>
              <w:rPr>
                <w:rFonts w:hint="eastAsia" w:ascii="宋体" w:hAnsi="宋体" w:eastAsia="宋体" w:cs="宋体"/>
                <w:color w:val="auto"/>
                <w:sz w:val="24"/>
                <w:szCs w:val="24"/>
                <w:highlight w:val="none"/>
                <w:lang w:eastAsia="zh-CN"/>
              </w:rPr>
              <w:t>发布</w:t>
            </w:r>
            <w:r>
              <w:rPr>
                <w:rFonts w:hint="eastAsia" w:ascii="宋体" w:hAnsi="宋体" w:eastAsia="宋体" w:cs="宋体"/>
                <w:color w:val="auto"/>
                <w:sz w:val="24"/>
                <w:szCs w:val="24"/>
                <w:highlight w:val="none"/>
              </w:rPr>
              <w:t>中标结果公告。</w:t>
            </w:r>
          </w:p>
        </w:tc>
      </w:tr>
      <w:tr w14:paraId="1D1D17A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5FF59F5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0B9F603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重新招标的其他情形</w:t>
            </w:r>
          </w:p>
        </w:tc>
        <w:tc>
          <w:tcPr>
            <w:tcW w:w="6101" w:type="dxa"/>
            <w:tcBorders>
              <w:top w:val="single" w:color="auto" w:sz="4" w:space="0"/>
              <w:left w:val="nil"/>
              <w:bottom w:val="single" w:color="auto" w:sz="4" w:space="0"/>
              <w:right w:val="single" w:color="auto" w:sz="4" w:space="0"/>
            </w:tcBorders>
            <w:noWrap w:val="0"/>
            <w:vAlign w:val="center"/>
          </w:tcPr>
          <w:p w14:paraId="19579A8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除供应商须知规定的情形外，除非已经产生中标候选人，在投标有效期内同意延长投标有效期的供应商少于三个的，采购人应当依法重新招标。</w:t>
            </w:r>
          </w:p>
        </w:tc>
      </w:tr>
      <w:tr w14:paraId="1CDF6957">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1152C393">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03F47629">
            <w:pPr>
              <w:pageBreakBefore w:val="0"/>
              <w:bidi w:val="0"/>
              <w:adjustRightInd w:val="0"/>
              <w:snapToGrid w:val="0"/>
              <w:spacing w:beforeAutospacing="0" w:afterAutospacing="0" w:line="360" w:lineRule="auto"/>
              <w:ind w:left="0" w:leftChars="0" w:right="0"/>
              <w:jc w:val="center"/>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付款方式</w:t>
            </w:r>
          </w:p>
        </w:tc>
        <w:tc>
          <w:tcPr>
            <w:tcW w:w="6101" w:type="dxa"/>
            <w:tcBorders>
              <w:top w:val="single" w:color="auto" w:sz="4" w:space="0"/>
              <w:left w:val="nil"/>
              <w:bottom w:val="single" w:color="auto" w:sz="4" w:space="0"/>
              <w:right w:val="single" w:color="auto" w:sz="4" w:space="0"/>
            </w:tcBorders>
            <w:noWrap w:val="0"/>
            <w:vAlign w:val="center"/>
          </w:tcPr>
          <w:p w14:paraId="0A6C59BE">
            <w:pPr>
              <w:pageBreakBefore w:val="0"/>
              <w:bidi w:val="0"/>
              <w:adjustRightInd w:val="0"/>
              <w:snapToGrid w:val="0"/>
              <w:spacing w:beforeAutospacing="0" w:afterAutospacing="0" w:line="360" w:lineRule="auto"/>
              <w:ind w:left="0" w:leftChars="0" w:right="0"/>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lang w:val="en-US" w:eastAsia="zh-CN"/>
              </w:rPr>
              <w:t>中标后双方协商</w:t>
            </w:r>
          </w:p>
        </w:tc>
      </w:tr>
      <w:tr w14:paraId="5B67F8AB">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9DCEA7F">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4F0D4A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监督</w:t>
            </w:r>
          </w:p>
        </w:tc>
        <w:tc>
          <w:tcPr>
            <w:tcW w:w="6101" w:type="dxa"/>
            <w:tcBorders>
              <w:top w:val="single" w:color="auto" w:sz="4" w:space="0"/>
              <w:left w:val="nil"/>
              <w:bottom w:val="single" w:color="auto" w:sz="4" w:space="0"/>
              <w:right w:val="single" w:color="auto" w:sz="4" w:space="0"/>
            </w:tcBorders>
            <w:noWrap w:val="0"/>
            <w:vAlign w:val="center"/>
          </w:tcPr>
          <w:p w14:paraId="3D58271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本项目的招标投标活动及其相关当事人应当接受有管辖权的行政监督部门依法实施的监督。</w:t>
            </w:r>
          </w:p>
        </w:tc>
      </w:tr>
      <w:tr w14:paraId="7435F05E">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7E5EEE4D">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34ADEDB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kern w:val="0"/>
                <w:sz w:val="24"/>
                <w:szCs w:val="24"/>
                <w:highlight w:val="none"/>
              </w:rPr>
              <w:t>其他</w:t>
            </w:r>
          </w:p>
        </w:tc>
        <w:tc>
          <w:tcPr>
            <w:tcW w:w="6101" w:type="dxa"/>
            <w:tcBorders>
              <w:top w:val="single" w:color="auto" w:sz="4" w:space="0"/>
              <w:left w:val="nil"/>
              <w:bottom w:val="single" w:color="auto" w:sz="4" w:space="0"/>
              <w:right w:val="single" w:color="auto" w:sz="4" w:space="0"/>
            </w:tcBorders>
            <w:noWrap w:val="0"/>
            <w:vAlign w:val="center"/>
          </w:tcPr>
          <w:p w14:paraId="77B4C030">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1.本项目实行资格后审，审查内容以投标文件为准，其上传资料真实性由供应商自行承担。</w:t>
            </w:r>
          </w:p>
          <w:p w14:paraId="6233D3C7">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2.评标打分部分：评标打分部分仍按照100分制原则进行，涉及到资格审查、企业荣誉、人员业绩、企业业绩等计分部分时，以投标单位自行上传到投标文件中的相应内容为准。</w:t>
            </w:r>
          </w:p>
          <w:p w14:paraId="61E8FB31">
            <w:pPr>
              <w:keepLines/>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tc>
      </w:tr>
      <w:tr w14:paraId="4C47C393">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3E6C81D2">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52251E23">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电子化交易</w:t>
            </w:r>
          </w:p>
          <w:p w14:paraId="426DC656">
            <w:pPr>
              <w:keepLines/>
              <w:pageBreakBefore w:val="0"/>
              <w:bidi w:val="0"/>
              <w:adjustRightInd w:val="0"/>
              <w:snapToGrid w:val="0"/>
              <w:spacing w:beforeAutospacing="0" w:afterAutospacing="0" w:line="360" w:lineRule="auto"/>
              <w:ind w:left="0" w:leftChars="0" w:right="0"/>
              <w:jc w:val="center"/>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kern w:val="0"/>
                <w:sz w:val="24"/>
                <w:szCs w:val="24"/>
                <w:highlight w:val="none"/>
              </w:rPr>
              <w:t>注意事项</w:t>
            </w:r>
          </w:p>
        </w:tc>
        <w:tc>
          <w:tcPr>
            <w:tcW w:w="6101" w:type="dxa"/>
            <w:tcBorders>
              <w:top w:val="single" w:color="auto" w:sz="4" w:space="0"/>
              <w:left w:val="nil"/>
              <w:bottom w:val="single" w:color="auto" w:sz="4" w:space="0"/>
              <w:right w:val="single" w:color="auto" w:sz="4" w:space="0"/>
            </w:tcBorders>
            <w:noWrap w:val="0"/>
            <w:vAlign w:val="center"/>
          </w:tcPr>
          <w:p w14:paraId="6462258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具体要求：本项目为电子化、无纸化交易项目，投标文件是</w:t>
            </w:r>
            <w:r>
              <w:rPr>
                <w:rFonts w:hint="eastAsia" w:ascii="宋体" w:hAnsi="宋体" w:eastAsia="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rPr>
              <w:t>、供应商（以下简称“</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”）通过中心投标文件制作系统制作，并经过签章和加密后生成的电子版投标文件。</w:t>
            </w:r>
          </w:p>
          <w:p w14:paraId="172238C4">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温馨提示：本项目为电子化、无纸化交易项目，为保证您能投标成功，请需仔细阅读以下条款。</w:t>
            </w:r>
          </w:p>
          <w:p w14:paraId="7BAFDA6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一、电子化投标</w:t>
            </w:r>
          </w:p>
          <w:p w14:paraId="3BF05E34">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（一）网上投标保证金的缴纳</w:t>
            </w:r>
          </w:p>
          <w:p w14:paraId="2F6193D6">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根据《河南省财政厅关于优化政府采购营商环境有关问题的通知》（豫财购【2019】4号）第6条的规定，投标保证金不再收取</w:t>
            </w:r>
            <w:r>
              <w:rPr>
                <w:rFonts w:hint="eastAsia" w:ascii="宋体" w:hAnsi="宋体" w:eastAsia="宋体" w:cs="宋体"/>
                <w:b w:val="0"/>
                <w:bCs w:val="0"/>
                <w:color w:val="auto"/>
                <w:sz w:val="24"/>
                <w:highlight w:val="none"/>
              </w:rPr>
              <w:t>。</w:t>
            </w:r>
          </w:p>
          <w:p w14:paraId="3160F8D1">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（二）电子化投标文件的签章</w:t>
            </w:r>
          </w:p>
          <w:p w14:paraId="7662A72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在生成电子化投标文件后，应对电子化投标文件进行签章，未进行签章的视为无效投标。</w:t>
            </w:r>
          </w:p>
          <w:p w14:paraId="3C54A69C">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2.招标文件中要求</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盖章的，以签盖单位章为准；要求法定代表人签章的，以签盖法定代表人签章为准。</w:t>
            </w:r>
          </w:p>
          <w:p w14:paraId="7ED5DE8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（三）电子化投标文件的格式及上传投标</w:t>
            </w:r>
          </w:p>
          <w:p w14:paraId="5400D108">
            <w:pPr>
              <w:pageBreakBefore w:val="0"/>
              <w:bidi w:val="0"/>
              <w:adjustRightInd w:val="0"/>
              <w:snapToGrid w:val="0"/>
              <w:spacing w:beforeAutospacing="0" w:afterAutospacing="0" w:line="360" w:lineRule="auto"/>
              <w:ind w:left="0" w:leftChars="0" w:right="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58BE4C88">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2.电子化投标文件应在投标截止时间前成功上传至三门峡市公共资源电子化交易系统。至投标截止时间止，仍未上传成功的电子化投标文件将不予接收。</w:t>
            </w:r>
          </w:p>
          <w:p w14:paraId="0AE51E2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注：如按照电子化投标操作教材制作完成的电子化投标文件无法上传的，</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应在投标截止时间前尽早的联系中心技术人员，以便有充分的时间进行处理。</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应充分考虑到处理技术问题和上传数据等工作所需的时间问题，投标文件未在投标截止时间前成功上传的，其投标文件不予接收。</w:t>
            </w:r>
          </w:p>
          <w:p w14:paraId="1AF9232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新点客服电话:4009980000</w:t>
            </w:r>
          </w:p>
          <w:p w14:paraId="5892E34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（四）电子化项目开标、解密、唱标、评标</w:t>
            </w:r>
          </w:p>
          <w:p w14:paraId="08938396">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1.本项目采用电子化、无纸化进行招标，开标当日，</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无需到开标现场参加开标会议，</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30F41C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2.电子化投标文件采用一次加密方式。开标时，由供应商使用CA 证书，在规定时间内对其电子化投标文件进行解密。每位</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的解密时间为开标时间起30 分钟内，如在规定时间内未完成解密的，其投标文件不予开标、唱标。</w:t>
            </w:r>
          </w:p>
          <w:p w14:paraId="7DD63051">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3.电子化投标文件解密异常的处理</w:t>
            </w:r>
          </w:p>
          <w:p w14:paraId="0AC24DB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如出现供应商的电子投标文件无法解密等异常情况，供应商应及时致电中介服务机构说明。投标文件异常，按以下步骤进行处理：</w:t>
            </w:r>
          </w:p>
          <w:p w14:paraId="66B086F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（1）首先由技术人员进行问题排查。</w:t>
            </w:r>
          </w:p>
          <w:p w14:paraId="43A3731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（2）经技术人员排查后，是</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文件自身问题导致投标文件无法解密的，该投标文件将不予接收、解密和唱标。开标会议继续进行。</w:t>
            </w:r>
          </w:p>
          <w:p w14:paraId="497DEEA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B975832">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4.待所有供应商投标文件解密完成后，由中介服务机构操作，对所有已解密投标文件进行唱标。</w:t>
            </w:r>
          </w:p>
          <w:p w14:paraId="21ADA02D">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供应商应保证在开标期间电话、电脑、网络能够正常工作，</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因停电、电脑病毒、网络堵塞等原因，未在规定的解密时间内对投标文件进行解密的，其投标文件不予接收、唱标。</w:t>
            </w:r>
          </w:p>
          <w:p w14:paraId="5D4B5A5B">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5.开标时供应商可登录到交易系统中在开标解密栏中点击报价一览表查看自己的投标报价。如对自己的唱标内容有异议的，应在</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解密成功后10分钟内向中介服务机构电话质疑。中介服务机构应在监督人员的监督下进行免提通话接受</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的质疑并做好书面记录。</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未在规定时间内提出质疑的，视为认可唱标内容。</w:t>
            </w:r>
          </w:p>
          <w:p w14:paraId="3C3A424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6.评标时，评标委员会对电子化投标文件有质疑的，将通过电子化交易系统对供应商发起质疑，并在监督人员的监督下，用免提模式致电需要答复的</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对质疑进行回复。</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的回复文件必须以经过</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和其法定代表人签章的PDF格式文件为准，并通过电子化交易系统提交至评标委员会。</w:t>
            </w:r>
          </w:p>
          <w:p w14:paraId="280CF219">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7.如评标委员会对需要回复的供应商连续三次致电未接通的，视为供应商放弃回复，评标委员会将自行对需要回复的内容进行认定。</w:t>
            </w:r>
          </w:p>
          <w:p w14:paraId="0A8E0E7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评标委员会对原件的核验工作按以下条款进行：</w:t>
            </w:r>
          </w:p>
          <w:p w14:paraId="52005A9B">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评标时，评委先查阅投标文件中是否具有该资料的原件扫描件，其上传资料真实性由供应商自行承担。</w:t>
            </w:r>
          </w:p>
          <w:p w14:paraId="3025F9C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具体操作详见《三门峡市公共资源交易服务平台市场主体信息库操作手册》。链接地址：</w:t>
            </w:r>
          </w:p>
          <w:p w14:paraId="723FDF1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http://gzjy.smx.gov.cn/fwzn/004003/20200325/b13aa3fa-a543-403f-b537-82cb417132bd.html</w:t>
            </w:r>
          </w:p>
          <w:p w14:paraId="40A3F93F">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供应商需应仔细阅读操作手册，保证上传内容齐全，真实有效，原件扫描件清晰可辨。因供应商上传原因导致应得分项而未得分或资格审查不合格等情况的，由</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自行承担责任。</w:t>
            </w:r>
          </w:p>
          <w:p w14:paraId="7988B406">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sz w:val="24"/>
                <w:highlight w:val="none"/>
              </w:rPr>
              <w:t>提示：本项目为电子化、无纸化交易项目，为保证您能投标成功，请需仔细阅读以上条款。</w:t>
            </w:r>
          </w:p>
        </w:tc>
      </w:tr>
      <w:tr w14:paraId="4D9155C6">
        <w:tblPrEx>
          <w:tblCellMar>
            <w:top w:w="0" w:type="dxa"/>
            <w:left w:w="108" w:type="dxa"/>
            <w:bottom w:w="0" w:type="dxa"/>
            <w:right w:w="108" w:type="dxa"/>
          </w:tblCellMar>
        </w:tblPrEx>
        <w:tc>
          <w:tcPr>
            <w:tcW w:w="1010" w:type="dxa"/>
            <w:tcBorders>
              <w:top w:val="single" w:color="auto" w:sz="4" w:space="0"/>
              <w:left w:val="single" w:color="auto" w:sz="4" w:space="0"/>
              <w:bottom w:val="single" w:color="auto" w:sz="4" w:space="0"/>
              <w:right w:val="single" w:color="auto" w:sz="4" w:space="0"/>
            </w:tcBorders>
            <w:noWrap w:val="0"/>
            <w:vAlign w:val="center"/>
          </w:tcPr>
          <w:p w14:paraId="0A49BFCA">
            <w:pPr>
              <w:keepLines/>
              <w:pageBreakBefore w:val="0"/>
              <w:numPr>
                <w:ilvl w:val="0"/>
                <w:numId w:val="1"/>
              </w:numPr>
              <w:bidi w:val="0"/>
              <w:adjustRightInd w:val="0"/>
              <w:snapToGrid w:val="0"/>
              <w:spacing w:beforeAutospacing="0" w:afterAutospacing="0" w:line="360" w:lineRule="auto"/>
              <w:ind w:left="0" w:leftChars="0" w:right="0" w:hanging="425" w:firstLineChars="0"/>
              <w:jc w:val="center"/>
              <w:rPr>
                <w:rFonts w:hint="eastAsia" w:ascii="宋体" w:hAnsi="宋体" w:eastAsia="宋体" w:cs="宋体"/>
                <w:color w:val="auto"/>
                <w:kern w:val="0"/>
                <w:sz w:val="24"/>
                <w:szCs w:val="24"/>
                <w:highlight w:val="none"/>
                <w:lang w:eastAsia="zh-CN"/>
              </w:rPr>
            </w:pPr>
          </w:p>
        </w:tc>
        <w:tc>
          <w:tcPr>
            <w:tcW w:w="2082" w:type="dxa"/>
            <w:tcBorders>
              <w:top w:val="single" w:color="auto" w:sz="4" w:space="0"/>
              <w:left w:val="nil"/>
              <w:bottom w:val="single" w:color="auto" w:sz="4" w:space="0"/>
              <w:right w:val="single" w:color="auto" w:sz="4" w:space="0"/>
            </w:tcBorders>
            <w:noWrap w:val="0"/>
            <w:vAlign w:val="center"/>
          </w:tcPr>
          <w:p w14:paraId="61568627">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政府采购政策</w:t>
            </w:r>
          </w:p>
        </w:tc>
        <w:tc>
          <w:tcPr>
            <w:tcW w:w="6101" w:type="dxa"/>
            <w:tcBorders>
              <w:top w:val="single" w:color="auto" w:sz="4" w:space="0"/>
              <w:left w:val="nil"/>
              <w:bottom w:val="single" w:color="auto" w:sz="4" w:space="0"/>
              <w:right w:val="single" w:color="auto" w:sz="4" w:space="0"/>
            </w:tcBorders>
            <w:noWrap w:val="0"/>
            <w:vAlign w:val="center"/>
          </w:tcPr>
          <w:p w14:paraId="088F2EE6">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1.落实中小企业、监狱企业、残疾人福利企业政府采购政策。</w:t>
            </w:r>
          </w:p>
          <w:p w14:paraId="06055ACF">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本项目所属行业：其他未列明行业</w:t>
            </w:r>
          </w:p>
          <w:p w14:paraId="64896689">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E78A2D7">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47C8254B">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注：依据《政府采购促进中小企业发展管理办法》(财库[2020]46号)规定享受扶持政策获得政府采购合同的，小微企业不得将合同分包给大中型企业，中型企业不得将合同分包给大型企业。</w:t>
            </w:r>
          </w:p>
          <w:p w14:paraId="46FC32E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2.节能产品、环境标志产品政府采购政策：</w:t>
            </w:r>
          </w:p>
          <w:p w14:paraId="4189B563">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要求，本项目若含有节能产品政府采购品目清单内政府强制采购产品，供应商须选用国家公布的认证机构认证的处于有效期之内的政府强制采购节能产品。本项目若含有节能产品、环境标志产品政府采购品目清单内政府优先采购产品，在性能、技术、服务等指标同等条件下，优先采购国家公布的认证机构认证的处于有效期之内的节能产品(政府强制采购产品除外)、环境标志产品。供应商应提供国家公布的认证机构出具的处于有效期之内的节能产品、环境标志产品认证证书。</w:t>
            </w:r>
          </w:p>
          <w:p w14:paraId="3281C8EA">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对于同时获得节能产品和环境标志产品认证证书产品，只给予其中一种认证证书产品优先采购。</w:t>
            </w:r>
          </w:p>
          <w:p w14:paraId="79EA9698">
            <w:pPr>
              <w:keepLines/>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按品目清单内的政府优先采购节能产品和环境标志产品金额之和占其总价的比例，比例高的优先。</w:t>
            </w:r>
          </w:p>
        </w:tc>
      </w:tr>
    </w:tbl>
    <w:p w14:paraId="18A3CF3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p>
    <w:p w14:paraId="01A715C2">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51DAB7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86258BC">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1.项目概况</w:t>
      </w:r>
    </w:p>
    <w:p w14:paraId="212DE9F9">
      <w:pPr>
        <w:pageBreakBefore w:val="0"/>
        <w:tabs>
          <w:tab w:val="left" w:pos="900"/>
        </w:tabs>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bookmarkStart w:id="2" w:name="_Toc380394466"/>
      <w:bookmarkStart w:id="3" w:name="_Toc466284453"/>
      <w:bookmarkStart w:id="4" w:name="_Toc277149365"/>
      <w:bookmarkStart w:id="5" w:name="_Toc62"/>
      <w:bookmarkStart w:id="6" w:name="_Toc278155328"/>
      <w:r>
        <w:rPr>
          <w:rFonts w:hint="eastAsia" w:ascii="宋体" w:hAnsi="宋体" w:eastAsia="宋体" w:cs="宋体"/>
          <w:b/>
          <w:bCs/>
          <w:color w:val="auto"/>
          <w:sz w:val="24"/>
          <w:szCs w:val="24"/>
          <w:highlight w:val="none"/>
        </w:rPr>
        <w:t>1.1项目概况</w:t>
      </w:r>
      <w:bookmarkEnd w:id="2"/>
      <w:bookmarkEnd w:id="3"/>
      <w:bookmarkEnd w:id="4"/>
      <w:bookmarkEnd w:id="5"/>
      <w:bookmarkEnd w:id="6"/>
    </w:p>
    <w:p w14:paraId="02D781E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根据《中华人民共和国政府采购法》等有关法律、法规和规章的规定，本招标项目已具备招标条件，现对本项目进行公开招标。</w:t>
      </w:r>
    </w:p>
    <w:p w14:paraId="7C906C0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1.1.1采购人：见供应商须知前附表。</w:t>
      </w:r>
    </w:p>
    <w:p w14:paraId="4285DA3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1.1.2代理机构：见供应商须知前附表。</w:t>
      </w:r>
    </w:p>
    <w:p w14:paraId="64009A6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1.1.3本项目名称：见供应商须知前附表。</w:t>
      </w:r>
    </w:p>
    <w:p w14:paraId="37BAEDC8">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2.投标费用</w:t>
      </w:r>
    </w:p>
    <w:p w14:paraId="43CAEF8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承担其</w:t>
      </w:r>
      <w:r>
        <w:rPr>
          <w:rFonts w:hint="eastAsia" w:ascii="宋体" w:hAnsi="宋体" w:eastAsia="宋体" w:cs="宋体"/>
          <w:color w:val="auto"/>
          <w:kern w:val="0"/>
          <w:sz w:val="24"/>
          <w:szCs w:val="24"/>
          <w:highlight w:val="none"/>
        </w:rPr>
        <w:t>电子化</w:t>
      </w:r>
      <w:r>
        <w:rPr>
          <w:rFonts w:hint="eastAsia" w:ascii="宋体" w:hAnsi="宋体" w:eastAsia="宋体" w:cs="宋体"/>
          <w:color w:val="auto"/>
          <w:sz w:val="24"/>
          <w:szCs w:val="24"/>
          <w:highlight w:val="none"/>
        </w:rPr>
        <w:t>投标文件编制与递交所涉及的一切费用。在任何情况下采购人和采购代理机构对上述费用均不承担任何责任。</w:t>
      </w:r>
    </w:p>
    <w:p w14:paraId="2160E8CF">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供应商资格要求</w:t>
      </w:r>
    </w:p>
    <w:p w14:paraId="244BC127">
      <w:pPr>
        <w:pageBreakBefore w:val="0"/>
        <w:bidi w:val="0"/>
        <w:adjustRightInd w:val="0"/>
        <w:snapToGrid w:val="0"/>
        <w:spacing w:beforeAutospacing="0" w:afterAutospacing="0" w:line="360" w:lineRule="auto"/>
        <w:ind w:left="0" w:leftChars="0" w:right="0" w:firstLine="566" w:firstLineChars="236"/>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详见第一章“招标公告”</w:t>
      </w:r>
      <w:r>
        <w:rPr>
          <w:rFonts w:hint="eastAsia" w:ascii="宋体" w:hAnsi="宋体" w:eastAsia="宋体" w:cs="宋体"/>
          <w:color w:val="auto"/>
          <w:sz w:val="24"/>
          <w:szCs w:val="28"/>
          <w:highlight w:val="none"/>
        </w:rPr>
        <w:t>。</w:t>
      </w:r>
    </w:p>
    <w:p w14:paraId="464D8BE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4.保证</w:t>
      </w:r>
    </w:p>
    <w:p w14:paraId="75F407D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w:t>
      </w:r>
      <w:r>
        <w:rPr>
          <w:rFonts w:hint="eastAsia" w:ascii="宋体" w:hAnsi="宋体" w:eastAsia="宋体" w:cs="宋体"/>
          <w:color w:val="auto"/>
          <w:kern w:val="0"/>
          <w:sz w:val="24"/>
          <w:szCs w:val="24"/>
          <w:highlight w:val="none"/>
        </w:rPr>
        <w:t>电子化</w:t>
      </w:r>
      <w:r>
        <w:rPr>
          <w:rFonts w:hint="eastAsia" w:ascii="宋体" w:hAnsi="宋体" w:eastAsia="宋体" w:cs="宋体"/>
          <w:color w:val="auto"/>
          <w:sz w:val="24"/>
          <w:szCs w:val="24"/>
          <w:highlight w:val="none"/>
        </w:rPr>
        <w:t>投标文件中所提交的资料和数据是真实的。</w:t>
      </w:r>
    </w:p>
    <w:p w14:paraId="31B72FC1">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5.保密</w:t>
      </w:r>
    </w:p>
    <w:p w14:paraId="2C5BF83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14:paraId="376F4DD2">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3FC847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二、招 标 文 件</w:t>
      </w:r>
    </w:p>
    <w:p w14:paraId="588EE751">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6.招标文件的组成</w:t>
      </w:r>
    </w:p>
    <w:p w14:paraId="66F7A51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6.1 </w:t>
      </w:r>
      <w:r>
        <w:rPr>
          <w:rFonts w:hint="eastAsia" w:ascii="宋体" w:hAnsi="宋体" w:eastAsia="宋体" w:cs="宋体"/>
          <w:color w:val="auto"/>
          <w:sz w:val="24"/>
          <w:szCs w:val="24"/>
          <w:highlight w:val="none"/>
        </w:rPr>
        <w:t>招标文件包括下列内容及按供应商须知第7条款内容发出的答疑文件和第8条款内容发出的补充文件。</w:t>
      </w:r>
    </w:p>
    <w:p w14:paraId="762A639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第一章  招标公告       </w:t>
      </w:r>
    </w:p>
    <w:p w14:paraId="387AFD10">
      <w:pPr>
        <w:pageBreakBefore w:val="0"/>
        <w:bidi w:val="0"/>
        <w:adjustRightInd w:val="0"/>
        <w:snapToGrid w:val="0"/>
        <w:spacing w:beforeAutospacing="0" w:afterAutospacing="0" w:line="360" w:lineRule="auto"/>
        <w:ind w:left="0" w:leftChars="0" w:right="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787DB9A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  采购内容及参数要求</w:t>
      </w:r>
    </w:p>
    <w:p w14:paraId="611715D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第四章  评标办法</w:t>
      </w:r>
    </w:p>
    <w:p w14:paraId="2CB8B6AF">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第五章  合同条款及格式</w:t>
      </w:r>
    </w:p>
    <w:p w14:paraId="5B40089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第六章  投标文件格式</w:t>
      </w:r>
    </w:p>
    <w:p w14:paraId="4633F248">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应详细阅读招标文件中的所有条款内容、格式、表格和所涉及的相关规范。如果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不按招标文件的要求提交电子化投标文件和资料的，或者电子化投标文件没有对招标文件提出的实质性要求和条件做出响应，将导致电子化投标文件不被接受，其后果由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自己负责。</w:t>
      </w:r>
    </w:p>
    <w:p w14:paraId="0372BF20">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7.招标文件的澄清</w:t>
      </w:r>
    </w:p>
    <w:p w14:paraId="649383BA">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获得招标文件后，如有问题需要采购人澄清和解答，将需澄清及答疑内容以书面形式（加盖单位公章）在答疑递交截止时间前提交至采购代理机构。采购人只对书面问题做出答复，并将答复内容以公告的形式发布。</w:t>
      </w:r>
    </w:p>
    <w:p w14:paraId="60B030BC">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8.招标文件的修正</w:t>
      </w:r>
    </w:p>
    <w:p w14:paraId="04FE11A9">
      <w:pPr>
        <w:pageBreakBefore w:val="0"/>
        <w:autoSpaceDE w:val="0"/>
        <w:autoSpaceDN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8.1 </w:t>
      </w:r>
      <w:r>
        <w:rPr>
          <w:rFonts w:hint="eastAsia" w:ascii="宋体" w:hAnsi="宋体" w:eastAsia="宋体" w:cs="宋体"/>
          <w:color w:val="auto"/>
          <w:kern w:val="0"/>
          <w:sz w:val="24"/>
          <w:szCs w:val="24"/>
          <w:highlight w:val="none"/>
        </w:rPr>
        <w:t>在</w:t>
      </w:r>
      <w:r>
        <w:rPr>
          <w:rFonts w:hint="eastAsia" w:ascii="宋体" w:hAnsi="宋体" w:eastAsia="宋体" w:cs="宋体"/>
          <w:color w:val="auto"/>
          <w:sz w:val="24"/>
          <w:szCs w:val="24"/>
          <w:highlight w:val="none"/>
        </w:rPr>
        <w:t>投标截止时间15日前</w:t>
      </w:r>
      <w:r>
        <w:rPr>
          <w:rFonts w:hint="eastAsia" w:ascii="宋体" w:hAnsi="宋体" w:eastAsia="宋体" w:cs="宋体"/>
          <w:color w:val="auto"/>
          <w:kern w:val="0"/>
          <w:sz w:val="24"/>
          <w:szCs w:val="24"/>
          <w:highlight w:val="none"/>
        </w:rPr>
        <w:t>的任何时间，采购人可以用补充文件的方式修正招标文件，该补充文件将成为招标文件的组成部分。</w:t>
      </w:r>
    </w:p>
    <w:p w14:paraId="79DB72D3">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8.2</w:t>
      </w:r>
      <w:r>
        <w:rPr>
          <w:rFonts w:hint="eastAsia" w:ascii="宋体" w:hAnsi="宋体" w:eastAsia="宋体" w:cs="宋体"/>
          <w:color w:val="auto"/>
          <w:kern w:val="0"/>
          <w:sz w:val="24"/>
          <w:szCs w:val="24"/>
          <w:highlight w:val="none"/>
        </w:rPr>
        <w:t>补充文件将以公告形式发布。</w:t>
      </w:r>
    </w:p>
    <w:p w14:paraId="293FB42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8.3</w:t>
      </w: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有足够的时间按修正的招标文件准备电子化投标文件，采购人可以酌情延长投标截止时间。</w:t>
      </w:r>
    </w:p>
    <w:p w14:paraId="1D6E7F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三、电子化投标文件的编制</w:t>
      </w:r>
    </w:p>
    <w:p w14:paraId="6022E244">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9.特别说明</w:t>
      </w:r>
    </w:p>
    <w:p w14:paraId="6A23A4F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9.1</w:t>
      </w:r>
      <w:r>
        <w:rPr>
          <w:rFonts w:hint="eastAsia" w:ascii="宋体" w:hAnsi="宋体" w:eastAsia="宋体" w:cs="宋体"/>
          <w:color w:val="auto"/>
          <w:sz w:val="24"/>
          <w:szCs w:val="24"/>
          <w:highlight w:val="none"/>
        </w:rPr>
        <w:t xml:space="preserve"> 投标语言</w:t>
      </w:r>
    </w:p>
    <w:p w14:paraId="1D0C1645">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提交的投标文件以及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与采购代理机构就有关投标的所有往来函电均应使用中文。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提供的文件可以用英文，但相应内容应附有中文翻译本，在解释时以中文翻译本为准。</w:t>
      </w:r>
    </w:p>
    <w:p w14:paraId="67CEDC0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9.2</w:t>
      </w:r>
      <w:r>
        <w:rPr>
          <w:rFonts w:hint="eastAsia" w:ascii="宋体" w:hAnsi="宋体" w:eastAsia="宋体" w:cs="宋体"/>
          <w:color w:val="auto"/>
          <w:sz w:val="24"/>
          <w:szCs w:val="24"/>
          <w:highlight w:val="none"/>
        </w:rPr>
        <w:t xml:space="preserve"> 计量</w:t>
      </w:r>
    </w:p>
    <w:p w14:paraId="63F4788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在电子化投标文件所有计量单位均采用中华人民共和国法定计量单位。</w:t>
      </w:r>
    </w:p>
    <w:p w14:paraId="41D46D49">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在投标文件中所提交的所有资料和文件均应是真实的和有效的，如有作假，则将该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的投标作无效标处理，若中标后被发现有上述行为的，则采购人有权取消其中标资格，并且该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应承担由此而造成的一切损失（包括经济损失和法律责任）。</w:t>
      </w:r>
    </w:p>
    <w:p w14:paraId="4E06D511">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应当按照招标文件和电子招标投标交易平台的要求编制并加密电子化投标文件。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未按规定加密的电子化投标文件，电子招标投标交易平台将拒收并提示。</w:t>
      </w:r>
    </w:p>
    <w:p w14:paraId="3ED03B2B">
      <w:pPr>
        <w:pageBreakBefore w:val="0"/>
        <w:bidi w:val="0"/>
        <w:adjustRightInd w:val="0"/>
        <w:snapToGrid w:val="0"/>
        <w:spacing w:beforeAutospacing="0" w:afterAutospacing="0" w:line="360" w:lineRule="auto"/>
        <w:ind w:left="0" w:leftChars="0" w:right="0" w:firstLine="460" w:firstLineChars="19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完成投标文件电子版的传输递交，并可以补充、修改或者撤回电子化投标文件。投标截止时间前未完成电子化投标文件传输的，视为撤回电子化投标文件。投标截止时间后送达的电子化投标文件，电子招标投标交易平台将拒收。</w:t>
      </w:r>
    </w:p>
    <w:p w14:paraId="32B75618">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10.投标货物和服务的文件</w:t>
      </w:r>
    </w:p>
    <w:p w14:paraId="649DC84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w:t>
      </w:r>
      <w:r>
        <w:rPr>
          <w:rFonts w:hint="eastAsia" w:ascii="宋体" w:hAnsi="宋体" w:eastAsia="宋体" w:cs="宋体"/>
          <w:color w:val="auto"/>
          <w:sz w:val="24"/>
          <w:szCs w:val="24"/>
          <w:highlight w:val="none"/>
        </w:rPr>
        <w:t>投标设备合格文件：</w:t>
      </w:r>
    </w:p>
    <w:p w14:paraId="2DC6DD82">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必须提供有关投标设备符合招标文件要求的证明文件，这些文件可以是说明书、样本和资料等。</w:t>
      </w:r>
    </w:p>
    <w:p w14:paraId="4A7FD61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10.1.2</w:t>
      </w:r>
      <w:r>
        <w:rPr>
          <w:rFonts w:hint="eastAsia" w:ascii="宋体" w:hAnsi="宋体" w:eastAsia="宋体" w:cs="宋体"/>
          <w:color w:val="auto"/>
          <w:sz w:val="24"/>
          <w:szCs w:val="24"/>
          <w:highlight w:val="none"/>
        </w:rPr>
        <w:t>有关各种实验报告、鉴定报告等。</w:t>
      </w:r>
    </w:p>
    <w:p w14:paraId="6CAD34A5">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10.1.3</w:t>
      </w:r>
      <w:r>
        <w:rPr>
          <w:rFonts w:hint="eastAsia" w:ascii="宋体" w:hAnsi="宋体" w:eastAsia="宋体" w:cs="宋体"/>
          <w:color w:val="auto"/>
          <w:sz w:val="24"/>
          <w:szCs w:val="24"/>
          <w:highlight w:val="none"/>
        </w:rPr>
        <w:t>产品样本说明书、主要技术参数、性能说明、部件及材料产地来源表等资料。</w:t>
      </w:r>
    </w:p>
    <w:p w14:paraId="15A82449">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10.1.4</w:t>
      </w:r>
      <w:r>
        <w:rPr>
          <w:rFonts w:hint="eastAsia" w:ascii="宋体" w:hAnsi="宋体" w:eastAsia="宋体" w:cs="宋体"/>
          <w:color w:val="auto"/>
          <w:sz w:val="24"/>
          <w:szCs w:val="24"/>
          <w:highlight w:val="none"/>
        </w:rPr>
        <w:t>投标设备的制造、安装及验收标准。</w:t>
      </w:r>
    </w:p>
    <w:p w14:paraId="5CD0AACC">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10.1.5</w:t>
      </w:r>
      <w:r>
        <w:rPr>
          <w:rFonts w:hint="eastAsia" w:ascii="宋体" w:hAnsi="宋体" w:eastAsia="宋体" w:cs="宋体"/>
          <w:color w:val="auto"/>
          <w:sz w:val="24"/>
          <w:szCs w:val="24"/>
          <w:highlight w:val="none"/>
        </w:rPr>
        <w:t>设备安装和维修时所需的特殊工具及所需备品、备件清单。</w:t>
      </w:r>
    </w:p>
    <w:p w14:paraId="21965870">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10.2</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必须对设备清单中的全部设备进行投标，只投其中部分设备则电子化投标文件无效。</w:t>
      </w:r>
    </w:p>
    <w:p w14:paraId="0457006D">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所投设备的所有部件均为合格产品。</w:t>
      </w:r>
    </w:p>
    <w:p w14:paraId="193107A0">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认为应对其设备的性能特点、优越性等有必要进行补充说明的内容。</w:t>
      </w:r>
    </w:p>
    <w:p w14:paraId="452794B9">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必须对招标文件中设备的技术要求逐项、逐条明确答复；应逐项填写“技术参数偏离表”，投标设备与招标文件中的规定要求有偏离的，应详细说明偏离情况。</w:t>
      </w:r>
    </w:p>
    <w:p w14:paraId="4E6B4B9A">
      <w:pPr>
        <w:pageBreakBefore w:val="0"/>
        <w:bidi w:val="0"/>
        <w:adjustRightInd w:val="0"/>
        <w:snapToGrid w:val="0"/>
        <w:spacing w:beforeAutospacing="0" w:afterAutospacing="0" w:line="360" w:lineRule="auto"/>
        <w:ind w:left="0" w:leftChars="0" w:right="0" w:firstLine="487" w:firstLineChars="202"/>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color w:val="auto"/>
          <w:sz w:val="24"/>
          <w:szCs w:val="24"/>
          <w:highlight w:val="none"/>
        </w:rPr>
        <w:t>投标设备安装</w:t>
      </w:r>
    </w:p>
    <w:p w14:paraId="5BE49D2B">
      <w:pPr>
        <w:pageBreakBefore w:val="0"/>
        <w:bidi w:val="0"/>
        <w:adjustRightInd w:val="0"/>
        <w:snapToGrid w:val="0"/>
        <w:spacing w:beforeAutospacing="0" w:afterAutospacing="0"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11.1</w:t>
      </w:r>
      <w:r>
        <w:rPr>
          <w:rFonts w:hint="eastAsia" w:ascii="宋体" w:hAnsi="宋体" w:eastAsia="宋体" w:cs="宋体"/>
          <w:color w:val="auto"/>
          <w:sz w:val="24"/>
          <w:szCs w:val="24"/>
          <w:highlight w:val="none"/>
        </w:rPr>
        <w:t>设备由中标供应商进行安装调试，设备到达用户指定地点后，需安排有经验的工程技术人员到用户现场安装、调试仪器。</w:t>
      </w:r>
    </w:p>
    <w:p w14:paraId="36AEA71B">
      <w:pPr>
        <w:pageBreakBefore w:val="0"/>
        <w:bidi w:val="0"/>
        <w:adjustRightInd w:val="0"/>
        <w:snapToGrid w:val="0"/>
        <w:spacing w:beforeAutospacing="0" w:afterAutospacing="0" w:line="360" w:lineRule="auto"/>
        <w:ind w:left="0" w:leftChars="0" w:right="0"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要求生产厂家设有专门的培训中心，对用户免费进行全面系统的培训，内容包括设备的基本原理、操作应用及设备的维护保养知识，直到用户能正常使用和维护仪器。厂家长期提供技术支持，并免费提供所有公开发表的应用文献和最新设备有关资料、通讯和用户论文集等。保证用户熟练掌握设备的日常操作使用及日常维护，以后再根据需要进行必要的培训，供应商可以协助用户开发分析方法。</w:t>
      </w:r>
    </w:p>
    <w:p w14:paraId="31074096">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12.投标报价 </w:t>
      </w:r>
    </w:p>
    <w:p w14:paraId="6E95C29E">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12.1</w:t>
      </w:r>
      <w:r>
        <w:rPr>
          <w:rFonts w:hint="eastAsia" w:ascii="宋体" w:hAnsi="宋体" w:eastAsia="宋体" w:cs="宋体"/>
          <w:color w:val="auto"/>
          <w:sz w:val="24"/>
          <w:szCs w:val="24"/>
          <w:highlight w:val="none"/>
        </w:rPr>
        <w:t>投标报价中应包含以下内容：</w:t>
      </w:r>
    </w:p>
    <w:p w14:paraId="2D4E9F32">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应报出货到交货地点价。</w:t>
      </w:r>
      <w:r>
        <w:rPr>
          <w:rFonts w:hint="eastAsia" w:ascii="宋体" w:hAnsi="宋体" w:eastAsia="宋体" w:cs="宋体"/>
          <w:color w:val="000000"/>
          <w:kern w:val="10"/>
          <w:sz w:val="24"/>
          <w:szCs w:val="24"/>
        </w:rPr>
        <w:t>包括设备货款、标准附件、备品备件、专用工具、人工费、服务费、包装费、运输费、装卸费、保险费、采购保管、安装调试费、设备维护、检测验收费、税金、培训费、利润、售后服务等各项与此项目有关的一切费用），采购人不另外支付其他任何费用</w:t>
      </w:r>
      <w:r>
        <w:rPr>
          <w:rFonts w:hint="eastAsia" w:ascii="宋体" w:hAnsi="宋体" w:eastAsia="宋体" w:cs="宋体"/>
          <w:color w:val="auto"/>
          <w:sz w:val="24"/>
          <w:szCs w:val="24"/>
          <w:highlight w:val="none"/>
          <w:lang w:eastAsia="zh-CN"/>
        </w:rPr>
        <w:t>。</w:t>
      </w:r>
    </w:p>
    <w:p w14:paraId="140DEBE5">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的投标报价应包含验收合格正式交付使用前所发生的一切费用，且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只能提出一个不变价格，采购人不接受任何选择报价。</w:t>
      </w:r>
    </w:p>
    <w:p w14:paraId="650FBF86">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12.3</w:t>
      </w:r>
      <w:r>
        <w:rPr>
          <w:rFonts w:hint="eastAsia" w:ascii="宋体" w:hAnsi="宋体" w:eastAsia="宋体" w:cs="宋体"/>
          <w:color w:val="auto"/>
          <w:sz w:val="24"/>
          <w:szCs w:val="24"/>
          <w:highlight w:val="none"/>
        </w:rPr>
        <w:t>该项目类别及取费标准按照国家相关规定执行。</w:t>
      </w:r>
    </w:p>
    <w:p w14:paraId="0A025741">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12.4</w:t>
      </w:r>
      <w:r>
        <w:rPr>
          <w:rFonts w:hint="eastAsia" w:ascii="宋体" w:hAnsi="宋体" w:eastAsia="宋体" w:cs="宋体"/>
          <w:color w:val="auto"/>
          <w:sz w:val="24"/>
          <w:szCs w:val="24"/>
          <w:highlight w:val="none"/>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14FC1D7C">
      <w:pPr>
        <w:pageBreakBefore w:val="0"/>
        <w:bidi w:val="0"/>
        <w:adjustRightInd w:val="0"/>
        <w:snapToGrid w:val="0"/>
        <w:spacing w:beforeAutospacing="0" w:afterAutospacing="0" w:line="360" w:lineRule="auto"/>
        <w:ind w:left="0" w:leftChars="0" w:right="0" w:firstLine="552" w:firstLineChars="22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12.5</w:t>
      </w:r>
      <w:r>
        <w:rPr>
          <w:rFonts w:hint="eastAsia" w:ascii="宋体" w:hAnsi="宋体" w:eastAsia="宋体" w:cs="宋体"/>
          <w:color w:val="auto"/>
          <w:sz w:val="24"/>
          <w:szCs w:val="24"/>
          <w:highlight w:val="none"/>
        </w:rPr>
        <w:t>全部报价均应以人民币为计量币种，并以人民币进行结算。</w:t>
      </w:r>
    </w:p>
    <w:p w14:paraId="4A3DE0FD">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13.货物现场服务</w:t>
      </w:r>
    </w:p>
    <w:p w14:paraId="5BBEFF3B">
      <w:pPr>
        <w:pageBreakBefore w:val="0"/>
        <w:bidi w:val="0"/>
        <w:adjustRightInd w:val="0"/>
        <w:snapToGrid w:val="0"/>
        <w:spacing w:beforeAutospacing="0" w:after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13.1</w:t>
      </w:r>
      <w:r>
        <w:rPr>
          <w:rFonts w:hint="eastAsia" w:ascii="宋体" w:hAnsi="宋体" w:eastAsia="宋体" w:cs="宋体"/>
          <w:color w:val="auto"/>
          <w:sz w:val="24"/>
          <w:szCs w:val="24"/>
          <w:highlight w:val="none"/>
        </w:rPr>
        <w:t>全部设备由中标供应商进行安装调试，并按有关规定程序报请相关部门验收合格后交付采购人使用，一切费用均由中标供应商承担。</w:t>
      </w:r>
    </w:p>
    <w:p w14:paraId="0C4418E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13.2</w:t>
      </w:r>
      <w:r>
        <w:rPr>
          <w:rFonts w:hint="eastAsia" w:ascii="宋体" w:hAnsi="宋体" w:eastAsia="宋体" w:cs="宋体"/>
          <w:color w:val="auto"/>
          <w:sz w:val="24"/>
          <w:szCs w:val="24"/>
          <w:highlight w:val="none"/>
        </w:rPr>
        <w:t>采购人应根据中标供应商的要求给予中标供应商现场安装服务人员提供食宿方便，费用由中标供应商自理。</w:t>
      </w:r>
    </w:p>
    <w:p w14:paraId="55B06DAD">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14.投标保证金</w:t>
      </w:r>
    </w:p>
    <w:p w14:paraId="69306023">
      <w:pPr>
        <w:pageBreakBefore w:val="0"/>
        <w:bidi w:val="0"/>
        <w:adjustRightInd w:val="0"/>
        <w:snapToGrid w:val="0"/>
        <w:spacing w:beforeAutospacing="0" w:afterAutospacing="0" w:line="360" w:lineRule="auto"/>
        <w:ind w:left="0" w:leftChars="0" w:right="0"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根据《河南省财政厅关于优化政府采购营商环境有关问题的通知》（豫财购【2019】4号）第6条的规定，投标保证金不再收取。</w:t>
      </w:r>
    </w:p>
    <w:p w14:paraId="1FF3ED0A">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15.投标有效期</w:t>
      </w:r>
    </w:p>
    <w:p w14:paraId="2AED2781">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15.1</w:t>
      </w:r>
      <w:r>
        <w:rPr>
          <w:rFonts w:hint="eastAsia" w:ascii="宋体" w:hAnsi="宋体" w:eastAsia="宋体" w:cs="宋体"/>
          <w:color w:val="auto"/>
          <w:sz w:val="24"/>
          <w:szCs w:val="24"/>
          <w:highlight w:val="none"/>
        </w:rPr>
        <w:t>电子化投标文件从开标之时起开始生效，投标有效期为投标截止之日起60日历天。</w:t>
      </w:r>
    </w:p>
    <w:p w14:paraId="65D86E39">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15.2</w:t>
      </w:r>
      <w:r>
        <w:rPr>
          <w:rFonts w:hint="eastAsia" w:ascii="宋体" w:hAnsi="宋体" w:eastAsia="宋体" w:cs="宋体"/>
          <w:color w:val="auto"/>
          <w:sz w:val="24"/>
          <w:szCs w:val="24"/>
          <w:highlight w:val="none"/>
        </w:rPr>
        <w:t>在特殊情况下，采购人可征求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同意延长投标有效期，这种要求和答复均应以信函、传真等书面形式提交。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可以拒绝采购人的这种要求。同意延长投标有效期的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不需要也不允许修改其电子化投标文件。</w:t>
      </w:r>
    </w:p>
    <w:p w14:paraId="444CD56F">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16.电子化投标文件的组成</w:t>
      </w:r>
    </w:p>
    <w:p w14:paraId="6A7D1084">
      <w:pPr>
        <w:keepNext w:val="0"/>
        <w:keepLines w:val="0"/>
        <w:pageBreakBefore w:val="0"/>
        <w:widowControl w:val="0"/>
        <w:tabs>
          <w:tab w:val="left" w:pos="6037"/>
        </w:tabs>
        <w:kinsoku/>
        <w:wordWrap/>
        <w:overflowPunct/>
        <w:topLinePunct w:val="0"/>
        <w:autoSpaceDE/>
        <w:autoSpaceDN/>
        <w:bidi w:val="0"/>
        <w:adjustRightInd w:val="0"/>
        <w:snapToGrid w:val="0"/>
        <w:spacing w:beforeAutospacing="0" w:afterAutospacing="0" w:line="360" w:lineRule="auto"/>
        <w:ind w:left="0" w:leftChars="0" w:right="0" w:firstLine="465"/>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详见投标文件格式</w:t>
      </w:r>
      <w:r>
        <w:rPr>
          <w:rFonts w:hint="eastAsia" w:ascii="宋体" w:hAnsi="宋体" w:eastAsia="宋体" w:cs="宋体"/>
          <w:bCs/>
          <w:color w:val="auto"/>
          <w:sz w:val="24"/>
          <w:szCs w:val="24"/>
          <w:highlight w:val="none"/>
        </w:rPr>
        <w:tab/>
      </w:r>
    </w:p>
    <w:p w14:paraId="15380AA0">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17.电子化投标文件的编制</w:t>
      </w:r>
    </w:p>
    <w:p w14:paraId="1D127AF8">
      <w:pPr>
        <w:pageBreakBefore w:val="0"/>
        <w:wordWrap w:val="0"/>
        <w:bidi w:val="0"/>
        <w:adjustRightInd w:val="0"/>
        <w:snapToGrid w:val="0"/>
        <w:spacing w:beforeAutospacing="0" w:afterAutospacing="0" w:line="360" w:lineRule="auto"/>
        <w:ind w:left="0" w:leftChars="0" w:right="0" w:firstLine="465"/>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17.1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w:t>
      </w:r>
      <w:r>
        <w:rPr>
          <w:rFonts w:hint="eastAsia" w:ascii="宋体" w:hAnsi="宋体" w:eastAsia="宋体" w:cs="宋体"/>
          <w:b w:val="0"/>
          <w:bCs w:val="0"/>
          <w:color w:val="auto"/>
          <w:sz w:val="24"/>
          <w:szCs w:val="24"/>
          <w:highlight w:val="none"/>
        </w:rPr>
        <w:t>用于应急补救的投标文件备份文件（后缀为.nsmxtf）。</w:t>
      </w:r>
    </w:p>
    <w:p w14:paraId="6DBF6BA4">
      <w:pPr>
        <w:pageBreakBefore w:val="0"/>
        <w:bidi w:val="0"/>
        <w:adjustRightInd w:val="0"/>
        <w:snapToGrid w:val="0"/>
        <w:spacing w:beforeAutospacing="0" w:afterAutospacing="0" w:line="360" w:lineRule="auto"/>
        <w:ind w:left="0" w:leftChars="0" w:right="0"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17.2在招标文件中要求供应商按照投标文件格式进行投标文件编制，在投标文件编制时，应明确将投标单位企业基本情况、人员情况、业绩情况编入投标文件，便于进行资格审查及评标打分。</w:t>
      </w:r>
    </w:p>
    <w:p w14:paraId="591D7A07">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18.电子化投标文件的签署</w:t>
      </w:r>
    </w:p>
    <w:p w14:paraId="1473CFF3">
      <w:pPr>
        <w:pageBreakBefore w:val="0"/>
        <w:bidi w:val="0"/>
        <w:adjustRightInd w:val="0"/>
        <w:snapToGrid w:val="0"/>
        <w:spacing w:beforeAutospacing="0" w:afterAutospacing="0" w:line="360" w:lineRule="auto"/>
        <w:ind w:left="0" w:leftChars="0" w:right="0" w:firstLine="46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18.1</w:t>
      </w:r>
      <w:r>
        <w:rPr>
          <w:rFonts w:hint="eastAsia" w:ascii="宋体" w:hAnsi="宋体" w:eastAsia="宋体" w:cs="宋体"/>
          <w:color w:val="auto"/>
          <w:sz w:val="24"/>
          <w:szCs w:val="24"/>
          <w:highlight w:val="none"/>
        </w:rPr>
        <w:t>招标文件中要求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盖章的，以签盖单位章为准；要求法定代表人签章的，以签盖法定代表人签章为准。电子化投标文件具体制作教材请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通过CA证书登录三门峡市公共资源电子化交易系统在右上角“组件下载”中查看。</w:t>
      </w:r>
    </w:p>
    <w:p w14:paraId="306548A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四、电子化投标文件的上传</w:t>
      </w:r>
    </w:p>
    <w:p w14:paraId="2727ACB2">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19.投标文件上传</w:t>
      </w:r>
    </w:p>
    <w:p w14:paraId="7F7124C4">
      <w:pPr>
        <w:pageBreakBefore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电子化投标文件应在投标截止时间前成功上传至三门峡市公共资源电子化交易系统。至投标截止时间止，仍未上传成功的电子化投标文件将不予接收。</w:t>
      </w:r>
    </w:p>
    <w:p w14:paraId="056C1B8E">
      <w:pPr>
        <w:pageBreakBefore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注：如按照电子化投标操作教材制作完成的电子化投标文件无法上传的，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应在投标截止时间前尽早的联系中心技术人员，以便有充分的时间进行处理。</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应充分考虑到处理技术问题和上传数据等工作所需的时间问题，投标文件未在投标截止时间前成功上传的，其投标文件不予接收。</w:t>
      </w:r>
    </w:p>
    <w:p w14:paraId="33F721BA">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20.投标截止时间</w:t>
      </w:r>
    </w:p>
    <w:p w14:paraId="68799A6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20.1</w:t>
      </w:r>
      <w:r>
        <w:rPr>
          <w:rFonts w:hint="eastAsia" w:ascii="宋体" w:hAnsi="宋体" w:eastAsia="宋体" w:cs="宋体"/>
          <w:color w:val="auto"/>
          <w:sz w:val="24"/>
          <w:szCs w:val="24"/>
          <w:highlight w:val="none"/>
        </w:rPr>
        <w:t>电子化投标文件的截止时间见本须知前附表规定。</w:t>
      </w:r>
    </w:p>
    <w:p w14:paraId="720F74D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20.2</w:t>
      </w:r>
      <w:r>
        <w:rPr>
          <w:rFonts w:hint="eastAsia" w:ascii="宋体" w:hAnsi="宋体" w:eastAsia="宋体" w:cs="宋体"/>
          <w:color w:val="auto"/>
          <w:sz w:val="24"/>
          <w:szCs w:val="24"/>
          <w:highlight w:val="none"/>
        </w:rPr>
        <w:t>采购人可按本须知第8条规定以修改补充通知的方式，酌情延长提交电子化投标文件的截止时间。在此情况下，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的所有权利和义务以及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受制约的截止时间，均以延长后新的投标截止时间为准。</w:t>
      </w:r>
    </w:p>
    <w:p w14:paraId="0F58F6CA">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20.3</w:t>
      </w:r>
      <w:r>
        <w:rPr>
          <w:rFonts w:hint="eastAsia" w:ascii="宋体" w:hAnsi="宋体" w:eastAsia="宋体" w:cs="宋体"/>
          <w:color w:val="auto"/>
          <w:sz w:val="24"/>
          <w:szCs w:val="24"/>
          <w:highlight w:val="none"/>
        </w:rPr>
        <w:t>到投标截止时间止，上传成功的电子化投标文件少于3个的，采购人将依法重新组织招标。</w:t>
      </w:r>
    </w:p>
    <w:p w14:paraId="10275066">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20.4电子化投标文件的补充、修改与撤回</w:t>
      </w:r>
    </w:p>
    <w:p w14:paraId="1841A635">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20.4.1</w:t>
      </w: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不得补充、修改电子化投标文件。</w:t>
      </w:r>
    </w:p>
    <w:p w14:paraId="2AB47A3D">
      <w:pPr>
        <w:pageBreakBefore w:val="0"/>
        <w:autoSpaceDE w:val="0"/>
        <w:autoSpaceDN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28"/>
          <w:szCs w:val="28"/>
          <w:highlight w:val="none"/>
        </w:rPr>
      </w:pPr>
      <w:bookmarkStart w:id="7" w:name="_Toc7212"/>
      <w:bookmarkStart w:id="8" w:name="_Toc32278"/>
      <w:bookmarkStart w:id="9" w:name="_Toc16493"/>
      <w:r>
        <w:rPr>
          <w:rFonts w:hint="eastAsia" w:ascii="宋体" w:hAnsi="宋体" w:eastAsia="宋体" w:cs="宋体"/>
          <w:b/>
          <w:bCs/>
          <w:color w:val="auto"/>
          <w:kern w:val="0"/>
          <w:sz w:val="28"/>
          <w:szCs w:val="28"/>
          <w:highlight w:val="none"/>
        </w:rPr>
        <w:t>五、开标</w:t>
      </w:r>
      <w:bookmarkEnd w:id="7"/>
      <w:bookmarkEnd w:id="8"/>
      <w:bookmarkEnd w:id="9"/>
    </w:p>
    <w:p w14:paraId="4EEBBCD2">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21.开标</w:t>
      </w:r>
    </w:p>
    <w:p w14:paraId="46C75F80">
      <w:pPr>
        <w:pageBreakBefore w:val="0"/>
        <w:wordWrap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21.1</w:t>
      </w:r>
      <w:r>
        <w:rPr>
          <w:rFonts w:hint="eastAsia" w:ascii="宋体" w:hAnsi="宋体" w:eastAsia="宋体" w:cs="宋体"/>
          <w:color w:val="auto"/>
          <w:sz w:val="24"/>
          <w:szCs w:val="24"/>
          <w:highlight w:val="none"/>
        </w:rPr>
        <w:t>本项目采用电子化、无纸化进行招标，开标当日，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无需到开标现场参加开标会议，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21C2FC16">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21.2</w:t>
      </w:r>
      <w:r>
        <w:rPr>
          <w:rFonts w:hint="eastAsia" w:ascii="宋体" w:hAnsi="宋体" w:eastAsia="宋体" w:cs="宋体"/>
          <w:color w:val="auto"/>
          <w:sz w:val="24"/>
          <w:szCs w:val="24"/>
          <w:highlight w:val="none"/>
        </w:rPr>
        <w:t>电子化投标文件采用一次加密方式。开标时，由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使用CA 证书，在规定时间内对其电子化投标文件进行解密。每位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 分钟内，如在规定时间内未完成解密的，其投标文件不予开标、唱标。每位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的解密时间为开标时间起30分钟内完成。</w:t>
      </w:r>
    </w:p>
    <w:p w14:paraId="1E368960">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21.3 </w:t>
      </w:r>
      <w:r>
        <w:rPr>
          <w:rFonts w:hint="eastAsia" w:ascii="宋体" w:hAnsi="宋体" w:eastAsia="宋体" w:cs="宋体"/>
          <w:color w:val="auto"/>
          <w:sz w:val="24"/>
          <w:szCs w:val="24"/>
          <w:highlight w:val="none"/>
        </w:rPr>
        <w:t>电子化投标文件解密异常的处理</w:t>
      </w:r>
    </w:p>
    <w:p w14:paraId="689A700A">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的电子投标文件无法解密等异常情况，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应及时致电中介服务机构说明。投标文件异常，按以下步骤进行处理：</w:t>
      </w:r>
    </w:p>
    <w:p w14:paraId="460E934F">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70017A79">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文件自身问题导致投标文件无法解密的，该投标文件将不予接收、解密和唱标。开标会议继续进行。</w:t>
      </w:r>
    </w:p>
    <w:p w14:paraId="145954D6">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41A5649">
      <w:pPr>
        <w:pageBreakBefore w:val="0"/>
        <w:bidi w:val="0"/>
        <w:adjustRightInd w:val="0"/>
        <w:snapToGrid w:val="0"/>
        <w:spacing w:beforeAutospacing="0" w:afterAutospacing="0" w:line="360" w:lineRule="auto"/>
        <w:ind w:left="0" w:leftChars="0" w:right="0"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21.4</w:t>
      </w:r>
      <w:r>
        <w:rPr>
          <w:rFonts w:hint="eastAsia" w:ascii="宋体" w:hAnsi="宋体" w:eastAsia="宋体" w:cs="宋体"/>
          <w:color w:val="auto"/>
          <w:sz w:val="24"/>
          <w:szCs w:val="24"/>
          <w:highlight w:val="none"/>
        </w:rPr>
        <w:t xml:space="preserve"> 待所有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投标文件解密完成后，由中介服务机构操作，对所有已解密投标文件进行唱标。</w:t>
      </w:r>
    </w:p>
    <w:p w14:paraId="21BA68A4">
      <w:pPr>
        <w:pageBreakBefore w:val="0"/>
        <w:bidi w:val="0"/>
        <w:adjustRightInd w:val="0"/>
        <w:snapToGrid w:val="0"/>
        <w:spacing w:beforeAutospacing="0" w:afterAutospacing="0" w:line="360" w:lineRule="auto"/>
        <w:ind w:left="0" w:leftChars="0" w:right="0"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应保证在开标期间电话、电脑、网络能够正常工作，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因停电、电脑病毒、网络堵塞等原因，未在规定的解密时间内对投标文件进行解密的，其投标文件不予接收、唱标。</w:t>
      </w:r>
    </w:p>
    <w:p w14:paraId="13B8B232">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21.5</w:t>
      </w:r>
      <w:r>
        <w:rPr>
          <w:rFonts w:hint="eastAsia" w:ascii="宋体" w:hAnsi="宋体" w:eastAsia="宋体" w:cs="宋体"/>
          <w:color w:val="auto"/>
          <w:sz w:val="24"/>
          <w:szCs w:val="24"/>
          <w:highlight w:val="none"/>
        </w:rPr>
        <w:t xml:space="preserve"> 开标时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的质疑并做好书面记录。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未在规定时间内提出质疑的，视为认可唱标内容。</w:t>
      </w:r>
    </w:p>
    <w:p w14:paraId="4CC4AAAB">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21.6开标会议结束后，由采购人和采购代理机构人员按照招标文件第二章供应商须知前附表第</w:t>
      </w: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项的要求，对</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进行资格审查，有一项不符合的，视为未通过资格审查，不得进入下一评标过程。</w:t>
      </w:r>
    </w:p>
    <w:p w14:paraId="737DAA07">
      <w:pPr>
        <w:pageBreakBefore w:val="0"/>
        <w:autoSpaceDE w:val="0"/>
        <w:autoSpaceDN w:val="0"/>
        <w:bidi w:val="0"/>
        <w:adjustRightInd w:val="0"/>
        <w:snapToGrid w:val="0"/>
        <w:spacing w:beforeAutospacing="0" w:afterAutospacing="0" w:line="360" w:lineRule="auto"/>
        <w:ind w:left="0" w:leftChars="0" w:right="0" w:firstLine="435"/>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21.7</w:t>
      </w:r>
      <w:r>
        <w:rPr>
          <w:rFonts w:hint="eastAsia" w:ascii="宋体" w:hAnsi="宋体" w:eastAsia="宋体" w:cs="宋体"/>
          <w:color w:val="auto"/>
          <w:sz w:val="24"/>
          <w:highlight w:val="none"/>
        </w:rPr>
        <w:t>采购人将符合资格审查的电子化投标文件提交于评标委员会进行详细评审及比较。</w:t>
      </w:r>
    </w:p>
    <w:p w14:paraId="792C1624">
      <w:pPr>
        <w:pageBreakBefore w:val="0"/>
        <w:autoSpaceDE w:val="0"/>
        <w:autoSpaceDN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28"/>
          <w:szCs w:val="28"/>
          <w:highlight w:val="none"/>
        </w:rPr>
      </w:pPr>
      <w:bookmarkStart w:id="10" w:name="_Toc27433"/>
      <w:bookmarkStart w:id="11" w:name="_Toc13512"/>
      <w:bookmarkStart w:id="12" w:name="_Toc2633"/>
      <w:r>
        <w:rPr>
          <w:rFonts w:hint="eastAsia" w:ascii="宋体" w:hAnsi="宋体" w:eastAsia="宋体" w:cs="宋体"/>
          <w:b/>
          <w:bCs/>
          <w:color w:val="auto"/>
          <w:kern w:val="0"/>
          <w:sz w:val="28"/>
          <w:szCs w:val="28"/>
          <w:highlight w:val="none"/>
        </w:rPr>
        <w:t>六、评标与定标</w:t>
      </w:r>
      <w:bookmarkEnd w:id="10"/>
      <w:bookmarkEnd w:id="11"/>
      <w:bookmarkEnd w:id="12"/>
    </w:p>
    <w:p w14:paraId="3B91B6FC">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22.评标委员会</w:t>
      </w:r>
    </w:p>
    <w:p w14:paraId="60E4006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22.1</w:t>
      </w:r>
      <w:r>
        <w:rPr>
          <w:rFonts w:hint="eastAsia" w:ascii="宋体" w:hAnsi="宋体" w:eastAsia="宋体" w:cs="宋体"/>
          <w:color w:val="auto"/>
          <w:sz w:val="24"/>
          <w:szCs w:val="24"/>
          <w:highlight w:val="none"/>
        </w:rPr>
        <w:t>评标委员会由采购人依法组建，负责评标活动。</w:t>
      </w:r>
    </w:p>
    <w:p w14:paraId="72056D6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22.2</w:t>
      </w:r>
      <w:r>
        <w:rPr>
          <w:rFonts w:hint="eastAsia" w:ascii="宋体" w:hAnsi="宋体" w:eastAsia="宋体" w:cs="宋体"/>
          <w:color w:val="auto"/>
          <w:sz w:val="24"/>
          <w:szCs w:val="24"/>
          <w:highlight w:val="none"/>
        </w:rPr>
        <w:t>评标委员会由5人组成：采购人代表1名和有关技术、经济等方面的专家4名。</w:t>
      </w:r>
    </w:p>
    <w:p w14:paraId="102515B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22.3</w:t>
      </w:r>
      <w:r>
        <w:rPr>
          <w:rFonts w:hint="eastAsia" w:ascii="宋体" w:hAnsi="宋体" w:eastAsia="宋体" w:cs="宋体"/>
          <w:color w:val="auto"/>
          <w:sz w:val="24"/>
          <w:szCs w:val="24"/>
          <w:highlight w:val="none"/>
        </w:rPr>
        <w:t>参加评标的专家由采购人在评标前从相关评标专家库中随机抽取随机选定。与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有利害关系的人不得进入评标委员会。</w:t>
      </w:r>
    </w:p>
    <w:p w14:paraId="022BEDA0">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22.4</w:t>
      </w:r>
      <w:r>
        <w:rPr>
          <w:rFonts w:hint="eastAsia" w:ascii="宋体" w:hAnsi="宋体" w:eastAsia="宋体" w:cs="宋体"/>
          <w:color w:val="auto"/>
          <w:sz w:val="24"/>
          <w:szCs w:val="24"/>
          <w:highlight w:val="none"/>
        </w:rPr>
        <w:t>开标结束后，开始评标。评标工作在相关部门监督下，采用保密方式进行。</w:t>
      </w:r>
    </w:p>
    <w:p w14:paraId="4FAC794D">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 xml:space="preserve">    23.</w:t>
      </w:r>
      <w:r>
        <w:rPr>
          <w:rFonts w:hint="eastAsia" w:ascii="宋体" w:hAnsi="宋体" w:eastAsia="宋体" w:cs="宋体"/>
          <w:b/>
          <w:bCs/>
          <w:color w:val="auto"/>
          <w:sz w:val="24"/>
          <w:szCs w:val="24"/>
          <w:highlight w:val="none"/>
        </w:rPr>
        <w:t>评标过程的保密</w:t>
      </w:r>
    </w:p>
    <w:p w14:paraId="4B5BC297">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23.1 </w:t>
      </w:r>
      <w:r>
        <w:rPr>
          <w:rFonts w:hint="eastAsia" w:ascii="宋体" w:hAnsi="宋体" w:eastAsia="宋体" w:cs="宋体"/>
          <w:color w:val="auto"/>
          <w:sz w:val="24"/>
          <w:szCs w:val="24"/>
          <w:highlight w:val="none"/>
        </w:rPr>
        <w:t>开标后，直至授予中标供应商合同为止，凡属于对电子化投标文件的审查、澄清、评价和比较有关的资料，中标候选供应商的推荐情况，及其他任何与评标有关的情况均应严格保密。</w:t>
      </w:r>
    </w:p>
    <w:p w14:paraId="2C00869A">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23.2 </w:t>
      </w:r>
      <w:r>
        <w:rPr>
          <w:rFonts w:hint="eastAsia" w:ascii="宋体" w:hAnsi="宋体" w:eastAsia="宋体" w:cs="宋体"/>
          <w:color w:val="auto"/>
          <w:sz w:val="24"/>
          <w:szCs w:val="24"/>
          <w:highlight w:val="none"/>
        </w:rPr>
        <w:t>在电子化投标文件的评审和比较、中标候选供应商推荐以及授予合同的过程中，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向采购人和评标委员会施加影响的任何行为，都将会导致其投标被拒绝。</w:t>
      </w:r>
    </w:p>
    <w:p w14:paraId="26DC8BBC">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中标供应商确定后，采购人不对未中标供应商就评标过程以及未能中标原因做出任何解释。未中标供应商不得向评标委员会组成人员或其他有关人员索问评标过程的情况和材料。</w:t>
      </w:r>
    </w:p>
    <w:p w14:paraId="39197028">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24.评标纪律</w:t>
      </w:r>
    </w:p>
    <w:p w14:paraId="6CC0650D">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24.1</w:t>
      </w:r>
      <w:r>
        <w:rPr>
          <w:rFonts w:hint="eastAsia" w:ascii="宋体" w:hAnsi="宋体" w:eastAsia="宋体" w:cs="宋体"/>
          <w:color w:val="auto"/>
          <w:kern w:val="0"/>
          <w:sz w:val="24"/>
          <w:szCs w:val="24"/>
          <w:highlight w:val="none"/>
        </w:rPr>
        <w:t xml:space="preserve"> 评标委员会成员和参与评标工作的有关人员不得透露对</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投标文件的评审和比较、中标候选供应商的推荐情况以及与评标有关的其它情况。</w:t>
      </w:r>
    </w:p>
    <w:p w14:paraId="4D5FBFD6">
      <w:pPr>
        <w:pageBreakBefore w:val="0"/>
        <w:autoSpaceDE w:val="0"/>
        <w:autoSpaceDN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24.2</w:t>
      </w:r>
      <w:r>
        <w:rPr>
          <w:rFonts w:hint="eastAsia" w:ascii="宋体" w:hAnsi="宋体" w:eastAsia="宋体" w:cs="宋体"/>
          <w:color w:val="auto"/>
          <w:kern w:val="0"/>
          <w:sz w:val="24"/>
          <w:szCs w:val="24"/>
          <w:highlight w:val="none"/>
        </w:rPr>
        <w:t xml:space="preserve"> 除投标须知第2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条款的规定以外，开标以后至授予中标通知书前，任何</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均不得就与其</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投标文件有关的问题主动与采购人和采购代理机构发生联系。</w:t>
      </w:r>
    </w:p>
    <w:p w14:paraId="72534261">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24.3</w:t>
      </w:r>
      <w:r>
        <w:rPr>
          <w:rFonts w:hint="eastAsia" w:ascii="宋体" w:hAnsi="宋体" w:eastAsia="宋体" w:cs="宋体"/>
          <w:color w:val="auto"/>
          <w:kern w:val="0"/>
          <w:sz w:val="24"/>
          <w:szCs w:val="24"/>
          <w:highlight w:val="none"/>
        </w:rPr>
        <w:t xml:space="preserve"> 如果</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试图对评标委员会的评标施加影响，则将导致该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投标文件被拒绝。</w:t>
      </w:r>
    </w:p>
    <w:p w14:paraId="30E006D4">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25.电子化</w:t>
      </w:r>
      <w:r>
        <w:rPr>
          <w:rFonts w:hint="eastAsia" w:ascii="宋体" w:hAnsi="宋体" w:eastAsia="宋体" w:cs="宋体"/>
          <w:b/>
          <w:bCs/>
          <w:color w:val="auto"/>
          <w:sz w:val="24"/>
          <w:szCs w:val="24"/>
          <w:highlight w:val="none"/>
        </w:rPr>
        <w:t>投标文件的澄清</w:t>
      </w:r>
    </w:p>
    <w:p w14:paraId="64E0DAEC">
      <w:pPr>
        <w:pageBreakBefore w:val="0"/>
        <w:autoSpaceDE w:val="0"/>
        <w:autoSpaceDN w:val="0"/>
        <w:bidi w:val="0"/>
        <w:adjustRightInd w:val="0"/>
        <w:snapToGrid w:val="0"/>
        <w:spacing w:beforeAutospacing="0" w:afterAutospacing="0" w:line="360" w:lineRule="auto"/>
        <w:ind w:left="0" w:leftChars="0" w:right="0" w:firstLine="465"/>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25.1</w:t>
      </w:r>
      <w:r>
        <w:rPr>
          <w:rFonts w:hint="eastAsia" w:ascii="宋体" w:hAnsi="宋体" w:eastAsia="宋体" w:cs="宋体"/>
          <w:color w:val="auto"/>
          <w:sz w:val="24"/>
          <w:szCs w:val="24"/>
          <w:highlight w:val="none"/>
        </w:rPr>
        <w:t xml:space="preserve"> 为有助于电子化投标文件的审查、评价和比较，评标委员会可以以书面形式要求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对电子化投标文件含义不明确的内容作必要的澄清或说明，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应采用书面形式进行澄清或说明，但不得超出电子化投标文件的范围或改变电子化投标文件的实质性内容。根据本须知规定，凡属于评标委员会在评标中发现的计算错误并进行核实的修改不在此列。</w:t>
      </w:r>
    </w:p>
    <w:p w14:paraId="66BFC81D">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26.电子化</w:t>
      </w:r>
      <w:r>
        <w:rPr>
          <w:rFonts w:hint="eastAsia" w:ascii="宋体" w:hAnsi="宋体" w:eastAsia="宋体" w:cs="宋体"/>
          <w:b/>
          <w:bCs/>
          <w:color w:val="auto"/>
          <w:sz w:val="24"/>
          <w:szCs w:val="24"/>
          <w:highlight w:val="none"/>
        </w:rPr>
        <w:t>投标文件的初步评审</w:t>
      </w:r>
    </w:p>
    <w:p w14:paraId="617AE756">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26.1 </w:t>
      </w:r>
      <w:r>
        <w:rPr>
          <w:rFonts w:hint="eastAsia" w:ascii="宋体" w:hAnsi="宋体" w:eastAsia="宋体" w:cs="宋体"/>
          <w:color w:val="auto"/>
          <w:sz w:val="24"/>
          <w:szCs w:val="24"/>
          <w:highlight w:val="none"/>
        </w:rPr>
        <w:t>评标时，评标委员会将首先评定每份电子化投标文件是否在实质上响应了招标文件的要求。所谓实质上响应，是指电子化投标文件应与招标文件的所有实质性条款、条件和要求相符，无显著差异或保留，或者对合同中约定的采购人的权利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的义务方面没有造成重大的限制，纠正这些差异或保留将不会对其他实质上响应招标文件要求的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的竞争地位产生不公正的影响。</w:t>
      </w:r>
    </w:p>
    <w:p w14:paraId="3C395481">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26.2 </w:t>
      </w:r>
      <w:r>
        <w:rPr>
          <w:rFonts w:hint="eastAsia" w:ascii="宋体" w:hAnsi="宋体" w:eastAsia="宋体" w:cs="宋体"/>
          <w:color w:val="auto"/>
          <w:sz w:val="24"/>
          <w:szCs w:val="24"/>
          <w:highlight w:val="none"/>
        </w:rPr>
        <w:t>如果电子化投标文件实质上不响应招标文件的各项要求，评标委员会将予以拒绝，并且不允许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通过修改或撤销其不符合要求的差异或保留，使之成为具有响应性的投标。</w:t>
      </w:r>
    </w:p>
    <w:p w14:paraId="07BF5128">
      <w:pPr>
        <w:pageBreakBefore w:val="0"/>
        <w:autoSpaceDE w:val="0"/>
        <w:autoSpaceDN w:val="0"/>
        <w:bidi w:val="0"/>
        <w:adjustRightInd w:val="0"/>
        <w:snapToGrid w:val="0"/>
        <w:spacing w:beforeAutospacing="0" w:afterAutospacing="0" w:line="360" w:lineRule="auto"/>
        <w:ind w:left="0" w:leftChars="0" w:right="0" w:firstLine="48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26.3 </w:t>
      </w:r>
      <w:r>
        <w:rPr>
          <w:rFonts w:hint="eastAsia" w:ascii="宋体" w:hAnsi="宋体" w:eastAsia="宋体" w:cs="宋体"/>
          <w:color w:val="auto"/>
          <w:sz w:val="24"/>
          <w:szCs w:val="24"/>
          <w:highlight w:val="none"/>
        </w:rPr>
        <w:t>电子化投标文件有下列情形之一的，由评标委员会初审后按无效标处理：</w:t>
      </w:r>
    </w:p>
    <w:p w14:paraId="2FD3074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（1）电子化投标文件附有采购人不能接受的条件的；</w:t>
      </w:r>
    </w:p>
    <w:p w14:paraId="721C3B2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（2）投标报价高于招标文件中投标最高限价的；</w:t>
      </w:r>
    </w:p>
    <w:p w14:paraId="1CE5E43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（3）以他人的名义投标、串通投标、以行贿手段谋取中标或者以其他弄虚作假方式投标的；</w:t>
      </w:r>
    </w:p>
    <w:p w14:paraId="5A1FFFD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（4）采取不正当手段谋取中标的。</w:t>
      </w:r>
    </w:p>
    <w:p w14:paraId="101EACCA">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27.电子化投标文件计算错误的修正</w:t>
      </w:r>
    </w:p>
    <w:p w14:paraId="56AAD17D">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27.1</w:t>
      </w:r>
      <w:r>
        <w:rPr>
          <w:rFonts w:hint="eastAsia" w:ascii="宋体" w:hAnsi="宋体" w:eastAsia="宋体" w:cs="宋体"/>
          <w:color w:val="auto"/>
          <w:sz w:val="24"/>
          <w:szCs w:val="24"/>
          <w:highlight w:val="none"/>
        </w:rPr>
        <w:t>评标委员会将对确定为实质上响应招标文件要求的电子化投标文件进行校核，看其是否有计算或表达上的错误，修正错误的原则如下：</w:t>
      </w:r>
    </w:p>
    <w:p w14:paraId="4D2F6A34">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27.1.1</w:t>
      </w:r>
      <w:r>
        <w:rPr>
          <w:rFonts w:hint="eastAsia" w:ascii="宋体" w:hAnsi="宋体" w:eastAsia="宋体" w:cs="宋体"/>
          <w:color w:val="auto"/>
          <w:sz w:val="24"/>
          <w:szCs w:val="24"/>
          <w:highlight w:val="none"/>
        </w:rPr>
        <w:t>电子化投标文件中的大写金额和小写金额不一致的，以大写金额为准；</w:t>
      </w:r>
    </w:p>
    <w:p w14:paraId="71401D99">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27.1.2</w:t>
      </w:r>
      <w:r>
        <w:rPr>
          <w:rFonts w:hint="eastAsia" w:ascii="宋体" w:hAnsi="宋体" w:eastAsia="宋体" w:cs="宋体"/>
          <w:color w:val="auto"/>
          <w:sz w:val="24"/>
          <w:szCs w:val="24"/>
          <w:highlight w:val="none"/>
        </w:rPr>
        <w:t>对不同文字文本电子化投标文件的解释发生异议的，以中文文本为准。</w:t>
      </w:r>
    </w:p>
    <w:p w14:paraId="0035E8E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27.2</w:t>
      </w:r>
      <w:r>
        <w:rPr>
          <w:rFonts w:hint="eastAsia" w:ascii="宋体" w:hAnsi="宋体" w:eastAsia="宋体" w:cs="宋体"/>
          <w:color w:val="auto"/>
          <w:sz w:val="24"/>
          <w:szCs w:val="24"/>
          <w:highlight w:val="none"/>
        </w:rPr>
        <w:t>按上述修正错误的原则及方法调整或修正电子化投标文件的投标报价，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同意后，调整后的投标报价对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起约束作用。</w:t>
      </w:r>
    </w:p>
    <w:p w14:paraId="70DB3BC9">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28.电子化</w:t>
      </w:r>
      <w:r>
        <w:rPr>
          <w:rFonts w:hint="eastAsia" w:ascii="宋体" w:hAnsi="宋体" w:eastAsia="宋体" w:cs="宋体"/>
          <w:b/>
          <w:bCs/>
          <w:color w:val="auto"/>
          <w:sz w:val="24"/>
          <w:szCs w:val="24"/>
          <w:highlight w:val="none"/>
        </w:rPr>
        <w:t>投标文件的评审、比较和否决</w:t>
      </w:r>
    </w:p>
    <w:p w14:paraId="1F5AECA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28.1</w:t>
      </w:r>
      <w:r>
        <w:rPr>
          <w:rFonts w:hint="eastAsia" w:ascii="宋体" w:hAnsi="宋体" w:eastAsia="宋体" w:cs="宋体"/>
          <w:color w:val="auto"/>
          <w:sz w:val="24"/>
          <w:szCs w:val="24"/>
          <w:highlight w:val="none"/>
        </w:rPr>
        <w:t>评标委员会将按照招标文件的规定，仅对在实质上响应招标文件要求的电子化投标文件进行评估和比较。</w:t>
      </w:r>
    </w:p>
    <w:p w14:paraId="37D24C7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28.2</w:t>
      </w:r>
      <w:r>
        <w:rPr>
          <w:rFonts w:hint="eastAsia" w:ascii="宋体" w:hAnsi="宋体" w:eastAsia="宋体" w:cs="宋体"/>
          <w:color w:val="auto"/>
          <w:sz w:val="24"/>
          <w:szCs w:val="24"/>
          <w:highlight w:val="none"/>
        </w:rPr>
        <w:t>根据相关法律法规及有关招投标文件规定，结合本项目具体情况，制定本次招标评标办法。并按照“公平、公正、科学、择优”的原则进行评标。采用综合评分法进行评比。</w:t>
      </w:r>
    </w:p>
    <w:p w14:paraId="29689BC4">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28.3</w:t>
      </w:r>
      <w:r>
        <w:rPr>
          <w:rFonts w:hint="eastAsia" w:ascii="宋体" w:hAnsi="宋体" w:eastAsia="宋体" w:cs="宋体"/>
          <w:color w:val="auto"/>
          <w:sz w:val="24"/>
          <w:szCs w:val="24"/>
          <w:highlight w:val="none"/>
        </w:rPr>
        <w:t>在评审过程中，评标委员会可以以书面形式要求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就电子化投标文件中含义不明确的内容进行书面说明并提供相关材料。</w:t>
      </w:r>
    </w:p>
    <w:p w14:paraId="13D60550">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 xml:space="preserve">28.4 </w:t>
      </w:r>
      <w:r>
        <w:rPr>
          <w:rFonts w:hint="eastAsia" w:ascii="宋体" w:hAnsi="宋体" w:eastAsia="宋体" w:cs="宋体"/>
          <w:color w:val="auto"/>
          <w:kern w:val="0"/>
          <w:sz w:val="24"/>
          <w:szCs w:val="24"/>
          <w:highlight w:val="none"/>
        </w:rPr>
        <w:t>评标时，投标报价是评标的重要依据，但不是唯一依据，</w:t>
      </w:r>
      <w:r>
        <w:rPr>
          <w:rFonts w:hint="eastAsia" w:ascii="宋体" w:hAnsi="宋体" w:eastAsia="宋体" w:cs="宋体"/>
          <w:color w:val="auto"/>
          <w:sz w:val="24"/>
          <w:szCs w:val="24"/>
          <w:highlight w:val="none"/>
        </w:rPr>
        <w:t>采购人不承诺将合同授予报价最低或最高的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7646AE2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28.5</w:t>
      </w:r>
      <w:r>
        <w:rPr>
          <w:rFonts w:hint="eastAsia" w:ascii="宋体" w:hAnsi="宋体" w:eastAsia="宋体" w:cs="宋体"/>
          <w:color w:val="auto"/>
          <w:sz w:val="24"/>
          <w:szCs w:val="24"/>
          <w:highlight w:val="none"/>
        </w:rPr>
        <w:t>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不能证明其报价合理性的，评标委员会应当将其作为无效投标处理。</w:t>
      </w:r>
    </w:p>
    <w:p w14:paraId="43148096">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13" w:name="_Toc21449"/>
      <w:bookmarkStart w:id="14" w:name="_Toc11347"/>
      <w:bookmarkStart w:id="15" w:name="_Toc2676"/>
      <w:r>
        <w:rPr>
          <w:rFonts w:hint="eastAsia" w:ascii="宋体" w:hAnsi="宋体" w:eastAsia="宋体" w:cs="宋体"/>
          <w:b/>
          <w:bCs/>
          <w:color w:val="auto"/>
          <w:sz w:val="24"/>
          <w:szCs w:val="24"/>
          <w:highlight w:val="none"/>
        </w:rPr>
        <w:t xml:space="preserve">28.6 </w:t>
      </w:r>
      <w:r>
        <w:rPr>
          <w:rFonts w:hint="eastAsia" w:ascii="宋体" w:hAnsi="宋体" w:eastAsia="宋体" w:cs="宋体"/>
          <w:color w:val="auto"/>
          <w:sz w:val="24"/>
          <w:szCs w:val="24"/>
          <w:highlight w:val="none"/>
        </w:rPr>
        <w:t>评标委员会依据本须知规定的评标标准和方法，对电子化投标文件进行评审和比较，向采购人提供书面评标报告，并按顺序推荐中标候选人数3名。</w:t>
      </w:r>
      <w:bookmarkEnd w:id="13"/>
      <w:bookmarkEnd w:id="14"/>
      <w:bookmarkEnd w:id="15"/>
    </w:p>
    <w:p w14:paraId="25392F9A">
      <w:pPr>
        <w:pageBreakBefore w:val="0"/>
        <w:bidi w:val="0"/>
        <w:adjustRightInd w:val="0"/>
        <w:snapToGrid w:val="0"/>
        <w:spacing w:beforeAutospacing="0" w:afterAutospacing="0" w:line="360" w:lineRule="auto"/>
        <w:ind w:left="0" w:leftChars="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28.7</w:t>
      </w:r>
      <w:r>
        <w:rPr>
          <w:rFonts w:hint="eastAsia" w:ascii="宋体" w:hAnsi="宋体" w:eastAsia="宋体" w:cs="宋体"/>
          <w:color w:val="auto"/>
          <w:kern w:val="0"/>
          <w:sz w:val="24"/>
          <w:szCs w:val="24"/>
          <w:highlight w:val="none"/>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hint="eastAsia" w:ascii="宋体" w:hAnsi="宋体" w:eastAsia="宋体" w:cs="宋体"/>
          <w:color w:val="auto"/>
          <w:sz w:val="24"/>
          <w:szCs w:val="24"/>
          <w:highlight w:val="none"/>
        </w:rPr>
        <w:t>确定排名第一的为中标候选人。</w:t>
      </w:r>
      <w:r>
        <w:rPr>
          <w:rFonts w:hint="eastAsia" w:ascii="宋体" w:hAnsi="宋体" w:eastAsia="宋体" w:cs="宋体"/>
          <w:color w:val="auto"/>
          <w:kern w:val="0"/>
          <w:sz w:val="24"/>
          <w:szCs w:val="24"/>
          <w:highlight w:val="none"/>
        </w:rPr>
        <w:t xml:space="preserve"> </w:t>
      </w:r>
    </w:p>
    <w:p w14:paraId="2EC17801">
      <w:pPr>
        <w:pageBreakBefore w:val="0"/>
        <w:autoSpaceDE w:val="0"/>
        <w:autoSpaceDN w:val="0"/>
        <w:bidi w:val="0"/>
        <w:adjustRightInd w:val="0"/>
        <w:snapToGrid w:val="0"/>
        <w:spacing w:beforeAutospacing="0" w:afterAutospacing="0" w:line="360" w:lineRule="auto"/>
        <w:ind w:left="0" w:leftChars="0" w:right="0" w:firstLine="420"/>
        <w:jc w:val="center"/>
        <w:outlineLvl w:val="0"/>
        <w:rPr>
          <w:rFonts w:hint="eastAsia" w:ascii="宋体" w:hAnsi="宋体" w:eastAsia="宋体" w:cs="宋体"/>
          <w:b/>
          <w:bCs/>
          <w:color w:val="auto"/>
          <w:kern w:val="0"/>
          <w:sz w:val="28"/>
          <w:szCs w:val="28"/>
          <w:highlight w:val="none"/>
        </w:rPr>
      </w:pPr>
      <w:bookmarkStart w:id="16" w:name="_Toc20837"/>
      <w:bookmarkStart w:id="17" w:name="_Toc27563"/>
      <w:bookmarkStart w:id="18" w:name="_Toc4659"/>
      <w:r>
        <w:rPr>
          <w:rFonts w:hint="eastAsia" w:ascii="宋体" w:hAnsi="宋体" w:eastAsia="宋体" w:cs="宋体"/>
          <w:b/>
          <w:bCs/>
          <w:color w:val="auto"/>
          <w:kern w:val="0"/>
          <w:sz w:val="28"/>
          <w:szCs w:val="28"/>
          <w:highlight w:val="none"/>
        </w:rPr>
        <w:t>七、授予合同</w:t>
      </w:r>
      <w:bookmarkEnd w:id="16"/>
      <w:bookmarkEnd w:id="17"/>
      <w:bookmarkEnd w:id="18"/>
    </w:p>
    <w:p w14:paraId="50C9E45D">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kern w:val="0"/>
          <w:sz w:val="24"/>
          <w:szCs w:val="24"/>
          <w:highlight w:val="none"/>
        </w:rPr>
      </w:pPr>
      <w:bookmarkStart w:id="19" w:name="_Toc29186"/>
      <w:bookmarkStart w:id="20" w:name="_Toc4014"/>
      <w:bookmarkStart w:id="21" w:name="_Toc5799"/>
      <w:r>
        <w:rPr>
          <w:rFonts w:hint="eastAsia" w:ascii="宋体" w:hAnsi="宋体" w:eastAsia="宋体" w:cs="宋体"/>
          <w:b/>
          <w:bCs/>
          <w:color w:val="auto"/>
          <w:kern w:val="0"/>
          <w:sz w:val="24"/>
          <w:szCs w:val="24"/>
          <w:highlight w:val="none"/>
        </w:rPr>
        <w:t>29.合同授予标准</w:t>
      </w:r>
      <w:bookmarkEnd w:id="19"/>
      <w:bookmarkEnd w:id="20"/>
      <w:bookmarkEnd w:id="21"/>
    </w:p>
    <w:p w14:paraId="11BE99DA">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22" w:name="_Toc22212"/>
      <w:bookmarkStart w:id="23" w:name="_Toc12027"/>
      <w:bookmarkStart w:id="24" w:name="_Toc22751"/>
      <w:r>
        <w:rPr>
          <w:rFonts w:hint="eastAsia" w:ascii="宋体" w:hAnsi="宋体" w:eastAsia="宋体" w:cs="宋体"/>
          <w:b/>
          <w:bCs/>
          <w:color w:val="auto"/>
          <w:kern w:val="0"/>
          <w:sz w:val="24"/>
          <w:szCs w:val="24"/>
          <w:highlight w:val="none"/>
        </w:rPr>
        <w:t xml:space="preserve">29.1 </w:t>
      </w:r>
      <w:r>
        <w:rPr>
          <w:rFonts w:hint="eastAsia" w:ascii="宋体" w:hAnsi="宋体" w:eastAsia="宋体" w:cs="宋体"/>
          <w:color w:val="auto"/>
          <w:sz w:val="24"/>
          <w:szCs w:val="24"/>
          <w:highlight w:val="none"/>
        </w:rPr>
        <w:t>本招标项目的合同将授予按本评标办法确定的中标供应商。</w:t>
      </w:r>
      <w:bookmarkEnd w:id="22"/>
      <w:bookmarkEnd w:id="23"/>
      <w:bookmarkEnd w:id="24"/>
    </w:p>
    <w:p w14:paraId="44121222">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25" w:name="_Toc7266"/>
      <w:bookmarkStart w:id="26" w:name="_Toc14186"/>
      <w:bookmarkStart w:id="27" w:name="_Toc24128"/>
      <w:r>
        <w:rPr>
          <w:rFonts w:hint="eastAsia" w:ascii="宋体" w:hAnsi="宋体" w:eastAsia="宋体" w:cs="宋体"/>
          <w:b/>
          <w:bCs/>
          <w:color w:val="auto"/>
          <w:sz w:val="24"/>
          <w:szCs w:val="24"/>
          <w:highlight w:val="none"/>
        </w:rPr>
        <w:t xml:space="preserve">29.2 </w:t>
      </w:r>
      <w:r>
        <w:rPr>
          <w:rFonts w:hint="eastAsia" w:ascii="宋体" w:hAnsi="宋体" w:eastAsia="宋体" w:cs="宋体"/>
          <w:color w:val="auto"/>
          <w:sz w:val="24"/>
          <w:szCs w:val="24"/>
          <w:highlight w:val="none"/>
        </w:rPr>
        <w:t>评标委员会经采购人授权，确定排名第一的中标候选供应商为中标供应商。当确定中标供应商放弃中标或因不可抗力提出不能履行合同的，采购人可以按照评审报告推荐的中标候选供应商名单，确定下一中标候选供应商为中标供应商，也可以重新开展政府采购活动。</w:t>
      </w:r>
      <w:bookmarkEnd w:id="25"/>
      <w:bookmarkEnd w:id="26"/>
      <w:bookmarkEnd w:id="27"/>
    </w:p>
    <w:p w14:paraId="2E506A5F">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sz w:val="24"/>
          <w:szCs w:val="24"/>
          <w:highlight w:val="none"/>
        </w:rPr>
      </w:pPr>
      <w:bookmarkStart w:id="28" w:name="_Toc12384"/>
      <w:bookmarkStart w:id="29" w:name="_Toc22746"/>
      <w:bookmarkStart w:id="30" w:name="_Toc23376"/>
      <w:r>
        <w:rPr>
          <w:rFonts w:hint="eastAsia" w:ascii="宋体" w:hAnsi="宋体" w:eastAsia="宋体" w:cs="宋体"/>
          <w:b/>
          <w:bCs/>
          <w:color w:val="auto"/>
          <w:sz w:val="24"/>
          <w:szCs w:val="24"/>
          <w:highlight w:val="none"/>
        </w:rPr>
        <w:t>30.授予合同时变更数量的权利</w:t>
      </w:r>
      <w:bookmarkEnd w:id="28"/>
      <w:bookmarkEnd w:id="29"/>
      <w:bookmarkEnd w:id="30"/>
    </w:p>
    <w:p w14:paraId="19113506">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sz w:val="24"/>
          <w:szCs w:val="24"/>
          <w:highlight w:val="none"/>
        </w:rPr>
      </w:pPr>
      <w:bookmarkStart w:id="31" w:name="_Toc8616"/>
      <w:bookmarkStart w:id="32" w:name="_Toc15147"/>
      <w:bookmarkStart w:id="33" w:name="_Toc19255"/>
      <w:r>
        <w:rPr>
          <w:rFonts w:hint="eastAsia" w:ascii="宋体" w:hAnsi="宋体" w:eastAsia="宋体" w:cs="宋体"/>
          <w:b/>
          <w:bCs/>
          <w:color w:val="auto"/>
          <w:sz w:val="24"/>
          <w:szCs w:val="24"/>
          <w:highlight w:val="none"/>
        </w:rPr>
        <w:t>30.1</w:t>
      </w:r>
      <w:r>
        <w:rPr>
          <w:rFonts w:hint="eastAsia" w:ascii="宋体" w:hAnsi="宋体" w:eastAsia="宋体" w:cs="宋体"/>
          <w:color w:val="auto"/>
          <w:sz w:val="24"/>
          <w:szCs w:val="24"/>
          <w:highlight w:val="none"/>
        </w:rPr>
        <w:t>采购人在授予合同时，保留对货物数量予以适当增减的权利。供应商不得在此情况下对投标文件作出修改，如价格、交货期等。</w:t>
      </w:r>
      <w:bookmarkEnd w:id="31"/>
      <w:bookmarkEnd w:id="32"/>
      <w:bookmarkEnd w:id="33"/>
    </w:p>
    <w:p w14:paraId="6D324D23">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b/>
          <w:bCs/>
          <w:color w:val="auto"/>
          <w:sz w:val="24"/>
          <w:szCs w:val="24"/>
          <w:highlight w:val="none"/>
        </w:rPr>
      </w:pPr>
      <w:bookmarkStart w:id="34" w:name="_Toc6671"/>
      <w:bookmarkStart w:id="35" w:name="_Toc24434"/>
      <w:bookmarkStart w:id="36" w:name="_Toc28465"/>
      <w:r>
        <w:rPr>
          <w:rFonts w:hint="eastAsia" w:ascii="宋体" w:hAnsi="宋体" w:eastAsia="宋体" w:cs="宋体"/>
          <w:b/>
          <w:bCs/>
          <w:color w:val="auto"/>
          <w:sz w:val="24"/>
          <w:szCs w:val="24"/>
          <w:highlight w:val="none"/>
        </w:rPr>
        <w:t>31.采购人拒绝投标的权利</w:t>
      </w:r>
      <w:bookmarkEnd w:id="34"/>
      <w:bookmarkEnd w:id="35"/>
      <w:bookmarkEnd w:id="36"/>
    </w:p>
    <w:p w14:paraId="513012A2">
      <w:pPr>
        <w:pageBreakBefore w:val="0"/>
        <w:autoSpaceDE w:val="0"/>
        <w:autoSpaceDN w:val="0"/>
        <w:bidi w:val="0"/>
        <w:adjustRightInd w:val="0"/>
        <w:snapToGrid w:val="0"/>
        <w:spacing w:beforeAutospacing="0" w:afterAutospacing="0" w:line="360" w:lineRule="auto"/>
        <w:ind w:left="0" w:leftChars="0" w:right="0" w:firstLine="420"/>
        <w:jc w:val="left"/>
        <w:outlineLvl w:val="0"/>
        <w:rPr>
          <w:rFonts w:hint="eastAsia" w:ascii="宋体" w:hAnsi="宋体" w:eastAsia="宋体" w:cs="宋体"/>
          <w:color w:val="auto"/>
          <w:kern w:val="0"/>
          <w:sz w:val="24"/>
          <w:szCs w:val="24"/>
          <w:highlight w:val="none"/>
        </w:rPr>
      </w:pPr>
      <w:bookmarkStart w:id="37" w:name="_Toc28004"/>
      <w:bookmarkStart w:id="38" w:name="_Toc29592"/>
      <w:bookmarkStart w:id="39" w:name="_Toc4115"/>
      <w:r>
        <w:rPr>
          <w:rFonts w:hint="eastAsia" w:ascii="宋体" w:hAnsi="宋体" w:eastAsia="宋体" w:cs="宋体"/>
          <w:b/>
          <w:bCs/>
          <w:color w:val="auto"/>
          <w:sz w:val="24"/>
          <w:szCs w:val="24"/>
          <w:highlight w:val="none"/>
        </w:rPr>
        <w:t>31.1</w:t>
      </w:r>
      <w:r>
        <w:rPr>
          <w:rFonts w:hint="eastAsia" w:ascii="宋体" w:hAnsi="宋体" w:eastAsia="宋体" w:cs="宋体"/>
          <w:color w:val="auto"/>
          <w:sz w:val="24"/>
          <w:szCs w:val="24"/>
          <w:highlight w:val="none"/>
        </w:rPr>
        <w:t xml:space="preserve"> 采购人不承诺将合同授予报价最低的或最高的中标候选供应商。</w:t>
      </w:r>
      <w:bookmarkEnd w:id="37"/>
      <w:bookmarkEnd w:id="38"/>
      <w:bookmarkEnd w:id="39"/>
    </w:p>
    <w:p w14:paraId="6A131670">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w:t>
      </w:r>
      <w:r>
        <w:rPr>
          <w:rFonts w:hint="eastAsia" w:ascii="宋体" w:hAnsi="宋体" w:eastAsia="宋体" w:cs="宋体"/>
          <w:b/>
          <w:bCs/>
          <w:color w:val="auto"/>
          <w:sz w:val="24"/>
          <w:szCs w:val="24"/>
          <w:highlight w:val="none"/>
        </w:rPr>
        <w:t>中标</w:t>
      </w:r>
      <w:r>
        <w:rPr>
          <w:rFonts w:hint="eastAsia" w:ascii="宋体" w:hAnsi="宋体" w:eastAsia="宋体" w:cs="宋体"/>
          <w:b/>
          <w:bCs/>
          <w:color w:val="auto"/>
          <w:kern w:val="0"/>
          <w:sz w:val="24"/>
          <w:szCs w:val="24"/>
          <w:highlight w:val="none"/>
        </w:rPr>
        <w:t>通知</w:t>
      </w:r>
    </w:p>
    <w:p w14:paraId="55DAC8A6">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32.1 </w:t>
      </w:r>
      <w:r>
        <w:rPr>
          <w:rFonts w:hint="eastAsia" w:ascii="宋体" w:hAnsi="宋体" w:eastAsia="宋体" w:cs="宋体"/>
          <w:color w:val="auto"/>
          <w:sz w:val="24"/>
          <w:szCs w:val="24"/>
          <w:highlight w:val="none"/>
        </w:rPr>
        <w:t>中标供应商确定后，采购人将于15日内向有关部门提交招标情况的书面报告，并在发布本项目招标公告的媒介上发布中标公告。</w:t>
      </w:r>
    </w:p>
    <w:p w14:paraId="50161984">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32.2 </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通知书是合同的组成部分。</w:t>
      </w:r>
    </w:p>
    <w:p w14:paraId="537DC1BB">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32.3 </w:t>
      </w:r>
      <w:r>
        <w:rPr>
          <w:rFonts w:hint="eastAsia" w:ascii="宋体" w:hAnsi="宋体" w:eastAsia="宋体" w:cs="宋体"/>
          <w:color w:val="auto"/>
          <w:kern w:val="0"/>
          <w:sz w:val="24"/>
          <w:szCs w:val="24"/>
          <w:highlight w:val="none"/>
        </w:rPr>
        <w:t>对未</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，不做任何未</w:t>
      </w:r>
      <w:r>
        <w:rPr>
          <w:rFonts w:hint="eastAsia" w:ascii="宋体" w:hAnsi="宋体" w:eastAsia="宋体" w:cs="宋体"/>
          <w:color w:val="auto"/>
          <w:sz w:val="24"/>
          <w:szCs w:val="24"/>
          <w:highlight w:val="none"/>
        </w:rPr>
        <w:t>中标</w:t>
      </w:r>
      <w:r>
        <w:rPr>
          <w:rFonts w:hint="eastAsia" w:ascii="宋体" w:hAnsi="宋体" w:eastAsia="宋体" w:cs="宋体"/>
          <w:color w:val="auto"/>
          <w:kern w:val="0"/>
          <w:sz w:val="24"/>
          <w:szCs w:val="24"/>
          <w:highlight w:val="none"/>
        </w:rPr>
        <w:t>原因的解释。所有</w:t>
      </w:r>
      <w:r>
        <w:rPr>
          <w:rFonts w:hint="eastAsia" w:ascii="宋体" w:hAnsi="宋体" w:eastAsia="宋体" w:cs="宋体"/>
          <w:color w:val="auto"/>
          <w:sz w:val="24"/>
          <w:szCs w:val="24"/>
          <w:highlight w:val="none"/>
        </w:rPr>
        <w:t>电子化</w:t>
      </w:r>
      <w:r>
        <w:rPr>
          <w:rFonts w:hint="eastAsia" w:ascii="宋体" w:hAnsi="宋体" w:eastAsia="宋体" w:cs="宋体"/>
          <w:color w:val="auto"/>
          <w:kern w:val="0"/>
          <w:sz w:val="24"/>
          <w:szCs w:val="24"/>
          <w:highlight w:val="none"/>
        </w:rPr>
        <w:t>投标文件不予退还。</w:t>
      </w:r>
    </w:p>
    <w:p w14:paraId="6383C4D1">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33.合同协议书的签署</w:t>
      </w:r>
    </w:p>
    <w:p w14:paraId="720C2EB3">
      <w:pPr>
        <w:pageBreakBefore w:val="0"/>
        <w:autoSpaceDE w:val="0"/>
        <w:autoSpaceDN w:val="0"/>
        <w:bidi w:val="0"/>
        <w:adjustRightInd w:val="0"/>
        <w:snapToGrid w:val="0"/>
        <w:spacing w:beforeAutospacing="0" w:afterAutospacing="0" w:line="360" w:lineRule="auto"/>
        <w:ind w:left="0" w:leftChars="0" w:right="0" w:firstLine="42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33.1 </w:t>
      </w:r>
      <w:r>
        <w:rPr>
          <w:rFonts w:hint="eastAsia" w:ascii="宋体" w:hAnsi="宋体" w:eastAsia="宋体" w:cs="宋体"/>
          <w:color w:val="auto"/>
          <w:sz w:val="24"/>
          <w:szCs w:val="24"/>
          <w:highlight w:val="none"/>
        </w:rPr>
        <w:t>采购人与中标供应商将于中标通知书发出之日起2个工作日内，按照招标文件及中标供应商的电子化投标文件订立书面承包合同，采购人和中标供应商不得再行订立背离合同实质性内容的其他协议。</w:t>
      </w:r>
    </w:p>
    <w:p w14:paraId="33BAEB5D">
      <w:pPr>
        <w:pStyle w:val="19"/>
        <w:pageBreakBefore w:val="0"/>
        <w:bidi w:val="0"/>
        <w:adjustRightInd w:val="0"/>
        <w:snapToGrid w:val="0"/>
        <w:spacing w:beforeAutospacing="0" w:after="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33.2</w:t>
      </w:r>
      <w:r>
        <w:rPr>
          <w:rFonts w:hint="eastAsia" w:ascii="宋体" w:hAnsi="宋体" w:eastAsia="宋体" w:cs="宋体"/>
          <w:color w:val="auto"/>
          <w:sz w:val="24"/>
          <w:szCs w:val="24"/>
          <w:highlight w:val="none"/>
        </w:rPr>
        <w:t xml:space="preserve"> 中标供应商如不按本投标须知的规定与采购人订立合同，则采购人将废除授标，给采购人造成损失的，应当予以赔偿，同时依法承担相应法律责任。</w:t>
      </w:r>
    </w:p>
    <w:p w14:paraId="069A5695">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八、其他</w:t>
      </w:r>
      <w:bookmarkStart w:id="40" w:name="_Toc16776"/>
      <w:bookmarkStart w:id="41" w:name="_Toc24482"/>
    </w:p>
    <w:p w14:paraId="365622DF">
      <w:pPr>
        <w:pageBreakBefore w:val="0"/>
        <w:autoSpaceDE w:val="0"/>
        <w:autoSpaceDN w:val="0"/>
        <w:bidi w:val="0"/>
        <w:adjustRightInd w:val="0"/>
        <w:snapToGrid w:val="0"/>
        <w:spacing w:beforeAutospacing="0" w:afterAutospacing="0" w:line="360" w:lineRule="auto"/>
        <w:ind w:left="0" w:leftChars="0" w:right="0" w:firstLine="424" w:firstLineChars="176"/>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34.政府采购政策</w:t>
      </w:r>
      <w:bookmarkEnd w:id="40"/>
      <w:bookmarkEnd w:id="41"/>
    </w:p>
    <w:p w14:paraId="63F24139">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rPr>
        <w:t>、根据《政府采购促进中小企业发展管理办法》（财库﹝2020﹞46 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财库2022年19号）文件</w:t>
      </w:r>
      <w:r>
        <w:rPr>
          <w:rFonts w:hint="eastAsia" w:ascii="宋体" w:hAnsi="宋体" w:eastAsia="宋体" w:cs="宋体"/>
          <w:color w:val="auto"/>
          <w:sz w:val="24"/>
          <w:szCs w:val="24"/>
          <w:highlight w:val="none"/>
        </w:rPr>
        <w:t>的规定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4"/>
          <w:szCs w:val="24"/>
          <w:highlight w:val="none"/>
          <w:lang w:val="en-US" w:eastAsia="zh-CN"/>
        </w:rPr>
        <w:t>一定比例</w:t>
      </w:r>
      <w:r>
        <w:rPr>
          <w:rFonts w:hint="eastAsia" w:ascii="宋体" w:hAnsi="宋体" w:eastAsia="宋体" w:cs="宋体"/>
          <w:color w:val="auto"/>
          <w:sz w:val="24"/>
          <w:szCs w:val="24"/>
          <w:highlight w:val="none"/>
        </w:rPr>
        <w:t>的扣除，监狱企业扣除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残疾人福利性单位扣除</w:t>
      </w:r>
      <w:r>
        <w:rPr>
          <w:rFonts w:hint="eastAsia" w:ascii="宋体" w:hAnsi="宋体" w:eastAsia="宋体" w:cs="宋体"/>
          <w:color w:val="auto"/>
          <w:sz w:val="24"/>
          <w:szCs w:val="24"/>
          <w:highlight w:val="none"/>
          <w:lang w:val="en-US" w:eastAsia="zh-CN"/>
        </w:rPr>
        <w:t>同小微企业</w:t>
      </w:r>
      <w:r>
        <w:rPr>
          <w:rFonts w:hint="eastAsia" w:ascii="宋体" w:hAnsi="宋体" w:eastAsia="宋体" w:cs="宋体"/>
          <w:color w:val="auto"/>
          <w:sz w:val="24"/>
          <w:szCs w:val="24"/>
          <w:highlight w:val="none"/>
        </w:rPr>
        <w:t>，用扣除后的价格参加评审。</w:t>
      </w:r>
    </w:p>
    <w:p w14:paraId="7355AFE9">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本办法规定的《中小企业声明函》（见附件），否则不得享受相关中小企业扶持政策。依据本办法规定享受扶持政策获得政府采购合同的，小微企业不得将合同分包给大中型企业，中型企业不得将合同分包给大型企业。（小型、微型企业提供中型企业制造的货物（提供的服务）的，视同为中型企业。）</w:t>
      </w:r>
    </w:p>
    <w:p w14:paraId="5BA6C0A6">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rPr>
        <w:t>、根据《财政部司法部关于政府采购支持监狱企业发展有关问题的通知》(财库〔2014〕68 号)的规定，提供由省级以上监狱管理局、戒毒管理局（含新疆生产建设兵团）出具的属于监狱企业的证明文件的，监狱企业视同小型、微型企业。</w:t>
      </w:r>
    </w:p>
    <w:p w14:paraId="4056AF76">
      <w:pPr>
        <w:pageBreakBefore w:val="0"/>
        <w:autoSpaceDE w:val="0"/>
        <w:autoSpaceDN w:val="0"/>
        <w:bidi w:val="0"/>
        <w:adjustRightInd w:val="0"/>
        <w:snapToGrid w:val="0"/>
        <w:spacing w:beforeAutospacing="0" w:afterAutospacing="0" w:line="360" w:lineRule="auto"/>
        <w:ind w:left="0" w:leftChars="0" w:right="0" w:firstLine="422" w:firstLineChars="1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rPr>
        <w:t>、根据《财政部民政部中国残疾人联合会关于促进残疾人就业政府采购政策的通知》(财库〔2017〕141 号)的规定，在政府采购活动中，残疾人福利性单位视同小型、微型企业，享受预留份额、评审中价格扣除等促进中小企业发展的政府采购政策。</w:t>
      </w:r>
    </w:p>
    <w:p w14:paraId="2D072A15">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未尽事宜按国家有关规定执行。</w:t>
      </w:r>
    </w:p>
    <w:p w14:paraId="3B122BAD">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本招标文件最终解释权归采购人。</w:t>
      </w:r>
    </w:p>
    <w:p w14:paraId="11A31F56">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000A3EE9">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bookmarkStart w:id="42" w:name="_Toc9430"/>
      <w:r>
        <w:rPr>
          <w:rFonts w:hint="eastAsia" w:ascii="宋体" w:hAnsi="宋体" w:eastAsia="宋体" w:cs="宋体"/>
          <w:b/>
          <w:bCs/>
          <w:color w:val="auto"/>
          <w:kern w:val="0"/>
          <w:sz w:val="32"/>
          <w:szCs w:val="32"/>
          <w:highlight w:val="none"/>
        </w:rPr>
        <w:t>第三章  采购内容及参数要求</w:t>
      </w:r>
      <w:bookmarkEnd w:id="42"/>
    </w:p>
    <w:tbl>
      <w:tblPr>
        <w:tblStyle w:val="21"/>
        <w:tblW w:w="50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495"/>
        <w:gridCol w:w="5361"/>
        <w:gridCol w:w="554"/>
        <w:gridCol w:w="449"/>
        <w:gridCol w:w="743"/>
        <w:gridCol w:w="732"/>
        <w:gridCol w:w="450"/>
      </w:tblGrid>
      <w:tr w14:paraId="4A23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7758CD9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一标段采购清单</w:t>
            </w:r>
          </w:p>
        </w:tc>
      </w:tr>
      <w:tr w14:paraId="22B8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90E43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5" w:type="pct"/>
            <w:tcBorders>
              <w:top w:val="single" w:color="000000" w:sz="4" w:space="0"/>
              <w:left w:val="single" w:color="000000" w:sz="4" w:space="0"/>
              <w:bottom w:val="single" w:color="000000" w:sz="4" w:space="0"/>
              <w:right w:val="single" w:color="000000" w:sz="4" w:space="0"/>
            </w:tcBorders>
            <w:noWrap/>
            <w:vAlign w:val="center"/>
          </w:tcPr>
          <w:p w14:paraId="04732E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60D38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39E079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D5A1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908D237">
            <w:pPr>
              <w:keepNext w:val="0"/>
              <w:keepLines w:val="0"/>
              <w:pageBreakBefore w:val="0"/>
              <w:widowControl/>
              <w:suppressLineNumbers w:val="0"/>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E4E3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D6BCC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2D86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4CD54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养老评估实训室</w:t>
            </w:r>
          </w:p>
        </w:tc>
      </w:tr>
      <w:tr w14:paraId="5A3A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3F402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B12A7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健康一体机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41F48F2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1、可实现对综合多项的生理参数一站式集中采集并保证数据的安全与稳定传输；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2、可引导老人进行体检，开展疾病筛查、慢病监控、健康教育、基层卫生统计等工作；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3、可满足老人自助体检的要求以及公卫集中体检的要求，还可满足慢性病综合防治工作的要求，以及公共卫生服务数据采集和基层卫生相关工作管理统计的需要；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4、为老人提供健康指导服务，提高基层医疗卫生机构高血压、糖尿病等慢性疾病的早期发现和管理水平，以使用老人逐步养成现代健康生活方式的习惯，提高老人健康水平；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5、呼吸训练系统：引导呼吸节奏，同时对心率进行监测，对实时心率的变异情况进行分析，以形象的方式展现心率变异性。可以设置不同的呼吸频率，作为难易度的区别；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6、酒精测试：支持针对酒精度的检测；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二、设备功能与特点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1、具备身高、体重、血压、血氧饱和度、脉搏、心电图、体温、血糖、尿酸、总胆固醇、血脂多项检测功能，配置极具趣味性和超强体验感的呼吸训练以及心理测试软件系统。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2、检测设备通过数据线与操作台形成一个整体，通过物理整合只有一个外接电源接口，同时具备USB拓展接口、RJ45接口等互联互通。具备一体化集成度高、设计美观、智能一站式操作的特点。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二代身份证阅读器，通过老人身份证或手机号或人脸识别的登录方式识别老人身份信息，系统自动获取老人姓名、性别、出生日期、民族、户籍地址，快速建立符合《国家基本公共卫生服务规范（第三版）》要求的电子健康档案，并上传至健康数据管理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4、通过动画指引、语音指引检测人员自主完成测量，并可与之前测量数据实时对比。从而实现检测数据的采集、储存、处理和传输。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5、智能信息工作站的操作台具备可移动功能，底部装有医疗专用万向移动轮，一人就可以推动设备移动，设备到达工作现场后只需接入电源和网络就可开展工作。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三、设备操作台要求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1、一体化操作台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（1）高度集成，以一体化的方式呈现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（2）占用空间：长≥130cm；宽≥50cm；高≥230cm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（3）检测区：1个；1台触摸式显示屏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（4）标准的网络接口1个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（5）配置的检测模块通过有线连接的方式进行通讯，保证数据传输的稳定性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2、主机及触摸屏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（1）操作系统：安卓系统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（2）触摸屏尺寸：≥21.5英寸竖屏（需提供产品彩页或产品规格书予以佐证，不提供或提供的内容不符合要求不得分）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3、身份证阅读器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（1）射频技术：符合GA450-2013台式身份证阅读器通用技术要求，兼容ISO14443（TypeB）标准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（2）阅读距离：0-30mm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（3）读卡响应速度：＜1秒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（4）工作频率：13.56MHZ(fc)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（5）使用寿命：≥1000000次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（1）打印方式：黑白激光打印机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（2）最大打印幅面：A4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（3）A4纸张打印速度：22ppm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（4）打印机芯寿命：硒鼓容量≥1500页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四、设备硬件检测功能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1、全自动血压检测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（1）测量方法：脉搏波法/示波法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（2）测量范围：压力（0～300）mmHg；脉率数30次/分～200次/分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（3）测量准确度：压力±2mmHg(±0.267kPa)以内；脉率数±2%以内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（4）适合臂周：17cm～42cm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（5）存储容量：可存储100组测量数据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2、身高体重、脂肪检测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（1）身高测量方式：超声波测量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（2）体重测量方式：精密平衡梁式压力传感器称重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（3）身高测量范围：10-200cm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（4）身高测量精度：±0.1cm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（5）体重测量范围：1-200kg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（6）体重测量精度：±0.1kg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（7）测量速度：≥450次/小时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（8）自动语音播放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（9）测量结果：身高、体重、BMI、人体成分（身体脂肪率、基础代谢、体水分率，骨骼肌率，内脏脂肪指数，骨矿含量，细胞外液，细胞内液，总水分，蛋白质，无机盐等含量及综合评测）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3、血氧检测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（1）测量范围：血氧饱和度35%-100%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（2）脉搏率：30次/分~250次/分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（3）在70%～100%范围内，测量误差为±2%；其中测量误差中的“%”为脉搏氧饱和度百分比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4、心电工作站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（1）标准12导联心电信号同步采集，可切换6导联采集模式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（2）采集方式：支持USB有线和蓝牙无线两种心电采集方式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（3）采样率：2000点/秒/通道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（4）共模抑制比：＞100 dB，开启交流滤波时＞120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（5）灵敏度：1.25 mm/mV、2.5 mm/mV、5 mm/mV、10 mm/mV、10/5 mm/mV、20/10 mm/mV、20 mm/mV、40 mm/mV、AGC（自动）增益九个档，转换误差范围不超过±2%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（6）支持起搏信号检测，起搏波检测灵敏度可调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（7）具有导联脱落检测与提示功能和心拍提示音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（8）防电击程度：CF型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（9）支持单节律导联和三节律导联自定义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5、红外体温计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（1）测量方法：非接触式红外传感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（2）测量部位：额头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（3）测量范围：34.0℃~42.9℃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（4）分辨率：0.1℃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6、血糖、尿酸、总胆固醇监测系统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（1）原理：电化学生物感应法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（2）测量范围：血糖1.1~33.3mmol/L；尿酸0.18~1.19mmol/L；总胆固醇2.59~10.35mmol/L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（3）需求血量：血糖≤0.7μl；尿酸≤1.5μl；总胆固醇≤10.0μl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（4）系统正确性：血糖：当血糖浓度＞75mg/dL，不超过±20%；尿酸：当尿酸浓度＞5mg/dL，不超过±20%；总胆固醇：当总胆固醇浓度＞150mg/dL，不超过±20%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7、血脂分析系统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（1）检测输出值：总胆固醇(TC)、高密度脂蛋白胆固醇(HDL)、甘油三酯(TG)、低密度脂蛋白胆固醇(LDL)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（2）标本：全血(静脉血或毛细血管血)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（3）检测范围：TC：2.59~12.93mmol/L(100mg/dL~500mg/dL)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HDL：0.39mmol/L~2.59mmol/L(15mg/dL~100mg/dL)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TG：0.51mmol/L~7.34mmol/L(45mg/dL~650mg/dL)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（4）存储功能：300组测试数据</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5F4A1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F8F7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0FF1F2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24248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D41F2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2E0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B7E5B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FEF53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老年功能性体适能测评包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170D4B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老年功能性体适能测评包需包含握力计(电子显示)、下肢肌力测试仪（含底座、三角架）、腰背柔韧性测试仪（含底座）、室内行走能力测试仪（含底座、三角架，地贴）、腰腹拉力测试仪 （含底座）、平衡性测试仪 （三角架）等设备。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1、握力测试仪一台：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（1）测试项目：手部肌肉的力量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评定内容：洗脸、刷牙、抓握餐具，剪指甲、写字等手部关节精细动作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注意事项：切勿摆臂、下蹲及或将握力计接近身体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（2）机芯装置和螺母，可调节，可根据测试者手掌大小不同调节到最佳的测试状态；手柄装置弹簧、手握。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（3）设备操作简单，具有ON/OFF与复位两个按键，开始操作直接按ON,操作完毕记录数据，按复位直接测试下一个测试者；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（4）握力功能，握力范围：0～300kg；具有低电指示功能；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（5）充电功能：PCB设计时，注意USB和DC头两个接口都可以同时充电；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（8）电子设备尺寸：≥195mm*120mm*40mm；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2、下肢肌力测试仪（含底座、坐垫、三角架）一台：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（1）测试项目：下肢股四头肌群及小腿支撑力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评定内容：座椅、床边等独立站起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注意事项：对下肢患有慢性疼痛或曾做过膝关节和髋关节置换术的长者是禁忌项。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（2）长者坐在感应垫上，在30秒内站立与坐下的次数，测试长者的下肢肌肉力量，测试由两部分组成，一个是计次发射机，另一个是计次接收机。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（3）计次功能，计次范围：0～999次 在30秒内完成动作的次数计入有效完成次数，30秒后哔一声提示长者测试时间结束，此后产生的动作次数不再计入有效完成次数；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（4）两个LED灯指示：红灯与绿灯，红灯表示设备还没自我调试结束，暂时不能进行测试，绿灯表示设备自我调试结束，设备正常可以进行运行；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（7）电子设备尺寸≥：155mm*120mm*85mm，底座尺寸≥：550*400*450mm坐垫尺寸≥：300mm*300mm*6mm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3、室内行走能力测试仪（含底座、坐垫、三角架）一台：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（1）测试项目：室内独立行走能力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（2）评定内容：移动、步行速度、静动态平衡能力、身体敏捷性等综合能力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中评估员需要注意防止长者跌倒（身体虚弱的长者更要注意防跌倒，评估员与仗着一起行走，到定点处折返处，评估员应在定点处内侧进行保护。严重心肺疾病及骨折刚愈合的长者不建议进行本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（4）由感应垫和电子液晶显示器组成，通过时间步行距离测试长者的下肢肌力及室内行走能力水平。附属三脚架一个。由两部分组成，一个是计时发射机，另一个是计时接收机。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（6）接收机主要功能：按键功能，LED指示功能，蜂窝器提示音，计时功能。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（9）电子设备尺寸：≥155mm*120mm*85mm，底座尺寸：≥550*400*450mm、坐垫尺寸：≥300mm*300mm*6mm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4、腰腹拉力测试仪一台：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（1）测试项目：测定可以动员全身的肌肉，包括臀部、腰部、脚部、腕部等，因而透过背肌力测定可以了解身体状况腰背肌力及全身肌肉配合的输出力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（2）评定内容：测定身体柔韧性、提物、日常洗澡等相关动作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（3）注意事项：测试中请勿弯曲膝部,弯曲肘部请注意达到最大极限时，请勿单手放在放置台上，需双手,身体不要摇晃，以免摔倒。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（4）由弹簧阻力杆和电子液晶显示器组成，通过拉动拉杆的力量测试长者的腰背肌力及提拉重物、弯腰拾物等动作能力水平。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（5）发射机主要功能：2个按键功能ON/OFF 复位；2个LED灯指示：红灯绿灯；腰腹拉力功能，腰腹拉力范围：0～300kg；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（6）低电指示功能；充电功能：PCB设计时，注意USB和DC头两个接口都可以同时充电；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（7）自动关机功能；蓝牙40传送数据；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（9）电子设备尺寸：≥95mm*79.4mm、底座尺寸：≥550*400*450mm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5、腰背柔韧性测试仪（含底座）一台：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（1）测试项目：前屈时脊椎、腰部肌群、大腿后韧带等关节、韧带的柔韧度。反映人体神经与肌肉系统的协调性和快速反应能力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（2）评定内容：自行捡东西、如厕、洗澡等日常生活活动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（3）注意事项：测试前，做好准备活动，以防肌肉拉伤。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测试时，膝关节不得弯曲，不得突然前振的动作。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（4）由弹簧阻力杆和电子液晶显示器组成，通过后腿部及腰部的柔韧性及延伸性测试长者在日常生活当中穿脱衣、系鞋带等涉及到弯腰动作的活动能力。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（5）由两部分组成，一个是检测发射机，另一个是接收机。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（6）单向移动检测距离，检测范围：0～95.5cm；自动锁定功能，反向锁定功能；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（7）背光功能；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（9）电子设备尺寸：≥155mm*120mm*85mm、底座尺寸：≥550*400*450mm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6、平衡仪测试仪（含三脚架）一台：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（1）测试项目：反应长者人体静态平衡能力和控制能力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（2）评定内容：反应日常洗浴、行走、转身过程中跌倒风险的机率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（3）注意事项：注意安全保护，评估员请勿接触长者，长者脚落地即停止测试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（4）平衡性测试仪，通过测试长者单脚站立在脚踏设备上并保持相对稳定状态可以维持的时间，由此判断是否有摔倒风险。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（5）两部分组成，一个是计时发射机，另一个是计时接收机。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（6）在工作模式下，当检测到站立动作时，立即发射信号给接收机，接收机收到后执行对应动作；当检测到掉下动作时，立即发射信号给接收机，接收机收到后执行对应动作。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2.4G RF无线发射功能；低电指示功能；充电功能；蓝牙50传送数据；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（7）供电电源：锂电池，3.7V 600mA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（8）电子设备尺寸：≥245*125*85mm、脚踏尺寸：≥295*150*28mm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CDAFAC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AC66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F631B0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EEBCB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91FED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1F0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ECF6C6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444D0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疼痛脸谱评分尺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E2C1D6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1、材质：防水加厚PVC硬塑料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2、颜色：白色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3、尺寸：长≥16.5*高≥5.5CM，厚≥0.8MM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F59F2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DCDC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9D2353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4BEBD5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6668F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75F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6B3B3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B62F8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多功能关节活动测量表</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5630BF5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多功能关节测量表全身肢体</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BD7ED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07975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6DCE43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527D41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C4A21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5E8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8DC63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C5414B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角度尺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626C69E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2、产品精度：士0.39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3、测量范围：0-360°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4、分度值：0.05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5、防护等级：IP54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6、电池：3VCR2032</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E373C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4D0D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DC1725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6CCB50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629D4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4E1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9BF7A9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760029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一次性压舌板</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A3CE0F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2、规格尺寸：≥150*18mm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3、适用范围：用于检查时压低舌部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4、数量：≥100支/盒</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9C9B3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A228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3DB167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9DAF2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0AEEC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1A0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5A09A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5980E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评估穿衣、取物测评包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AA7417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评估穿衣、取物辅助包需包含穿脱袜器、万能旋物器、穿衣辅助杆、穿衣板、衣物、穿扣器、拉链辅助器、折叠取物器：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1、穿脱袜器一个：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（1）塑胶板+尼龙布，适合老人、残疾人，弯腰或屈腿的动作较不方便者；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（2）尺寸：≥260mm.宽≥230mmm,厚度≥10mm，带子长：≥1000mm；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2、万能旋物器一个：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（1）该产品抓持部分结构设计应为可伸缩的不锈钢圆柱形插针；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（2）插针根数94～98根，长度≥10mm，可抓持并省力操作钥匙等各种形状的旋转开关；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（3）旋转器手柄和针盒为POM和不锈钢材质；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3、穿衣辅助杆一个：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（1）为关节炎、腰、背或腿伤人群独特设计；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（2）穿勾子的一端可以用来辅助穿衣裤，也可以从高处的衣橱上取衣物，后端可以作为鞋拔使用；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4、穿衣板一个：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（1）规格：≥300×300×300mm；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重量：≥5kg；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（3）材质：优质布，高密度海绵；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（4）提高患者的手眼协调能力和穿衣技巧；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5、衣物一套：含上衣、裤子、袜子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6、穿扣器一个：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（1）产品手柄材质：为形状记忆聚合物，头部为不锈钢；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（2）结构：U形握柄的形状穿扣器，握柄可多次加热软化重新塑型，握柄的材质无毒、无害、抗菌环保、易于清洁、不易退色；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（3）适用于手部掌指关节屈曲严重受限，握力严重不足功能障碍者自扭扭扣；（4）长度范围：170mm±10mm；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7、拉链辅助器一个：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（1）产品手柄材质为形状记忆聚合物，头部为不锈钢；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（2）结构：U形握柄的形状穿扣器,握柄可多次加热软化重新塑型，握柄的材质无毒、无害、抗菌环保、易于清洁、不易退色；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（3）适用于手部掌指关节屈曲严重受限，握力严重不足功能障碍者自主拉拉链；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8、折叠取物器一个：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（1）铝合金材质，不需登高或弯腰，就可以方便的取物、捡拾东西；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（2）最大可夹持2kg的物品，小到牙签也可以捡起来；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（3）净重200g，尺寸：长≥1000mm，宽≥100mm；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7E484F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DA958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DCB5D3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78445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71E4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38D8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ACFA5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99E9B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辅助测评洗漱包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1FDC508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辅助测评洗漱包需包含洗手盆含镜柜、花洒套装、洗漱套装、长柄梳子、弯柄擦背刷、柱状长柄刷、长柄洗澡刷、粗柄梳子、记忆成人牙刷等设备。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1、洗手盆含镜柜一套：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（1）手盆材质：复合亚克力，前端带镂空扶手；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（2）尺寸：长≥750mm，宽≥550mm；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（3）镜面需采用≥5mm银镜；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（4）镜柜实木部分需采用优质橡胶木，大宝油漆5底3面，木皮厚度≥6mm。整体方便轮椅进出；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2、花洒套装一套：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（1）常规挂墙式；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（2）主要材质：无铅铜；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3、洗漱套装一套：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正常使用洗漱套装（毛巾、漱口杯、牙刷、牙膏、梳子、剃须刀各1个）；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4、长柄梳子一个：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（1）该产品需采用PP+15%玻璃纤维环保塑胶材料，无毒环保；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（2）手柄防滑，手柄尾部留有穿戴孔，方便挂靠；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5、弯柄擦背刷一个：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（1）PP+15%玻璃纤维环保塑胶材料，手柄防滑，手柄尾部留有穿戴孔，方便挂靠；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（2）适合手臂、肩膀活动障碍人群；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6、柱状长柄刷一个：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（2）洗澡刷刷头配有复合布套，可拆卸清洗或更换；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（3）手柄防滑，方便挂靠；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7、长柄洗澡刷一个：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（1）产品采用PP+15%玻璃纤维环保塑胶材料，无毒环保；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（2）洗澡刷刷头为柱状式，手柄防滑，方便挂靠；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（3）长度范围：≥350mm，≥700mm；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8、粗柄梳子一个：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（1）护颈杯要设计独特、方便实用，是颈部不便者的饮食生活中的极佳选择，防止饮水时鼻子碰到杯边，让中老年使用者不用抬头就可全部喝完；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（2）容量230ml±10ml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（3）开口宽度：70mm±5mm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9、记忆成人牙刷一个：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（1）产品手柄材质为形状记忆聚合物，刷头为抗菌刷毛；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（2）结构：中环握柄的形状记忆牙刷,握柄可多次加热软化重新塑型，握柄的材质无毒、无害、抗菌环保、易于清洁、不易退色；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（3）刷毛柔软，刷牙干净，不容易出血；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（4）尺寸范围：直径25mm±5mm，长270mm±5mm；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0AA56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6D98F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A3C417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FE691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28404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D6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2CB265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C9D523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评估沐浴椅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4F34769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1、铝合金+ABS材质，带扶手,高度可调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2、安全承重：≥200kg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3、产品净重：≥4kg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4、长度范围：≥440mm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5、宽度范围：≥520mm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6、高度范围：≥850mm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7、坐位宽范围：≥400mm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8、坐位深范围：≥330mm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9、靠背高度范围：≥330mm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594CB1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27C73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CAB227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CCD483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C97BA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034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0098F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A3D03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辅助测评进食包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6620C3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辅助测评进食包需包含记忆成人勺子、记忆成人叉子、成人粗柄汤勺、助食筷、成人防洒盘、斜口杯、可折弯勺、可折弯叉、硅胶勺子、餐盘取物小助手、吸水杯、仿真食物、餐桌、半扶手椅等设备。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1、记忆成人勺子一个：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（1）该产品手柄材质为形状记忆聚合物，勺头为不锈钢；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（2）结构：U形握柄的形状记忆餐勺，握柄可多次加热软化重新塑型，握柄的材质无毒、无害、抗菌环保、易于清洁、不易退色；勺部边缘光滑，形状便于入口；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（3）尺寸：2.6*4.15*23.5cm；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2、记忆成人叉子一个：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（1）该产品手柄材质为形状记忆聚合物，勺头为不锈钢；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（2）结构：U型握柄的形状记忆餐勺，握柄可多次加热软化重新塑型，握柄的材质无毒、无害、抗菌环保、易于清洁、不易退色；勺部边缘光滑，形状便于入口；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3、成人粗柄汤勺一个：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（1）该产品握柄材质为防滑材料NBR制成，勺部为不锈钢；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（2）产品间隔设计可增加手部与握柄间的摩擦，易于抓握；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（3）方便指捏、握力减弱的偏瘫患者自行进餐；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4、助食筷一双：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（1）该产品可以帮助手部僵硬、中风、挛缩的人群自主进食。大大的减少了照顾人力；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（2）其独特的设计，解决了在使用过程中，因手部问题造成的不稳现象，也可较为轻松的夹起食物；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5、成人防洒盘一个：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（1）该产品由开口档板和盘子组成，开口档板具有三个吸盘；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（2）盘体材质为米纳米，开口挡板为环保聚丙烯，吸盘为TRP塑料；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（3）使用者可触及表面均无外露锐边尖角，刃口和毛刺，注塑件表面光滑平整无毛边，无缺损、凹陷、色泽均匀；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（4）尺寸：≥10寸；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6、斜口杯一个：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（1）开口宽度：≥7.3CM；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7、可折弯勺一个：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（1）长度： ≥21cm；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（2）握柄直径：≥3.5cm；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8、可折弯叉一个：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（1）长度： ≥21cm；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（2）握柄直径：≥3.5cm；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9、硅胶勺子一个：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（1）该产品手柄材质为尼龙塑料，勺头表面硅酮橡胶覆膜，勺头内部为弹性龙尼芯，无毒无害，符合环保要求；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（2）可煮沸、消毒、无异味。易于抓握进食；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10、餐盘取物小助手一个：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（1）可以将盘子轻而易举地夹住，对患关节炎、手脚不便或手指用力不便的人士有极大帮助；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（2）重量：≥100g；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（3）尺寸：长≥200mm，宽≥95mm；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11、吸水杯一个：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（1）碳酸树脂PC材料，配有三种不同的吸头，摄取水分用细的，食用很浓的流食用大的，耐热温度135°C，不可微波；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（2）容量：≥80g；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（3）尺寸：直径≥70mm，高≥135mm；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12、仿真食物一套：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（1）泡沫及塑料材质，内含香蕉、苹果、桃子等全套仿真水果；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13、餐桌一张：辅助长者测评进食；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（1）尺寸：≥900*≥900*≥750；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（2）主体框架为橡胶木实木，桌面为夹板贴皮，表面油漆处理；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14、半扶手椅一张：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（1）尺寸：L≥550*W≥610*H≥790；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（2）框架：多层夹板，面贴橡胶木木皮；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（3）软包：皮布；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（4）海绵：高密度海绵；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（5）油漆：PU全封闭；</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F1A390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7DC7B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86E684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08F1FB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C4D7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348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2D140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C09B2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辅助评估长者认知功能包</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859E12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辅助评估长者认知功能包需包含几何图形插板、认知图形插板、模拟时钟、数字排列、长者手表、国旗、视力测量工具卡、仿真钱币、秒表、翻片式台历、老花眼镜、助听器、平板电脑等设备。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1、几何图形插板一套：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（1）规格：≥250×250×50mm；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（2）重量：≥0.9kg；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（3）材质：优质木材、高密度夹板；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2、认知图形插板一套：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（1）尺寸：≥47×37×5cm；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3、模拟时钟一个：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（1）尺寸：长200mm-250mm，宽200-210mm，厚72mm-75mm；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（2）重量：0.3KG±0.1kg，具有时间刻度时针及分针显示；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（3）用于评估老人的时间定向力；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4、数字排列一套：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（1）尺寸：长220mm-250mm，宽150mm-170mm，厚20mm-30mm；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（2）重量：0.8KG±0.1kg，具有数字木块及算盘形式；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（3）用于评估老人对数字的思维定向能力；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5、仿真苹果一个：泡沫及塑料材质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6、长者手表一个：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（1）表带材质: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（2）皮革表盘厚度: ≥7mm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（3）表盘直径: ≥35mm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（4）表壳材质: 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7、国旗一个：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（1）尺寸：≥140*210mm；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（2）材质：涤纶材质；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8、视力测量工具卡一套：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A4规格，过塑，标准报纸字体，用于评估长者视力情况；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9、仿真钱币一套：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（1）十种面额包括（1角，2角，5角，1元，2元，5元，10元，20元，50元，100元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10、秒表一个：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（2）尺寸：≥800*600*200mm；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（3）具有秒表、闹铃、日历、整点闹响功能；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11、翻片式台历一个：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（1）尺寸：105*268*70mm；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（2）翻片式万年历；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12、老花眼镜一副：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（1）折叠式，适合60岁以上老人佩戴；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（2）度数范围100-200；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13、助听器一个：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（1）无线使用，适合老年人佩戴，4通道全数字信号处理，3种声音档位，具有反馈抑制系统，范围≤100db；</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C64FF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96466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EB2CDD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0CA20E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60C60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DCC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DC5C0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EB92A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步行测量贴纸</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86EF3A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1、≥6米透明背胶地贴；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2、需具有刻度显示；</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294575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E4441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8F6E1C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87570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0DE7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6D3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C094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405780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跨越障碍架</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C29EA1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1、测试项目：需能测试长者长者平衡性、下肢及肌力、髋关节活动能力、步态稳定性和摔倒风险；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2、测试内容：日常上下楼梯以及在行走时遇到高低落差时的跨越能力；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3、注意事项：严重心肺疾病及骨折刚愈合的长者不建议进行本测试。测试全程注意保长者的安全，以防跌倒；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4、材质：品质ABS材质；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5、颜色：黄色，红色，橙色，绿色，蓝色；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6、宽度：≥44厘米，可拆卸，自由组合方便携带，重量轻；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7、规格：可调节高度≥14cm，≥24cm，≥29cm；</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7A346B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8AAA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40622A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E4BF06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424F8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EAC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61BF2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AE5A16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心智健康测评系统</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2A9D21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（一）、采集仪技术参数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 放大器模式：数字化；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通道数：6通道单导联；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传输方式：USB数字传输；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供电方式：USB 5V供电，安全稳定；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输入阻抗：＞1MΩ；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共模抑制比：＞80dB；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噪音：＜1.5μV；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数模转换：16bit；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采样精度：0.153μV；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输入偏置电流：＜5nA；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12. 定标检查：自动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 数据信号自动采集；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 离线自动数据分析；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离线自动生成测评报告</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18BC9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0B068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88BF06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D627DD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76F43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D25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67715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4CBDC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实训室环境气氛改造</w:t>
            </w:r>
          </w:p>
        </w:tc>
        <w:tc>
          <w:tcPr>
            <w:tcW w:w="2877" w:type="pct"/>
            <w:tcBorders>
              <w:top w:val="single" w:color="000000" w:sz="4" w:space="0"/>
              <w:left w:val="single" w:color="000000" w:sz="4" w:space="0"/>
              <w:bottom w:val="single" w:color="000000" w:sz="4" w:space="0"/>
              <w:right w:val="single" w:color="000000" w:sz="4" w:space="0"/>
            </w:tcBorders>
            <w:noWrap/>
            <w:vAlign w:val="center"/>
          </w:tcPr>
          <w:p w14:paraId="4249398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提供实训室环境改造，文化建设服务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25AD75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1C18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C0F3B7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614EC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71EB5B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F3A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79FD21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ADA8F4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877" w:type="pct"/>
            <w:tcBorders>
              <w:top w:val="single" w:color="000000" w:sz="4" w:space="0"/>
              <w:left w:val="single" w:color="000000" w:sz="4" w:space="0"/>
              <w:bottom w:val="single" w:color="000000" w:sz="4" w:space="0"/>
              <w:right w:val="single" w:color="000000" w:sz="4" w:space="0"/>
            </w:tcBorders>
            <w:noWrap/>
            <w:vAlign w:val="center"/>
          </w:tcPr>
          <w:p w14:paraId="7B27DC4B">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F48A0A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78DAA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7B77F18">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95E5B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F1A8B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9F8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70562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养老照护实训室</w:t>
            </w:r>
          </w:p>
        </w:tc>
      </w:tr>
      <w:tr w14:paraId="3C1A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DD39B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C39E28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2B6B8E4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1、功能（背部升降 腿部升降 背腿同升同降 整体升降 左右翻身）；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2、尺寸：长≥200cm，宽≥100cm（尺寸可订做）；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3、最低床高：可降至26cm(电动调较)；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4、整体升降幅度:26-72cm、膝部升降幅度: 35°±5°，靠背升降幅度: 70°±5°；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5、电动床供电：使用220V供电插电及供电系统防水；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6、全封闭式护栏：每侧两条并行护栏，防止跌落床；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7、床轮：4个3吋刹车轮；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8、承重：床面最大承重260kg，侧护栏最大承重80kg；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9、配相应尺寸防水减压阻燃床褥﹕厚度约8cm(3吋)；配置防水PU胶套；床褥须符合英国标准BS7177:2008阻燃证书；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10、升降方式：全电动手控，配急停功能，并设有「一键复位」键；</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F704E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0303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923D2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F6362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080DB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AD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F7BD02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E1CED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智能监测床垫</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18BEA4C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1.支持4G全网通；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2.使用进口PVDF传感器，数据更精准；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3.提供睡眠指数，数据统计，睡眠习惯，睡眠效率，安稳度， 呼吸系统，心脏系统，深浅睡眠，风险提示，睡眠建议10种维度睡眠数据分析；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4.支持老人离床未归报警；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5.电源：5V2A；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过压保护：支持；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静电保护：支持；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储存温度：-30℃~70℃；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设备功耗：450mW；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外壳壳料：A1防火材料；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6.已对接智慧养老平台</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342215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CDED9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7785AE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930948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9525B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FEE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1C575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04BA05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76279D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护理实操：床单、被褥、枕套等更换及整理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三件套，被套150*200cm,床单120*220cm,枕套：45*75cm</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93A65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EB20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34979B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E0F75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6F7A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C7E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D0E31D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E858F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65D659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颜色：浅蓝、蓝色、白色、米黄、粉色、浅绿、墨绿、橘红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1、规格尺寸：480*480*760mm，因塑料制品收缩率的变化产品误差（±10mm）；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2、床头柜整体采用优级改性塑料注塑成型，板材料强度高，外形美观大方；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3、床头柜由柜体、面盖、柜门、抽屉、拉板、毛巾架等组成；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、柜体正面形状为圆弧形，左右两侧面配有折叠隐藏式毛巾架，需用时将伸出，不用时收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拢，放置在柜体侧面型体内，角度范围 90 度；柜体底部可安装万向轮便于移动；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抽屉面板外形为圆弧状，面板下方有抽屉拉手孔，便于拉、关抽屉；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5、柜门内侧设有内置储物盒，存取小型物品更为便捷）；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6、柜体内设有隔板，可根据物品的高度调节隔板的位置，具有两层调节功能；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7、柜体侧板有圆弧形加强筋，柜体支撑强度和牢固性更佳；加强筋内凸位置与隔板凹槽配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合，增加隔板位置稳定性；。</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069F1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3894E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2CFDA1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80DAB4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9176D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A8E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20C7C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05C019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床头设备带</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71B1B9D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1、医疗设备带颜色具有多样性。常规色（木纹色单算）；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2、医疗设备带其规格为：≥210*1.3*59；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3、医疗设备带需通过 GB9706.1-2020 医用电气设备第 1 部分：基本安全和基本性能的通用要求、设备带燃烧性能通过 GB 8624 《建筑材料及制品燃烧性能分级》；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4、配置：氧气终端，床头头灯LED8W和罩板，房间氧气维修阀，封头，118开关插座-开六孔带开关，紫铜管支管中8*1.0；</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DF5142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F07D3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4EB801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732DF4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210F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13E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17723F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E9F46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全功能护理模拟人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053B8C3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产品主要功能：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1.洗头、洗脸；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2.眼耳清洗滴药；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3.口腔护理、假牙护理；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4.口鼻气管插管：支持口对口、口对鼻、简易呼吸器对口等多种通气方式；支持听诊检测插管位置，牙齿受压报警；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5.气管切开护理：头颈部有气管切开伤口，可放入气管套管，进行气管切开护理；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6.吸痰法：经口、鼻插入吸痰管练习，模拟吸痰；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7.氧气吸入法：有明显鼻中隔，可练习鼻导管给氧法；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8.胃管置入术：可进行口鼻饲食法、洗胃、胃肠减压操作，支持腹部听诊检测插管位置，插管成功后可抽吸出胃液；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9.手臂静脉穿刺、注射、输液（血）：可进行手部及手臂静脉穿刺训练，包括贵要静脉、正中静脉、头静脉或手背，手臂静脉高度仿真，手感真实，穿刺正确有明显的落空感；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10.三角肌注射：三角肌注射模块可进行上百次注射训练，并易更换；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11.股外侧肌注射：注射模块可进行上百次注射，并易更换；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12.胸腔穿刺；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13.腰椎穿刺；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14.肝脏穿刺；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15.骨髓穿刺；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16.灌肠法：模拟人可摆放各种体位，肛门处可模拟灌肠，进行保留灌肠及不保留灌肠训练；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17.男/女性导尿术、男/女性膀胱冲洗；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18.造瘘引流术:可注入液体至造瘘瓶内，模拟造瘘引流术护理操作；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19.腹部处有空场造瘘和结肠造瘘，可进行造瘘口护理；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20.臀部肌肉注射：可进行肌肉注射训练，模块可进行上百次练习并易更换；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21.胸腔解剖重要器官结构：胸腔皮肤可打开，观察到支气管、肺、胃等胸腔解剖结构；</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4C411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D8E5E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366273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798AD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66F4F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7E9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6CD8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B0BC82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体位转移实操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A53791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1、需满足床过轮椅、床过床，床上起身等护理实操项目；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2、直形移位板：≥750*195mm；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3、移位腰带：M/L/XL；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4、起身辅助带：≥80*21cm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5、转移床单：≥70*140cm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6、下肢转移辅助带：≥80*21cm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7、转移垫：≥108*68</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711B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EDD75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742A2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9C19A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ADF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E40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3E7C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690F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喂食实操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418386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1、需满足辅助进食等护理实操项目；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2、喂食瓶一个：容量≥120ml；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3、流食杯一个：杯口宽≥8cm，杯高≥13CM，容量≥350ML，材质：PP+不锈钢；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4、硅胶勺一个：长18.3*勺头3.2*厚1.5CM，硅胶材质；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5、小毛巾一个：常规；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6、护围便利餐盘一个：直径:30.3CM，高:6CM，ABS+TRP材质；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7、流食勺一个：ABS+TRP材质；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8、斜口杯一个：开口宽度：7.3CM，高度：12cm，容量237ML，PP材质；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9、围兜一个：70*45cm，涤纶+PVC防水布；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10、汤匙一个：陶瓷材质；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11、纸巾一个；</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15D1E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EA8C44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D9AEE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A56F8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ACAD18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BDD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CF3B3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F586DF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143812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1、需满足口腔清洁护理实操项目；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2、产品需包含口腔护理包、漱口杯，污水杯、牙刷、口腔清洁棒、手套、照明手电筒、弯盘、润唇膏各1件；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775D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82F6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7610A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A49B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8E76FA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40D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79FB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B8872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排泄护理实操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23D44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1、需满足大小便护理实操项目；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2、产品需包含便盆、冲洗壶、尿壶、毛巾、盆子、小便器（男女各一款），各一件；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C407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9FE98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3C5F1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63A96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86BD6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0441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C065E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F4A7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清洁护理实操</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5858A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1、需满足床上洗头、擦浴、洗浴等护理实操项目；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2、产品需包含梳子、电吹风、隔水垫、放大镜指甲钳、衣服、毛巾、浴巾、洗头器、水瓢、沐浴液、洗发液、水桶各1件；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C14A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E300A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50DCA4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F7F9D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7056B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1BA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5A3F0E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76EA23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医疗照护包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E10C47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一、总体要求：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医疗照护包需包含电热煮沸消毒器、紫外线消毒灯、持物钳（镊）、置钳（镊）筒、治疗碗、治疗盘、有盖罐、隔离衣、医用防护面罩、医用防护口罩、治疗车、红外线治疗灯等产品。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二、设备要求：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1、电热煮沸消毒器一台：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（1）内部尺寸：≥415*175*125mm；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（2）外形尺寸：≥560*240*255mm；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（3）机器重量：≥7.5KG；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（4）控温范围：室温 -100℃C；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（5）加热功率：1000W；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（6）恒温时间：1-999 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（7）温度波动：士0.5'C；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（8）置物隔板以上 90mm，容积≥9升；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2、紫外线消毒灯一台：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（1）额定功率：38W；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（4）产品尺寸：≥160*160*420mm；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（5）包装尺寸：≥200*200*500mm；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（6）杀菌方式：紫外线杀菌适用面积:≤60㎡；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（7）电源线：≈1.5M；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（8）定时方式：电子定时；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（9）材 质：石英H型灯管；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（10）灯架ABS环保材料；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3、持物钳（镊）一个：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（3）特点：防腐蚀防碘伏；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4、置钳（镊）筒一个：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（1）医用，型号：≥80*190mm；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（3）特点：防尘盖，防尘防污染；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5、治疗碗一个：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（1）医用，型号：直径 ≥14cm；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（3）特点：防腐蚀防碘伏；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6、治疗盘一个：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（1）医用，型号：≥45*33*3.4CM；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（3）特点：采用不锈钢板一体式冲压成型，加厚耐用，圆润边角，防刮伤；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7、有盖罐一个：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（1）医用，型号：≥8cm；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（2）材质：304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（3）特点：采用圆角、圆边设计，不伤手，不藏污纳垢；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8、隔离衣一个：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（1）材质：100%全棉；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（2）尺码：可选；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（3）可反复使用。，颜色：蓝色；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（4）特点：100% 棉、耐氯漂、耐洗涤、不起球、不掉毛、无落絮、亲肤舒适、透气性好；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9、医用防护面罩一个：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（1）贮藏条件：常温；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（2）型号：5副；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（3）适用范围：用于医疗机构中检查治疗时起防护作用，阻隔体液、血液飞溅或泼溅；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（4）结构及组成：由高分子材料PET制成的防护罩、泡沫条和松紧带组成。非无菌提供，一次性使用；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（5）医疗器械类别：Ⅰ类医疗器械；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10、医用防护口罩一包：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（1）规格：≥17.5cmx9.5cm；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（2）有效期：三年；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11、治疗车一台：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（1）产品材质：优质不锈钢；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（2）产品工艺：焊接牢固；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（3）产品载重：≥300斤；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12、红外线治疗灯一台：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（1）光谱波长：2~25μm(微米)；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（3）包装尺寸：≥500*360*190mm；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（4）辐射板直径：166mm；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（5）额定功率：300VA；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（6）重量：≥8.5Kg；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5F382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8309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908CD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A6648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26C94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19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AC8ED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C5AA1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智能药盒</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E0B7B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1、产品尺寸：直径≥11*2.5CM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2、材质：ABS+PP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3、使用2颗AG13纽扣电池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（1）时钟；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（2）设置4组提醒闹铃；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（3）错过吃药提醒；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（4）夜光；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（5）定时器可以取出来；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5、设置日常时间：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（1）按“S”键5次直到屏幕上的时钟图标闪烁，“H”和“M”键设置小时/分钟，按“S”按钮确定设置；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（2）在时钟状态，同时按“M”键切换12/24小时；</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97BA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31E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9A5C3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C38D4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0CA3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0EB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C4560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C72B1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智能成人纸尿裤</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846D1B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1、智能感应尿湿报警，配合报警器使用，一次性使用产品；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2、需采用高分子防臭材料、防漏透气底膜、海量吸收、瞬间锁水、舒适干爽；</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F3077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C538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88AA1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9F4B2A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5B205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F4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0003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CC46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智能尿湿报警器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5B0528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1、需包含智能报警网光灯和智能尿湿传感器，配合智能成人纸尿裤使用，可重复多次使用；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2、通过智能生活APP，需实现报警网关灯和传感器的一对一或者一对多连接，网关灯和手机APP可以同时实现尿量报警、尿量记录、翻身提醒、睡姿检测、用片统计、环境温度等；</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BF14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C1655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D61D74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B0AE6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97BB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FE2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EC4A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F7631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折叠洗澡椅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70605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1、U型座板洗澡椅（蓝色/橘黄两个颜色）；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2、尺寸：≥545*545*778（展开），≥545*220*965（折叠）；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3、材质：椅架高强度铝合金，喷塑处理；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4、坐板是EVA材质；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5、扶手全部EVA材质包裹，内有龙骨；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6、坐垫、靠背EVA材质；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7、防霉防滑TPE材质脚垫；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8、座板高度六档调节：≥350*450；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9、符合SGS环保要求的高弹性EVA座垫、靠垫使用更加舒适；</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126D9E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75137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0997ED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5A8C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D6983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6B5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3CCD7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1E9920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适老座便器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6F58B27">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1、产品承重：≥300斤；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2、产品材质：加厚不锈钢材质；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3、坐板尺寸：≥40*41cm；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4、坐高尺寸：≥44-52m；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5、产品特点：高度≥5档可调/加固防侧翻；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6、产品尺寸：≥56*67*91-99cm；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7、折叠尺寸：≥56*76-84*19cm；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06D10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BE0ED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AC58D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D49C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40E2C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52F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E9DD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4E06E8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落地上翻扶手</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8453C2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1、产品材质：扶手弯头，支座部份采用201(可定制304)不锈钢材质；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2、面板：直径≥35*5mnmn的尼龙材料；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3、内芯：直径≥25*1.0mmn的优质201(可定制304)不锈钢材质；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4、扶手采用科技方法，具有抗菌，防滑等功能；</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D2B4B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66A5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16D51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FA9285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573492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D95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BBF08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A72FA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《老年健康照护》课程资源</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6FB70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课程资源包含：（1）课程标准；（2）课件PPT；（3）课程教案；（4）微课视频（理论+实操）；（5）习题库。 </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BB6000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6F8BD2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87B36">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1D81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5C42C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F0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96EF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F042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877" w:type="pct"/>
            <w:tcBorders>
              <w:top w:val="single" w:color="000000" w:sz="4" w:space="0"/>
              <w:left w:val="single" w:color="000000" w:sz="4" w:space="0"/>
              <w:bottom w:val="single" w:color="000000" w:sz="4" w:space="0"/>
              <w:right w:val="nil"/>
            </w:tcBorders>
            <w:shd w:val="clear" w:color="FFFFFF" w:fill="auto"/>
            <w:noWrap/>
            <w:vAlign w:val="center"/>
          </w:tcPr>
          <w:p w14:paraId="2C9F4264">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D18A32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9DCDE9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2DACC5">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628CE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shd w:val="clear" w:color="FFFFFF" w:fill="auto"/>
            <w:noWrap/>
            <w:vAlign w:val="center"/>
          </w:tcPr>
          <w:p w14:paraId="6674A30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840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C1DE3A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养老康复实训室</w:t>
            </w:r>
          </w:p>
        </w:tc>
      </w:tr>
      <w:tr w14:paraId="3668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C3503E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6F06B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2A8D3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1：起背/背平、左侧身/右侧身、抬腿/落腿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2：起背0-75°、抬落腿0-30°、左右翻身45°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3：运动康复功能：仰卧起坐、曲腿运动、逍遥运动、左右翻动、组合运动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4：标配：床垫、 输液杆、 洗头盆、 便盆、餐桌板、 双面轮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5：带钢焊接床面， 表面处理静电喷涂工艺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6：实木床头床尾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7：木制护栏</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3722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C63CB7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F3B2B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3BA3D7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43D2C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23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6BF80A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F0D9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BBA46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护理实操：床单、被褥、枕套等更换及整理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三件套，被套150*200cm,床单120*220cm,枕套：45*75cm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CD336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77FD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A6641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867A5A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F9DF4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A18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5F697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1678E3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C2084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颜色：浅蓝、蓝色、白色、米黄、粉色、浅绿、墨绿、橘红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1、规格尺寸：480*480*760mm，因塑料制品收缩率的变化产品误差（±10mm）；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2、床头柜整体采用优级改性塑料注塑成型，板材料强度高，外形美观大方；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3、床头柜由柜体、面盖、柜门、抽屉、拉板、毛巾架等组成；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、柜体正面形状为圆弧形，左右两侧面配有折叠隐藏式毛巾架，需用时将伸出，不用时收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拢，放置在柜体侧面型体内，角度范围 90 度；柜体底部可安装万向轮便于移动；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抽屉面板外形为圆弧状，面板下方有抽屉拉手孔，便于拉、关抽屉；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5、柜门内侧设有内置储物盒，存取小型物品更为便捷）；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6、柜体内设有隔板，可根据物品的高度调节隔板的位置，具有两层调节功能；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7、柜体侧板有圆弧形加强筋，柜体支撑强度和牢固性更佳；加强筋内凸位置与隔板凹槽配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合，增加隔板位置稳定性；。</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846B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38050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880E3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F7954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08E6C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EDC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FDAB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27A97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自助式轮椅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D380F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1、铝合金轻型车架，后折把手，固定扶手，上翻脚托，PU后轮，自锁式后把手连刹车；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2、坐宽：≥600mm,轮距≥450mm,扶手高度≥500mm,脚踏离地≥150mm；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3、整高≥900mm；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4、承重≥100kg；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26A5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E1B9D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BEEF0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9914D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0F7F5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008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5B5A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A82C3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助行器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0B6ABD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2、净重≥2.5kg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3、毛重≥4kg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4、尺寸：≥450mm，宽≥500mm，高900mm-950mm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5、用作辅助步行</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69288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BD6D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30439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C1B2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920C15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C3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61D52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07BAA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拐杖</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339A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1、铝合金材质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2、高度范围：730mm-970mm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3、地面支撑范围：长度290mm±10mm，宽430mm±10mm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4、净重≥850g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62F0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D1636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F519A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E9D1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5BEFD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3A5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6AE4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1CA0D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马桶</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B7BC9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1、常规落地连体式；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2、充水量3.0-6.0L；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3、承重≥70KG；</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EFF1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F9A56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8D06F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C53F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65B884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568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09BC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239C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坐便椅</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EE50AD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1、座椅主体尺寸： 宽≥500mm, 深≥560mm-, 高≥780mm；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2、坐便容器材质：PP；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3、座椅框架材质：铝合金；</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9D638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8B125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1A321C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FED19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91A73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494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146AC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B0ED5C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上翻扶手</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EDBCBB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1、要求外饰材料为尼龙；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2、要求内衬铝合金或201不锈钢型材；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3、尼龙扶手直径≥35mm，长≥600mm；</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C3DDD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758E3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3887AA3">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00997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2CD8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C4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D55D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0701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OT综合训练台</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BC7824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1、外观尺寸：≥191×104×93cm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2、训练位：器械在使用过程中，不应存在训练位与练位之间或同训练位之间的器械干涉、运动范围干涉、人体干涉等现象。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3、材质：主要采用优质钢材、实术等。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4、环保要求：器械使用的金属制品和金属制品的表面涂层，不应存在感官能察觉到的异味。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5、整体稳定性要求：自立式器械应着地平稳，底角与水平面的差值≤2mm，并在使用中不应产生晃动。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6、外观：可触及表面不得有毛刺。锐边和机械损伤。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焊接件焊缝表面应均匀，光滑平整。不应有漏焊，虚焊焊瘤，夹渣，裂纹，烧穿，飞溅物等缺陷；喷涂件表面色泽应均匀，光滑平整，不允许有漏点，起泡脱落，开裂漏挂和明显的擦伤，碰伤等缺陷；硬质管材末端应有部件或管塞堵住，不应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8、附件：上肢协调功能练习器、分指板弧形分指板、铁棍插板、型木插板、套圈、木制图形插板、模拟作业工具、上螺丝、上螺母、磁性钮，12种。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9、产品用途：适用于改善手指功能、提高眼手协调功能，训练感知能力及大脑对图形的识别能力，训练上肢稳定性、协调性，提高上肢日常活动能力。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10、特点和功能：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（1）侧板高度可调，适合不同身高人群使用。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（2）侧板可折叠，节省存放空间。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（3）配有带刹脚轮，方便移动。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（4）12套训练器材组合搭配，可进行综合训练。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训练结束后各器具可整理、收集在柜中，节约放置空间。</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AD646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F3BE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92C024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4F62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C67EB7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18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B848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F12F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认知功能障碍筛查或成套测试量表及用具</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BC2A8D">
            <w:pPr>
              <w:pageBreakBefore w:val="0"/>
              <w:bidi w:val="0"/>
              <w:adjustRightInd w:val="0"/>
              <w:snapToGrid w:val="0"/>
              <w:spacing w:beforeAutospacing="0" w:afterAutospacing="0" w:line="360" w:lineRule="auto"/>
              <w:ind w:left="0" w:leftChars="0" w:right="0"/>
              <w:rPr>
                <w:rFonts w:hint="eastAsia" w:ascii="宋体" w:hAnsi="宋体" w:eastAsia="宋体" w:cs="宋体"/>
                <w:b/>
                <w:bCs/>
                <w:sz w:val="21"/>
                <w:szCs w:val="21"/>
              </w:rPr>
            </w:pPr>
            <w:r>
              <w:rPr>
                <w:rFonts w:hint="eastAsia" w:ascii="宋体" w:hAnsi="宋体" w:eastAsia="宋体" w:cs="宋体"/>
                <w:sz w:val="21"/>
                <w:szCs w:val="21"/>
                <w:lang w:val="en-US" w:eastAsia="zh-CN"/>
              </w:rPr>
              <w:t>1、蒙特利尔认知评估(MontrealCognitive Assessment,MoCA)，是一个用来对认知功能异常进行快速筛查的评定工具。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2、需包括视结构技能、执行功能、记忆、语言注意与集中、计算、抽象思维和定向力等8个认知领域。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总分30分，&gt;26分正常其敏感性高，覆盖重要的认知领域，测试时间短，适合临床运用。但其也受教育程度的影响，文化背景的差异、检查者使用MOCA的技巧和经验，检查的环境及被试者的情绪及精神状态等均会对分值产生影响，对于轻度认知功能障碍(MIC)蒙特利尔认知评估量表的筛查更具敏感性。</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5ACA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CC7D4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30098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DEFC8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08C1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3CBB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2145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2FDD98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PT床</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35AE1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外形尺寸（长×宽×高）：194㎝×123㎝×48㎝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主要采用优质型钢、高密度海绵、皮革等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床面高度：48㎝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床面额定承载: 120KG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产品表面及手指可触及的隐蔽处，无锐利的棱角、毛刺，无针孔、起泡、起皮、脱落和明显划伤。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外形饱满圆滑，缝合线迹上下吻合，线路顺直、整齐、平服、牢固。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产品用途：用作PT受训者在床上进行各类康复训练活动。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特点和功能：床脚配有高度微调支脚，着地稳固。</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7D19D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393E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9F75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35871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F5F95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A03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5C6C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D27AE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PT凳</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77A0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外形尺寸（直径×高）：Φ60cm×（42～56）cm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铝钢结构，凳面为发泡一次成型，凳面外包优质PU革；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带液压油缸，360°旋转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额定承载：2000N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康复师进行手法治疗时可移动的坐具。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1.凳面高度可调，方便康复师使用。2.凳体底部设计有万向滑轮，可以自由移动。3.凳面可以360°旋转。</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C1428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088F6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0E4C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CF62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5FED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286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8B997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53B96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辅助行走机器人</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1AD8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主要技术参数：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1、【主要部件材质说明】</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1）、主架：铝合金材质（无焊接结构）；；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2）、电机：无刷电机250W*2；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3）、控制系统：方波驱动；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4）、电池：锂电池；续航≥20公里；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5）、前轮：万向轮结构；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2、锂电池组：额定容量 15Ah，DC24V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3、充电器：输入电源 220V，50Hz ；输出：电压 24V电流 2A</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4、规格(mm)：1050×690×2000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5、产品净重：47.0kg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6、控制方式：电动控制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7、最大速度：≤6 km/h</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8、行驶制动性能（坐姿状态）：水平路面（≤1.5 m）最大安全坡度制动（≤3.6 m（6º）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9、静态稳定性（坐姿状态）：≥9°</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10、动态稳定性（坐姿状态）：≥6°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11、越障高度（坐姿状态）：≥40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12、越沟宽度（坐姿状态）：100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13、爬坡能力（坐姿状态）：≥6°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14、最小回转半径：≤1200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15、升降支架升降行程：460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16、扶手高度调节行程：460 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17、减重力量范围：0～1000N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18、悬吊支架承重：≥100Kg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19、升降驱动器推力：总≥000N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20、通过吊带控制，根据需要减轻患者训练中下肢的承重量，保证行走安全。通过行驶控制器操作可控前后及转弯移动，升降控制器操作可以调节升将范围。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21、用来保持身体平衡或支撑身体的PU扶手，可以保证人身安全。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22、通过升降控制器调节；吊臂升降逐渐上升，训练者下肢的承重逐渐减少至患者能承受时，进行步态训练；随着下肢承重及步行能力增强，可同步调整升降吊臂的高度支持自身体重进行步态训练。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23、通过行驶控制器操作可使患可以主动或被动进行步态训练。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24、橡胶脚轮，带电磁刹车后脚轮，有效地控制训练器在使用过程中的移动幅度，使患者在相对安全的情况下进行训练。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25、采用电量指示灯显示电池电量、速度指示灯显示移动档位数。</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1C1AE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5644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113239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7B768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BDE96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5A9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02E02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FD4EC5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小蜜蜂扩音器</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0869BA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包含：产品主机、头戴式有线麦克风、充电数据线、腰带绳</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1BD74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120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3928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AD3EA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8B39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DA53F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4BA5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E647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37B83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手提音箱</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9C0F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1.采用DSP数字处理器；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2.具有蓝牙、收音机、USB、TF(SD）卡播放功能；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3.具有话筒筒优先、录音功能；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4.具有液晶显示屏显示歌题；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5.带双UHF无线话筒；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6.喇叭：8寸低音，号角高音；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7.额定功率：100W；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8.峰值功率：300W；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9.频率响应：20-20KHz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10.线路输入灵敏度：1000mV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11.内置电池：12V/7AH铅酸电池，可外接12-15V其他电池使用。</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7B7E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08E1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7F0F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C700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93CD0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03CA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790FED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81BEE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拉杆音箱</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32266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1.具有15.4寸高清钢化大屏，全电子音量播放+1080P+一键触摸显示屏，电视直播，智能联网点歌等等全功能，储存0.5T容量;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2.内置读卡器:双解码可读多种格式、带USB，SD卡，语音提示，带蓝牙、收音、录音、话筒优先、数码显示、遥控等，面板上可直接删除没有用录音文件，做到人性化;</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3.具有有线话筒插口，乐器口输入插口，音乐、话筒高低音可单独调节。混响旋纽.话筒优先键.USB显示口等功能;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4.内置双话筒双接收，接收距离100米左右;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5.扬声器：采用12寸低音、34芯磁号角高音;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6.峰值功率:300W;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7.阻抗：6欧;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8.频率响应：20Hz-20KHz;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9.输入灵敏度：DVD或其它音乐：550mV   有线话筒：10mV;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10.内置电瓶:12V/14Ah*2;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11.使用电源:交(宽电源交流100伏-300伏）直流两用.</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9094F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499423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152C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EC64E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9556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725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32CC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26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4AB19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实训推车车体</w:t>
            </w:r>
          </w:p>
        </w:tc>
        <w:tc>
          <w:tcPr>
            <w:tcW w:w="287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E8A1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★1、实训推车整体采用一体化设计，至少包括移动车体、实训触控主机模块、移动电源模块，整体推车走线内置，保证整体美观；提供第三方检测机构出具的具有CMA或CNAS标识的功能检测报告扫描件并加盖公章；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实训推车整车要求方便操作，支持老师单手操作，一个手操作移动把手可以完成拍摄角度的调整；移动车体要求全方位移动旋转，支持全方位立体式操作；老师单手操作，支持360度旋转，垂直拉动不小于60度调节，支持任意角度拉动，任意位置悬停；旋转最大只能旋转一圈，不能无限制转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3、移动车体：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（1）整车高度≥1.8米，摄像机移动范围≥2米；整车可以满足10度倾斜测试；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（2）要求采用隐线式设计方式，显示屏、摄像机接口对接统一套上白色热缩管包裹，外部不漏线材，美观整洁； 要求符合人体工程学结构设计，车体要求由万向轮底架、立杆、转臂三部分组成，底架用于移动和固定，立杆用于承重，转臂用于转动操作；移动车体要操作舒适，采用活动关节带阻尼装置，配合气压活动臂，保证拉动旋转调节过程没有异响、舒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（3）车体台面、把手采用注塑工艺、高硬度ABS材质；底盘、机箱、内部固定件等，采用钣金工艺、高硬度SPCC材质；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要求具有刹车功能，要求采用医用静音万向轮，拉动无异响；要求采用100mm直径的磨砂轮子，安全稳固可靠；刹车轮采用双踏板设计，刹车和解锁都是通过踩下踏板的模式进行制动，踩下底部踏板撒车，踩下顶部踏板解锁，可</w:t>
            </w:r>
            <w:r>
              <w:rPr>
                <w:rFonts w:hint="eastAsia" w:ascii="宋体" w:hAnsi="宋体" w:eastAsia="宋体" w:cs="宋体"/>
                <w:sz w:val="21"/>
                <w:szCs w:val="21"/>
                <w:highlight w:val="none"/>
                <w:lang w:val="en-US" w:eastAsia="zh-CN"/>
              </w:rPr>
              <w:t>承重：100kg;</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4、实训触控主机模块：</w:t>
            </w:r>
            <w:r>
              <w:rPr>
                <w:rFonts w:hint="eastAsia" w:ascii="宋体" w:hAnsi="宋体" w:eastAsia="宋体" w:cs="宋体"/>
                <w:sz w:val="21"/>
                <w:szCs w:val="21"/>
                <w:highlight w:val="none"/>
                <w:lang w:val="en-US" w:eastAsia="zh-CN"/>
              </w:rPr>
              <w:br w:type="textWrapping"/>
            </w:r>
            <w:r>
              <w:rPr>
                <w:rFonts w:hint="eastAsia" w:ascii="宋体" w:hAnsi="宋体" w:eastAsia="宋体" w:cs="宋体"/>
                <w:b/>
                <w:bCs/>
                <w:sz w:val="21"/>
                <w:szCs w:val="21"/>
                <w:highlight w:val="none"/>
                <w:lang w:val="en-US" w:eastAsia="zh-CN"/>
              </w:rPr>
              <w:t>★（1）采用嵌入式一体化设计，采用高性能低功耗嵌入式处理器，集无线视频传输、音视频采集、触控显示、视频录制、远程互动一体的高度集成系统设备；提供第三方检测机构出具的具有CMA或CNAS标识的功能检测报告扫描件并加盖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★（2）采用≥15.6寸 IPS FHD A级高清液晶一体触摸屏，使用钢化高强度玻璃面；提供第三方检测机构出具的具有CMA或CNAS标识的功能检测报告扫描件并加盖公章；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★（3）整体主机接口朝下固定，包括≥1路HDMI输入、≥2路HDMI输出、≥1路USB、≥1路RS232、≥1路音频输入和≥1路音频输出；提供产品截图；</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（4）支持内置高速无线接收器，至少支持扩展3路视频无线输入；工作频率5.15-5.85GHZ，双 2天线，支持级联、最大数据速率 300Mbps，最大传输距离100米左右（空旷无遮挡情况下），支持无线自动配对自动组网；</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（5）支持内置无线麦克风接收模块，通过天线方式与无线麦进行对接拾音；支持内置全向麦克风</w:t>
            </w:r>
            <w:r>
              <w:rPr>
                <w:rFonts w:hint="eastAsia" w:ascii="宋体" w:hAnsi="宋体" w:eastAsia="宋体" w:cs="宋体"/>
                <w:sz w:val="21"/>
                <w:szCs w:val="21"/>
                <w:lang w:val="en-US" w:eastAsia="zh-CN"/>
              </w:rPr>
              <w:t>，实现至少3米内的高灵敏度拾音；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（6）支持内置≥1T SSD固态硬盘，保证存储空间和可靠性；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（7）支持内置支持WIFI 5G无线网络传输，适用频段2.4GHz+5GHz支持MESH组网；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（8）内置数字音频模块至少支持反馈消除、回声消除、噪声消除高级算法和支持对无线麦、线性输入音频信号进行本地扩声；</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★5、支持≥1路5G 全网通NANO-SIM卡插槽；支持通过5GHZ射频信号接入多路无线网络高清视频流信号，5GHZ RF网络具有上电自动连接，自主组网能力；提供第三方检测机构出具的具有CMA或CNAS标识的功能检测报告扫描件并加盖公章；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6、移动电源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（1）要求采用磷酸铁锂电芯类型，电池容量≥16500mAh，充满后正常使用时长≥8小时；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（2）支持接上电源线，即插电开始充电；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（3）支持边充边用；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（4）支持电量显示功能，电量显示精确到小数点两位；</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★（5）支持电源开关按钮，要求长按3秒后关机，防止误操作；提供第三方检测机构出具的具有CMA或CNAS标识的功能检测报告扫描件并加盖公章；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（6）支持电压过低预警提示功能；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（7）支持过流、过充、过放电池保护功能；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（8）要求具有220V品字充电接口、DC 12V电源输出接口、以及检修口；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7、要求主机内置web配置功能，可以实现对主机IP、视频采集通道名称等灵活配置；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8、支持音箱额定功率≥20W；喇叭单元采用4"×2，1.5"高音；支持AUX（双莲花）音频输入；铝合金材质；灰白色。</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5A3C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92625A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D81AB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3B325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955F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6FD1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20960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31793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示教互动软件</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6C564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1、要求软件采用嵌入式系统，支持内置在实训推车，支持示范教学、示范录制、示范回看、资源管理功能;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2、支持触摸式使用，所有功能操作都是即触即用；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3、示范教学过程实时显示实训摄像机采集的画面，支持单画面、双画面、三画面和四画面模式切换；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4、示范教学支持全屏显示，支持退出全屏；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5、支持示范一键启动录制和停止录制，支持录制的视频格式为标准MP4格式；支持暂停录制和恢复录制，保证录制文件是完整的；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6、支持录制过程中显示已录制的时间，时间精确到秒；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7、支持示范操作的资源录制，可以分别录制不同接入摄像机采集的视频为资源文件；</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★8、支持对接入的摄像机进行云台控制，实现对当前画面的放大缩小；提供第三方检测机构出具的具有CMA或CNAS标识的功能检测报告扫描件并加盖公章；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9、支持点批注进入批注模式，可以进行重点批注，支持切换不同画笔颜色或笔迹精细模式；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10、支持示范过程中对关键点进行打标记，标记包括绿色星代表好的标记、红色星代表不好的标记，并记录标记的视频位置；</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11、支持示范录制视频回看，通过软件打开回看，支持通过标签快速查看示范操作关键点，回看过程中老师可以暂停、全屏，支持进行重点批注，支持批注文件单独保存，老师可以打开批注文件；支持点击视频列表文件进行预览；支持拖动视频进度条；支持调整视频音量；支持点击更多视角可播放资源文件；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12、支持资源管理，支持对教学视频、示范视频、标注图片、截图文件打开预览；支持在编辑模式下支持文件夹和文件删除；支持对选中的文件夹和文件拷贝到U盘，支持显示拷贝进度和取消拷贝；</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13、支持关联课表自动开课，支持对直播课程进行暂停直播、开始直播、结束直播等操作；</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14、支持音视频远程互动，支持查看听课教室列表，支持与远程教室进行双向互动，支持本地静音和远程静音；当听课教室接入时，支持本地主讲教室与远程听课教室画面双画面显示；提供第三方检测机构出具的具有CMA或CNAS标识的功能检测报告扫描件并加盖公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支持自动搜索同一个局域网内所有安装同屏接收端的教学一体机；支持示范实训操作实时同屏到同局域网内一台或多台教学一体机大屏上；同屏视频质量最大可达到高清4K；视频同步延时≤500ms，操作实时显示无卡顿；支持显示同屏连接状态；</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★16、支持截图功能，通过软件按钮即可实现对当前采集摄像机画面进行画面截取存为图片；提供第三方检测机构出具的具有CMA或CNAS标识的功能检测报告扫描件并加盖公章；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 xml:space="preserve">17、支持示范教学视频、批注、截图等资源拷贝至U盘，以便老师拷贝后进行课后回顾；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18、支持设置选择5G网络还是有线局域网络进行上行传输，并且显示网络状态；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19、支持显示当前日期和时间，并且支持网络时钟同步；</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★20、支持选择切换界面风格，实现至少三种风格以上的界面；提供第三方检测机构出具的具有CMA或CNAS标识的功能检测报告扫描件并加盖公章；</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21、支持当电源按下开关时，系统弹出界面确认是否关机，并做10秒倒计时后自动关机;</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22、支持投屏功能，在电脑端安装投屏客户端软件进行投屏，示教互动软件自动采集到电脑端的画面进行一路视频画面接入，要求延迟小于800毫秒；提供第三方检测机构出具的具有CMA或CNAS标识的功能检测报告扫描件并加盖公章</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yellow"/>
                <w:lang w:val="en-US" w:eastAsia="zh-CN"/>
              </w:rPr>
              <w:br w:type="textWrapping"/>
            </w:r>
            <w:r>
              <w:rPr>
                <w:rFonts w:hint="eastAsia" w:ascii="宋体" w:hAnsi="宋体" w:eastAsia="宋体" w:cs="宋体"/>
                <w:sz w:val="21"/>
                <w:szCs w:val="21"/>
                <w:lang w:val="en-US" w:eastAsia="zh-CN"/>
              </w:rPr>
              <w:t>23、主界面支持音量条动态显示，也可以点击隐藏。</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016C8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5D13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9F4E34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A4854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475E0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17F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33FE3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EDAF2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4K高清采集摄像机</w:t>
            </w:r>
          </w:p>
        </w:tc>
        <w:tc>
          <w:tcPr>
            <w:tcW w:w="2877" w:type="pct"/>
            <w:tcBorders>
              <w:top w:val="single" w:color="000000" w:sz="4" w:space="0"/>
              <w:left w:val="single" w:color="000000" w:sz="4" w:space="0"/>
              <w:bottom w:val="single" w:color="000000" w:sz="4" w:space="0"/>
              <w:right w:val="single" w:color="000000" w:sz="4" w:space="0"/>
            </w:tcBorders>
            <w:noWrap w:val="0"/>
            <w:vAlign w:val="center"/>
          </w:tcPr>
          <w:p w14:paraId="33F97A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 用  1/2.8 英 寸、不少于800 万 像 素 的 高 品 质 UHD CMOS 传感器，可实现最高输出 4K60FPS 的优质图像，并且向下兼容 1080P、720P 等多种分辨率；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2、采用高品质超高解析度的全高清长焦镜头，至少支持12倍光学变焦；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3、广角端水平视场角至少达 60.7°；水平视场角60.7° ~ 3.36°，垂直视场34.1° ~ 1.89°；</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4、至少支持HDMI、SDI和网络输出接口；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5、机身按键支持轻触操作方式，并至少支持ZOOM 操作、聚焦操作、亮度调整、菜单控、图像冻结和模式切换；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6、设备自带全功能网页，可通过网页完成所有功能的配置和应用，极大地方便现场设备安装调试；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7、支持POE供电。</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BB86D8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7051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56E1E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394B0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4175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99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DB43C3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107573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示教直播系统软件</w:t>
            </w:r>
          </w:p>
        </w:tc>
        <w:tc>
          <w:tcPr>
            <w:tcW w:w="2877" w:type="pct"/>
            <w:tcBorders>
              <w:top w:val="single" w:color="000000" w:sz="4" w:space="0"/>
              <w:left w:val="single" w:color="000000" w:sz="4" w:space="0"/>
              <w:bottom w:val="single" w:color="000000" w:sz="4" w:space="0"/>
              <w:right w:val="single" w:color="000000" w:sz="4" w:space="0"/>
            </w:tcBorders>
            <w:noWrap w:val="0"/>
            <w:vAlign w:val="top"/>
          </w:tcPr>
          <w:p w14:paraId="14091E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1、要求软件为嵌入式系统，可运行在实训推车车体，不需要额外增加设备；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2、要求软件启动自动获取课程参数，并自动加入课堂，免人工干预。软件自动根据获得课堂设置的直播能力启动相应的业务能力；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3、直播采用RTMP标准协议；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4、直播清晰度可配置，至少支持高清和流畅两种模式，码率最高可以设置8M，分辨率最高可支持1080P；</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5、直播的视频为导播后的画面，视频格式支持国际标准的H.264和语音编码支持AAC格式；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6、具有手动开始和停止直播，支持直播暂停功能；</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BE08B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D9FD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E70C5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FD941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79AB2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387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9EE38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86266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877" w:type="pct"/>
            <w:tcBorders>
              <w:top w:val="single" w:color="000000" w:sz="4" w:space="0"/>
              <w:left w:val="single" w:color="000000" w:sz="4" w:space="0"/>
              <w:bottom w:val="single" w:color="000000" w:sz="4" w:space="0"/>
              <w:right w:val="nil"/>
            </w:tcBorders>
            <w:noWrap/>
            <w:vAlign w:val="center"/>
          </w:tcPr>
          <w:p w14:paraId="4A4A93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4BF407F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45D62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8A8F4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88B63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nil"/>
              <w:bottom w:val="single" w:color="000000" w:sz="4" w:space="0"/>
              <w:right w:val="single" w:color="000000" w:sz="4" w:space="0"/>
            </w:tcBorders>
            <w:noWrap/>
            <w:vAlign w:val="center"/>
          </w:tcPr>
          <w:p w14:paraId="24C214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DF5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6" w:type="pct"/>
            <w:gridSpan w:val="5"/>
            <w:tcBorders>
              <w:top w:val="single" w:color="000000" w:sz="4" w:space="0"/>
              <w:left w:val="single" w:color="000000" w:sz="4" w:space="0"/>
              <w:bottom w:val="single" w:color="000000" w:sz="4" w:space="0"/>
              <w:right w:val="nil"/>
            </w:tcBorders>
            <w:noWrap/>
            <w:vAlign w:val="center"/>
          </w:tcPr>
          <w:p w14:paraId="407F99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0D62001">
            <w:pPr>
              <w:pageBreakBefore w:val="0"/>
              <w:bidi w:val="0"/>
              <w:adjustRightInd w:val="0"/>
              <w:snapToGrid w:val="0"/>
              <w:spacing w:beforeAutospacing="0" w:afterAutospacing="0" w:line="360" w:lineRule="auto"/>
              <w:ind w:left="0" w:leftChars="0" w:right="0"/>
              <w:rPr>
                <w:rFonts w:hint="eastAsia" w:ascii="宋体" w:hAnsi="宋体" w:eastAsia="宋体" w:cs="宋体"/>
                <w:b/>
                <w:bCs/>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E97F6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noWrap/>
            <w:vAlign w:val="center"/>
          </w:tcPr>
          <w:p w14:paraId="18D4DB9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bl>
    <w:p w14:paraId="0C7952BD">
      <w:pPr>
        <w:pageBreakBefore w:val="0"/>
        <w:bidi w:val="0"/>
        <w:adjustRightInd w:val="0"/>
        <w:snapToGrid w:val="0"/>
        <w:spacing w:beforeAutospacing="0" w:afterAutospacing="0" w:line="360" w:lineRule="auto"/>
        <w:ind w:left="0" w:leftChars="0" w:right="0"/>
        <w:rPr>
          <w:rFonts w:hint="eastAsia" w:ascii="宋体" w:hAnsi="宋体" w:eastAsia="宋体" w:cs="宋体"/>
        </w:rPr>
      </w:pPr>
    </w:p>
    <w:tbl>
      <w:tblPr>
        <w:tblStyle w:val="21"/>
        <w:tblW w:w="9438" w:type="dxa"/>
        <w:tblInd w:w="96" w:type="dxa"/>
        <w:tblLayout w:type="fixed"/>
        <w:tblCellMar>
          <w:top w:w="0" w:type="dxa"/>
          <w:left w:w="108" w:type="dxa"/>
          <w:bottom w:w="0" w:type="dxa"/>
          <w:right w:w="108" w:type="dxa"/>
        </w:tblCellMar>
      </w:tblPr>
      <w:tblGrid>
        <w:gridCol w:w="638"/>
        <w:gridCol w:w="816"/>
        <w:gridCol w:w="2271"/>
        <w:gridCol w:w="2271"/>
        <w:gridCol w:w="638"/>
        <w:gridCol w:w="638"/>
        <w:gridCol w:w="849"/>
        <w:gridCol w:w="849"/>
        <w:gridCol w:w="468"/>
      </w:tblGrid>
      <w:tr w14:paraId="6A65EEF7">
        <w:tblPrEx>
          <w:tblCellMar>
            <w:top w:w="0" w:type="dxa"/>
            <w:left w:w="108" w:type="dxa"/>
            <w:bottom w:w="0" w:type="dxa"/>
            <w:right w:w="108" w:type="dxa"/>
          </w:tblCellMar>
        </w:tblPrEx>
        <w:trPr>
          <w:trHeight w:val="23" w:hRule="atLeast"/>
        </w:trPr>
        <w:tc>
          <w:tcPr>
            <w:tcW w:w="8970"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786C063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二标段采购清单</w:t>
            </w:r>
          </w:p>
        </w:tc>
        <w:tc>
          <w:tcPr>
            <w:tcW w:w="46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71DBD6C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p>
        </w:tc>
      </w:tr>
      <w:tr w14:paraId="347B959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545E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E220">
            <w:pPr>
              <w:pageBreakBefore w:val="0"/>
              <w:widowControl/>
              <w:bidi w:val="0"/>
              <w:adjustRightInd w:val="0"/>
              <w:snapToGrid w:val="0"/>
              <w:spacing w:beforeAutospacing="0" w:afterAutospacing="0" w:line="360" w:lineRule="auto"/>
              <w:ind w:left="0" w:leftChars="0" w:right="0"/>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kern w:val="0"/>
                <w:sz w:val="21"/>
                <w:szCs w:val="21"/>
                <w:lang w:val="en-US" w:eastAsia="zh-CN" w:bidi="ar"/>
              </w:rPr>
              <w:t>产品名称</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2D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技术</w:t>
            </w:r>
            <w:r>
              <w:rPr>
                <w:rFonts w:hint="eastAsia" w:ascii="宋体" w:hAnsi="宋体" w:eastAsia="宋体" w:cs="宋体"/>
                <w:b/>
                <w:bCs/>
                <w:color w:val="auto"/>
                <w:kern w:val="0"/>
                <w:sz w:val="21"/>
                <w:szCs w:val="21"/>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68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F49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7BC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060907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DF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总价</w:t>
            </w:r>
          </w:p>
          <w:p w14:paraId="61AACFB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F0D">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3B75E8D3">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34E66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bidi="ar"/>
              </w:rPr>
              <w:t>一、大思政教育教学中心软件</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D9B8F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p>
        </w:tc>
      </w:tr>
      <w:tr w14:paraId="6B3CAAC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2CD4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35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党建思政资源中心</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16A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党建思政资源中心平台是为学校党建活动学习、思想政治工作、教师备授课、学生学习，提供资源的服务平台。该中心平台是一个利用现代信息技术手段，旨在提升党建工作效率和质量、以及思政教学的综合性资源平台。它主要具有以下几个方面的功能：</w:t>
            </w:r>
          </w:p>
          <w:p w14:paraId="7C778E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资源整合与共享：汇集各类党建学习资料、视频资源、红色全景、VR党建等资源，提供一个集中的平台供党员学习交流，促进资源共享。</w:t>
            </w:r>
          </w:p>
          <w:p w14:paraId="31688D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在线学习与培训：支持党员进行在线学习，包括但不限于党的理论知识、政策法规的学习，提高党员的政治素养。</w:t>
            </w:r>
          </w:p>
          <w:p w14:paraId="00B770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信息发布与互动交流：作为信息发布的平台，及时推送党建新闻等内容。</w:t>
            </w:r>
          </w:p>
          <w:p w14:paraId="6D4FCF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数据统计分析：通过对党员学习情况、参与活动的数据进行收集和分析，为党组织决策提供数据支持，帮助更好地了解党员需求和发展趋势。智慧党建资源中心通过上述功能，致力于构建一个全面覆盖、高效便捷、互动性强的党建服务平台，推动党建工作信息化、智能化发展。</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★2.老师和学生可通过电脑登陆平台，让使用者从丰富的资源平台上浏览、下载需要的教学资源。</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投标人需提供所列资源软件界面截图。</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★3.投标人需提供针对本项目的所列资源软件著作权证书。</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★4.投标人提供生产厂家针对本项目的三年免费升级的售后服务承诺书。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B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2D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37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5F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2F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979B52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A5957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1F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思政课程教学资源（中职）</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E750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中职：</w:t>
            </w:r>
          </w:p>
          <w:p w14:paraId="7022BF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课资源库提供：《中国特色社会主义》、《心理健康与职业生涯》、《哲学与人生》、《职业道德与法治》、《习近平新时代中国特色社会主义思想概论》等课程的课件、视频、习题等相关资料。课件资源以章或专题为单位，利用多媒体制作的PPT课件，包括重点、难点等。视频资源以章或专题为单位。每章或专题分别配备测试题及答案，测试题题型为客观题（单选、多选、判断），包括题干、选项及答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45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F5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F3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F3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8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10644E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D767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8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WEB端仿真资源（中职）</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24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平台根据学校思政课梳理出了思政教学的多个主题：1.《中国特色社会主义》主题(一)：做中国特色社会主义的信仰者和建设者；主题(二)：中国特色社会主义“五位一体”的总布局。2.《哲学与人生》主题：理想信念与“三观”。3.《心理健康与职业生涯》主题：筑梦未来与健康成长。4.《职业道德与法治》主题（一）：职业道德与工匠精神；主题（二）：职业规划与法治素养等。5.《中华民族共同体概论》主题（一）中华民族共同体；主题（二）：自在发展；主题（三）：自觉发展；主题（四）：自立发展；主题（五）：自强发展等。</w:t>
            </w:r>
          </w:p>
          <w:p w14:paraId="25B3E30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所有给学校提供的仿真教学资源都部署到资源平台上，可供老师学生进行体验学习。</w:t>
            </w:r>
          </w:p>
          <w:p w14:paraId="7F036D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一、《中国特色社会主义》 </w:t>
            </w:r>
          </w:p>
          <w:p w14:paraId="586A89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根据中职教材《中国特色社会主义》的内容与要求，我们梳理出了以下几个主题：1.做中国特色社会主义的信仰者和建设者 2.中国特色社会主义“五位一体”的总布局。每一个主题我们开发出了相应的虚拟仿真资源和全景思政资源供老师和学生体验使用。</w:t>
            </w:r>
          </w:p>
          <w:p w14:paraId="0A8FCB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主题一：“做中国特色社会主义的信仰者和建设者”。</w:t>
            </w:r>
          </w:p>
          <w:p w14:paraId="0756D5F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1.真理的力量：（1）伟大导师马克思的壮丽人生 （2）马克思主义在中国的早期传播与中国共产党的成立 （3）毛泽东思想 （4）邓小平理论、“三个代表”重要思想、科学发展观与中国特色社会主义实践 （5）习近平新时代中国特色社会主义思想。 </w:t>
            </w:r>
          </w:p>
          <w:p w14:paraId="43A9A1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2.党史：（1）浴血奋战百折不挠 夺取新民主主义革命伟大胜利（2）自力更生发愤图强 完成社会主义革命和推进社会主义建设（3）解放思想锐意进取 进行改革开放和社会主义现代化建设 （4）自信自强守正创新 开创中国特色社会主义新时代 （5）不忘初心牢记使命  新时代的中国共产党。</w:t>
            </w:r>
          </w:p>
          <w:p w14:paraId="461529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3.国史：（1）新中国成立和社会主义制度的确立 （2）社会主义建设的艰辛探索和曲折发展 （3）改革开放与中国特色社会主义的开辟 （4）建立社会主义市场经济和把中国特色社会主义全面推向21世纪 （5）全面建设小康社会与新的形势下坚持和发展中国特色社会主义 （6）中国特色社会主义进入新时代和实现中华民族伟大复兴的中国梦 （7）决胜全面建成小康社会和开启全面建设社会主义现代化强国新征程。</w:t>
            </w:r>
          </w:p>
          <w:p w14:paraId="614BC26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4.改革开放史：（1）改革开放与中国特色社会主义的开创 （2）改革开放开创新局面 （3）改革开放在科学发展中深化 （4）改革开放进入新时代 （5）开启全面建成社会主义现代化强国新征程。</w:t>
            </w:r>
          </w:p>
          <w:p w14:paraId="3E52FF7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5.社会主义发展史：（1）从空想社会主义到科学社会主义 （2）世界第一个社会主义国家建立与一国到多国的发展 （3）中国共产党对社会主义建设道路的探索 （4）世界社会主义的曲折与奋起 （5）中国特色社会主义开辟社会主义新纪元 6.中国特色社会主义进入新时代。</w:t>
            </w:r>
          </w:p>
          <w:p w14:paraId="3102B9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6.实现中华民族伟大复兴：（1）醒起来 奋起抗争 （2）站起来 挺直脊梁 （3）富起来 赶上时代 （4）强起来 走向复兴。</w:t>
            </w:r>
          </w:p>
          <w:p w14:paraId="311F58F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7.从中共建党到民族解放：（1）从民族危亡到封建帝制覆灭 （2）五四运动与中共建党 （3）从大革命到南昌起义 （4）掀起土地革命的风暴 （5）全民族抗日战争的中流砥柱 （6）夺取新民主主义伟大胜利。</w:t>
            </w:r>
          </w:p>
          <w:p w14:paraId="7F18E4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主题二：”中国特色社会主义‘五位一体’的总布局”。</w:t>
            </w:r>
          </w:p>
          <w:p w14:paraId="586E6C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1.习近平新时代中国特色社会主义思想：（1）习近平新时代中国特色社会主义思想的创立条件 （2）习近平新时代中国特色社会主义思想的主要内容 （3）“十四个坚持”构成新时代坚持和发展中国特色社会主义的基本方路(上) （4）“十四个坚持”构成新时代坚持和发展中国特色社会主义的基本方略(中) （5）“十四个坚持”构成新时代坚持和发展中国特色社会主义的基本方略(下) （6）习近平新时代中国特色社会主义思想指导下党和国家事业取得的“十三个方面”历史性成就（7）习近平新时代中国特色社会主义思想的历史地位。</w:t>
            </w:r>
          </w:p>
          <w:p w14:paraId="2F75AE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2.二十大精神展馆：（1）党的二十大的重大意义和大会主题 （2）过去五年的工作和新时代十年的伟大变革 （3）开辟马克思主义中国化时代化新境界 （4）以中国式现代化全面推进中华民族伟大复兴 （5）全面建设社会主义现代化国家的战略部署 （6）以伟大自我革命引领伟大社会革命 （7）团结奋斗的时代要求</w:t>
            </w:r>
          </w:p>
          <w:p w14:paraId="683901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3.丝路精神 </w:t>
            </w:r>
          </w:p>
          <w:p w14:paraId="70814EE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二、《心理健康与职业生涯》 </w:t>
            </w:r>
          </w:p>
          <w:p w14:paraId="2AA76FE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根据中职教材《心理健康与职业生涯》的内容和要求，我们梳理出了“筑梦未来与健康成长”的主题，并开发出相应的虚拟仿真资源和全景资源。</w:t>
            </w:r>
          </w:p>
          <w:p w14:paraId="011550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1.焦裕禄精神</w:t>
            </w:r>
          </w:p>
          <w:p w14:paraId="625E58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2.雷锋精神</w:t>
            </w:r>
          </w:p>
          <w:p w14:paraId="03D4BDF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3.三牛精神</w:t>
            </w:r>
          </w:p>
          <w:p w14:paraId="3AEEFE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三、《哲学与人生》 </w:t>
            </w:r>
          </w:p>
          <w:p w14:paraId="3A3BEBB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根据中职教材《哲学与人生》的内容和要求，我们梳理出了“理想信念与‘三观’”的主题，并开发出相应的虚拟仿真资源和全景资源。</w:t>
            </w:r>
          </w:p>
          <w:p w14:paraId="752236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1.张思德精神 2.抗美援朝精神3.“两弹一星"精神 4.雷锋精神 5.焦裕禄精神 6.大庆精神（铁人精神） 7.红旗渠精神 8.北大荒精神 9.塞罕坝精神 10.两路精神 11.“老西藏"精神（孔繁森精神）12..西迁精神 13..王杰精神 14.社会主义核心价值观：（1）为什么要培育和践行社会主义核心价值观 （2）国家层面的价值目标 （3）社会层面的价值取向 （4）公民个人层面的价值准则及自觉践行。</w:t>
            </w:r>
          </w:p>
          <w:p w14:paraId="496413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四、《职业道德与法治》 </w:t>
            </w:r>
          </w:p>
          <w:p w14:paraId="08B988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根据中职教材《职业道德与法治》的内容和要求，我们梳理出了以下几个主题：1.职业道德与工匠精神 2.职业规划与法治素养。每一个主题我们开发出了相应的虚拟仿真资源和全景资源。</w:t>
            </w:r>
          </w:p>
          <w:p w14:paraId="05EA1D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主题一：职业道德与工匠精神</w:t>
            </w:r>
          </w:p>
          <w:p w14:paraId="7385B5C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1.改革开放精神 2.特区精神 3.抗洪精神 4.抗击非典精神 5.抗震救灾精神 6.载人航天精神 7.劳模精神(劳动精神、工匠精神) 8.青藏铁路精神 9.女排精神 10.脱贫攻坚精神 11.伟大抗疫精神 12.“三牛”精神 13.科学家精神 14.企业家精神 15.探月精神 16.新时代北斗精神 17.大国工匠。</w:t>
            </w:r>
          </w:p>
          <w:p w14:paraId="3FEED2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主题二：职业规划与法治素养。</w:t>
            </w:r>
          </w:p>
          <w:p w14:paraId="3B45A6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1.周恩来纪念馆 2.华罗庚纪念馆 3.焦裕禄纪念馆 4.国家安全教育馆 5.法安天下 德润人心。</w:t>
            </w:r>
          </w:p>
          <w:p w14:paraId="7E664F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五、《中华民族共同体概论》 </w:t>
            </w:r>
          </w:p>
          <w:p w14:paraId="069117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根据中职教材《中华民族共同体概论》的内容与要求，我们梳理出了以下几个主题：1.中华民族共同体 2.自在发展 3.自觉发展 4.自立发展 5.自强发展。每一个主题我们开发出了相应的虚拟仿真资源和全景思政资源供老师和学生体验使用。</w:t>
            </w:r>
          </w:p>
          <w:p w14:paraId="6DE72C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主题一：“中华民族共同体”</w:t>
            </w:r>
          </w:p>
          <w:p w14:paraId="5D78B7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1.中华民族共同体和铸牢中华民族共同体意识 </w:t>
            </w:r>
          </w:p>
          <w:p w14:paraId="2AB9A2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主题二：“自在发展”</w:t>
            </w:r>
          </w:p>
          <w:p w14:paraId="30043FC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1.中华民族自在发展</w:t>
            </w:r>
          </w:p>
          <w:p w14:paraId="14CBD1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主题三：“自觉发展”</w:t>
            </w:r>
          </w:p>
          <w:p w14:paraId="0AB4779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1.中华民族自觉发展</w:t>
            </w:r>
          </w:p>
          <w:p w14:paraId="5F793E1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主题四：“自立发展”</w:t>
            </w:r>
          </w:p>
          <w:p w14:paraId="45AABCB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1.先锋队与中华民族自立发展</w:t>
            </w:r>
          </w:p>
          <w:p w14:paraId="6A7089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主题五：“自强发展”</w:t>
            </w:r>
          </w:p>
          <w:p w14:paraId="39BA445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1.新中国与中华民族自强发展 2.新时代与中华民族自强发展</w:t>
            </w:r>
          </w:p>
          <w:p w14:paraId="5D263CA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★投标人需提供所列资源软件界面截图；投标人提供生产厂家针对本项目的三年免费升级的售后服务承诺书。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05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BA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AC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EA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8FF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06A03F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F998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4D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全景思政资源</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E2FB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一、软件功能</w:t>
            </w:r>
          </w:p>
          <w:p w14:paraId="55F57F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1.720度实景展示国内主要的爱国主义教育示范基地、百家红色旅游经典景区景点；</w:t>
            </w:r>
          </w:p>
          <w:p w14:paraId="46829A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2.全景资源包含：辛亥革命时期、建党时期、大革命时期、土地革命时期、抗日战争时期、解放战争时期、人物楷模、奋斗崛起、改革开放、民族之魂、专题展示、其他史料12大篇章；</w:t>
            </w:r>
          </w:p>
          <w:p w14:paraId="3E2FFFD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3.通过全景展示可以让学生更深入地进行体验参观全国各地的红色景点，不用进行实地参观就可以体验到想去和想看的参观景点，该平台将大大提高思政实践教学效率；</w:t>
            </w:r>
          </w:p>
          <w:p w14:paraId="4DF777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4.除平台提供现有国内著名红色旅游景区外，同时支持按照用户需求协商后，额外进行定制开发其所在区域的红色旅游景区；</w:t>
            </w:r>
          </w:p>
          <w:p w14:paraId="45247C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5.要求每个红色旅游景区支持漫游模式游览，自带景区介绍、专业讲解员的音频讲解、讲解词查看；</w:t>
            </w:r>
          </w:p>
          <w:p w14:paraId="53517E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6.该数据库可与校园网连接，学生与老师可在校园网站连接，随时随地观看、体验、学习。</w:t>
            </w:r>
          </w:p>
          <w:p w14:paraId="2898FD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每个资源都配套有：1）教学导引：教学目的；知识要点；教学思路；教学方法；参考文献；布置作业等。2）学习导引：学习目标；知识要点；学习方法；文献阅读；习题作答等。3）实践任务书：梳理思政课教学实践活动的主题类型，提供两个以上的实践任务书模版。每个模版包含：主题类别，结合课本的哪个章节使用。活动名称，活动主题，活动背景，活动目标，活动时间，活动地点，参加人员，参加班级，活动内容，实践作业等。</w:t>
            </w:r>
          </w:p>
          <w:p w14:paraId="07DFDD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二、资源内容：</w:t>
            </w:r>
          </w:p>
          <w:p w14:paraId="435D2B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1、辛亥革命时期（2个）：1）辛亥革命纪念馆、2）南京总统府；</w:t>
            </w:r>
          </w:p>
          <w:p w14:paraId="1091FA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2、建党时期（5个）：1）北京新文化运动馆、2）中共一大、3）嘉兴南湖、4）中共三大、5）中共四大；</w:t>
            </w:r>
          </w:p>
          <w:p w14:paraId="19BF724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3、大革命时期（3个）：1）安源路矿工人运动纪念馆、2）南京雨花台、3）国民党一大；</w:t>
            </w:r>
          </w:p>
          <w:p w14:paraId="10D4B5E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p>
          <w:p w14:paraId="2C1530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p>
          <w:p w14:paraId="32E354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6、解放战争时期（6个）：1）平津战役、2）淮海战役纪念馆、3）渡江战役、4）扶眉战役纪念馆、5）西柏坡纪念馆、6）香山革命纪念馆；</w:t>
            </w:r>
          </w:p>
          <w:p w14:paraId="231B56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7、人物楷模（5个）：1）雷锋精神纪念馆、2）华罗庚纪念馆、3）焦裕禄纪念馆、4）铁人王进喜纪念馆、5）孔繁森同志纪念馆；</w:t>
            </w:r>
          </w:p>
          <w:p w14:paraId="531A625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8、奋斗崛起（4个）：1）抗美援朝纪念馆、2）南京长江大桥、3）红旗渠纪念馆、4）青海原子城纪念馆；</w:t>
            </w:r>
          </w:p>
          <w:p w14:paraId="6EA96C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9、改革开放（2个）：1）小岗村、2）广东改革开放；</w:t>
            </w:r>
          </w:p>
          <w:p w14:paraId="0DC443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民族之魂（10个）：1）韶山毛泽东纪念馆、2）李大钊纪念馆、3）方志敏烈士园林、4）周恩来纪念馆、5）朱德故居、6）邓颖超纪念馆、7）聂荣臻纪念馆、8）刘少奇纪念馆、9）彭德怀同志纪念馆、10）叶剑英纪念馆；</w:t>
            </w:r>
          </w:p>
          <w:p w14:paraId="4C358C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11、专题展示（4个）：1）皖南事变纪念馆、2）钢铁的新四军纪念馆、3）新四军文化艺术馆、4）黄花塘新四军军部纪念馆</w:t>
            </w:r>
          </w:p>
          <w:p w14:paraId="15549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其他史料（7个）：1）中国国家博物馆、2）海军诞生地纪念馆、3）南京杭州上海解放70周年展馆、4）近代不平等条约、5）上海国家安全教育馆、6）盐池革命纪念馆、7）盐池县李塬畔新时代文明实践站等75个场景。</w:t>
            </w:r>
          </w:p>
          <w:p w14:paraId="1180DF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★投标人需提供针对此70余个场景的截图并加盖厂家公章；提供生产厂家针对本项目的售后服务承诺书。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8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85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DE9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288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19D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9BC088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F97EA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47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党的精神谱系资源</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BB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中国共产党人的精神谱系是中国共产党的红色基因图谱，是中国共产 党人精神力量和人格力量的生动体现 。按照中国共产党百年奋斗的  “新民主主义革命时期 ”  “社会主义革命和建设时期 ”  “改革开放 和社会主义现代化建设新时期 ” “ 中国特色社会主义新时代 ” 四个 历史时期，包括建党精神、井冈山精神、苏区精神、长征精神、遵义 会议精神、延安精神等 46 种精神；</w:t>
            </w:r>
          </w:p>
          <w:p w14:paraId="0845BE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2.提供内涵解读、视频微课、作业测试等的学习资料。</w:t>
            </w:r>
          </w:p>
          <w:p w14:paraId="4F9CA0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★投标人需提供针对本项目的所列资源软件界面截图并加盖厂家公章；提供生产厂家针对本项目的售后服务承诺书。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A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1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65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799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EA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C2165B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8D603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2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3A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3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68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56CA399">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BF35D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二、vr党建思政培育中心（党建会议室）</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DD7B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D208C9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6671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BC3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VR一体机</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901E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一、硬件部分（VR一体机）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1、CPU 高通XR2，Kryo 585核心，8核64位，最高主频 2.84GHz，7nm制程工艺；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2、内存≥6GB RAM，LPDDR4X；</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3、闪存UFS3.0 ≥256GB；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4、WIFI 2X2 MIMO WIFI6 802.11 b/g/n/ac/ax，2.4G/5G双频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5、分辨率4K分辨率3664x1920，PPI：7736、刷新率75Hz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二、软件资源（VR教学资源系统软件V1.0）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（一）资源包一：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习近平新时代中国特色社会主义思想》VR版:（1）习近平新时代中国特色社会主义思想的创立条件；（2）习近平新时代中国特色社会主义思想的主要内容；（3）“十四个坚持”构成新时代坚持和发展中国特色社会主义的基本方略；（4）习近平新时代中国特色社会主义思想指导下党和国家事业取得的“十三个方面”历史性成就；（5）习近平新时代中国特色社会主义思想的历史地位；（6）加强理论武装、感悟思想伟力、汲取真理力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二十大精神》VR版:（1）二十大的重大意义和大会主题;（2）过去五年的工作和新时代十年的伟大变革;（3）开辟马克思主义中国化时代化新境界;（4）以中国式现代化全面推进中华民族伟大复兴;（5）全面建设社会主义现代化国家的战略部署;（6）以伟大自我革命引领伟大社会革命;（7）团结奋斗的时代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党的二十届三中全会》VR版：（1）《决定》的主要内容；（2）进一步全面深化改革、推进中国式现代化的重大意义和总体要求;（3）关于构建高水平社会主义市场经济体制;（4）关于健全推动经济高质量发展体制机制;（5）关于构建支持全面创新体制机制;（6）关于健全宏观经济治理体系;（7）关于完善城乡融合发展体制机制;（8）关于完善高水平对外开放体制机制;（9）健全全过程人民民主制度体系;（10）完善中国特色社会主义法治体系;（11）关于文化体制机制改革;（12）关于民生和社会保障制度体系改革;（13）关于生态文明体制改革;（14）关于国家安全和社会治理体制机制改革;（15）关于国防和军队改革;（16）关于党的领导和党的建设制度改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党史》VR版:（1）浴血奋战、百折不挠，夺取新民主主义革命伟大胜利;（2）自力更生、发愤图强，完成社会主义革命和推进社会主义建设;（3）解放思想、锐意进取，进行改革开放和社会主义现代化建设;（4）自信自强、守正创新，开创中国特色社会主义新时代;（5）不忘初心、牢记使命，新时代的中国共产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新中国史》VR版:（1）新中国成立和社会主义制度的确立（1949-1956）;（2）社会主义建设的艰辛探索和曲折发展（1956-1978）;（3）改革开放与中国特色社会主义（1978-1992）;（4）建立社会主义市场经济和把中国特色社会主义全面推向21世纪（1992-2002）;（5）全面建设小康社会与新的形势下坚持和发展中国特色社会主义（2002--2012）;（6）中国特色社会主义进入新时代和实现中华民族伟大复兴的中国梦（2012----2017）;（7）.决胜全面建成小康社会和开启全面建设社会主义现代化强国新征程（2017-----）</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6.《改革开放史》VR版:（1）改革开放与中国特色社会主义的开创;（2）改革开放开创新局面;（3）改革开放在科学发展中深化;（4）改革开放进入新时代;（5）开启全面建设社会主义现代化强国新征程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社会主义发展史》VR版:（1）从空想社会主义到科学社会主义;（2）世界第一个社会主义国家建立与一国到多国的发展;（3）中国共产党对社会主义建设道路的探索;（4）世界社会主义的曲折与奋起;（5）中国特色社会主义开辟社会主义新纪元;（6）中国特色社会主义进入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8.《社会主义核心价值观》VR版:（1）为什么要培育和践行社会主义核心价值观；（2）国家层面的价值目标;（3）社会层面的价值取向;（4）公民个人层面的价值准则及自觉践行社会主义核心价值观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（二）资源包二：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精神谱系全部46个资源VR版：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中国共产党人的精神谱系是中国共产党的红色基因图谱，是中国共产党人精神力量和人格力量的生动体现。按照中国共产党百年奋斗的 “新民主主义革命时期” “社会主义革命和建设时期” “改革开放和社会主义现代化建设新时期” “中国特色社会主义新时代” 四个历史时期，包括建党精神、井冈山精神、苏区精神、长征精神、遵义会议精神、延安精神等46种精神。</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★15.投标人需提供针对本项目的所列资源软件界面截图；</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★16.投标人需提供针对本项目的所列资源软件著作权证书；</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★17.投标人提供生产厂家针对本项目的三年免费升级的售后服务承诺书。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B8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75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ED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F8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6B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F29F730">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B0BBC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6B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党建工作站</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8E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机身设计。屏幕为多点触摸屏（分辨率1920*1080），支持一键开机，同时开启显示器和系统，便于维护；隐藏式收纳柜，可隐藏式收纳8台头显，内置Type-c数据线，可随时充电；可支持单/多人同时VR使用，支持单机/联网双模式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一、硬件部分 （党建工作站)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工作站尺寸：（高*宽*厚）1948*1450*433mm；材质：钢板、亚克力板；工艺：钣金喷塑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OPS：处理器：I5-9400、内存：16g、硬盘：512G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55寸触屏：分辨率：1920×1080；刷新率：60Hz；可视角度：170°；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二、软件资源部分（高校思政教育虚拟仿真体验教学中心软件V1.0）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70+精选优质主题党建内容，支持图片、文字、视频自主编辑上传功能，包含视频播放、VR体验等多种学习形态。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1、红色全景：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辛亥革命时期（2个）：1）辛亥革命纪念馆、2）南京总统府；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建党时期（5个）：1）北京新文化运动馆、2）中共一大、3）嘉兴南湖、4）中共三大、5）中共四大；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大革命时期（3个）：1）安源路矿工人运动纪念馆、2）南京雨花台、3）国民党一大；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解放战争时期（6个）：1）平津战役、2）淮海战役纪念馆、3）渡江战役、4）扶眉战役纪念馆、5）西柏坡纪念馆、6）香山革命纪念馆；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人物楷模（5个）：1）雷锋精神纪念馆、2）华罗庚纪念馆、3）焦裕禄纪念馆、4）铁人王进喜纪念馆、5）孔繁森同志纪念馆；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奋斗崛起（4个）：1）抗美援朝纪念馆、2）南京长江大桥、3）红旗渠纪念馆、4）青海原子城纪念馆；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改革开放（2个）：1）小岗村、2）广东改革开放；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民族之魂（10个）：1）韶山毛泽东纪念馆、2）李大钊纪念馆、3）方志敏烈士陵园、4）周恩来纪念馆、5）朱德故居、6）邓颖超纪念馆、7）聂荣臻纪念馆、8）刘少奇纪念馆、9）彭德怀同志纪念馆、10）叶剑英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专题展示（4个）：1）皖南事变纪念馆、2）钢铁的新四军纪念馆、3）新四军文化艺术馆、4）黄花塘新四军军部纪念馆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其他史料（7个）：1）中国国家博物馆、2）海军诞生地纪念馆、3）南京杭州上海解放70周年展馆、4）近代不平等条约、5）上海国家安全教育馆、6）盐池革命纪念馆、7）盐池县李塬畔新时代文明实践站等75个场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实现线上观影，支持自主上传/删除影视资源。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3、欢迎来访：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支持自主编辑内容，设置来访欢迎词，自动保存。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4、入党誓言：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入党宣誓词，支持一键播放内容，方便快捷。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5、党章党规：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支持自主编辑内容，包含文档修改/删除/添加等，自动上传、自动分类展示。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6、党建活动：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支持自主上传党建活动内容，包含文字、图片、音频等形式。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7、组织宣传：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支持自主上传组织宣传内容，包含文字、图片、音频等形式。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8、知识问答：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a.在线答题，增加互动感和趣味性。b.系统自动评分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9、友情连接：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支持自主上传网页链接，一键选取查看，方便快捷。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10、VR播控：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实现对选配的VR党建一体机集控管理。</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5CC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F1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B5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1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9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4A5559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4A81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1E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DB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3B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73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6FE5982">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5D88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三、党建思政红色教育基地（大礼堂）</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6750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9CC40C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DA42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DA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场地翻新与红色氛围打造</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615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原礼堂墙面翻新、红色氛围装修装饰、党建思政文化展板等。</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AF7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C8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3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0C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6F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42062E6">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7F752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4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AR智慧党建沙盘系统</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3F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硬件部分（AR智慧党建沙盘）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1.全新投射式电容屏，标配10 点触摸，手指和令牌（marker）触摸，都流畅顺滑；配合独有令牌（marker）可实现物体识别功能；原装高清4K液晶屏幕；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2.铝合金边框，钣金后壳，底部有脚轮方便移；PC屏幕一体化设计，部件全部以板卡形式可升级易维护；有独立触控开关；有独立维护门标配2个触控令牌。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3.面板尺寸：43寸，CPU：i5 ，内存：16G，显卡：8G，硬盘：1T固态；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4.AR智慧党建沙盘：包含独立的新时代带智慧党建中控管理平台，可设置开机自启动，开机进入中控管理平台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VR智慧沙盘包含13个软件管理平台，可做为智慧党建和思政教育资源中心，内容全面且丰富，支持独立管理。仅需几平米就可打破时空限制体验丰富的思政资源。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二、软件部分（3D沙盘资源系统软件）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（一）精神谱系资源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新民主主义革命时期：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1、建党精神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2、井冈山精神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3、苏区精神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4、长征精神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5、遵义会议精神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6、延安精神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7、抗战精神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8、红岩精神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9、西柏坡精神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10、照金精神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11、、东北抗联精神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12、南泥湾精神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13、太行精神（吕梁精神）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14、大别山精神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15、沂蒙精神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16、老区精神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17、张思德精神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社会主义革命和建设时期：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1、抗美援朝精神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2、“两弹一星”精神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3、雷锋精神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4、焦裕禄精神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5、大庆精神（铁人精神）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6、红旗渠精神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7、北大荒精神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8、塞罕坝精神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9、两路”精神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10、老西藏精神（孔繁森精神）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11、西迁精神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12、王杰精神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改革开放和社会主义现代化建设新时期：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1、改革开放精神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2、特区精神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3、抗洪精神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4、抗击“非典”精神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5、抗震救灾精神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6、载人航天精神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7、劳模精神（劳动精神、工匠精神）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8、青藏铁路精神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9、女排精神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中国特色社会主义新时代：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1、脱贫攻坚精神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2、抗疫精神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3、“三牛”精神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4、科学家精神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5、企业家精神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6、探月精神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7、新时代北斗精神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8、丝路精神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（三）红色全景资源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1、辛亥革命时期（2个）：1）辛亥革命纪念馆、2）南京总统府；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2、建党时期（5个）：1）北京新文化运动馆、2）中共一大、3）嘉兴南湖、4）中共三大、5）中共四大；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3、大革命时期（3个）：1）安源路矿工人运动纪念馆、2）南京雨花台、3）国民党一大；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土地革命时期（17个）：1）八一南昌起义、2）秋收起义修水纪念馆、3）秋收起义萍乡陈列馆、4）平江起义纪念馆、5）广西百色起义纪念馆、6）井冈山纪念馆、7）红军长征出发纪念馆、8）遵义会议陈列馆、9）四渡赤水纪念馆、10）飞夺泸定桥专题馆、11）延安革命纪念馆、12）三五九旅屯垦纪念馆、13）红军东征纪念馆、14）鲁迅艺术文学院旧址、15）梁家河、16）陕甘宁边区政府旧址、17）红军会宁会师旧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抗日战争时期（10个）：1）一二.九运动纪念馆、2）中国人民抗日战争纪念馆、3）侵华日军南京大屠杀遇难同胞纪念馆、4）冀中冉庄地道战、5）上海四行仓库抗战、6）沂蒙革命纪念馆、7）没有共产党就没有新中国馆、8）八路军太行纪念馆、9）麻田八路军总部纪念馆、10）红岩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6、解放战争时期（6个）：1）平津战役、2）淮海战役纪念馆、3）渡江战役、4）扶眉战役纪念馆、5）西柏坡纪念馆、6）香山革命纪念馆；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7、人物楷模（5个）：1）雷锋精神纪念馆、2）华罗庚纪念馆、3）焦裕禄纪念馆、4）铁人王进喜纪念馆、5）孔繁森同志纪念馆；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8、奋斗崛起（4个）：1）抗美援朝纪念馆、2）南京长江大桥、3）红旗渠纪念馆、4）青海原子城纪念馆；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9、改革开放（2个）：1）小岗村、2）广东改革开放；</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民族之魂（10个）：1）韶山毛泽东纪念馆、2）李大钊纪念馆、3）方志敏烈士陵园、4）周恩来纪念馆、5）朱德故居、6）邓颖超纪念馆、7）聂荣臻纪念馆、8）刘少奇纪念馆、9）彭德怀同志纪念馆、10）叶剑英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11、专题展示（4个）：1）皖南事变纪念馆、2）钢铁的新四军纪念馆、3）新四军文化艺术馆、4）黄花塘新四军军部纪念馆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其他史料（7个）：1）中国国家博物馆、2）海军诞生地纪念馆、3）南京杭州上海解放70周年展馆、4）近代不平等条约、5）上海国家安全教育馆、6）盐池革命纪念馆、7）盐池县李塬畔新时代文明实践站等75个场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（四）VR思政资源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以VR虚拟展馆资源为主，3D沉浸式线上体验各个红色主题教育资源，支持手动操作游览和自动游览双模式、左右眼切换，配备语音、图片、文字、视频等配套资源，内容全面且丰富。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党史》VR版:（1）浴血奋战、百折不挠，夺取新民主主义革命伟大胜利;（2）自力更生、发愤图强，完成社会主义革命和推进社会主义建设;（3）解放思想、锐意进取，进行改革开放和社会主义现代化建设;（4）自信自强、守正创新，开创中国特色社会主义新时代;（5）不忘初心、牢记使命，新时代的中国共产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新中国史》VR版:（1）新中国成立和社会主义制度的确立（1949-1956）;（2）社会主义建设的艰辛探索和曲折发展（1956-1978）;（3）改革开放与中国特色社会主义（1978-1992）;（4）建立社会主义市场经济和把中国特色社会主义全面推向21世纪（1992-2002）;（5）全面建设小康社会与新的形势下坚持和发展中国特色社会主义（2002--2012）;（6）中国特色社会主义进入新时代和实现中华民族伟大复兴的中国梦（2012----2017）;（7）.决胜全面建成小康社会和开启全面建设社会主义现代化强国新征程（2017-----）</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3.《改革开放史》VR版:（1）改革开放与中国特色社会主义的开创;（2）改革开放开创新局面;（3）改革开放在科学发展中深化;（4）改革开放进入新时代;（5）开启全面建设社会主义现代化强国新征程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社会主义发展史》VR版:（1）从空想社会主义到科学社会主义;（2）世界第一个社会主义国家建立与一国到多国的发展;（3）中国共产党对社会主义建设道路的探索;（4）世界社会主义的曲折与奋起;（5）中国特色社会主义开辟社会主义新纪元;（6）中国特色社会主义进入新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二十大精神》VR版:（1）二十大的重大意义和大会主题;（2）过去五年的工作和新时代十年的伟大变革;（3）开辟马克思主义中国化时代化新境界;（4）以中国式现代化全面推进中华民族伟大复兴;（5）全面建设社会主义现代化国家的战略部署;（6）以伟大自我革命引领伟大社会革命;（7）团结奋斗的时代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6.《社会主义核心价值观》VR版:（1）为什么要培育和践行社会主义核心价值观；（2）国家层面的价值目标;（3）社会层面的价值取向;（4）公民个人层面的价值准则及自觉践行社会主义核心价值观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7.《工匠精神》VR版:1）工匠精神序厅;（2）工匠精神的内涵缘起和演变；（3）中国古代的工匠精神;（4）匠造杰作书写古今传奇;（5）建国后的能工巧匠;（6）当代中国大国工匠;（7）大力弘扬工匠精神 勇做创新大国工匠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习近平新时代中国特色社会主义思想》VR版:（1）习近平新时代中国特色社会主义思想的创立条件；（2）习近平新时代中国特色社会主义思想的主要内容；（3）“十四个坚持”构成新时代坚持和发展中国特色社会主义的基本方略；（4）习近平新时代中国特色社会主义思想指导下党和国家事业取得的“十三个方面”历史性成就；（5）习近平新时代中国特色社会主义思想的历史地位；（6）加强理论武装、感悟思想伟力、汲取真理力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9.《法安天下 德润人心》VR版：（1）良法善治 安邦固本;（2）国无德不兴  人无德不立;（3）以法载德 德法相济;（4）崇法尚德 行以致远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10.《国家安全教育》VR版：（1）新时代国家安全的崭新局面;（2）持总体国家安全观 走中国特色国家安全道路;（3）维护国家安全 人人有责 人人可为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11.《真理的力量》VR版：（1）伟大导师马克思的壮丽人生;（2）马克思主义在中国的早期传播与中国共产党的成立;（3）毛泽东思想;（4）邓小平理论、“三个代表”重要思想、科学发展观与中国特色社会主义实践;（5）习近平新时代中国特色社会主义思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12.《伟大复兴》VR版：（1）醒起来•奋起抗争;（2）站起来•挺直脊梁;（3）富起来•厚积薄发;（4）强起来•走向复兴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13.《从民族存亡到封建帝制覆灭》VR版：a.帝国主义入侵，中国逐步沦为殖民地半殖民地社会 b.中华民族救亡图存运动 c.辛亥革命推翻帝制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14.《五四运动与中共建党》：（1）五四运动与马克思主义在中国传播；（2）中国共产党成立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15.《从大革命失败到八一南昌起义》VR版：（1）大革命兴起与失败；（2）发动武装起义、开展武装斗争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16.《掀起土地革命的风暴》：（1）星星之火可以燎原-----农村革命根据地建立；（2）第五次反“围剿”失败，红军长征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17.《全民族抗日战争的中流砥柱》：（1）率先高举抗日旗帜，促成全民族抗战；（2）抗日战争的中流砥柱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18.《夺取新民主主义新胜利》：（1）推翻国民党反动统治，解放全中国；（2）中华人民共和国成立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（五）3D思政资源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沉浸式体验学习红色思政内容，身临其境感受革命先烈英勇事迹，3D观影体验。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1.长征系列：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1）长征第一渡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第五次反围剿失败，红军被迫踏上战略转移的漫漫征程，开始了长征。（2）搭建浮桥：江西的于都河是中央红军长征要过的第一条大河，河宽600多米，水流深湍，当时沿河所有的民船全部停运架设浮桥。（3）惜别送行：渡河前，于都人民男女老幼从四面八方涌上桥头、涌向渡口，送上一杯杯茶水、一顶顶斗笠，送不尽对红军的无限情意，红军战士凝望根据地的山山水水，依依惜别送行的战友和乡亲们。</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2）血战湘江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红军为通过敌人在湘江布置的第四道防线，进行了湘江血战。（2）负重前行：由于王明的左倾错误路线的影响，红军携带所有家当进行转移。两岸的红军阻击阵地上红军战士，为掩护党中央安全过江，与优势的敌军展开了殊死决战。（3）搭建浮桥：红军战士拼命搭建浮桥。（4）激战湘江：敌人用飞机、大炮对浮桥不断轰炸，企图将半渡中的红军消灭。红军将士打垮了敌军的一次次进攻，湘江两岸洒下了无数红军将士的鲜血，渡口始终牢牢地掌握在红军手中。（5）惨胜过江：12月1日17时，中央机关和红军大部队终于拼死渡过了湘江。然而，掩护主力的红5军团34师、红3军团18团被敌人阻断，官兵大部分阵亡。</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3）飞夺泸定桥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红一方面军在安顺场强渡大渡河胜利之后，为了争取时间，掌握主动，中央军委决定分左右两路军沿大渡河夹击而上，夺取泸定桥。（2）泸定桥地势险恶，挂在两山之间的江面上，桥上的木板已经被拆除，铁索冒发着阵阵寒意，桥下水流湍急，团长桥边动员会。（3）二十二个战士前赴后继背着木板爬上铁索桥，边进攻，边铺桥桥头，胜利冲过了桥头。（4）炮火硝烟里的对岸碉堡上军旗摇曳，战士们欢呼雀跃！</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4）胜利会师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背景介绍：1936年9月，中央军委在陕西保安提出红军三大主力在会宁会师的想法。随后，红四方面军陆续抵达会宁。（2）红一、四方面军会师，庆祝会师联欢大会。10月10日黄昏，红一、红四方面军于在会宁文庙举行了庆祝会师联欢大会。党中央从陕北发来贺电《为庆祝一、二、四方面军大会合通电》。（3）10月15日，红二方面军到达会宁地区，21日，红二方面军领导人与红一方面军领导人在平峰镇会面，实现红军三大主力会师。</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2.伟大复兴系列: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1）站起来 挺直脊梁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开国大典：1949年10月1日，庆祝中华人民共和国中央人民政府成立典礼在首都北京隆重举行，史称“开国大典”。毛泽东主席在天安门城楼上庄严宣告：“中华人民共和国中央人民政府今天成立了！”（2）抗美援朝：1950年10月19日，中国人民志愿军跨过鸭绿江，赶赴朝鲜战场，揭开抗美援朝战争序幕。（3）护国神器—原子弹和氢弹：新中国为打破来自美苏的核威胁、核垄断，保护国家主权独立和领土完整，毅然决然开启两弹一星研究工程。风沙遍地的戈壁滩，解放军战士在勘探、打夯、钻井、建房子、运输物资，还有的在指导交通，有条不紊地忙碌着。实验室内多名科学家在认真画着图纸，快速拨弄算盘；稿纸一张张掉在地上。一个原子弹在基座支架支撑下立在戈壁滩上，蓄势待发。按动按钮，全景蘑菇云升起！战士们和科学家在欢呼；三年后，1967年6月17日，还是在中国新疆罗布泊上空，又成功爆炸了第一枚氢弹。（4）.不朽颂歌--东方红一号卫星上天：1970年4月24日，中国首枚“长征一号”运载火箭又成功将“东方红一号”卫星送入预定轨道，奠定了长征系列运载火箭发展的基础，拉开了中国进军太空的序幕。（5）弘扬“两弹一星”精神。</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2）富起来 赶上时代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十一届三中全会：1978年12月18日党的十一届三中全会在北京召开。全会决定把党和国家工作中心转移到经济建设上来，实行改革开放的历史性决策。（2）安徽凤阳小岗村：1978年，十八位农民以“托孤”的方式，冒着极大的风险，立下生死状，在土地承包责任书上按下了红手印，创造了“小岗精神”，拉开了中国改革开放的序幕。（3）特区展示：1980年8月中央决定设立深圳、珠海、汕头和厦门经济特区，1984年中央进一步决定开放14个沿海城市；（4）南方谈话：1992年，改革开放的总设计师邓小平，先后赴武昌、深圳、珠海和上海视察提出了：坚持一个中心，两个基本点的基本路线一百年不动摇。要加快改革开放的步伐。（5）中国高铁：取得从引进到国超越的伟大成就。（6）袁隆平及水稻：由“杂交水稻之父”袁隆平团队研发的杂交水稻，实现一次次超越，2021年10月17日实现双季测产为1603.9公斤的新纪录。（7）神舟五号飞天：实现中国载人航天工程的成功首发。（8）雪龙号极地考察：“雪龙”号是中国最大的极地考察船，足迹遍布五大洋，创下了中国航海史上多项新纪录。（9）蛟龙号载人深潜：“蛟龙号”在全球最深的马里亚纳海沟，成功完成了7000米级海试。（10）第二大经济体：用动态的柱状图表达2010年中国的国内生产总值（GDP）跃居世界第二，超过了日本成为世界第二大经济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3）强起来 走向复兴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北斗卫星：北斗系统第55颗导航卫星在长征三号乙火箭的搭载下蓄势待发。习近平原声：我宣布，北斗三号全球卫星导航系统正式开通。（2）嫦娥探月：2020年11月24日，嫦娥五号探测器顺利进入预定轨道，开启中国首次地外天体采样返回之旅。（3）航空母舰：自辽宁舰和山东舰相继交付海军之后，2022年6月17日第三艘中国完全自主设计建造的、首艘电磁弹射型航空母舰下水，自此拉开了中国三艘航母并驾齐驱的序幕。（4）天眼工程：位于贵州平塘的中国天眼FAST，是目前世界上最大、灵敏度最高的单口径射电望远镜。从1994年我国天文学家南仁东提出构想，2016年9月25日落成启用，它让我国在射电天文领域领先世界20年。（5）C919大飞机：C919大飞机，是中国自行研制、具有自主知识产权的大型喷气式民用飞机于2017年5月5日成功首飞。于2022年12月9日，全球首架机正式交付中国东方航空，投入商业运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（六）影视资源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实现线上观影，支持自主上传/删除影视资源。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（七）欢迎来访</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支持自主编辑内容，设置来访欢迎词，自动保存。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（八）入党宣誓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入党宣誓词，支持一键播放内容，方便快捷。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（九）党章党规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支持自主编辑内容，包含文档修改/删除/添加等，自动上传、自动分类展示。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（十）组织宣传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（十一）、党建活动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支持自主上传党建活动内容，包含文字、图片、音频等形式。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（十二）知识问答</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a.支持单人/双人/多人同时在线答题，增加互动感和趣味性。b.系统自动评分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（十三）友情链接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支持自主上传网页链接，一键选取查看，方便快捷。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（十四）使用手册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用户使用方法介绍，操作说明。</w:t>
            </w:r>
          </w:p>
          <w:p w14:paraId="3BA542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（十五）三门峡本地党建红色资源3-5个</w:t>
            </w:r>
            <w:r>
              <w:rPr>
                <w:rFonts w:hint="eastAsia" w:ascii="宋体" w:hAnsi="宋体" w:eastAsia="宋体" w:cs="宋体"/>
                <w:sz w:val="21"/>
                <w:szCs w:val="21"/>
                <w:lang w:val="en-US" w:eastAsia="zh-CN"/>
              </w:rPr>
              <w:br w:type="textWrapping"/>
            </w:r>
            <w:r>
              <w:rPr>
                <w:rFonts w:hint="eastAsia" w:ascii="宋体" w:hAnsi="宋体" w:eastAsia="宋体" w:cs="宋体"/>
                <w:b/>
                <w:bCs/>
                <w:sz w:val="21"/>
                <w:szCs w:val="21"/>
                <w:highlight w:val="none"/>
                <w:lang w:val="en-US" w:eastAsia="zh-CN"/>
              </w:rPr>
              <w:t>★投标人需提供针对本项目的所列资源软件界面截图并加盖厂家公章；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★为保证投标产品为具有自主知识产权的正版产品，投标人需提供针对本项目的所列资源软件著作权证书并加盖厂家公章；</w:t>
            </w:r>
            <w:r>
              <w:rPr>
                <w:rFonts w:hint="eastAsia" w:ascii="宋体" w:hAnsi="宋体" w:eastAsia="宋体" w:cs="宋体"/>
                <w:b/>
                <w:bCs/>
                <w:sz w:val="21"/>
                <w:szCs w:val="21"/>
                <w:highlight w:val="none"/>
                <w:lang w:val="en-US" w:eastAsia="zh-CN"/>
              </w:rPr>
              <w:br w:type="textWrapping"/>
            </w:r>
            <w:r>
              <w:rPr>
                <w:rFonts w:hint="eastAsia" w:ascii="宋体" w:hAnsi="宋体" w:eastAsia="宋体" w:cs="宋体"/>
                <w:b/>
                <w:bCs/>
                <w:sz w:val="21"/>
                <w:szCs w:val="21"/>
                <w:highlight w:val="none"/>
                <w:lang w:val="en-US" w:eastAsia="zh-CN"/>
              </w:rPr>
              <w:t>★提供生产厂家针对本项目的售后服务承诺书。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02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21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B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0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02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3065E7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E38F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CF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4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C8A4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AA6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8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45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D2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B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1233348">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36E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EA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34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1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A78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BB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6CEC4E">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nil"/>
              <w:right w:val="single" w:color="000000" w:sz="4" w:space="0"/>
            </w:tcBorders>
            <w:shd w:val="clear" w:color="auto" w:fill="auto"/>
            <w:noWrap/>
            <w:vAlign w:val="center"/>
          </w:tcPr>
          <w:p w14:paraId="45EBDA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四、教学楼红色文化打造</w:t>
            </w:r>
          </w:p>
        </w:tc>
        <w:tc>
          <w:tcPr>
            <w:tcW w:w="468" w:type="dxa"/>
            <w:tcBorders>
              <w:top w:val="single" w:color="000000" w:sz="4" w:space="0"/>
              <w:left w:val="single" w:color="000000" w:sz="8" w:space="0"/>
              <w:bottom w:val="nil"/>
              <w:right w:val="single" w:color="000000" w:sz="4" w:space="0"/>
            </w:tcBorders>
            <w:shd w:val="clear" w:color="auto" w:fill="auto"/>
            <w:noWrap/>
            <w:vAlign w:val="center"/>
          </w:tcPr>
          <w:p w14:paraId="499A4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A77590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2E68A4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452E0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一二楼走廊</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AD1BF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一楼重点打造廉政教育主题墙，二楼重点打造党史百年主题墙，包含墙面清理、翻新、展板、灯光等</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3A60FC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6E2D60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1EDE7A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F2396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9FA4C1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9DEA9C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8799B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44F45A7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6D3F24C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思政文化智能宣传栏</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2A71C95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打造智慧型校园红色文化宣传视觉</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A4514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720DD9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2E1FA3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249F7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40BFCAB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6B6243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055F94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D48B74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思政文化智能垃圾箱</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BC264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思政文化主体标语</w:t>
            </w:r>
          </w:p>
          <w:p w14:paraId="46535A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内外双通</w:t>
            </w:r>
          </w:p>
          <w:p w14:paraId="67DE21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加厚镀锌板</w:t>
            </w:r>
          </w:p>
          <w:p w14:paraId="7FD039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不锈钢外壳材质</w:t>
            </w:r>
          </w:p>
          <w:p w14:paraId="3CF1D6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容量≥50L</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6431D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7BE4F5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AF6B1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50CB6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683A11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4D0EC9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6060C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31087F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思政堂桌</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5BBC71D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钢制讲台</w:t>
            </w:r>
          </w:p>
          <w:p w14:paraId="130467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尺寸:长1000MM*宽730MM*高960MM参数:</w:t>
            </w:r>
          </w:p>
          <w:p w14:paraId="5C83FE2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桌体采用 0.7~1.0mm优质冷轧钢板。桌体上部分采用直角R6设计。讲台整体设计符合人体力学原理，提供左右实木扶手，供使用者扶用。工艺:脱脂、磷化、静电喷塑、溜平固化，重点部位须采用一次冲压成型技术;所有钣金部分均采用激光切割加工，所有尖角倒圆角不小于 R3，保证使用者和维护者不划伤;</w:t>
            </w:r>
          </w:p>
          <w:p w14:paraId="6C4C73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钢木结合材料一体成型;讲台左右木扶手和桌面木台面均采用高档橡木精细加工而成;全封闭式结构，保障了多媒体设备的安全性;</w:t>
            </w:r>
          </w:p>
          <w:p w14:paraId="1FBC09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合理的尺寸设计，合理的设备安排;整体采用分体式结构，上下两部分采用分体组装;</w:t>
            </w:r>
          </w:p>
          <w:p w14:paraId="0F019B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上柜背面开有棱形喇叭孔，左右对称，造型美观，方便散热;上柜后方开有检修门，便于安装和检修;</w:t>
            </w:r>
          </w:p>
          <w:p w14:paraId="34CF15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台面可放置笔记本电脑,台面前方设计有两个杂物抽屉;</w:t>
            </w:r>
          </w:p>
          <w:p w14:paraId="2E05924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下柜为整体式，下柜四周为直角R6，美观大方，下柜前面开有双开门，后方开有检修门，下柜内可放置主机、功放等设备。</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6C8E5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4077C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E330E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77B999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1A53B4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E4B39B9">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1E1869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73F439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62412A3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额定制冷量(W)：≥7290</w:t>
            </w:r>
          </w:p>
          <w:p w14:paraId="4986604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额定制热量(W)：热泵≥9210</w:t>
            </w:r>
          </w:p>
          <w:p w14:paraId="236A81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电辅热：≥2500</w:t>
            </w:r>
          </w:p>
          <w:p w14:paraId="35A8EC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功率(W)制冷：≥2350(390~3250)</w:t>
            </w:r>
            <w:r>
              <w:rPr>
                <w:rFonts w:hint="eastAsia" w:ascii="宋体" w:hAnsi="宋体" w:eastAsia="宋体" w:cs="宋体"/>
                <w:sz w:val="21"/>
                <w:szCs w:val="21"/>
                <w:lang w:val="en-US" w:eastAsia="zh-CN"/>
              </w:rPr>
              <w:tab/>
            </w:r>
          </w:p>
          <w:p w14:paraId="69A26F6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制热≥2800</w:t>
            </w:r>
          </w:p>
          <w:p w14:paraId="12B265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噪音[dB(A)]：室内机(低-高-超强)≤35-44-47</w:t>
            </w:r>
            <w:r>
              <w:rPr>
                <w:rFonts w:hint="eastAsia" w:ascii="宋体" w:hAnsi="宋体" w:eastAsia="宋体" w:cs="宋体"/>
                <w:sz w:val="21"/>
                <w:szCs w:val="21"/>
                <w:lang w:val="en-US" w:eastAsia="zh-CN"/>
              </w:rPr>
              <w:tab/>
            </w:r>
          </w:p>
          <w:p w14:paraId="2BAE0D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室外机≤56</w:t>
            </w:r>
            <w:r>
              <w:rPr>
                <w:rFonts w:hint="eastAsia" w:ascii="宋体" w:hAnsi="宋体" w:eastAsia="宋体" w:cs="宋体"/>
                <w:sz w:val="21"/>
                <w:szCs w:val="21"/>
                <w:lang w:val="en-US" w:eastAsia="zh-CN"/>
              </w:rPr>
              <w:tab/>
            </w:r>
          </w:p>
          <w:p w14:paraId="0B33BF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最大输入功率(W)≥6950</w:t>
            </w:r>
            <w:r>
              <w:rPr>
                <w:rFonts w:hint="eastAsia" w:ascii="宋体" w:hAnsi="宋体" w:eastAsia="宋体" w:cs="宋体"/>
                <w:sz w:val="21"/>
                <w:szCs w:val="21"/>
                <w:lang w:val="en-US" w:eastAsia="zh-CN"/>
              </w:rPr>
              <w:tab/>
            </w:r>
          </w:p>
          <w:p w14:paraId="5F57DAE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最大输入电流(A)≥32.0</w:t>
            </w:r>
            <w:r>
              <w:rPr>
                <w:rFonts w:hint="eastAsia" w:ascii="宋体" w:hAnsi="宋体" w:eastAsia="宋体" w:cs="宋体"/>
                <w:sz w:val="21"/>
                <w:szCs w:val="21"/>
                <w:lang w:val="en-US" w:eastAsia="zh-CN"/>
              </w:rPr>
              <w:tab/>
            </w:r>
          </w:p>
          <w:p w14:paraId="536FCE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循环风量(m/h)：≥1210</w:t>
            </w:r>
          </w:p>
          <w:p w14:paraId="0218852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工作方式：变频</w:t>
            </w:r>
          </w:p>
          <w:p w14:paraId="15F80D0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效能等级：一级</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5C24B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9D1FA1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7740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A1F33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24891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709053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4A96F8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1CC460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校门面房思政版面更新</w:t>
            </w: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34BFD38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旧版面进行更换提升</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E23BE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C4E80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AA35F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18A6A2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9DA64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710C981">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35B2D3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2DF205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p>
        </w:tc>
        <w:tc>
          <w:tcPr>
            <w:tcW w:w="816" w:type="dxa"/>
            <w:tcBorders>
              <w:top w:val="single" w:color="000000" w:sz="4" w:space="0"/>
              <w:left w:val="single" w:color="000000" w:sz="4" w:space="0"/>
              <w:bottom w:val="nil"/>
              <w:right w:val="single" w:color="000000" w:sz="4" w:space="0"/>
            </w:tcBorders>
            <w:shd w:val="clear" w:color="auto" w:fill="auto"/>
            <w:noWrap/>
            <w:vAlign w:val="top"/>
          </w:tcPr>
          <w:p w14:paraId="3E90F22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多功能校园垃圾车</w:t>
            </w:r>
          </w:p>
          <w:p w14:paraId="6A76883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p>
        </w:tc>
        <w:tc>
          <w:tcPr>
            <w:tcW w:w="4542" w:type="dxa"/>
            <w:gridSpan w:val="2"/>
            <w:tcBorders>
              <w:top w:val="single" w:color="000000" w:sz="4" w:space="0"/>
              <w:left w:val="single" w:color="000000" w:sz="4" w:space="0"/>
              <w:bottom w:val="nil"/>
              <w:right w:val="single" w:color="000000" w:sz="4" w:space="0"/>
            </w:tcBorders>
            <w:shd w:val="clear" w:color="auto" w:fill="auto"/>
            <w:vAlign w:val="top"/>
          </w:tcPr>
          <w:p w14:paraId="07C85F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1E8442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要求容量要大，可充电。</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01F01C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3E2A2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63E3B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5ABE45A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030C284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A13B9A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DFA4A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816" w:type="dxa"/>
            <w:tcBorders>
              <w:top w:val="single" w:color="000000" w:sz="4" w:space="0"/>
              <w:left w:val="single" w:color="000000" w:sz="4" w:space="0"/>
              <w:bottom w:val="nil"/>
              <w:right w:val="single" w:color="000000" w:sz="4" w:space="0"/>
            </w:tcBorders>
            <w:shd w:val="clear" w:color="auto" w:fill="auto"/>
            <w:noWrap/>
            <w:vAlign w:val="top"/>
          </w:tcPr>
          <w:p w14:paraId="0D8F39D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党建资料室 桌、椅、柜</w:t>
            </w:r>
          </w:p>
        </w:tc>
        <w:tc>
          <w:tcPr>
            <w:tcW w:w="4542" w:type="dxa"/>
            <w:gridSpan w:val="2"/>
            <w:tcBorders>
              <w:top w:val="single" w:color="000000" w:sz="4" w:space="0"/>
              <w:left w:val="single" w:color="000000" w:sz="4" w:space="0"/>
              <w:bottom w:val="nil"/>
              <w:right w:val="single" w:color="000000" w:sz="4" w:space="0"/>
            </w:tcBorders>
            <w:shd w:val="clear" w:color="auto" w:fill="auto"/>
            <w:vAlign w:val="top"/>
          </w:tcPr>
          <w:p w14:paraId="0EE047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 13 人可围坐一圈的方桌或圆桌， 13 个配套的椅子，2 个文件柜</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205D7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464A24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531BD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3D88BB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00A440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03DCC8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D3CA4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16" w:type="dxa"/>
            <w:tcBorders>
              <w:top w:val="single" w:color="000000" w:sz="4" w:space="0"/>
              <w:left w:val="single" w:color="000000" w:sz="4" w:space="0"/>
              <w:bottom w:val="nil"/>
              <w:right w:val="single" w:color="000000" w:sz="4" w:space="0"/>
            </w:tcBorders>
            <w:shd w:val="clear" w:color="auto" w:fill="auto"/>
            <w:noWrap/>
            <w:vAlign w:val="center"/>
          </w:tcPr>
          <w:p w14:paraId="3218157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542" w:type="dxa"/>
            <w:gridSpan w:val="2"/>
            <w:tcBorders>
              <w:top w:val="single" w:color="000000" w:sz="4" w:space="0"/>
              <w:left w:val="single" w:color="000000" w:sz="4" w:space="0"/>
              <w:bottom w:val="nil"/>
              <w:right w:val="single" w:color="000000" w:sz="4" w:space="0"/>
            </w:tcBorders>
            <w:shd w:val="clear" w:color="auto" w:fill="auto"/>
            <w:vAlign w:val="center"/>
          </w:tcPr>
          <w:p w14:paraId="78A9C61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85246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26D490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3B81055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4D3A0B6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668215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02AEF3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02331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EBE01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0FC89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A4A9C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369C7D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bl>
    <w:p w14:paraId="48B6C30B">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p w14:paraId="098B0821">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tbl>
      <w:tblPr>
        <w:tblStyle w:val="21"/>
        <w:tblW w:w="0" w:type="auto"/>
        <w:tblInd w:w="96" w:type="dxa"/>
        <w:tblLayout w:type="autofit"/>
        <w:tblCellMar>
          <w:top w:w="0" w:type="dxa"/>
          <w:left w:w="108" w:type="dxa"/>
          <w:bottom w:w="0" w:type="dxa"/>
          <w:right w:w="108" w:type="dxa"/>
        </w:tblCellMar>
      </w:tblPr>
      <w:tblGrid>
        <w:gridCol w:w="445"/>
        <w:gridCol w:w="964"/>
        <w:gridCol w:w="4580"/>
        <w:gridCol w:w="540"/>
        <w:gridCol w:w="445"/>
        <w:gridCol w:w="886"/>
        <w:gridCol w:w="886"/>
        <w:gridCol w:w="446"/>
      </w:tblGrid>
      <w:tr w14:paraId="6EBB7D6B">
        <w:tblPrEx>
          <w:tblCellMar>
            <w:top w:w="0" w:type="dxa"/>
            <w:left w:w="108" w:type="dxa"/>
            <w:bottom w:w="0" w:type="dxa"/>
            <w:right w:w="108" w:type="dxa"/>
          </w:tblCellMar>
        </w:tblPrEx>
        <w:trPr>
          <w:trHeight w:val="9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258F1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1"/>
                <w:szCs w:val="21"/>
                <w:lang w:bidi="ar"/>
              </w:rPr>
            </w:pPr>
            <w:r>
              <w:rPr>
                <w:rFonts w:hint="eastAsia" w:ascii="宋体" w:hAnsi="宋体" w:eastAsia="宋体" w:cs="宋体"/>
                <w:b/>
                <w:bCs/>
                <w:sz w:val="21"/>
                <w:szCs w:val="21"/>
                <w:lang w:val="en-US" w:eastAsia="zh-CN"/>
              </w:rPr>
              <w:t>三标段采购清单</w:t>
            </w:r>
          </w:p>
        </w:tc>
      </w:tr>
      <w:tr w14:paraId="200BA659">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C03D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44C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70B7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2001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FAF5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44F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单价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r>
              <w:rPr>
                <w:rFonts w:hint="eastAsia" w:ascii="宋体" w:hAnsi="宋体" w:eastAsia="宋体" w:cs="宋体"/>
                <w:b/>
                <w:bCs/>
                <w:color w:val="auto"/>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E789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5AE6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588A6408">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F65D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DFF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教学能力大赛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3个作品的参赛资源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F9EF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color w:val="auto"/>
                <w:kern w:val="0"/>
                <w:sz w:val="21"/>
                <w:szCs w:val="21"/>
                <w:lang w:bidi="ar"/>
              </w:rPr>
              <w:t>提供</w:t>
            </w:r>
            <w:r>
              <w:rPr>
                <w:rFonts w:hint="eastAsia" w:ascii="宋体" w:hAnsi="宋体" w:eastAsia="宋体" w:cs="宋体"/>
                <w:b/>
                <w:bCs/>
                <w:color w:val="auto"/>
                <w:kern w:val="0"/>
                <w:sz w:val="21"/>
                <w:szCs w:val="21"/>
                <w:lang w:bidi="ar"/>
              </w:rPr>
              <w:t>2026年，2027</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2028</w:t>
            </w:r>
            <w:r>
              <w:rPr>
                <w:rFonts w:hint="eastAsia" w:ascii="宋体" w:hAnsi="宋体" w:eastAsia="宋体" w:cs="宋体"/>
                <w:color w:val="auto"/>
                <w:kern w:val="0"/>
                <w:sz w:val="21"/>
                <w:szCs w:val="21"/>
                <w:lang w:bidi="ar"/>
              </w:rPr>
              <w:t>年</w:t>
            </w:r>
            <w:r>
              <w:rPr>
                <w:rFonts w:hint="eastAsia" w:ascii="宋体" w:hAnsi="宋体" w:eastAsia="宋体" w:cs="宋体"/>
                <w:color w:val="auto"/>
                <w:kern w:val="0"/>
                <w:sz w:val="21"/>
                <w:szCs w:val="21"/>
                <w:lang w:eastAsia="zh-CN" w:bidi="ar"/>
              </w:rPr>
              <w:t>三</w:t>
            </w:r>
            <w:r>
              <w:rPr>
                <w:rFonts w:hint="eastAsia" w:ascii="宋体" w:hAnsi="宋体" w:eastAsia="宋体" w:cs="宋体"/>
                <w:color w:val="auto"/>
                <w:kern w:val="0"/>
                <w:sz w:val="21"/>
                <w:szCs w:val="21"/>
                <w:lang w:bidi="ar"/>
              </w:rPr>
              <w:t>年的学校教学能力大赛服务需满足以下要求：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1.专家指导</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▲指导内容</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eastAsia="zh-CN" w:bidi="ar"/>
              </w:rPr>
              <w:t>①参赛组队分工及线上初评提交全部资料的指导与审核：</w:t>
            </w:r>
            <w:r>
              <w:rPr>
                <w:rFonts w:hint="eastAsia" w:ascii="宋体" w:hAnsi="宋体" w:eastAsia="宋体" w:cs="宋体"/>
                <w:color w:val="auto"/>
                <w:kern w:val="0"/>
                <w:sz w:val="21"/>
                <w:szCs w:val="21"/>
                <w:lang w:eastAsia="zh-CN" w:bidi="ar"/>
              </w:rPr>
              <w:t>对标国赛标准</w:t>
            </w:r>
            <w:r>
              <w:rPr>
                <w:rFonts w:hint="eastAsia" w:ascii="宋体" w:hAnsi="宋体" w:eastAsia="宋体" w:cs="宋体"/>
                <w:color w:val="auto"/>
                <w:kern w:val="0"/>
                <w:sz w:val="21"/>
                <w:szCs w:val="21"/>
                <w:lang w:bidi="ar"/>
              </w:rPr>
              <w:t>对参赛组员分工、给予老师选择教材及参赛内容建议、人才培养方案、课程标准审核网评初稿、思路体系建立（课程推导图）、教学设计（基础课不少于12学时，专业课不少于16学时）、实施报告，线上对网评初稿进行审核。</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②教学设计资源匹配阶段：</w:t>
            </w:r>
            <w:r>
              <w:rPr>
                <w:rFonts w:hint="eastAsia" w:ascii="宋体" w:hAnsi="宋体" w:eastAsia="宋体" w:cs="宋体"/>
                <w:color w:val="auto"/>
                <w:kern w:val="0"/>
                <w:sz w:val="21"/>
                <w:szCs w:val="21"/>
                <w:lang w:bidi="ar"/>
              </w:rPr>
              <w:t>远程沟通学校平台、教学资源准备、给予参赛教师必备教学资源的指导与建议、本专业课程思政元素的提取、视频录制课堂课件设计沟通制作（3-4个）</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③梳理资料提交阶段：</w:t>
            </w:r>
            <w:r>
              <w:rPr>
                <w:rFonts w:hint="eastAsia" w:ascii="宋体" w:hAnsi="宋体" w:eastAsia="宋体" w:cs="宋体"/>
                <w:color w:val="auto"/>
                <w:kern w:val="0"/>
                <w:sz w:val="21"/>
                <w:szCs w:val="21"/>
                <w:lang w:bidi="ar"/>
              </w:rPr>
              <w:t>参赛资料注意事项说明；专家审核参赛文本资料最终稿；</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④根据课程特点</w:t>
            </w:r>
            <w:r>
              <w:rPr>
                <w:rFonts w:hint="eastAsia" w:ascii="宋体" w:hAnsi="宋体" w:eastAsia="宋体" w:cs="宋体"/>
                <w:b/>
                <w:bCs/>
                <w:color w:val="auto"/>
                <w:kern w:val="0"/>
                <w:sz w:val="21"/>
                <w:szCs w:val="21"/>
                <w:lang w:eastAsia="zh-CN" w:bidi="ar"/>
              </w:rPr>
              <w:t>对</w:t>
            </w:r>
            <w:r>
              <w:rPr>
                <w:rFonts w:hint="eastAsia" w:ascii="宋体" w:hAnsi="宋体" w:eastAsia="宋体" w:cs="宋体"/>
                <w:b/>
                <w:bCs/>
                <w:color w:val="auto"/>
                <w:kern w:val="0"/>
                <w:sz w:val="21"/>
                <w:szCs w:val="21"/>
                <w:lang w:bidi="ar"/>
              </w:rPr>
              <w:t>参赛教案、说课课件</w:t>
            </w:r>
            <w:r>
              <w:rPr>
                <w:rFonts w:hint="eastAsia" w:ascii="宋体" w:hAnsi="宋体" w:eastAsia="宋体" w:cs="宋体"/>
                <w:b/>
                <w:bCs/>
                <w:color w:val="auto"/>
                <w:kern w:val="0"/>
                <w:sz w:val="21"/>
                <w:szCs w:val="21"/>
                <w:lang w:eastAsia="zh-CN" w:bidi="ar"/>
              </w:rPr>
              <w:t>进行</w:t>
            </w:r>
            <w:r>
              <w:rPr>
                <w:rFonts w:hint="eastAsia" w:ascii="宋体" w:hAnsi="宋体" w:eastAsia="宋体" w:cs="宋体"/>
                <w:b/>
                <w:bCs/>
                <w:color w:val="auto"/>
                <w:kern w:val="0"/>
                <w:sz w:val="21"/>
                <w:szCs w:val="21"/>
                <w:lang w:bidi="ar"/>
              </w:rPr>
              <w:t>设计制作</w:t>
            </w:r>
            <w:r>
              <w:rPr>
                <w:rFonts w:hint="eastAsia" w:ascii="宋体" w:hAnsi="宋体" w:eastAsia="宋体" w:cs="宋体"/>
                <w:b/>
                <w:bCs/>
                <w:color w:val="auto"/>
                <w:kern w:val="0"/>
                <w:sz w:val="21"/>
                <w:szCs w:val="21"/>
                <w:lang w:eastAsia="zh-CN" w:bidi="ar"/>
              </w:rPr>
              <w:t>提升</w:t>
            </w:r>
            <w:r>
              <w:rPr>
                <w:rFonts w:hint="eastAsia" w:ascii="宋体" w:hAnsi="宋体" w:eastAsia="宋体" w:cs="宋体"/>
                <w:b/>
                <w:bCs/>
                <w:color w:val="auto"/>
                <w:kern w:val="0"/>
                <w:sz w:val="21"/>
                <w:szCs w:val="21"/>
                <w:lang w:bidi="ar"/>
              </w:rPr>
              <w:t>（共12/16学时）</w:t>
            </w:r>
            <w:r>
              <w:rPr>
                <w:rFonts w:hint="eastAsia" w:ascii="宋体" w:hAnsi="宋体" w:eastAsia="宋体" w:cs="宋体"/>
                <w:b/>
                <w:bCs/>
                <w:color w:val="auto"/>
                <w:kern w:val="0"/>
                <w:sz w:val="21"/>
                <w:szCs w:val="21"/>
                <w:lang w:eastAsia="zh-CN" w:bidi="ar"/>
              </w:rPr>
              <w:t>；</w:t>
            </w:r>
          </w:p>
          <w:p w14:paraId="43D9D9FD">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eastAsia="zh-CN" w:bidi="ar"/>
              </w:rPr>
              <w:fldChar w:fldCharType="begin"/>
            </w:r>
            <w:r>
              <w:rPr>
                <w:rFonts w:hint="eastAsia" w:ascii="宋体" w:hAnsi="宋体" w:eastAsia="宋体" w:cs="宋体"/>
                <w:b/>
                <w:bCs/>
                <w:color w:val="auto"/>
                <w:kern w:val="0"/>
                <w:sz w:val="21"/>
                <w:szCs w:val="21"/>
                <w:lang w:eastAsia="zh-CN" w:bidi="ar"/>
              </w:rPr>
              <w:instrText xml:space="preserve"> = 5 \* GB3 \* MERGEFORMAT </w:instrText>
            </w:r>
            <w:r>
              <w:rPr>
                <w:rFonts w:hint="eastAsia" w:ascii="宋体" w:hAnsi="宋体" w:eastAsia="宋体" w:cs="宋体"/>
                <w:b/>
                <w:bCs/>
                <w:color w:val="auto"/>
                <w:kern w:val="0"/>
                <w:sz w:val="21"/>
                <w:szCs w:val="21"/>
                <w:lang w:eastAsia="zh-CN" w:bidi="ar"/>
              </w:rPr>
              <w:fldChar w:fldCharType="separate"/>
            </w:r>
            <w:r>
              <w:rPr>
                <w:rFonts w:hint="eastAsia" w:ascii="宋体" w:hAnsi="宋体" w:eastAsia="宋体" w:cs="宋体"/>
                <w:b/>
                <w:bCs/>
                <w:color w:val="auto"/>
                <w:kern w:val="0"/>
                <w:sz w:val="21"/>
                <w:szCs w:val="21"/>
                <w:lang w:eastAsia="zh-CN" w:bidi="ar"/>
              </w:rPr>
              <w:t>⑤</w:t>
            </w:r>
            <w:r>
              <w:rPr>
                <w:rFonts w:hint="eastAsia" w:ascii="宋体" w:hAnsi="宋体" w:eastAsia="宋体" w:cs="宋体"/>
                <w:b/>
                <w:bCs/>
                <w:color w:val="auto"/>
                <w:kern w:val="0"/>
                <w:sz w:val="21"/>
                <w:szCs w:val="21"/>
                <w:lang w:eastAsia="zh-CN" w:bidi="ar"/>
              </w:rPr>
              <w:fldChar w:fldCharType="end"/>
            </w:r>
            <w:r>
              <w:rPr>
                <w:rFonts w:hint="eastAsia" w:ascii="宋体" w:hAnsi="宋体" w:eastAsia="宋体" w:cs="宋体"/>
                <w:b/>
                <w:bCs/>
                <w:color w:val="auto"/>
                <w:kern w:val="0"/>
                <w:sz w:val="21"/>
                <w:szCs w:val="21"/>
                <w:lang w:eastAsia="zh-CN" w:bidi="ar"/>
              </w:rPr>
              <w:t>参赛队进入决赛：</w:t>
            </w:r>
            <w:r>
              <w:rPr>
                <w:rFonts w:hint="eastAsia" w:ascii="宋体" w:hAnsi="宋体" w:eastAsia="宋体" w:cs="宋体"/>
                <w:b w:val="0"/>
                <w:bCs w:val="0"/>
                <w:color w:val="auto"/>
                <w:kern w:val="0"/>
                <w:sz w:val="21"/>
                <w:szCs w:val="21"/>
                <w:lang w:eastAsia="zh-CN" w:bidi="ar"/>
              </w:rPr>
              <w:t>对教师进行展示实施阶段的指导：一是教学实施报告的说课课件制作和讲解辅导；二是展示答辩环节备赛资料准备和现场答辩指导。</w:t>
            </w:r>
          </w:p>
          <w:p w14:paraId="145D1658">
            <w:pPr>
              <w:pageBreakBefore w:val="0"/>
              <w:widowControl/>
              <w:bidi w:val="0"/>
              <w:adjustRightInd w:val="0"/>
              <w:snapToGrid w:val="0"/>
              <w:spacing w:beforeAutospacing="0" w:afterAutospacing="0" w:line="360" w:lineRule="auto"/>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▲指导形式：</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①线上指导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线上指导贯穿项目全程，指导中的案例解析与参考，指导后的答疑和作品评审和修改;指导全程由专家对团队和作品进行全方位指导和完善，包括教案和实施报告的整体提升。</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②入校现场指导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入校现场指导参赛贯穿全程，包含是专家入校进行大赛优秀作品案例解析与参考，教案、教学设计、教学实施报告</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课程标准等文档资料解析，对团队成员水平和优略势进行分析座谈提升指导，每次辅导循序渐进，指导和打磨每个作品。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③专家一对一指导:</w:t>
            </w:r>
            <w:r>
              <w:rPr>
                <w:rFonts w:hint="eastAsia" w:ascii="宋体" w:hAnsi="宋体" w:eastAsia="宋体" w:cs="宋体"/>
                <w:color w:val="auto"/>
                <w:kern w:val="0"/>
                <w:sz w:val="21"/>
                <w:szCs w:val="21"/>
                <w:lang w:bidi="ar"/>
              </w:rPr>
              <w:t>进行每个作品的初次指导，优化，解决基本框架问题，修改后对每个作品进一步完善，专家对老师的整体教案、教学实施报告、课程标准和人才培养方案定稿进一步指导提升，进行一对一指导和打磨。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指导专家团队要求有国赛</w:t>
            </w:r>
            <w:r>
              <w:rPr>
                <w:rFonts w:hint="eastAsia" w:ascii="宋体" w:hAnsi="宋体" w:eastAsia="宋体" w:cs="宋体"/>
                <w:color w:val="auto"/>
                <w:kern w:val="0"/>
                <w:sz w:val="21"/>
                <w:szCs w:val="21"/>
                <w:lang w:eastAsia="zh-CN" w:bidi="ar"/>
              </w:rPr>
              <w:t>一等奖</w:t>
            </w:r>
            <w:r>
              <w:rPr>
                <w:rFonts w:hint="eastAsia" w:ascii="宋体" w:hAnsi="宋体" w:eastAsia="宋体" w:cs="宋体"/>
                <w:color w:val="auto"/>
                <w:kern w:val="0"/>
                <w:sz w:val="21"/>
                <w:szCs w:val="21"/>
                <w:lang w:bidi="ar"/>
              </w:rPr>
              <w:t>获奖经验</w:t>
            </w:r>
            <w:r>
              <w:rPr>
                <w:rFonts w:hint="eastAsia" w:ascii="宋体" w:hAnsi="宋体" w:eastAsia="宋体" w:cs="宋体"/>
                <w:color w:val="auto"/>
                <w:kern w:val="0"/>
                <w:sz w:val="21"/>
                <w:szCs w:val="21"/>
                <w:lang w:eastAsia="zh-CN" w:bidi="ar"/>
              </w:rPr>
              <w:t>的专家</w:t>
            </w:r>
            <w:r>
              <w:rPr>
                <w:rFonts w:hint="eastAsia" w:ascii="宋体" w:hAnsi="宋体" w:eastAsia="宋体" w:cs="宋体"/>
                <w:color w:val="auto"/>
                <w:kern w:val="0"/>
                <w:sz w:val="21"/>
                <w:szCs w:val="21"/>
                <w:lang w:bidi="ar"/>
              </w:rPr>
              <w:t>、大赛评委经验</w:t>
            </w:r>
            <w:r>
              <w:rPr>
                <w:rFonts w:hint="eastAsia" w:ascii="宋体" w:hAnsi="宋体" w:eastAsia="宋体" w:cs="宋体"/>
                <w:b w:val="0"/>
                <w:bCs w:val="0"/>
                <w:color w:val="auto"/>
                <w:kern w:val="0"/>
                <w:sz w:val="21"/>
                <w:szCs w:val="21"/>
                <w:lang w:eastAsia="zh-CN" w:bidi="ar"/>
              </w:rPr>
              <w:t>和</w:t>
            </w:r>
            <w:r>
              <w:rPr>
                <w:rFonts w:hint="eastAsia" w:ascii="宋体" w:hAnsi="宋体" w:eastAsia="宋体" w:cs="宋体"/>
                <w:color w:val="auto"/>
                <w:kern w:val="0"/>
                <w:sz w:val="21"/>
                <w:szCs w:val="21"/>
                <w:lang w:bidi="ar"/>
              </w:rPr>
              <w:t>其他同级别专家组成，能够根据《2024年全国职业院校教师教学能力大赛方案》提出建设性、针对性指导意见。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2.视频拍摄服务（满足当年省赛文件的视频拍摄要求）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教学团队按照教学设计实施课堂教学（或专周实习实训、岗位实习教学），每人录制 1 学时（具体时长与教案中的学时安排保持一致）的课堂教学视频。课堂教学应在实际教学场所，班级全体学生参加（实施分班教学需有说明）。课堂教学视频应呈现课程属性特质、反映团队成员教学风格。专业课程二组至少有 2个视频呈现教师实操演示与教学指导。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若作品进入决赛阶段，需根据决赛要求，提供课堂教学视频录制</w:t>
            </w:r>
            <w:r>
              <w:rPr>
                <w:rFonts w:hint="eastAsia" w:ascii="宋体" w:hAnsi="宋体" w:eastAsia="宋体" w:cs="宋体"/>
                <w:color w:val="auto"/>
                <w:kern w:val="0"/>
                <w:sz w:val="21"/>
                <w:szCs w:val="21"/>
                <w:lang w:eastAsia="zh-CN" w:bidi="ar"/>
              </w:rPr>
              <w:t>服务</w:t>
            </w:r>
            <w:r>
              <w:rPr>
                <w:rFonts w:hint="eastAsia" w:ascii="宋体" w:hAnsi="宋体" w:eastAsia="宋体" w:cs="宋体"/>
                <w:color w:val="auto"/>
                <w:kern w:val="0"/>
                <w:sz w:val="21"/>
                <w:szCs w:val="21"/>
                <w:lang w:bidi="ar"/>
              </w:rPr>
              <w:t>，（合计时长 12-16 分钟）以及转码上传。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b w:val="0"/>
                <w:bCs w:val="0"/>
                <w:color w:val="auto"/>
                <w:kern w:val="0"/>
                <w:sz w:val="21"/>
                <w:szCs w:val="21"/>
                <w:lang w:eastAsia="zh-CN" w:bidi="ar"/>
              </w:rPr>
              <w:t>课堂实录视频需完全符合当年竞赛视频文件要求，</w:t>
            </w:r>
            <w:r>
              <w:rPr>
                <w:rFonts w:hint="eastAsia" w:ascii="宋体" w:hAnsi="宋体" w:eastAsia="宋体" w:cs="宋体"/>
                <w:color w:val="auto"/>
                <w:kern w:val="0"/>
                <w:sz w:val="21"/>
                <w:szCs w:val="21"/>
                <w:lang w:bidi="ar"/>
              </w:rPr>
              <w:t>须采用 3 机位全程连续录制，镜头固定，其中一个机位对准黑板和屏幕，另两个机位根据教学实际固定镜头位置，须覆盖教室全景（1 学时教学需要两个教学场所的，每个教学场所均须安放固定镜头，机位总数为 3 个）。3 机位须同步录制，保证音视频准确同步。录课过程中拍摄及其他人员不在场，提交的视频从拍摄人员离场开始到拍摄人员停机为止（1 学时之外的录制时长不超过 2 分钟）。所有机位拍摄的视频须保证音轨连续，不另行剪辑及配音，不加片头片尾、字幕注解。视频采用MP4 格式封装，单个视频文件大小不超过 500M。每段视频文件以“教案序号+第几学时+教案页码+教学环节名称”来命名（其中教案页码以教案 PDF 文件顶部显示的页码为准），含教师实操演示与教学指导的视频文件以“教案序号+第几学时+教案页码+教学环节名称+实操起始时间 n'm" -实操结束时间 n'm" ”来命名（实操起止时间可以多段，用“+”连接）。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视频录制采用 H.264/AVC 编码格式压缩，动态比特率（码流）不低于 1024Kbps，分辨率设定为 1280*720，采用逐行扫描，帧速率为 25 帧/秒。音频采用 AAC 格式压缩，采样率 48KHz，比特率（码流）128Kbps(恒定)。在拍摄时应针对实际情况选择适当的拍摄方式与技术人员统筹策划，与参赛团队应保持信息畅通确保成片中的多媒体演示及板书完整、清晰，符合大赛要求。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使用专业的非线性编辑系统对源音视频进行最基本的处理(如抠像、颜色校正、双声道处理)。专业的视频编辑系统进行视频降噪、音频降噪，以保证满足文件中对视频画面的严格要求。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3.作品美化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对参赛作品提供PPT美化技术服务，并配备至少一位项目经理进行全程落实和协调。</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教案：</w:t>
            </w:r>
            <w:r>
              <w:rPr>
                <w:rFonts w:hint="eastAsia" w:ascii="宋体" w:hAnsi="宋体" w:eastAsia="宋体" w:cs="宋体"/>
                <w:color w:val="auto"/>
                <w:kern w:val="0"/>
                <w:sz w:val="21"/>
                <w:szCs w:val="21"/>
                <w:lang w:bidi="ar"/>
              </w:rPr>
              <w:t>教学团队根据提交的专业人才培养方案和课程标准（或部颁课程标准实施方案），选取该课程在一个学期中符合规定的教学内容，撰写实际使用的教案。教案应包括授课信息、内容分析、学情分析、教学目标、教学策略、教学活动安排、课后反思等教学基本要素，要求设计合理、重点突出、前后衔接、规范完整、详略得当（其中课中教学活动安排占主要篇幅），体现具体的教学内容、活动及时间分配，能够有效指导教学实施，课后对授课实效、改革创新、存在不足及改进设想进行客观深入反思。原则上每份教案的教学时长不超过 2 学时，专周实习实训、岗位实习，以及有场地设备特殊要求的实训教学内容可连续安排 3-4 学时。专周实习实训、岗位实习的教案应符合真实项目、岗位实践教学实际。</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教学实施报告：</w:t>
            </w:r>
            <w:r>
              <w:rPr>
                <w:rFonts w:hint="eastAsia" w:ascii="宋体" w:hAnsi="宋体" w:eastAsia="宋体" w:cs="宋体"/>
                <w:color w:val="auto"/>
                <w:kern w:val="0"/>
                <w:sz w:val="21"/>
                <w:szCs w:val="21"/>
                <w:lang w:bidi="ar"/>
              </w:rPr>
              <w:t>教学团队针对本课程教学实践中的问题开展研究和实践，完成教学设计、实施课堂教学，撰写 1 份教学实施报告。报告应总结参赛内容的教学整体设计、教学实施过程、学生学习效果、反思改进措施等方面情况，突出重点和特色，体现创新举措和具体成效，可用图表加以佐证。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专业人才培养方案：</w:t>
            </w:r>
            <w:r>
              <w:rPr>
                <w:rFonts w:hint="eastAsia" w:ascii="宋体" w:hAnsi="宋体" w:eastAsia="宋体" w:cs="宋体"/>
                <w:color w:val="auto"/>
                <w:kern w:val="0"/>
                <w:sz w:val="21"/>
                <w:szCs w:val="21"/>
                <w:lang w:bidi="ar"/>
              </w:rPr>
              <w:t>教学团队提交学校及时修订和实际使用的专业人才培养方案。专业人才培养方案应按照《教育部关于职业院校专业人才培养方案制订与实施工作的指导意见》（教职成〔2019〕13 号）《关于组织做好职业院校专业人才培养方案制订与实施工作的通知》（教职成司函〔2019〕61 号）《教育部关于印发〈职业教育专业目录（2021 年）〉的通知》（教职成〔2021〕2 号）和《职业教育专业简介（2022 年修订）》有关要求制定或修订。公共基础课程组只需提交授课班级所在专业的人才培养方案；跨校组建的教学团队，只需提交团队负责人所在学校的专业人才培养方案。</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课程标准：</w:t>
            </w:r>
            <w:r>
              <w:rPr>
                <w:rFonts w:hint="eastAsia" w:ascii="宋体" w:hAnsi="宋体" w:eastAsia="宋体" w:cs="宋体"/>
                <w:color w:val="auto"/>
                <w:kern w:val="0"/>
                <w:sz w:val="21"/>
                <w:szCs w:val="21"/>
                <w:lang w:bidi="ar"/>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公共基础课应执行教育部 2020 年、2021 年印发的相应课程标准，参赛团队须提交执行部颁课程标准的实施方案，对课标中未覆盖的部分（如基础模块的职场情境任务、拓展模块的具体内容、各模块的授课进程安排等）予以重点说明。在提交的课程标准（或实施方案）中，应另附参赛班级授课计划表（注明授课日期、学时）。</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val="en-US" w:eastAsia="zh-CN" w:bidi="ar"/>
              </w:rPr>
              <w:t xml:space="preserve"> </w:t>
            </w:r>
            <w:r>
              <w:rPr>
                <w:rFonts w:hint="eastAsia" w:ascii="宋体" w:hAnsi="宋体" w:eastAsia="宋体" w:cs="宋体"/>
                <w:color w:val="auto"/>
                <w:kern w:val="0"/>
                <w:sz w:val="21"/>
                <w:szCs w:val="21"/>
                <w:lang w:bidi="ar"/>
              </w:rPr>
              <w:t>学校应落实《职业院校教材管理办法》以及国家和地方关于教材管理的政策规定，健全内部管理制度，选好用好教材。教学团队提交的参赛课程教材选用说明须包括（但不限于）：本校教材选用组织机构及职责；本校教材选用程序及要求；本课程教材选用过程；本课程教学选用教材结果公示及备案情况；本课程教材使用及核查情况（遵照选用结果使用教材情况）。要求提供课堂实录PPT模板；PPT模版包含首页、目录页、过渡页、内容页、尾页共5个页面；PPT模板符合专业特色，设计美观大方。</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4.学习平台支持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bidi="ar"/>
              </w:rPr>
              <w:t>针对参赛作品组提供专门在线学习平台并提供教师备赛资源，教师备赛资源需要包含视频、文档等资源，该类教学资源需要支持教师在课程设计、备赛等过程中，随时可以学习、查询，全面辅助教师备赛。专门配备一名项目经理，全程跟踪对接相关工作，推荐学习资源；跟参赛团队老师沟通准备材料、协助老师进行作品设计美化，拍摄环境的选择、是否按专家要求进行拍摄等，协调并督促参赛团队进行文档整理及提交工作。</w:t>
            </w:r>
          </w:p>
          <w:p w14:paraId="7D4E91E4">
            <w:pPr>
              <w:pageBreakBefore w:val="0"/>
              <w:widowControl/>
              <w:numPr>
                <w:ilvl w:val="0"/>
                <w:numId w:val="3"/>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服务时间保证：</w:t>
            </w:r>
          </w:p>
          <w:p w14:paraId="35CF5983">
            <w:pPr>
              <w:pageBreakBefore w:val="0"/>
              <w:widowControl/>
              <w:numPr>
                <w:ilvl w:val="0"/>
                <w:numId w:val="0"/>
              </w:numPr>
              <w:bidi w:val="0"/>
              <w:adjustRightInd w:val="0"/>
              <w:snapToGrid w:val="0"/>
              <w:spacing w:beforeAutospacing="0" w:afterAutospacing="0" w:line="360" w:lineRule="auto"/>
              <w:ind w:left="0" w:leftChars="0" w:right="0" w:firstLine="420" w:firstLineChars="200"/>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每年制定相应的工作进度表，明确线上线下指导时间，经双方审核同意后开展工作，总服务时间每个项目不少于40课时（不包含视频录制时间，每天按8课时计算，线下辅导时间不低于16学时）</w:t>
            </w:r>
          </w:p>
          <w:p w14:paraId="57EB69C9">
            <w:pPr>
              <w:pageBreakBefore w:val="0"/>
              <w:widowControl/>
              <w:numPr>
                <w:ilvl w:val="0"/>
                <w:numId w:val="3"/>
              </w:numPr>
              <w:bidi w:val="0"/>
              <w:adjustRightInd w:val="0"/>
              <w:snapToGrid w:val="0"/>
              <w:spacing w:beforeAutospacing="0" w:afterAutospacing="0" w:line="360" w:lineRule="auto"/>
              <w:ind w:left="0" w:leftChars="0" w:right="0" w:firstLine="0" w:firstLineChars="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成绩要求：</w:t>
            </w:r>
          </w:p>
          <w:p w14:paraId="72D07201">
            <w:pPr>
              <w:pageBreakBefore w:val="0"/>
              <w:widowControl/>
              <w:numPr>
                <w:ilvl w:val="0"/>
                <w:numId w:val="0"/>
              </w:numPr>
              <w:bidi w:val="0"/>
              <w:adjustRightInd w:val="0"/>
              <w:snapToGrid w:val="0"/>
              <w:spacing w:beforeAutospacing="0" w:afterAutospacing="0" w:line="360" w:lineRule="auto"/>
              <w:ind w:left="0" w:leftChars="0" w:right="0" w:firstLine="420" w:firstLineChars="20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val="0"/>
                <w:bCs w:val="0"/>
                <w:color w:val="auto"/>
                <w:kern w:val="0"/>
                <w:sz w:val="21"/>
                <w:szCs w:val="21"/>
                <w:lang w:bidi="ar"/>
              </w:rPr>
              <w:t>辅导团队当年须获得省级大赛</w:t>
            </w:r>
            <w:r>
              <w:rPr>
                <w:rFonts w:hint="eastAsia" w:ascii="宋体" w:hAnsi="宋体" w:eastAsia="宋体" w:cs="宋体"/>
                <w:b w:val="0"/>
                <w:bCs w:val="0"/>
                <w:color w:val="auto"/>
                <w:kern w:val="0"/>
                <w:sz w:val="21"/>
                <w:szCs w:val="21"/>
                <w:lang w:eastAsia="zh-CN" w:bidi="ar"/>
              </w:rPr>
              <w:t>三</w:t>
            </w:r>
            <w:r>
              <w:rPr>
                <w:rFonts w:hint="eastAsia" w:ascii="宋体" w:hAnsi="宋体" w:eastAsia="宋体" w:cs="宋体"/>
                <w:b w:val="0"/>
                <w:bCs w:val="0"/>
                <w:color w:val="auto"/>
                <w:kern w:val="0"/>
                <w:sz w:val="21"/>
                <w:szCs w:val="21"/>
                <w:lang w:bidi="ar"/>
              </w:rPr>
              <w:t>等奖及以上，第二年获得二等奖项及以上，第三年获得一等奖及以上。三年内至少有一次进入国家级比赛。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B519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3B88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DD53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9BEE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410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7369F2B0">
        <w:tblPrEx>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C16A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321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班主任能力大赛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2个参赛作品的参赛资源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7711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提供2025年，2026年，2027年三年的学校班主任能力大赛服务需满足以下要求：</w:t>
            </w:r>
          </w:p>
          <w:p w14:paraId="4C0449A9">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1.专家指导服务</w:t>
            </w:r>
          </w:p>
          <w:p w14:paraId="1E4DCCFB">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color w:val="auto"/>
                <w:kern w:val="0"/>
                <w:sz w:val="21"/>
                <w:szCs w:val="21"/>
                <w:lang w:eastAsia="zh-CN" w:bidi="ar"/>
              </w:rPr>
              <w:t>①专家团队组成：指导专家团队要求有国赛获奖经验的专家或大赛评委经验和其他同级别专家组成，能够根据当年的全国职业院校技能大赛中等职业学校班主任工作室比赛方案提出建设性、针对性指导意见。</w:t>
            </w:r>
          </w:p>
          <w:p w14:paraId="5B41137E">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eastAsia="zh-CN" w:bidi="ar"/>
              </w:rPr>
              <w:t>②指导内容：</w:t>
            </w:r>
          </w:p>
          <w:p w14:paraId="49FE398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kern w:val="0"/>
                <w:sz w:val="21"/>
                <w:szCs w:val="21"/>
                <w:lang w:eastAsia="zh-CN" w:bidi="ar"/>
              </w:rPr>
              <w:t>▲初赛</w:t>
            </w:r>
            <w:r>
              <w:rPr>
                <w:rFonts w:hint="eastAsia" w:ascii="宋体" w:hAnsi="宋体" w:eastAsia="宋体" w:cs="宋体"/>
                <w:b w:val="0"/>
                <w:bCs w:val="0"/>
                <w:color w:val="auto"/>
                <w:kern w:val="0"/>
                <w:sz w:val="21"/>
                <w:szCs w:val="21"/>
                <w:lang w:eastAsia="zh-CN" w:bidi="ar"/>
              </w:rPr>
              <w:t>（班级建设方案、班级建设计划、管理育人案例、班级活动方案、实录视频、专业人才培养方案等）、▲复赛（班级建设情况、班级活动方案和模拟情景处置方案、以及答辩的指导）各项竞赛申报资料的指导与审核，具体包括以下内容：</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▲比赛方案解读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针对全国职业院校技能大赛中等职业学校班主任工作室比赛方案及发展趋势进行解读，助力班主任尽快熟悉比赛内容，掌握参赛技巧。</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▲能力培养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详细讲解参赛材料的相关要求及注意事项，参赛材料包含：班主任工作室建设方案、班主任工作室建设情况视频、班主任工作室成员业务能力材料（班级建设方案、典型工作案例、主题班会实录视频及班会方案，另附本班实际使用的专业人才培养方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引导班主任全面分析工作室建设情况，结合区域、学校、工作室文化提炼教学特色成果，提升其科学制定工作室建设方案的能力；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引导班主任选择具有可推广性、典型性的教育案例作为素材，详细讲解撰写工作典型案例的要求及技巧，提升其科学制定教育对策，撰写工作典型</w:t>
            </w:r>
            <w:r>
              <w:rPr>
                <w:rFonts w:hint="eastAsia" w:ascii="宋体" w:hAnsi="宋体" w:eastAsia="宋体" w:cs="宋体"/>
                <w:color w:val="auto"/>
                <w:kern w:val="0"/>
                <w:sz w:val="21"/>
                <w:szCs w:val="21"/>
                <w:lang w:eastAsia="zh-CN" w:bidi="ar"/>
              </w:rPr>
              <w:t>案例。</w:t>
            </w:r>
          </w:p>
          <w:p w14:paraId="651A59F5">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▲案例的能力；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指导班主任根据时事热点及建班育人情况设计班会方案，并根据主题班会实施及录制过程中常见问题给出有效对策。</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▲案例分享及点评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优秀案例赏析，及比赛案例分析与点评，针对每项材料逐一指导，专家根据参赛作品提出优化意见。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▲实践演练指导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演练指导包含：工作室建设成果汇报、班级活动策划、模拟情景处置、班级建设方案实施情况介绍、答辩；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专家指导比赛展示材料，并对老师展示进行一对一指导，提出优化意见。</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服务形式：</w:t>
            </w:r>
            <w:r>
              <w:rPr>
                <w:rFonts w:hint="eastAsia" w:ascii="宋体" w:hAnsi="宋体" w:eastAsia="宋体" w:cs="宋体"/>
                <w:color w:val="auto"/>
                <w:kern w:val="0"/>
                <w:sz w:val="21"/>
                <w:szCs w:val="21"/>
                <w:lang w:bidi="ar"/>
              </w:rPr>
              <w:t>采用线上和线下相结合的形式指导提升。</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2.作品美化服务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班级活动实录录课PPT，3个和班主任工作室建设情况PPT，1个；</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3.视频拍摄服务（按当年省赛拍摄要求进行）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提供3段班级活动实录视频和1段班主任工作室建设情况视频。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须采用三个不同机位，同步全程连续录制（不得使用无人机、虚拟演播系统、临时拼接大型LED显示屏等脱离建班育人实际、片面追求拍摄效果、费用昂贵的录制手段）。三个机位可根据班级活动需要摆放，均要求机位和镜头固定，画面中能够看到另外两个机位，三个机位共同覆盖班级活动场所全景无死角（班级活动需要多个场所的，每个场所均须按相同要求安放三个机位，可移动前一场所的其中一个机位，随师生转场，全程连续录制）。三个机位录制音视频须做到同步起止。录制过程中除实际参与班级活动的人员外，拍摄人员及其他人员不在场，提交的视频从拍摄人员离场开始到拍摄人员停机为止（班级活动之外的录制时长不超过2分钟）。所有机位拍摄的视频均需上传，须保证音轨连续，不允许另行剪辑及配音，不加片头片尾、字幕注解，不得泄露地区、学校名称以及教师个人姓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视频采用MP4格式封装，每个文件大小不超过400M。视频录制软件不限，采用H.264/AVC（MPEG-4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14:paraId="35475852">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4.服务时间保证：</w:t>
            </w:r>
            <w:r>
              <w:rPr>
                <w:rFonts w:hint="eastAsia" w:ascii="宋体" w:hAnsi="宋体" w:eastAsia="宋体" w:cs="宋体"/>
                <w:b w:val="0"/>
                <w:bCs w:val="0"/>
                <w:color w:val="auto"/>
                <w:kern w:val="0"/>
                <w:sz w:val="21"/>
                <w:szCs w:val="21"/>
                <w:lang w:val="en-US" w:eastAsia="zh-CN" w:bidi="ar"/>
              </w:rPr>
              <w:t>每年制定相应的工作进度表，明确线上线下指导时间，经双方审核同意后开展工作，总服务时间每个项目不少于40课时（不包含视频录制时间，每天按8课时计算，线下辅导时间不低于16学时）</w:t>
            </w:r>
          </w:p>
          <w:p w14:paraId="00E98BE1">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辅导团队当年须获得省级大赛三等奖及以上，第二年获得二等奖项及以上，第三年获得一等奖及以上。三年内至少有一次进入国家级比赛。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F265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CEE1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BB96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CDAF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D270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F80F002">
        <w:tblPrEx>
          <w:tblCellMar>
            <w:top w:w="0" w:type="dxa"/>
            <w:left w:w="108" w:type="dxa"/>
            <w:bottom w:w="0" w:type="dxa"/>
            <w:right w:w="108" w:type="dxa"/>
          </w:tblCellMar>
        </w:tblPrEx>
        <w:trPr>
          <w:trHeight w:val="1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BB6A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EE99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师生技能竞赛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7298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提供2025年，2026年，2027年三年备赛辅导</w:t>
            </w:r>
            <w:r>
              <w:rPr>
                <w:rFonts w:hint="eastAsia" w:ascii="宋体" w:hAnsi="宋体" w:eastAsia="宋体" w:cs="宋体"/>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服务项目包括职业院校技能竞赛、世界技能大赛两大类。</w:t>
            </w:r>
            <w:r>
              <w:rPr>
                <w:rFonts w:hint="eastAsia" w:ascii="宋体" w:hAnsi="宋体" w:eastAsia="宋体" w:cs="宋体"/>
                <w:color w:val="auto"/>
                <w:kern w:val="0"/>
                <w:sz w:val="21"/>
                <w:szCs w:val="21"/>
                <w:lang w:bidi="ar"/>
              </w:rPr>
              <w:t>服务需满足以下要求：按照学校开设专业，结合学校推荐入围情况</w:t>
            </w:r>
            <w:r>
              <w:rPr>
                <w:rFonts w:hint="eastAsia" w:ascii="宋体" w:hAnsi="宋体" w:eastAsia="宋体" w:cs="宋体"/>
                <w:color w:val="auto"/>
                <w:kern w:val="0"/>
                <w:sz w:val="21"/>
                <w:szCs w:val="21"/>
                <w:lang w:eastAsia="zh-CN" w:bidi="ar"/>
              </w:rPr>
              <w:t>开展培训指导。</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1.提供竞赛专家培训服务</w:t>
            </w:r>
            <w:r>
              <w:rPr>
                <w:rFonts w:hint="eastAsia" w:ascii="宋体" w:hAnsi="宋体" w:eastAsia="宋体" w:cs="宋体"/>
                <w:b/>
                <w:bCs/>
                <w:color w:val="auto"/>
                <w:kern w:val="0"/>
                <w:sz w:val="21"/>
                <w:szCs w:val="21"/>
                <w:lang w:eastAsia="zh-CN" w:bidi="ar"/>
              </w:rPr>
              <w:t>：</w:t>
            </w:r>
            <w:r>
              <w:rPr>
                <w:rFonts w:hint="eastAsia" w:ascii="宋体" w:hAnsi="宋体" w:eastAsia="宋体" w:cs="宋体"/>
                <w:color w:val="auto"/>
                <w:kern w:val="0"/>
                <w:sz w:val="21"/>
                <w:szCs w:val="21"/>
                <w:lang w:bidi="ar"/>
              </w:rPr>
              <w:t>结合赛项文件要求，指导培训师生进行技能训练提升，大赛技能模拟比赛，并提出针对性改进措施。</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2.提供大赛所需的最新系统模拟比赛和技能训练。</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bidi="ar"/>
              </w:rPr>
              <w:t>3.整体目标要求</w:t>
            </w:r>
            <w:r>
              <w:rPr>
                <w:rFonts w:hint="eastAsia" w:ascii="宋体" w:hAnsi="宋体" w:eastAsia="宋体" w:cs="宋体"/>
                <w:b/>
                <w:bCs/>
                <w:color w:val="auto"/>
                <w:kern w:val="0"/>
                <w:sz w:val="21"/>
                <w:szCs w:val="21"/>
                <w:lang w:eastAsia="zh-CN" w:bidi="ar"/>
              </w:rPr>
              <w:t>：</w:t>
            </w:r>
            <w:r>
              <w:rPr>
                <w:rFonts w:hint="eastAsia" w:ascii="宋体" w:hAnsi="宋体" w:eastAsia="宋体" w:cs="宋体"/>
                <w:color w:val="auto"/>
                <w:kern w:val="0"/>
                <w:sz w:val="21"/>
                <w:szCs w:val="21"/>
                <w:lang w:bidi="ar"/>
              </w:rPr>
              <w:t>按当年省赛文件要求提供辅导</w:t>
            </w:r>
            <w:r>
              <w:rPr>
                <w:rFonts w:hint="eastAsia" w:ascii="宋体" w:hAnsi="宋体" w:eastAsia="宋体" w:cs="宋体"/>
                <w:color w:val="auto"/>
                <w:kern w:val="0"/>
                <w:sz w:val="21"/>
                <w:szCs w:val="21"/>
                <w:lang w:val="en-US" w:eastAsia="zh-CN" w:bidi="ar"/>
              </w:rPr>
              <w:t>总数不少于5项</w:t>
            </w:r>
            <w:r>
              <w:rPr>
                <w:rFonts w:hint="eastAsia" w:ascii="宋体" w:hAnsi="宋体" w:eastAsia="宋体" w:cs="宋体"/>
                <w:b/>
                <w:bCs/>
                <w:color w:val="auto"/>
                <w:kern w:val="0"/>
                <w:sz w:val="21"/>
                <w:szCs w:val="21"/>
                <w:lang w:val="en-US" w:eastAsia="zh-CN" w:bidi="ar"/>
              </w:rPr>
              <w:t>的</w:t>
            </w:r>
            <w:r>
              <w:rPr>
                <w:rFonts w:hint="eastAsia" w:ascii="宋体" w:hAnsi="宋体" w:eastAsia="宋体" w:cs="宋体"/>
                <w:color w:val="auto"/>
                <w:kern w:val="0"/>
                <w:sz w:val="21"/>
                <w:szCs w:val="21"/>
                <w:lang w:bidi="ar"/>
              </w:rPr>
              <w:t>教师、学生、团队技能大赛参赛，从技能提升，赛项项目规划分工，模拟集训等提升服务进行</w:t>
            </w:r>
            <w:r>
              <w:rPr>
                <w:rFonts w:hint="eastAsia" w:ascii="宋体" w:hAnsi="宋体" w:eastAsia="宋体" w:cs="宋体"/>
                <w:color w:val="auto"/>
                <w:kern w:val="0"/>
                <w:sz w:val="21"/>
                <w:szCs w:val="21"/>
                <w:lang w:eastAsia="zh-CN" w:bidi="ar"/>
              </w:rPr>
              <w:t>。</w:t>
            </w:r>
          </w:p>
          <w:p w14:paraId="365579DB">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bCs/>
                <w:color w:val="auto"/>
                <w:kern w:val="0"/>
                <w:sz w:val="21"/>
                <w:szCs w:val="21"/>
                <w:lang w:val="en-US" w:eastAsia="zh-CN" w:bidi="ar"/>
              </w:rPr>
              <w:t>4.要求每年专家指导时长：</w:t>
            </w:r>
            <w:r>
              <w:rPr>
                <w:rFonts w:hint="eastAsia" w:ascii="宋体" w:hAnsi="宋体" w:eastAsia="宋体" w:cs="宋体"/>
                <w:b w:val="0"/>
                <w:bCs w:val="0"/>
                <w:color w:val="auto"/>
                <w:kern w:val="0"/>
                <w:sz w:val="21"/>
                <w:szCs w:val="21"/>
                <w:lang w:val="en-US" w:eastAsia="zh-CN" w:bidi="ar"/>
              </w:rPr>
              <w:t>每个指导项目不少于24课时（每天按照8课时计算，包括线上线下，其中线下辅导不低于1天）</w:t>
            </w:r>
          </w:p>
          <w:p w14:paraId="5EF16A3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辅导的学生、教师、团队等当年须获得省级大赛二等奖及以上，一等奖获奖至少</w:t>
            </w:r>
            <w:r>
              <w:rPr>
                <w:rFonts w:hint="eastAsia" w:ascii="宋体" w:hAnsi="宋体" w:eastAsia="宋体" w:cs="宋体"/>
                <w:b w:val="0"/>
                <w:bCs w:val="0"/>
                <w:color w:val="auto"/>
                <w:kern w:val="0"/>
                <w:sz w:val="21"/>
                <w:szCs w:val="21"/>
                <w:lang w:val="en-US" w:eastAsia="zh-CN" w:bidi="ar"/>
              </w:rPr>
              <w:t>二</w:t>
            </w:r>
            <w:r>
              <w:rPr>
                <w:rFonts w:hint="eastAsia" w:ascii="宋体" w:hAnsi="宋体" w:eastAsia="宋体" w:cs="宋体"/>
                <w:b w:val="0"/>
                <w:bCs w:val="0"/>
                <w:color w:val="auto"/>
                <w:kern w:val="0"/>
                <w:sz w:val="21"/>
                <w:szCs w:val="21"/>
                <w:lang w:bidi="ar"/>
              </w:rPr>
              <w:t>项；第二年、第三年</w:t>
            </w:r>
            <w:r>
              <w:rPr>
                <w:rFonts w:hint="eastAsia" w:ascii="宋体" w:hAnsi="宋体" w:eastAsia="宋体" w:cs="宋体"/>
                <w:b w:val="0"/>
                <w:bCs w:val="0"/>
                <w:color w:val="auto"/>
                <w:kern w:val="0"/>
                <w:sz w:val="21"/>
                <w:szCs w:val="21"/>
                <w:lang w:val="en-US" w:eastAsia="zh-CN" w:bidi="ar"/>
              </w:rPr>
              <w:t>每年</w:t>
            </w:r>
            <w:r>
              <w:rPr>
                <w:rFonts w:hint="eastAsia" w:ascii="宋体" w:hAnsi="宋体" w:eastAsia="宋体" w:cs="宋体"/>
                <w:b w:val="0"/>
                <w:bCs w:val="0"/>
                <w:color w:val="auto"/>
                <w:kern w:val="0"/>
                <w:sz w:val="21"/>
                <w:szCs w:val="21"/>
                <w:lang w:bidi="ar"/>
              </w:rPr>
              <w:t>获得一等奖</w:t>
            </w:r>
            <w:r>
              <w:rPr>
                <w:rFonts w:hint="eastAsia" w:ascii="宋体" w:hAnsi="宋体" w:eastAsia="宋体" w:cs="宋体"/>
                <w:b w:val="0"/>
                <w:bCs w:val="0"/>
                <w:color w:val="auto"/>
                <w:kern w:val="0"/>
                <w:sz w:val="21"/>
                <w:szCs w:val="21"/>
                <w:lang w:val="en-US" w:eastAsia="zh-CN" w:bidi="ar"/>
              </w:rPr>
              <w:t>三</w:t>
            </w:r>
            <w:r>
              <w:rPr>
                <w:rFonts w:hint="eastAsia" w:ascii="宋体" w:hAnsi="宋体" w:eastAsia="宋体" w:cs="宋体"/>
                <w:b w:val="0"/>
                <w:bCs w:val="0"/>
                <w:color w:val="auto"/>
                <w:kern w:val="0"/>
                <w:sz w:val="21"/>
                <w:szCs w:val="21"/>
                <w:lang w:bidi="ar"/>
              </w:rPr>
              <w:t>项及以上。三年内至少有一次获得国家级比赛参赛资格。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69E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4FAF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C51E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2FD3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3EB5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37413A5E">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FCAD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DCCD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“文明风采”竞赛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7935D">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提供2025年，2026年，2027年三年的“文明风采”竞赛指导服务需满足以下要求：</w:t>
            </w:r>
            <w:r>
              <w:rPr>
                <w:rFonts w:hint="eastAsia" w:ascii="宋体" w:hAnsi="宋体" w:eastAsia="宋体" w:cs="宋体"/>
                <w:color w:val="auto"/>
                <w:kern w:val="0"/>
                <w:sz w:val="21"/>
                <w:szCs w:val="21"/>
                <w:lang w:bidi="ar"/>
              </w:rPr>
              <w:br w:type="textWrapping"/>
            </w:r>
            <w:r>
              <w:rPr>
                <w:rFonts w:hint="eastAsia" w:ascii="宋体" w:hAnsi="宋体" w:eastAsia="宋体" w:cs="宋体"/>
                <w:b/>
                <w:bCs/>
                <w:color w:val="auto"/>
                <w:kern w:val="0"/>
                <w:sz w:val="21"/>
                <w:szCs w:val="21"/>
                <w:lang w:val="en-US" w:eastAsia="zh-CN" w:bidi="ar"/>
              </w:rPr>
              <w:t>1.整体目标要求：</w:t>
            </w:r>
            <w:r>
              <w:rPr>
                <w:rFonts w:hint="eastAsia" w:ascii="宋体" w:hAnsi="宋体" w:eastAsia="宋体" w:cs="宋体"/>
                <w:b w:val="0"/>
                <w:bCs w:val="0"/>
                <w:color w:val="auto"/>
                <w:kern w:val="0"/>
                <w:sz w:val="21"/>
                <w:szCs w:val="21"/>
                <w:lang w:val="en-US" w:eastAsia="zh-CN" w:bidi="ar"/>
              </w:rPr>
              <w:t>按当年省赛文件要求提供辅导，每年总数不少于5项的学生、团队大赛参赛辅导，从赛项项目规划分工，模拟集训，参赛作品提升等方面进行规划指导服务。</w:t>
            </w:r>
          </w:p>
          <w:p w14:paraId="757E23C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2</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bidi="ar"/>
              </w:rPr>
              <w:t>提供竞赛专家对竞赛选题及关键得分点进行解读指导，提升参赛教师、学生的认知水平；</w:t>
            </w:r>
            <w:r>
              <w:rPr>
                <w:rFonts w:hint="eastAsia" w:ascii="宋体" w:hAnsi="宋体" w:eastAsia="宋体" w:cs="宋体"/>
                <w:b w:val="0"/>
                <w:bCs w:val="0"/>
                <w:color w:val="auto"/>
                <w:kern w:val="0"/>
                <w:sz w:val="21"/>
                <w:szCs w:val="21"/>
                <w:lang w:bidi="ar"/>
              </w:rPr>
              <w:br w:type="textWrapping"/>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bidi="ar"/>
              </w:rPr>
              <w:t>提供专家对教师、学生的参赛作品及模拟比赛进行分析，并形成指导意见改进提升。</w:t>
            </w:r>
          </w:p>
          <w:p w14:paraId="1A93C3D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bCs/>
                <w:color w:val="auto"/>
                <w:kern w:val="0"/>
                <w:sz w:val="21"/>
                <w:szCs w:val="21"/>
                <w:lang w:val="en-US" w:eastAsia="zh-CN" w:bidi="ar"/>
              </w:rPr>
              <w:t>4.每年专家指导时长：</w:t>
            </w:r>
            <w:r>
              <w:rPr>
                <w:rFonts w:hint="eastAsia" w:ascii="宋体" w:hAnsi="宋体" w:eastAsia="宋体" w:cs="宋体"/>
                <w:b w:val="0"/>
                <w:bCs w:val="0"/>
                <w:color w:val="auto"/>
                <w:kern w:val="0"/>
                <w:sz w:val="21"/>
                <w:szCs w:val="21"/>
                <w:lang w:val="en-US" w:eastAsia="zh-CN" w:bidi="ar"/>
              </w:rPr>
              <w:t>每个指导项目不少于24课时（每天按照8课时计算，包括线上线下，其中线下辅导不低于1天）</w:t>
            </w:r>
          </w:p>
          <w:p w14:paraId="2021F3B3">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成绩要求：</w:t>
            </w:r>
            <w:r>
              <w:rPr>
                <w:rFonts w:hint="eastAsia" w:ascii="宋体" w:hAnsi="宋体" w:eastAsia="宋体" w:cs="宋体"/>
                <w:b w:val="0"/>
                <w:bCs w:val="0"/>
                <w:color w:val="auto"/>
                <w:kern w:val="0"/>
                <w:sz w:val="21"/>
                <w:szCs w:val="21"/>
                <w:lang w:bidi="ar"/>
              </w:rPr>
              <w:t>第一年辅导参赛教师、学生当年须获得省级大赛二等奖及以上需占参赛师生80%以上；第二年、第三年辅导参赛教师、学生当年须获得省级大赛一等奖及以上需占参赛师生60%以上。</w:t>
            </w:r>
            <w:r>
              <w:rPr>
                <w:rFonts w:hint="eastAsia" w:ascii="宋体" w:hAnsi="宋体" w:eastAsia="宋体" w:cs="宋体"/>
                <w:b/>
                <w:bCs/>
                <w:color w:val="auto"/>
                <w:kern w:val="0"/>
                <w:sz w:val="21"/>
                <w:szCs w:val="21"/>
                <w:lang w:eastAsia="zh-CN" w:bidi="ar"/>
              </w:rPr>
              <w:t>若参赛项目举行有国赛项目，</w:t>
            </w:r>
            <w:r>
              <w:rPr>
                <w:rFonts w:hint="eastAsia" w:ascii="宋体" w:hAnsi="宋体" w:eastAsia="宋体" w:cs="宋体"/>
                <w:b w:val="0"/>
                <w:bCs w:val="0"/>
                <w:color w:val="auto"/>
                <w:kern w:val="0"/>
                <w:sz w:val="21"/>
                <w:szCs w:val="21"/>
                <w:lang w:bidi="ar"/>
              </w:rPr>
              <w:t xml:space="preserve">三年内至少有一次获得国家级比赛参赛资格。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A59B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EB85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0985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9B25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DC6B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2BFED4D">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82CA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F94F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AI教学平台技术服务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74B52">
            <w:pPr>
              <w:pStyle w:val="66"/>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智慧专业教学资源库平台和AI工作台支持学校使用期间，需满足以下功能：</w:t>
            </w:r>
          </w:p>
          <w:p w14:paraId="40BDC20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1.资源库站点服务平台。</w:t>
            </w:r>
          </w:p>
          <w:p w14:paraId="38F5BE1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①门户管理：提供充分展示学校教学特色的门户网站，实现新闻公告动态显示、精品资源推荐、热门资源排行、一站式检索以及学校的教学资源与课程展示。具有校园代表性的大图片展示区。门户管理功能支持门户配置，在门户配置中，可实现对门户管理后台的操作，智慧门户编辑、门户登录设置、模块数据统计等。可直接在门户后台对各模块的内容进行设置，也可编辑网页对门户整体布局进行设计。</w:t>
            </w:r>
          </w:p>
          <w:p w14:paraId="054E5FA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②资源库站点管理：超级管理员和资源库管理员可以新建资源库专业站点，设置或修改站点名称、负责人和封面图，可以删除或查询站点。在同一页面实现对站点的“增删改查”。创建多站点，每个专业教学资源库可拥有独立一个站点，每个站点即一个专业教学资源库，平台下系统管理员登录后台后，可创建多站点，并指定某一专业负责人（教师用户），作为该站点的负责人。</w:t>
            </w:r>
          </w:p>
          <w:p w14:paraId="3EB15C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③资源建设管理：支持两种资源建设模式：任务型资源建设：由站点负责人指派栏目负责人，由栏目负责人指派建设任务到教师个人，建设资源库某一特定栏目。非任务型资源建设：由教师自由上传资源。包括素材上传，课程上传，题库上传，删除的资源点击资源回收站即可进行还原或者彻底删除。题库建设：题库资源用于教学是每个学校的最基本需求，平台需支持题库类资源建设，能够实现多种题型的编辑及试题的批量导入，支持试题中的图片及公式编辑。</w:t>
            </w:r>
          </w:p>
          <w:p w14:paraId="4579A5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④资源应用：建设完善的资源库，可为学校师生在专业教学、实习实训、技能培训、生产现场和日常生活等场景中提供资源支持，推动专业教学改革，提高教育教学效率和质量，也可为其他职业学校、普通高校、行业、企业、科研院所和社会学习者提供服务，实现优质资源共享，扩大优质资源受益群体覆盖面。引入的学习助手、数字教师等新技术，建立多样化的应用场景，满足不同群体用户的多样化学习需要。</w:t>
            </w:r>
          </w:p>
          <w:p w14:paraId="20347FB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资源推广：提供市级、国家级资源库的推广与运营服务，面向全国高校乃至社会企业融入行业企业新技术、新工艺、新规范，开发建设涵盖教学设计、教学实施、教学评价的数字化专业教学资源库。为在校学习者、社会学习者提供多途径的学习机会和优质的学习资源；为教育行政部门提供资源和技术支持，服务平台全面、快速落地。</w:t>
            </w:r>
          </w:p>
          <w:p w14:paraId="2243BE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⑥数据统计：基本数据统计，</w:t>
            </w:r>
            <w:r>
              <w:rPr>
                <w:rFonts w:hint="eastAsia" w:ascii="宋体" w:hAnsi="宋体" w:eastAsia="宋体" w:cs="宋体"/>
                <w:b w:val="0"/>
                <w:bCs w:val="0"/>
                <w:color w:val="auto"/>
                <w:kern w:val="0"/>
                <w:sz w:val="21"/>
                <w:szCs w:val="21"/>
                <w:lang w:val="en-US" w:eastAsia="zh-Hans" w:bidi="ar"/>
              </w:rPr>
              <w:t>管理员可以查看专业资源库的基本数据统计，</w:t>
            </w:r>
            <w:r>
              <w:rPr>
                <w:rFonts w:hint="eastAsia" w:ascii="宋体" w:hAnsi="宋体" w:eastAsia="宋体" w:cs="宋体"/>
                <w:b w:val="0"/>
                <w:bCs w:val="0"/>
                <w:color w:val="auto"/>
                <w:kern w:val="0"/>
                <w:sz w:val="21"/>
                <w:szCs w:val="21"/>
                <w:lang w:val="en-US" w:eastAsia="zh-CN" w:bidi="ar"/>
              </w:rPr>
              <w:t>还有资源使用统计，资源引用统计，访问量统计，用户统计，课程</w:t>
            </w:r>
            <w:r>
              <w:rPr>
                <w:rFonts w:hint="eastAsia" w:ascii="宋体" w:hAnsi="宋体" w:eastAsia="宋体" w:cs="宋体"/>
                <w:b w:val="0"/>
                <w:bCs w:val="0"/>
                <w:color w:val="auto"/>
                <w:kern w:val="0"/>
                <w:sz w:val="21"/>
                <w:szCs w:val="21"/>
                <w:lang w:val="en-US" w:eastAsia="zh-Hans" w:bidi="ar"/>
              </w:rPr>
              <w:t>排行</w:t>
            </w:r>
            <w:r>
              <w:rPr>
                <w:rFonts w:hint="eastAsia" w:ascii="宋体" w:hAnsi="宋体" w:eastAsia="宋体" w:cs="宋体"/>
                <w:b w:val="0"/>
                <w:bCs w:val="0"/>
                <w:color w:val="auto"/>
                <w:kern w:val="0"/>
                <w:sz w:val="21"/>
                <w:szCs w:val="21"/>
                <w:lang w:val="en-US" w:eastAsia="zh-CN" w:bidi="ar"/>
              </w:rPr>
              <w:t>统计，</w:t>
            </w:r>
            <w:r>
              <w:rPr>
                <w:rFonts w:hint="eastAsia" w:ascii="宋体" w:hAnsi="宋体" w:eastAsia="宋体" w:cs="宋体"/>
                <w:b w:val="0"/>
                <w:bCs w:val="0"/>
                <w:color w:val="auto"/>
                <w:kern w:val="0"/>
                <w:sz w:val="21"/>
                <w:szCs w:val="21"/>
                <w:lang w:val="en-US" w:eastAsia="zh-Hans" w:bidi="ar"/>
              </w:rPr>
              <w:t>课程详细情况统计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教学统计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学习统计</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b w:val="0"/>
                <w:bCs w:val="0"/>
                <w:color w:val="auto"/>
                <w:kern w:val="0"/>
                <w:sz w:val="21"/>
                <w:szCs w:val="21"/>
                <w:lang w:val="en-US" w:eastAsia="zh-Hans" w:bidi="ar"/>
              </w:rPr>
              <w:t>日志统计</w:t>
            </w:r>
            <w:r>
              <w:rPr>
                <w:rFonts w:hint="eastAsia" w:ascii="宋体" w:hAnsi="宋体" w:eastAsia="宋体" w:cs="宋体"/>
                <w:b w:val="0"/>
                <w:bCs w:val="0"/>
                <w:color w:val="auto"/>
                <w:kern w:val="0"/>
                <w:sz w:val="21"/>
                <w:szCs w:val="21"/>
                <w:lang w:val="en-US" w:eastAsia="zh-CN" w:bidi="ar"/>
              </w:rPr>
              <w:t>等。</w:t>
            </w:r>
          </w:p>
          <w:p w14:paraId="741F33C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⑦优质公共资源服务：教师可以在教学资源库建设中搜索添加平台中的公共共享资源，包括教学视频、PPT、动画等文件类型。</w:t>
            </w:r>
          </w:p>
          <w:p w14:paraId="6923497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⑧资源管理：在资源管理功能中，支持对当前专业资源库的课程、素材、题库、试题进行增加、删除、修改、审核通过等管理。</w:t>
            </w:r>
          </w:p>
          <w:p w14:paraId="462BB69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课程管理中：支持筛选项进行查询不同单位，不同状态，以及是否有知识图谱的课程。选择对应课程分类后，可以通过创建、模板导入、链接添加、课程库导入等方式进行添加课程。支持编辑课程是否标记为课程模板，支持校内其他教师直接进行引用课程创建；支持删除，即将课程进行移除出本资源库；上架/下架是否允许校内其他教师直接引用被标记为课程模板的课程；查看引用，指可以查询被标记为示范教学包的课程引用出去的数据。</w:t>
            </w:r>
          </w:p>
          <w:p w14:paraId="510235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素材管理：支持筛选项进行查询对应条件的素材，支持对素材进行删除、信息和分类修改、素材下架、素材审核。素材可以从本单位课程添加、单独上传、跨单位添加，给素材打不同的标签内容，如知识点、技能点。</w:t>
            </w:r>
          </w:p>
          <w:p w14:paraId="36FFB22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题库管理：可以根据不同分类创建相应的题库，支持题库多条件筛选；添加方式可以通过单独创建、智能导入、模板导入、课程导入；题库支持批量删除、批量审核、批量移动和导出。</w:t>
            </w:r>
          </w:p>
          <w:p w14:paraId="7F3E079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试题管理:支持试题标签，可以通过课程库课程导入和考试系统同步，可以通过不同条件进行筛选，对题目进行删除和上架/下架操作。</w:t>
            </w:r>
          </w:p>
          <w:p w14:paraId="30EFA1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⑨健康检测：▲针对申报的国家级省级资源库提供自检功能，自动监测目前建设的资源库哪些指标不满足申报要求，告知哪些指标如何提升或者哪些内容如何进行配置。监测内容主要包括门户覆盖内容、内容监测、建设应用情况监测三部分内容，方便用户快速了解不达标的需要完善的内容大体情况。展示“重新检测”按钮，记录上一次检测结果，显示到年月日时分秒以及检测人姓名；可方便用户知道上次检测时间，通过时间判断整改后是否要在重新检测。</w:t>
            </w:r>
          </w:p>
          <w:p w14:paraId="12F2E85B">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资源库运行及应用</w:t>
            </w:r>
          </w:p>
          <w:p w14:paraId="288BDAF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教学考评流程管理：资源库可实现教学考评管理。教师可利用资源库资源进行线上教学、混合式教学，学生在线学习记录可通过平台进行过程性记录。资源库中每门专业核心课程均可建立试题库，题库中的试题题型覆盖全面。</w:t>
            </w:r>
          </w:p>
          <w:p w14:paraId="056632C2">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AI教学资源生成平台</w:t>
            </w:r>
          </w:p>
          <w:p w14:paraId="070F70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①AI教案：教师输入教学材料或关键词，AI自动生成教案，并支持教师借助写作助手进行再次编辑。支持教师补充所教层次、适合的教学风格，形成更加具有个性化的教案。支持一键导出教案，并且支持按学校教案模板导出。</w:t>
            </w:r>
          </w:p>
          <w:p w14:paraId="2BF3B57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②AI 生成PPT：通过输入PPT内容要求，AI智能生成PPT大纲，支持教师在线直接编辑生成的大纲内容，确认无误后，AI自动根据大纲生成PPT，教师可以选择PPT模板。</w:t>
            </w:r>
          </w:p>
          <w:p w14:paraId="6825C6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③AI智能出题：支持教师通过输入相关的教学材料和知识点，AI系统可以自动生成对应的题目并且不限制教师使用次数。支持多种题型，题型包括选择题、填空题、简答题等，以便满足不同类型考题的需求。教师可以根据课程内容和学生水平，将生成的题目添加到题库。并随时使用这些题目进行测验、考试或者课堂练习。支持设置出的题目的要求，比如：适用年级、难易度、题目偏向等</w:t>
            </w:r>
          </w:p>
          <w:p w14:paraId="2EFBAE9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④AI数字人训练：支持公用人像库自选，支持通过5-10分钟训练视频进行数字分身形象的复刻训练，训练生成的数字分身需具备播报能力、并且可选择数字人动作区间，更适配课程内容姿态。训练后的形象可同步至视频生产平台进行使用。</w:t>
            </w:r>
          </w:p>
          <w:p w14:paraId="2396E0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数字人视频生成:用户在进行视频内容生产过程中，选择好数字分身后可灵活调整数字分身形象大小和位置，制作过程中允许替换数字分身及数字分身的音色及对应语速、音调及音量信息，支持通过导入PPT文件的方式，进行视频分镜的构建，可快速基于导入的文件快速进行视频制作；播报视频生成时，支持对ppt动效、数字人、文字等元素，位置、大小等属性的编辑；也可进行可视、隐藏等操作，可将设置效果一键应用至全局。支持对制作完成的视频文件，进行本地导出操作，或者上传到智慧课程平台个人云盘，导出格式为mp4，可同步导出ppt文件</w:t>
            </w:r>
          </w:p>
          <w:p w14:paraId="3226AE0A">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⑤AI学习内容生成：在老师构建的课程中，支持按照知识点、课程章节名称，系统智能推荐拓展资源给学生学习。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CC06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4096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7F14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C7A3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ADF2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BA96C2B">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4454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FDBB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F65A6">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技能教学成果展示展板定制（</w:t>
            </w:r>
            <w:r>
              <w:rPr>
                <w:rFonts w:hint="eastAsia" w:ascii="宋体" w:hAnsi="宋体" w:eastAsia="宋体" w:cs="宋体"/>
                <w:color w:val="auto"/>
                <w:sz w:val="21"/>
                <w:szCs w:val="21"/>
                <w:lang w:val="en-US" w:eastAsia="zh-CN"/>
              </w:rPr>
              <w:t>规格：100*200</w:t>
            </w:r>
            <w:r>
              <w:rPr>
                <w:rFonts w:hint="eastAsia" w:ascii="宋体" w:hAnsi="宋体" w:eastAsia="宋体" w:cs="宋体"/>
                <w:color w:val="auto"/>
                <w:sz w:val="21"/>
                <w:szCs w:val="21"/>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D637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4A33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D6D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2A16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B972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09533E6">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E29E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9216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501B4">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选用单人单桌，蓝色桌面，按照国家卫健委下发的《学校课桌椅功能尺寸及技术要求》（</w:t>
            </w:r>
            <w:r>
              <w:rPr>
                <w:rFonts w:hint="eastAsia" w:ascii="宋体" w:hAnsi="宋体" w:eastAsia="宋体" w:cs="宋体"/>
                <w:color w:val="auto"/>
                <w:kern w:val="0"/>
                <w:sz w:val="21"/>
                <w:szCs w:val="21"/>
                <w:lang w:val="en-US" w:eastAsia="zh-CN" w:bidi="ar"/>
              </w:rPr>
              <w:t>GB/T3976-2014</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文件标准，材质符合环保标准，对应高中生学习使用要求。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9BF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6640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FD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7AF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49D3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5E87B43E">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E61E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26C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E1F0F">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额定制冷量(W)：≥7290</w:t>
            </w:r>
          </w:p>
          <w:p w14:paraId="69A7D94D">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额定制热量(W)：热泵≥9210</w:t>
            </w:r>
          </w:p>
          <w:p w14:paraId="21A96F07">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电辅热：≥2500</w:t>
            </w:r>
          </w:p>
          <w:p w14:paraId="195A2820">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功率(W)制冷：≥2350(390~3250)</w:t>
            </w:r>
            <w:r>
              <w:rPr>
                <w:rFonts w:hint="eastAsia" w:ascii="宋体" w:hAnsi="宋体" w:eastAsia="宋体" w:cs="宋体"/>
                <w:color w:val="auto"/>
                <w:kern w:val="0"/>
                <w:sz w:val="21"/>
                <w:szCs w:val="21"/>
                <w:lang w:bidi="ar"/>
              </w:rPr>
              <w:tab/>
            </w:r>
          </w:p>
          <w:p w14:paraId="22E898E1">
            <w:pPr>
              <w:pageBreakBefore w:val="0"/>
              <w:widowControl/>
              <w:bidi w:val="0"/>
              <w:adjustRightInd w:val="0"/>
              <w:snapToGrid w:val="0"/>
              <w:spacing w:beforeAutospacing="0" w:afterAutospacing="0" w:line="360" w:lineRule="auto"/>
              <w:ind w:left="0" w:leftChars="0" w:right="0" w:firstLine="840" w:firstLineChars="4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制热≥2800</w:t>
            </w:r>
          </w:p>
          <w:p w14:paraId="1F117DE8">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噪音[dB(A)]：室内机(低-高-超强)≤35-44-47</w:t>
            </w:r>
            <w:r>
              <w:rPr>
                <w:rFonts w:hint="eastAsia" w:ascii="宋体" w:hAnsi="宋体" w:eastAsia="宋体" w:cs="宋体"/>
                <w:color w:val="auto"/>
                <w:kern w:val="0"/>
                <w:sz w:val="21"/>
                <w:szCs w:val="21"/>
                <w:lang w:bidi="ar"/>
              </w:rPr>
              <w:tab/>
            </w:r>
          </w:p>
          <w:p w14:paraId="0DCCF4FB">
            <w:pPr>
              <w:pageBreakBefore w:val="0"/>
              <w:widowControl/>
              <w:bidi w:val="0"/>
              <w:adjustRightInd w:val="0"/>
              <w:snapToGrid w:val="0"/>
              <w:spacing w:beforeAutospacing="0" w:afterAutospacing="0" w:line="360" w:lineRule="auto"/>
              <w:ind w:left="0" w:leftChars="0" w:right="0" w:firstLine="1470" w:firstLineChars="70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室外机≤56</w:t>
            </w:r>
            <w:r>
              <w:rPr>
                <w:rFonts w:hint="eastAsia" w:ascii="宋体" w:hAnsi="宋体" w:eastAsia="宋体" w:cs="宋体"/>
                <w:color w:val="auto"/>
                <w:kern w:val="0"/>
                <w:sz w:val="21"/>
                <w:szCs w:val="21"/>
                <w:lang w:bidi="ar"/>
              </w:rPr>
              <w:tab/>
            </w:r>
          </w:p>
          <w:p w14:paraId="08450FC5">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最大输入功率(W)≥6950</w:t>
            </w:r>
            <w:r>
              <w:rPr>
                <w:rFonts w:hint="eastAsia" w:ascii="宋体" w:hAnsi="宋体" w:eastAsia="宋体" w:cs="宋体"/>
                <w:color w:val="auto"/>
                <w:kern w:val="0"/>
                <w:sz w:val="21"/>
                <w:szCs w:val="21"/>
                <w:lang w:bidi="ar"/>
              </w:rPr>
              <w:tab/>
            </w:r>
          </w:p>
          <w:p w14:paraId="4B8942AE">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最大输入电流(A)≥32.0</w:t>
            </w:r>
            <w:r>
              <w:rPr>
                <w:rFonts w:hint="eastAsia" w:ascii="宋体" w:hAnsi="宋体" w:eastAsia="宋体" w:cs="宋体"/>
                <w:color w:val="auto"/>
                <w:kern w:val="0"/>
                <w:sz w:val="21"/>
                <w:szCs w:val="21"/>
                <w:lang w:bidi="ar"/>
              </w:rPr>
              <w:tab/>
            </w:r>
          </w:p>
          <w:p w14:paraId="03D021BA">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循环风量(m/h)：≥1210</w:t>
            </w:r>
          </w:p>
          <w:p w14:paraId="7A30FFF5">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能效等级：一级</w:t>
            </w:r>
          </w:p>
          <w:p w14:paraId="29ACF780">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工作方式：变频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84C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2DE7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C9A3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E71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1B93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E7AEB28">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2CE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014A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BF17B">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8A3A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81B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8C27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12E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4CB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9B77131">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r>
        <w:rPr>
          <w:rFonts w:hint="eastAsia" w:ascii="宋体" w:hAnsi="宋体" w:eastAsia="宋体" w:cs="宋体"/>
          <w:lang w:val="en-US" w:eastAsia="zh-CN"/>
        </w:rPr>
        <w:br w:type="page"/>
      </w:r>
    </w:p>
    <w:p w14:paraId="745CC1E9">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sectPr>
          <w:pgSz w:w="11906" w:h="16838"/>
          <w:pgMar w:top="1440" w:right="1417" w:bottom="1440" w:left="1417" w:header="720" w:footer="720" w:gutter="0"/>
          <w:pgNumType w:fmt="decimal"/>
          <w:cols w:space="0" w:num="1"/>
          <w:rtlGutter w:val="0"/>
          <w:docGrid w:type="lines" w:linePitch="312" w:charSpace="0"/>
        </w:sectPr>
      </w:pPr>
    </w:p>
    <w:p w14:paraId="74AFCA0A">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43" w:name="_Toc22285"/>
      <w:r>
        <w:rPr>
          <w:rFonts w:hint="eastAsia" w:ascii="宋体" w:hAnsi="宋体" w:eastAsia="宋体" w:cs="宋体"/>
          <w:b/>
          <w:bCs/>
          <w:color w:val="auto"/>
          <w:sz w:val="32"/>
          <w:szCs w:val="32"/>
          <w:highlight w:val="none"/>
        </w:rPr>
        <w:t>第四章 评标办法</w:t>
      </w:r>
      <w:bookmarkEnd w:id="43"/>
    </w:p>
    <w:p w14:paraId="6128788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电子化投标文件的评审、比较和否决</w:t>
      </w:r>
    </w:p>
    <w:p w14:paraId="27216E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1.1评标委员会将按照招标文件的规定，仅对在实质上响应招标文件要求的电子化投标文件进行评估和比较。</w:t>
      </w:r>
    </w:p>
    <w:p w14:paraId="15529A0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1.2根据相关法律法规及有关招投标文件规定，结合本项目具体情况，制定本次招标评标办法。并按照“公平、公正、科学、择优”的原则进行评标。采用综合评分法进行评比。</w:t>
      </w:r>
    </w:p>
    <w:p w14:paraId="3FB816D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1.3在评审过程中，评标委员会可以以书面形式要求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否决投标时应审慎。因招标文件表述歧义或逻辑错误等原因，造成投标文件表述不一致的，不作为否决投标的因素，投标人明显打字或排版错误且不影响实质内容的，可要求投标人作出书面澄清、说明或补正，不予以否决投标。</w:t>
      </w:r>
    </w:p>
    <w:p w14:paraId="64CCDB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1.4评标时，投标报价是评标的重要依据，但不是唯一依据，采购人不承诺将合同授予报价最低或最高的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 </w:t>
      </w:r>
    </w:p>
    <w:p w14:paraId="75E4B84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评标委员会依据本须知规定的评标标准和方法，对电子化投标文件进行评审和比较，向采购人提出书面评标报告，并推荐合格的中标候选供应商。采购人授权评标委员会根据提出的书面评标报告和推荐的中标候选供应商按序确定中标供应商。</w:t>
      </w:r>
    </w:p>
    <w:p w14:paraId="4346192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1.6在评标过程中，投标文件中为同一品牌的且通过资格审查、符合性审查的不同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参加本项目投标的，按一家供应商计算，评审后得分最高的同品牌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获得中标人推荐资格，评审得分相同的，首先以报价最低的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获得中标供应商推荐资格；若报价相同的，以技术标得分最高的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获得中标供应商推荐资格。</w:t>
      </w:r>
    </w:p>
    <w:p w14:paraId="36D3154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712C5EC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2．评分标准(采用综合评分法)</w:t>
      </w:r>
    </w:p>
    <w:p w14:paraId="4D4305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rPr>
      </w:pPr>
      <w:r>
        <w:rPr>
          <w:rFonts w:hint="eastAsia" w:ascii="宋体" w:hAnsi="宋体" w:eastAsia="宋体" w:cs="宋体"/>
          <w:color w:val="auto"/>
          <w:sz w:val="24"/>
          <w:szCs w:val="24"/>
          <w:highlight w:val="none"/>
        </w:rPr>
        <w:t>评标委员会按照《中华人民共和国政府采购法》和《评标委员会和评标方法暂行规定》，结合本项目具体情况，按下列标准打分：第一部分：报价评审；第二部分：技术标评审；第三部分：商务标评审。</w:t>
      </w:r>
    </w:p>
    <w:p w14:paraId="044EEC0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最终得分=报价得分+技术标评审得分+商务标评审得分。</w:t>
      </w:r>
      <w:r>
        <w:rPr>
          <w:rFonts w:hint="eastAsia" w:ascii="宋体" w:hAnsi="宋体" w:eastAsia="宋体" w:cs="宋体"/>
          <w:color w:val="auto"/>
          <w:sz w:val="24"/>
          <w:szCs w:val="24"/>
          <w:highlight w:val="none"/>
        </w:rPr>
        <w:br w:type="page"/>
      </w:r>
    </w:p>
    <w:p w14:paraId="104AE592">
      <w:pPr>
        <w:pageBreakBefore w:val="0"/>
        <w:numPr>
          <w:ilvl w:val="0"/>
          <w:numId w:val="5"/>
        </w:numPr>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评审程序</w:t>
      </w:r>
    </w:p>
    <w:p w14:paraId="4FE5A223">
      <w:pPr>
        <w:pageBreakBefore w:val="0"/>
        <w:numPr>
          <w:ilvl w:val="0"/>
          <w:numId w:val="0"/>
        </w:numPr>
        <w:bidi w:val="0"/>
        <w:adjustRightInd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szCs w:val="22"/>
          <w:highlight w:val="none"/>
          <w:u w:val="none" w:color="000000"/>
        </w:rPr>
      </w:pPr>
      <w:r>
        <w:rPr>
          <w:rFonts w:hint="eastAsia" w:ascii="宋体" w:hAnsi="宋体" w:eastAsia="宋体" w:cs="宋体"/>
          <w:b/>
          <w:color w:val="auto"/>
          <w:kern w:val="0"/>
          <w:sz w:val="24"/>
          <w:szCs w:val="22"/>
          <w:highlight w:val="none"/>
          <w:u w:val="none" w:color="000000"/>
        </w:rPr>
        <w:t>评标办法前附表</w:t>
      </w:r>
    </w:p>
    <w:p w14:paraId="0BCF0154">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.1资格性评审</w:t>
      </w:r>
    </w:p>
    <w:tbl>
      <w:tblPr>
        <w:tblStyle w:val="2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751"/>
        <w:gridCol w:w="3051"/>
      </w:tblGrid>
      <w:tr w14:paraId="112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noWrap/>
            <w:vAlign w:val="center"/>
          </w:tcPr>
          <w:p w14:paraId="5A4A1BD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000000"/>
                <w:kern w:val="10"/>
                <w:sz w:val="24"/>
                <w:szCs w:val="24"/>
                <w:highlight w:val="none"/>
              </w:rPr>
              <w:t>资格性</w:t>
            </w:r>
            <w:r>
              <w:rPr>
                <w:rFonts w:hint="eastAsia" w:ascii="宋体" w:hAnsi="宋体" w:eastAsia="宋体" w:cs="宋体"/>
                <w:sz w:val="24"/>
                <w:szCs w:val="24"/>
                <w:highlight w:val="none"/>
              </w:rPr>
              <w:t>评审</w:t>
            </w:r>
          </w:p>
        </w:tc>
        <w:tc>
          <w:tcPr>
            <w:tcW w:w="4751" w:type="dxa"/>
            <w:noWrap/>
            <w:vAlign w:val="center"/>
          </w:tcPr>
          <w:p w14:paraId="6593CAC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3051" w:type="dxa"/>
            <w:noWrap/>
            <w:vAlign w:val="center"/>
          </w:tcPr>
          <w:p w14:paraId="2273735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5E85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3FA6EDE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6CDD8384">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营业执照、税务登记证、组织机构代码证（或三证合一的营业执照）</w:t>
            </w:r>
          </w:p>
        </w:tc>
        <w:tc>
          <w:tcPr>
            <w:tcW w:w="3051" w:type="dxa"/>
            <w:noWrap/>
            <w:vAlign w:val="center"/>
          </w:tcPr>
          <w:p w14:paraId="448E2E47">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kern w:val="0"/>
                <w:sz w:val="24"/>
                <w:szCs w:val="24"/>
                <w:highlight w:val="none"/>
                <w:lang w:val="en-US"/>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345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179912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3657E0AF">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具有良好的商业信誉和健全的财务会计制度</w:t>
            </w:r>
          </w:p>
        </w:tc>
        <w:tc>
          <w:tcPr>
            <w:tcW w:w="3051" w:type="dxa"/>
            <w:noWrap/>
            <w:vAlign w:val="center"/>
          </w:tcPr>
          <w:p w14:paraId="5B0BFB0A">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84F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165D8B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23444622">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具有履行合同所必需的设备和专业技术能力</w:t>
            </w:r>
          </w:p>
        </w:tc>
        <w:tc>
          <w:tcPr>
            <w:tcW w:w="3051" w:type="dxa"/>
            <w:noWrap/>
            <w:vAlign w:val="center"/>
          </w:tcPr>
          <w:p w14:paraId="21E1D2A7">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0E91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7343BE0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E9DF91A">
            <w:pPr>
              <w:pageBreakBefore w:val="0"/>
              <w:widowControl/>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auto"/>
                <w:sz w:val="24"/>
                <w:szCs w:val="28"/>
                <w:highlight w:val="none"/>
              </w:rPr>
              <w:t>有依法缴纳税收和社会保障资金的良好记录</w:t>
            </w:r>
          </w:p>
        </w:tc>
        <w:tc>
          <w:tcPr>
            <w:tcW w:w="3051" w:type="dxa"/>
            <w:noWrap/>
            <w:vAlign w:val="center"/>
          </w:tcPr>
          <w:p w14:paraId="56CD5FE0">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BCF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noWrap/>
            <w:vAlign w:val="center"/>
          </w:tcPr>
          <w:p w14:paraId="3394DA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418D23A">
            <w:pPr>
              <w:pageBreakBefore w:val="0"/>
              <w:widowControl/>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参加政府采购活动近三年内，在经营活动中没有重大违法记录</w:t>
            </w:r>
          </w:p>
        </w:tc>
        <w:tc>
          <w:tcPr>
            <w:tcW w:w="3051" w:type="dxa"/>
            <w:noWrap/>
            <w:vAlign w:val="center"/>
          </w:tcPr>
          <w:p w14:paraId="7D00F65D">
            <w:pPr>
              <w:pageBreakBefore w:val="0"/>
              <w:widowControl/>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8"/>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6FC9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6BE993B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14A9C0C1">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8"/>
                <w:highlight w:val="none"/>
                <w:lang w:val="en-US" w:eastAsia="zh-CN"/>
              </w:rPr>
              <w:t>无商业贿赂及无不正当竞争行为</w:t>
            </w:r>
          </w:p>
        </w:tc>
        <w:tc>
          <w:tcPr>
            <w:tcW w:w="3051" w:type="dxa"/>
            <w:noWrap/>
            <w:vAlign w:val="center"/>
          </w:tcPr>
          <w:p w14:paraId="2648B3DC">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4F7C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77949A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7FDD690B">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rPr>
              <w:t>信用</w:t>
            </w:r>
            <w:r>
              <w:rPr>
                <w:rFonts w:hint="eastAsia" w:ascii="宋体" w:hAnsi="宋体" w:cs="宋体"/>
                <w:i w:val="0"/>
                <w:iCs w:val="0"/>
                <w:caps w:val="0"/>
                <w:color w:val="333333"/>
                <w:spacing w:val="0"/>
                <w:sz w:val="24"/>
                <w:szCs w:val="24"/>
                <w:highlight w:val="none"/>
                <w:lang w:val="en-US" w:eastAsia="zh-CN"/>
              </w:rPr>
              <w:t>查询</w:t>
            </w:r>
            <w:r>
              <w:rPr>
                <w:rFonts w:hint="eastAsia" w:ascii="宋体" w:hAnsi="宋体" w:eastAsia="宋体" w:cs="宋体"/>
                <w:i w:val="0"/>
                <w:iCs w:val="0"/>
                <w:caps w:val="0"/>
                <w:color w:val="333333"/>
                <w:spacing w:val="0"/>
                <w:sz w:val="24"/>
                <w:szCs w:val="24"/>
                <w:highlight w:val="none"/>
                <w:lang w:val="en-US" w:eastAsia="zh-CN"/>
              </w:rPr>
              <w:t>截图</w:t>
            </w:r>
          </w:p>
        </w:tc>
        <w:tc>
          <w:tcPr>
            <w:tcW w:w="3051" w:type="dxa"/>
            <w:noWrap/>
            <w:vAlign w:val="center"/>
          </w:tcPr>
          <w:p w14:paraId="3648184D">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lang w:val="en-US" w:eastAsia="zh-CN" w:bidi="ar"/>
              </w:rPr>
              <w:t>符合招标文件要求</w:t>
            </w:r>
          </w:p>
        </w:tc>
      </w:tr>
      <w:tr w14:paraId="3490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6BE6C2F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p>
        </w:tc>
        <w:tc>
          <w:tcPr>
            <w:tcW w:w="4751" w:type="dxa"/>
            <w:noWrap/>
            <w:vAlign w:val="center"/>
          </w:tcPr>
          <w:p w14:paraId="4B0C4E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highlight w:val="none"/>
              </w:rPr>
            </w:pPr>
            <w:r>
              <w:rPr>
                <w:rFonts w:hint="eastAsia" w:ascii="宋体" w:hAnsi="宋体" w:eastAsia="宋体" w:cs="宋体"/>
                <w:color w:val="auto"/>
                <w:sz w:val="24"/>
                <w:szCs w:val="28"/>
                <w:highlight w:val="none"/>
                <w:lang w:val="en-US" w:eastAsia="zh-CN"/>
              </w:rPr>
              <w:t>单位负责人为同一人或者存在直接控股、管理关系的不同供应商，不得参加同一合同项下的采购活动</w:t>
            </w:r>
          </w:p>
        </w:tc>
        <w:tc>
          <w:tcPr>
            <w:tcW w:w="3051" w:type="dxa"/>
            <w:noWrap/>
            <w:vAlign w:val="center"/>
          </w:tcPr>
          <w:p w14:paraId="2148DC67">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符合招标文件要求</w:t>
            </w:r>
          </w:p>
        </w:tc>
      </w:tr>
      <w:tr w14:paraId="6F53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noWrap/>
            <w:vAlign w:val="center"/>
          </w:tcPr>
          <w:p w14:paraId="14EC252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4751" w:type="dxa"/>
            <w:noWrap/>
            <w:vAlign w:val="center"/>
          </w:tcPr>
          <w:p w14:paraId="69C5713F">
            <w:pPr>
              <w:pageBreakBefore w:val="0"/>
              <w:bidi w:val="0"/>
              <w:adjustRightInd w:val="0"/>
              <w:snapToGrid w:val="0"/>
              <w:spacing w:beforeAutospacing="0" w:afterAutospacing="0" w:line="360" w:lineRule="auto"/>
              <w:ind w:left="0" w:leftChars="0" w:right="0"/>
              <w:jc w:val="center"/>
              <w:textAlignment w:val="baseline"/>
              <w:rPr>
                <w:rFonts w:hint="eastAsia" w:ascii="宋体" w:hAnsi="宋体" w:eastAsia="宋体" w:cs="宋体"/>
                <w:sz w:val="24"/>
                <w:szCs w:val="24"/>
              </w:rPr>
            </w:pPr>
            <w:r>
              <w:rPr>
                <w:rFonts w:hint="eastAsia" w:ascii="宋体" w:hAnsi="宋体" w:eastAsia="宋体" w:cs="宋体"/>
                <w:color w:val="auto"/>
                <w:sz w:val="24"/>
                <w:szCs w:val="28"/>
                <w:highlight w:val="none"/>
              </w:rPr>
              <w:t>本项目不</w:t>
            </w:r>
            <w:r>
              <w:rPr>
                <w:rFonts w:hint="eastAsia" w:ascii="宋体" w:hAnsi="宋体" w:eastAsia="宋体" w:cs="宋体"/>
                <w:color w:val="auto"/>
                <w:sz w:val="24"/>
                <w:szCs w:val="28"/>
                <w:highlight w:val="none"/>
                <w:lang w:val="en-US" w:eastAsia="zh-CN"/>
              </w:rPr>
              <w:t>接受</w:t>
            </w:r>
            <w:r>
              <w:rPr>
                <w:rFonts w:hint="eastAsia" w:ascii="宋体" w:hAnsi="宋体" w:eastAsia="宋体" w:cs="宋体"/>
                <w:color w:val="auto"/>
                <w:sz w:val="24"/>
                <w:szCs w:val="28"/>
                <w:highlight w:val="none"/>
              </w:rPr>
              <w:t>联合体投标</w:t>
            </w:r>
          </w:p>
        </w:tc>
        <w:tc>
          <w:tcPr>
            <w:tcW w:w="3051" w:type="dxa"/>
            <w:noWrap/>
            <w:vAlign w:val="center"/>
          </w:tcPr>
          <w:p w14:paraId="14F0A338">
            <w:pPr>
              <w:pStyle w:val="19"/>
              <w:pageBreakBefore w:val="0"/>
              <w:bidi w:val="0"/>
              <w:adjustRightInd w:val="0"/>
              <w:snapToGrid w:val="0"/>
              <w:spacing w:beforeAutospacing="0" w:after="0" w:afterAutospacing="0" w:line="36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符合招标文件要求</w:t>
            </w:r>
          </w:p>
        </w:tc>
      </w:tr>
      <w:tr w14:paraId="70B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19" w:type="dxa"/>
            <w:gridSpan w:val="3"/>
            <w:noWrap/>
            <w:vAlign w:val="center"/>
          </w:tcPr>
          <w:p w14:paraId="1227EC5F">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以上证件以投标截止时间前在三门峡市公共资源交易系统上传的投标文件的信息为准。其上传资料真实性由供应商自行承担</w:t>
            </w:r>
            <w:r>
              <w:rPr>
                <w:rFonts w:hint="eastAsia" w:ascii="宋体" w:hAnsi="宋体" w:eastAsia="宋体" w:cs="宋体"/>
                <w:sz w:val="24"/>
                <w:szCs w:val="24"/>
                <w:lang w:eastAsia="zh-CN"/>
              </w:rPr>
              <w:t>，</w:t>
            </w:r>
            <w:r>
              <w:rPr>
                <w:rFonts w:hint="eastAsia" w:ascii="宋体" w:hAnsi="宋体" w:eastAsia="宋体" w:cs="宋体"/>
                <w:sz w:val="24"/>
                <w:szCs w:val="24"/>
              </w:rPr>
              <w:t>否则，由此造成应得分而未得分或资格审查不合格等情况的，由供应商承担责任。</w:t>
            </w:r>
          </w:p>
          <w:p w14:paraId="2CF6F894">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szCs w:val="24"/>
              </w:rPr>
            </w:pPr>
            <w:r>
              <w:rPr>
                <w:rFonts w:hint="eastAsia" w:ascii="宋体" w:hAnsi="宋体" w:eastAsia="宋体" w:cs="宋体"/>
                <w:sz w:val="24"/>
                <w:szCs w:val="24"/>
              </w:rPr>
              <w:t>根据87号令第四十四条规定，公开招标采购项目开标结束后，采购人或者采购代理机构应当依法对供应商的资格进行审查，未通过资格审查的供应商不参与评标。</w:t>
            </w:r>
          </w:p>
        </w:tc>
      </w:tr>
    </w:tbl>
    <w:p w14:paraId="04E8125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.2符合性评审</w:t>
      </w:r>
    </w:p>
    <w:p w14:paraId="2CF787D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投标文件不能满足下列情形之一的，由评标委员会初审后不进入下一轮评审：</w:t>
      </w:r>
    </w:p>
    <w:tbl>
      <w:tblPr>
        <w:tblStyle w:val="21"/>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628"/>
        <w:gridCol w:w="5174"/>
      </w:tblGrid>
      <w:tr w14:paraId="25C2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restart"/>
            <w:vAlign w:val="center"/>
          </w:tcPr>
          <w:p w14:paraId="23FAC78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符合性评审</w:t>
            </w:r>
          </w:p>
        </w:tc>
        <w:tc>
          <w:tcPr>
            <w:tcW w:w="2628" w:type="dxa"/>
            <w:vAlign w:val="center"/>
          </w:tcPr>
          <w:p w14:paraId="12A8C61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174" w:type="dxa"/>
            <w:vAlign w:val="center"/>
          </w:tcPr>
          <w:p w14:paraId="4484AF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4095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7" w:type="dxa"/>
            <w:vMerge w:val="continue"/>
            <w:vAlign w:val="center"/>
          </w:tcPr>
          <w:p w14:paraId="5BA6AFA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0D1A88E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1"/>
                <w:sz w:val="24"/>
                <w:szCs w:val="24"/>
              </w:rPr>
              <w:t>供应商名称</w:t>
            </w:r>
          </w:p>
        </w:tc>
        <w:tc>
          <w:tcPr>
            <w:tcW w:w="5174" w:type="dxa"/>
            <w:vAlign w:val="center"/>
          </w:tcPr>
          <w:p w14:paraId="4D5C69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1"/>
                <w:sz w:val="24"/>
                <w:szCs w:val="24"/>
              </w:rPr>
              <w:t>与营业执照一致</w:t>
            </w:r>
          </w:p>
        </w:tc>
      </w:tr>
      <w:tr w14:paraId="7292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7" w:type="dxa"/>
            <w:vMerge w:val="continue"/>
            <w:vAlign w:val="center"/>
          </w:tcPr>
          <w:p w14:paraId="77E37E2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2A0A9DD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电子签章</w:t>
            </w:r>
          </w:p>
        </w:tc>
        <w:tc>
          <w:tcPr>
            <w:tcW w:w="5174" w:type="dxa"/>
            <w:vAlign w:val="center"/>
          </w:tcPr>
          <w:p w14:paraId="258D5BF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符合招标文件要求的电子签章</w:t>
            </w:r>
          </w:p>
        </w:tc>
      </w:tr>
      <w:tr w14:paraId="274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vAlign w:val="center"/>
          </w:tcPr>
          <w:p w14:paraId="2D159D8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53D4F89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5174" w:type="dxa"/>
            <w:vAlign w:val="center"/>
          </w:tcPr>
          <w:p w14:paraId="0907ED5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492E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 w:type="dxa"/>
            <w:vMerge w:val="continue"/>
            <w:vAlign w:val="center"/>
          </w:tcPr>
          <w:p w14:paraId="69CDFE8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28" w:type="dxa"/>
            <w:vAlign w:val="center"/>
          </w:tcPr>
          <w:p w14:paraId="4F03D96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投标文件格式</w:t>
            </w:r>
          </w:p>
        </w:tc>
        <w:tc>
          <w:tcPr>
            <w:tcW w:w="5174" w:type="dxa"/>
            <w:vAlign w:val="center"/>
          </w:tcPr>
          <w:p w14:paraId="1A4177C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符合招标文件要求</w:t>
            </w:r>
          </w:p>
        </w:tc>
      </w:tr>
    </w:tbl>
    <w:p w14:paraId="7A49338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 响应性评审</w:t>
      </w:r>
    </w:p>
    <w:tbl>
      <w:tblPr>
        <w:tblStyle w:val="2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89"/>
        <w:gridCol w:w="5254"/>
      </w:tblGrid>
      <w:tr w14:paraId="2A3F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5" w:type="dxa"/>
            <w:vMerge w:val="restart"/>
            <w:vAlign w:val="center"/>
          </w:tcPr>
          <w:p w14:paraId="0B79A5D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响应性性评审</w:t>
            </w:r>
          </w:p>
        </w:tc>
        <w:tc>
          <w:tcPr>
            <w:tcW w:w="2689" w:type="dxa"/>
            <w:vAlign w:val="center"/>
          </w:tcPr>
          <w:p w14:paraId="2E38F82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254" w:type="dxa"/>
            <w:vAlign w:val="center"/>
          </w:tcPr>
          <w:p w14:paraId="2431A40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6A45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5" w:type="dxa"/>
            <w:vMerge w:val="continue"/>
            <w:vAlign w:val="center"/>
          </w:tcPr>
          <w:p w14:paraId="4A35C1B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60B17B3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采购内容</w:t>
            </w:r>
          </w:p>
        </w:tc>
        <w:tc>
          <w:tcPr>
            <w:tcW w:w="5254" w:type="dxa"/>
            <w:vAlign w:val="center"/>
          </w:tcPr>
          <w:p w14:paraId="7C6B40C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符合招标文件要求</w:t>
            </w:r>
          </w:p>
        </w:tc>
      </w:tr>
      <w:tr w14:paraId="201D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35" w:type="dxa"/>
            <w:vMerge w:val="continue"/>
            <w:vAlign w:val="center"/>
          </w:tcPr>
          <w:p w14:paraId="651DA51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51A334A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5254" w:type="dxa"/>
            <w:vAlign w:val="center"/>
          </w:tcPr>
          <w:p w14:paraId="0B01972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FF0000"/>
                <w:sz w:val="24"/>
                <w:szCs w:val="24"/>
              </w:rPr>
            </w:pPr>
            <w:r>
              <w:rPr>
                <w:rFonts w:hint="eastAsia" w:ascii="宋体" w:hAnsi="宋体" w:eastAsia="宋体" w:cs="宋体"/>
                <w:sz w:val="24"/>
                <w:szCs w:val="24"/>
              </w:rPr>
              <w:t>符合或优于招标文件要求</w:t>
            </w:r>
          </w:p>
        </w:tc>
      </w:tr>
      <w:tr w14:paraId="7F4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5" w:type="dxa"/>
            <w:vMerge w:val="continue"/>
            <w:vAlign w:val="center"/>
          </w:tcPr>
          <w:p w14:paraId="098301D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10674B5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kern w:val="0"/>
                <w:sz w:val="24"/>
                <w:szCs w:val="24"/>
              </w:rPr>
              <w:t>质保期</w:t>
            </w:r>
          </w:p>
        </w:tc>
        <w:tc>
          <w:tcPr>
            <w:tcW w:w="5254" w:type="dxa"/>
            <w:vAlign w:val="center"/>
          </w:tcPr>
          <w:p w14:paraId="461435E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符合或优于招标文件要求</w:t>
            </w:r>
          </w:p>
        </w:tc>
      </w:tr>
      <w:tr w14:paraId="08A3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vMerge w:val="continue"/>
            <w:vAlign w:val="center"/>
          </w:tcPr>
          <w:p w14:paraId="5DE4D2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742D96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5254" w:type="dxa"/>
            <w:vAlign w:val="center"/>
          </w:tcPr>
          <w:p w14:paraId="14399FE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符合或优于招标文件要求</w:t>
            </w:r>
          </w:p>
        </w:tc>
      </w:tr>
      <w:tr w14:paraId="0D51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35" w:type="dxa"/>
            <w:vMerge w:val="continue"/>
            <w:vAlign w:val="center"/>
          </w:tcPr>
          <w:p w14:paraId="5CE95FB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p>
        </w:tc>
        <w:tc>
          <w:tcPr>
            <w:tcW w:w="2689" w:type="dxa"/>
            <w:vAlign w:val="center"/>
          </w:tcPr>
          <w:p w14:paraId="0C9F7D3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254" w:type="dxa"/>
            <w:vAlign w:val="center"/>
          </w:tcPr>
          <w:p w14:paraId="6B4E3CB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rPr>
            </w:pPr>
            <w:r>
              <w:rPr>
                <w:rFonts w:hint="eastAsia" w:ascii="宋体" w:hAnsi="宋体" w:eastAsia="宋体" w:cs="宋体"/>
                <w:color w:val="auto"/>
                <w:sz w:val="24"/>
                <w:szCs w:val="24"/>
                <w:highlight w:val="none"/>
              </w:rPr>
              <w:t>投标截止之日起60日历天</w:t>
            </w:r>
          </w:p>
        </w:tc>
      </w:tr>
    </w:tbl>
    <w:p w14:paraId="2F52B02E">
      <w:pPr>
        <w:pageBreakBefore w:val="0"/>
        <w:numPr>
          <w:ilvl w:val="0"/>
          <w:numId w:val="0"/>
        </w:numPr>
        <w:bidi w:val="0"/>
        <w:adjustRightInd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szCs w:val="22"/>
          <w:highlight w:val="none"/>
          <w:u w:val="none" w:color="000000"/>
        </w:rPr>
      </w:pPr>
    </w:p>
    <w:p w14:paraId="1251D15D">
      <w:pPr>
        <w:pStyle w:val="19"/>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b/>
          <w:color w:val="auto"/>
          <w:kern w:val="0"/>
          <w:sz w:val="24"/>
          <w:szCs w:val="22"/>
          <w:highlight w:val="none"/>
          <w:u w:val="none" w:color="000000"/>
          <w:lang w:val="en-US" w:eastAsia="zh-CN" w:bidi="ar-SA"/>
        </w:rPr>
      </w:pPr>
      <w:r>
        <w:rPr>
          <w:rFonts w:hint="eastAsia" w:ascii="宋体" w:hAnsi="宋体" w:eastAsia="宋体" w:cs="宋体"/>
          <w:color w:val="auto"/>
          <w:sz w:val="24"/>
          <w:szCs w:val="20"/>
          <w:highlight w:val="none"/>
          <w:u w:val="none" w:color="000000"/>
          <w:lang w:val="zh-CN"/>
        </w:rPr>
        <w:br w:type="page"/>
      </w:r>
      <w:r>
        <w:rPr>
          <w:rFonts w:hint="eastAsia" w:ascii="宋体" w:hAnsi="宋体" w:eastAsia="宋体" w:cs="宋体"/>
          <w:b/>
          <w:color w:val="auto"/>
          <w:kern w:val="0"/>
          <w:sz w:val="24"/>
          <w:szCs w:val="22"/>
          <w:highlight w:val="none"/>
          <w:u w:val="none" w:color="000000"/>
          <w:lang w:val="en-US" w:eastAsia="zh-CN" w:bidi="ar-SA"/>
        </w:rPr>
        <w:t>3.4 详细评审</w:t>
      </w:r>
    </w:p>
    <w:p w14:paraId="1B5B602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一标段评分办法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01A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391A8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6D79C7F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16D66547">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941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4A1890B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7CB9CB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4CEA399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8D2669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29FE9E9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14A00C7C">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055827B5">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2D33692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提供证明材料）按20%扣除，使用扣除后的价格参与评审。对于中型企业产品的价格不予扣除。小微企业需完整填写小微企业声明函并提供证明资料。</w:t>
            </w:r>
          </w:p>
          <w:p w14:paraId="018CE25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所投小微企业产品报价=所投小微企业产品报价×（1-20%）</w:t>
            </w:r>
          </w:p>
          <w:p w14:paraId="63F8E22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0D71E83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5、根据财政部民政部中国残疾人联合会《关于促进残疾人就业政府采购政策的通知》（财库〔2017〕141号）规定，对于残疾人福利性单位视同为小型、微型企业，价格给予20%的扣除。</w:t>
            </w:r>
          </w:p>
          <w:p w14:paraId="6C62D39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37B6AD1B">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2A171E19">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3B5D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53CA972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722F6DD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48AF2B2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103B0ECA">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供应商所投主要产品参数要求完全满足招标文件要求的，得满分。</w:t>
            </w:r>
          </w:p>
          <w:p w14:paraId="23FEB6C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带“★” 为关键参数，其中要求提供相关证明文件的，必须按要求提供，否则视为此项不满足技术要求。</w:t>
            </w:r>
          </w:p>
          <w:p w14:paraId="146B3D6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参数要求带“★”每有一项不满足的扣 1 分，其它每有一项不满足的扣 0.5分，扣完为止。</w:t>
            </w:r>
          </w:p>
        </w:tc>
      </w:tr>
      <w:tr w14:paraId="7A49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5A9641F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6BA99303">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31D25A8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3BA5385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提供项目组织实施方案，评委根据方案中人员组织、进度安排、实施步骤、保障措施等内容及优惠服务等内容进行对比，详细、完整、合理的得10分，较详细、完整、合理的得7分，一般的得3分，否则不得分。</w:t>
            </w:r>
          </w:p>
        </w:tc>
      </w:tr>
      <w:tr w14:paraId="1A32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13C551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397116E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4861EEE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根据供应商提供的质量保障措施是否科学、合理、可行。</w:t>
            </w:r>
          </w:p>
          <w:p w14:paraId="11E3FDD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投标人提供的质量保证措施便于实施、具有针对性、完善程度高得10分；</w:t>
            </w:r>
          </w:p>
          <w:p w14:paraId="2CB8792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投标人提供的质量保证措施合理便于实施、但完善程度一般不够详尽的得7 分；</w:t>
            </w:r>
          </w:p>
          <w:p w14:paraId="6567153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投标人提供的质量保证措施合理性一般，不便于实施，完善程度一般不够详尽的得3分。</w:t>
            </w:r>
          </w:p>
          <w:p w14:paraId="4C8A26A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投标人没有提供上述内容，或提供的不完整有缺项的得0 分。</w:t>
            </w:r>
          </w:p>
        </w:tc>
      </w:tr>
      <w:tr w14:paraId="6CFB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5071A3F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B79612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44548BE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、供货时间、进度计划等，是否科学、合理、可行。</w:t>
            </w:r>
          </w:p>
          <w:p w14:paraId="02144BD6">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14:paraId="7E7EE8CB">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14:paraId="6B0C981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78CA957F">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170F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728D7A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CB2639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安装、调试方案（5分）</w:t>
            </w:r>
          </w:p>
        </w:tc>
        <w:tc>
          <w:tcPr>
            <w:tcW w:w="6239" w:type="dxa"/>
            <w:noWrap w:val="0"/>
            <w:vAlign w:val="center"/>
          </w:tcPr>
          <w:p w14:paraId="700421C6">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对安装调试方案是否详尽、科学、合理，安装施工组织管理是否完整，人员配备，现场安装的安全保证措施是否合理、齐全；设备安装进度保证及措施；安装所用机械和测试设备是否适当、齐全进行综合评定。</w:t>
            </w:r>
          </w:p>
          <w:p w14:paraId="693E6761">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针对性强、非常完善、完全合理、完全满足招标人需求，得5分；</w:t>
            </w:r>
          </w:p>
          <w:p w14:paraId="72917D6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针对性较强、比较完善、比较合理、基本满足招标人需求，得3分；</w:t>
            </w:r>
          </w:p>
          <w:p w14:paraId="5B4D3613">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针对性一般、不够完善、不够合理、不能满足招标人需求，得1分；</w:t>
            </w:r>
          </w:p>
          <w:p w14:paraId="74A277AD">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7819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52DBC29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C7B4B4B">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人员及培训方案（5分）</w:t>
            </w:r>
          </w:p>
        </w:tc>
        <w:tc>
          <w:tcPr>
            <w:tcW w:w="6239" w:type="dxa"/>
            <w:noWrap w:val="0"/>
            <w:vAlign w:val="center"/>
          </w:tcPr>
          <w:p w14:paraId="2DAA016F">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682C57A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针对性强、非常完善、完全合理、完全满足招标人需求，得5分；</w:t>
            </w:r>
          </w:p>
          <w:p w14:paraId="7E779E4C">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针对性较强、比较完善、比较合理、基本满足招标人需求，得3分；</w:t>
            </w:r>
          </w:p>
          <w:p w14:paraId="72B0A5C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针对性一般、不够完善、不够合理、不能满足招标人需求，得1分；</w:t>
            </w:r>
          </w:p>
          <w:p w14:paraId="08CD618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4181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24681AEC">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582024E9">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9BB456E">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4BD5703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3AA0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BC1EC5C">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DC87CE6">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492380DF">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2939B7CE">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7F4976BA">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1222F832">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491D3B38">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5128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7A4859B7">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451CBF2C">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4DA5F56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65E783C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A58556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166D7A8">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4A8C9F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3A4E33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A59E60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二标段评标办法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5E60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3D7AD53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539B7C3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6D1EE2AA">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79B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6815A90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4744AA6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726E60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833AB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6F1AFB9A">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3C98A2B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5E1B45CE">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055AB6DA">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w:t>
            </w:r>
            <w:r>
              <w:rPr>
                <w:rFonts w:hint="eastAsia" w:ascii="宋体" w:hAnsi="宋体" w:eastAsia="宋体" w:cs="宋体"/>
                <w:b w:val="0"/>
                <w:bCs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提供证明材料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%扣除，使用扣除后的价格参与评审。对于中型企业产品的价格不予扣除。</w:t>
            </w:r>
            <w:r>
              <w:rPr>
                <w:rFonts w:hint="eastAsia" w:ascii="宋体" w:hAnsi="宋体" w:eastAsia="宋体" w:cs="宋体"/>
                <w:b w:val="0"/>
                <w:bCs w:val="0"/>
                <w:sz w:val="24"/>
                <w:szCs w:val="24"/>
                <w:highlight w:val="none"/>
                <w:lang w:val="en-US" w:eastAsia="zh-CN"/>
              </w:rPr>
              <w:t>小微企业需完整填写小微企业声明函并提供证明资料。</w:t>
            </w:r>
          </w:p>
          <w:p w14:paraId="7B3B8EA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z w:val="24"/>
                <w:szCs w:val="24"/>
                <w:highlight w:val="none"/>
              </w:rPr>
              <w:t>所投小微企业产品报价=所投小微企业产品报价×（1-</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w:t>
            </w:r>
          </w:p>
          <w:p w14:paraId="1FE7033C">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2B2979F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%的扣除</w:t>
            </w:r>
            <w:r>
              <w:rPr>
                <w:rFonts w:hint="eastAsia" w:ascii="宋体" w:hAnsi="宋体" w:eastAsia="宋体" w:cs="宋体"/>
                <w:b w:val="0"/>
                <w:bCs w:val="0"/>
                <w:snapToGrid w:val="0"/>
                <w:kern w:val="2"/>
                <w:sz w:val="24"/>
                <w:szCs w:val="24"/>
                <w:highlight w:val="none"/>
                <w:lang w:val="en-US" w:eastAsia="zh-CN"/>
              </w:rPr>
              <w:t>。</w:t>
            </w:r>
          </w:p>
          <w:p w14:paraId="71B76E6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0467713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3E747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13AB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15E789E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15F94CB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3648019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3E2D7AC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供应商所投主要产品参数要求完全满足招标文件要求的，得满分。</w:t>
            </w:r>
          </w:p>
          <w:p w14:paraId="0D032F0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 为关键参数，其中要求提供相关证明文件的，必须按要求提供，否则视为此项不满足技术要求。</w:t>
            </w:r>
          </w:p>
          <w:p w14:paraId="5E6236B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参数要求带“★”每有一项不满足的扣 1 分，其它每有一项不满足的扣 0.5分，扣完为止。</w:t>
            </w:r>
          </w:p>
        </w:tc>
      </w:tr>
      <w:tr w14:paraId="72C8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49EB804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3308714D">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3DBCF04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71CF401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否则不得分。</w:t>
            </w:r>
          </w:p>
        </w:tc>
      </w:tr>
      <w:tr w14:paraId="5AF6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44E22A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263639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36E641D3">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根据供应商提供的质量保障措施是否科学、合理、可行。</w:t>
            </w:r>
          </w:p>
          <w:p w14:paraId="587484A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投标人提供的质量保证措施便于实施、具有针对性、完善程度高得10分</w:t>
            </w:r>
            <w:r>
              <w:rPr>
                <w:rFonts w:hint="eastAsia" w:ascii="宋体" w:hAnsi="宋体" w:eastAsia="宋体" w:cs="宋体"/>
                <w:sz w:val="24"/>
                <w:highlight w:val="none"/>
                <w:lang w:eastAsia="zh-CN"/>
              </w:rPr>
              <w:t>。</w:t>
            </w:r>
          </w:p>
          <w:p w14:paraId="14C2449C">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投标人提供的质量保证措施合理便于实施、但完善程度一般不够详尽的得7 分</w:t>
            </w:r>
            <w:r>
              <w:rPr>
                <w:rFonts w:hint="eastAsia" w:ascii="宋体" w:hAnsi="宋体" w:eastAsia="宋体" w:cs="宋体"/>
                <w:sz w:val="24"/>
                <w:highlight w:val="none"/>
                <w:lang w:eastAsia="zh-CN"/>
              </w:rPr>
              <w:t>。</w:t>
            </w:r>
          </w:p>
          <w:p w14:paraId="78931F0F">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投标人提供的质量保证措施合理性一般，不便于实施，完善程度一般不够详尽的得3分。</w:t>
            </w:r>
          </w:p>
          <w:p w14:paraId="5499C591">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r>
              <w:rPr>
                <w:rFonts w:hint="eastAsia" w:ascii="宋体" w:hAnsi="宋体" w:eastAsia="宋体" w:cs="宋体"/>
                <w:sz w:val="24"/>
                <w:highlight w:val="none"/>
                <w:lang w:eastAsia="zh-CN"/>
              </w:rPr>
              <w:t>。</w:t>
            </w:r>
          </w:p>
        </w:tc>
      </w:tr>
      <w:tr w14:paraId="352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CF67E8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0DA37C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0E017491">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、供货时间、进度计划等，是否科学、合理、可行。</w:t>
            </w:r>
          </w:p>
          <w:p w14:paraId="4B144F68">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5FFCEDC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65CCED18">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32971F7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52C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43DCA8D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79A9289A">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人员及培训方案（10分）</w:t>
            </w:r>
          </w:p>
        </w:tc>
        <w:tc>
          <w:tcPr>
            <w:tcW w:w="6239" w:type="dxa"/>
            <w:noWrap w:val="0"/>
            <w:vAlign w:val="center"/>
          </w:tcPr>
          <w:p w14:paraId="55FA72D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0F1AF05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针对性强、非常完善、完全合理、完全满足招标人需求，得10分。</w:t>
            </w:r>
          </w:p>
          <w:p w14:paraId="1206661A">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针对性较强、比较完善、比较合理、基本满足招标人需求，得7分。</w:t>
            </w:r>
          </w:p>
          <w:p w14:paraId="53BDDE27">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针对性一般、不够完善、不够合理、不能满足招标人需求，得3分。</w:t>
            </w:r>
          </w:p>
          <w:p w14:paraId="120CDD5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6541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72557464">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5FFEA2FD">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32A5F289">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4C4ADAC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728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ECA29B3">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85107E5">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5D3E4D18">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784CE4AE">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23B9183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75CA34D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6F13F11F">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1CA8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9A9BDB0">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75A60C82">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37A7A9D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6B151D23">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2630AA4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B73B9D4">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428CEFF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00602BC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8483F60">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三标段评标办法</w:t>
      </w:r>
    </w:p>
    <w:tbl>
      <w:tblPr>
        <w:tblStyle w:val="2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30"/>
        <w:gridCol w:w="6239"/>
      </w:tblGrid>
      <w:tr w14:paraId="73EE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10C5DCF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530" w:type="dxa"/>
            <w:noWrap w:val="0"/>
            <w:vAlign w:val="center"/>
          </w:tcPr>
          <w:p w14:paraId="5AB6C1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39" w:type="dxa"/>
            <w:noWrap w:val="0"/>
            <w:vAlign w:val="top"/>
          </w:tcPr>
          <w:p w14:paraId="2EDA3A95">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B4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noWrap w:val="0"/>
            <w:vAlign w:val="center"/>
          </w:tcPr>
          <w:p w14:paraId="5904CDB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519A1A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530" w:type="dxa"/>
            <w:noWrap w:val="0"/>
            <w:vAlign w:val="center"/>
          </w:tcPr>
          <w:p w14:paraId="3685741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EA238A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（30分）</w:t>
            </w:r>
          </w:p>
        </w:tc>
        <w:tc>
          <w:tcPr>
            <w:tcW w:w="6239" w:type="dxa"/>
            <w:noWrap w:val="0"/>
            <w:vAlign w:val="top"/>
          </w:tcPr>
          <w:p w14:paraId="660C4E7B">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1、价格分采用低价优先法计算，即满足招标文件通过资格性和形式性审查且投标价格最低的投标报价为评标基准价，其价格得分为满分30分。</w:t>
            </w:r>
          </w:p>
          <w:p w14:paraId="3E037CC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2、其他供应商的价格分统一按照下列公式计算：</w:t>
            </w:r>
          </w:p>
          <w:p w14:paraId="35E657A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投标报价得分=(评标基准价／投标报价)×30</w:t>
            </w:r>
          </w:p>
          <w:p w14:paraId="09617C90">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3、价格扣除：</w:t>
            </w:r>
            <w:r>
              <w:rPr>
                <w:rFonts w:hint="eastAsia" w:ascii="宋体" w:hAnsi="宋体" w:eastAsia="宋体" w:cs="宋体"/>
                <w:b w:val="0"/>
                <w:bCs w:val="0"/>
                <w:sz w:val="24"/>
                <w:szCs w:val="24"/>
                <w:highlight w:val="none"/>
              </w:rPr>
              <w:t>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提供证明材料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按</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%扣除，使用扣除后的价格参与评审。对于中型企业产品的价格不予扣除。</w:t>
            </w:r>
            <w:r>
              <w:rPr>
                <w:rFonts w:hint="eastAsia" w:ascii="宋体" w:hAnsi="宋体" w:eastAsia="宋体" w:cs="宋体"/>
                <w:b w:val="0"/>
                <w:bCs w:val="0"/>
                <w:sz w:val="24"/>
                <w:szCs w:val="24"/>
                <w:highlight w:val="none"/>
                <w:lang w:val="en-US" w:eastAsia="zh-CN"/>
              </w:rPr>
              <w:t>小微企业需完整填写小微企业声明函并提供证明资料。</w:t>
            </w:r>
          </w:p>
          <w:p w14:paraId="7CAC602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z w:val="24"/>
                <w:szCs w:val="24"/>
                <w:highlight w:val="none"/>
              </w:rPr>
              <w:t>所投小微企业产品报价=所投小微企业产品报价×（1-</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w:t>
            </w:r>
          </w:p>
          <w:p w14:paraId="48EE89F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4、根据财政部司法部《关于政府采购支持监狱企业发展有关问题的通知》（财库〔2014〕68号）规定及《关于进一步加大政府采购支持中小企业发展有关事项的通知》（灵财[2022]97号）通知，本项目对监狱企业作为供应商所提供的本企业生产的产品的价格给予20%的扣除。监狱企业，应当提供由省级以上监狱管理局、戒毒管理局（含新疆生产建设兵团）出具的属于监狱企业的证明文件。</w:t>
            </w:r>
          </w:p>
          <w:p w14:paraId="24FB1BD7">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5、</w:t>
            </w:r>
            <w:r>
              <w:rPr>
                <w:rFonts w:hint="eastAsia" w:ascii="宋体" w:hAnsi="宋体" w:eastAsia="宋体" w:cs="宋体"/>
                <w:b w:val="0"/>
                <w:bCs w:val="0"/>
                <w:sz w:val="24"/>
                <w:szCs w:val="24"/>
                <w:highlight w:val="none"/>
              </w:rPr>
              <w:t>根据财政部民政部中国残疾人联合会《关于促进残疾人就业政府采购政策的通知》（财库〔2017〕141号）规定，对于残疾人福利性单位视同为小型、微型企业，价格给予</w:t>
            </w:r>
            <w:r>
              <w:rPr>
                <w:rFonts w:hint="eastAsia" w:ascii="宋体" w:hAnsi="宋体" w:eastAsia="宋体" w:cs="宋体"/>
                <w:b w:val="0"/>
                <w:bCs w:val="0"/>
                <w:sz w:val="24"/>
                <w:szCs w:val="24"/>
                <w:highlight w:val="none"/>
                <w:lang w:val="en-US" w:eastAsia="zh-CN"/>
              </w:rPr>
              <w:t>20</w:t>
            </w:r>
            <w:r>
              <w:rPr>
                <w:rFonts w:hint="eastAsia" w:ascii="宋体" w:hAnsi="宋体" w:eastAsia="宋体" w:cs="宋体"/>
                <w:b w:val="0"/>
                <w:bCs w:val="0"/>
                <w:sz w:val="24"/>
                <w:szCs w:val="24"/>
                <w:highlight w:val="none"/>
              </w:rPr>
              <w:t>%的扣除</w:t>
            </w:r>
            <w:r>
              <w:rPr>
                <w:rFonts w:hint="eastAsia" w:ascii="宋体" w:hAnsi="宋体" w:eastAsia="宋体" w:cs="宋体"/>
                <w:b w:val="0"/>
                <w:bCs w:val="0"/>
                <w:snapToGrid w:val="0"/>
                <w:kern w:val="2"/>
                <w:sz w:val="24"/>
                <w:szCs w:val="24"/>
                <w:highlight w:val="none"/>
                <w:lang w:val="en-US" w:eastAsia="zh-CN"/>
              </w:rPr>
              <w:t>。</w:t>
            </w:r>
          </w:p>
          <w:p w14:paraId="766B9891">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6、同一供应商，中小微企业产品和监狱企业产品价格扣除优惠只享受一次，不得重复享受。</w:t>
            </w:r>
          </w:p>
          <w:p w14:paraId="40549FBD">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b w:val="0"/>
                <w:bCs w:val="0"/>
                <w:snapToGrid w:val="0"/>
                <w:kern w:val="2"/>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注：价格分计算保留小数点后二位。</w:t>
            </w:r>
          </w:p>
          <w:p w14:paraId="1FA7EE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在评标过程中，评标委员会发现供应商的报价明显低于成本价时或明显低于其他通过初步审查供应商的报价，有可能影响产品质量或者不能诚信履约的，评标委员会可向该供应商提出询问， 要求该供应商作出书面说明并提供相关证明材料。供应商不能合理说明及不能提供相关证明材料的，评标委员会认定该供应商以低于成本价恶意竞标，其投标作废标处理。</w:t>
            </w:r>
          </w:p>
        </w:tc>
      </w:tr>
      <w:tr w14:paraId="1B72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restart"/>
            <w:noWrap w:val="0"/>
            <w:vAlign w:val="center"/>
          </w:tcPr>
          <w:p w14:paraId="7C1E82A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p>
          <w:p w14:paraId="23306A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55分</w:t>
            </w:r>
            <w:r>
              <w:rPr>
                <w:rFonts w:hint="eastAsia" w:ascii="宋体" w:hAnsi="宋体" w:eastAsia="宋体" w:cs="宋体"/>
                <w:color w:val="auto"/>
                <w:sz w:val="24"/>
                <w:szCs w:val="24"/>
                <w:highlight w:val="none"/>
                <w:lang w:eastAsia="zh-CN"/>
              </w:rPr>
              <w:t>）</w:t>
            </w:r>
          </w:p>
        </w:tc>
        <w:tc>
          <w:tcPr>
            <w:tcW w:w="1530" w:type="dxa"/>
            <w:noWrap w:val="0"/>
            <w:vAlign w:val="center"/>
          </w:tcPr>
          <w:p w14:paraId="0CFC0016">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技术指标响应情况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239" w:type="dxa"/>
            <w:noWrap w:val="0"/>
            <w:vAlign w:val="center"/>
          </w:tcPr>
          <w:p w14:paraId="761F95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供应商所投主要产品参数要求完全满足招标文件要求的，得满分。</w:t>
            </w:r>
          </w:p>
          <w:p w14:paraId="406696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参数要求每有一项不满足的扣 0.5分，扣完为止。</w:t>
            </w:r>
          </w:p>
        </w:tc>
      </w:tr>
      <w:tr w14:paraId="4DB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69" w:type="dxa"/>
            <w:vMerge w:val="continue"/>
            <w:noWrap w:val="0"/>
            <w:vAlign w:val="center"/>
          </w:tcPr>
          <w:p w14:paraId="5E94770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024B4803">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实施方案</w:t>
            </w:r>
          </w:p>
          <w:p w14:paraId="6E9A379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c>
          <w:tcPr>
            <w:tcW w:w="6239" w:type="dxa"/>
            <w:noWrap w:val="0"/>
            <w:vAlign w:val="top"/>
          </w:tcPr>
          <w:p w14:paraId="0E26F8A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提供项目组织实施方案，评委根据方案中人员组织、进度安排、实施步骤、保障措施等内容</w:t>
            </w:r>
            <w:r>
              <w:rPr>
                <w:rFonts w:hint="eastAsia" w:ascii="宋体" w:hAnsi="宋体" w:eastAsia="宋体" w:cs="宋体"/>
                <w:color w:val="auto"/>
                <w:sz w:val="24"/>
                <w:szCs w:val="24"/>
                <w:highlight w:val="none"/>
                <w:lang w:eastAsia="zh-CN"/>
              </w:rPr>
              <w:t>及优惠服务等内容进行对比，详细、完整、合理的得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分，较详细、完整、合理的得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分，一般的得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否则不得分。</w:t>
            </w:r>
          </w:p>
        </w:tc>
      </w:tr>
      <w:tr w14:paraId="0304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41EDC0F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2E719AA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highlight w:val="none"/>
              </w:rPr>
              <w:t>质量保障措施</w:t>
            </w:r>
            <w:r>
              <w:rPr>
                <w:rFonts w:hint="eastAsia" w:ascii="宋体" w:hAnsi="宋体" w:eastAsia="宋体" w:cs="宋体"/>
                <w:sz w:val="24"/>
                <w:highlight w:val="none"/>
              </w:rPr>
              <w:t>（10分）</w:t>
            </w:r>
          </w:p>
        </w:tc>
        <w:tc>
          <w:tcPr>
            <w:tcW w:w="6239" w:type="dxa"/>
            <w:noWrap w:val="0"/>
            <w:vAlign w:val="center"/>
          </w:tcPr>
          <w:p w14:paraId="332EFC4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根据供应商提供的质量保障措施是否科学、合理、可行。</w:t>
            </w:r>
          </w:p>
          <w:p w14:paraId="73215D5F">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投标人提供的质量保证措施便于实施、具有针对性、完善程度高得10分；</w:t>
            </w:r>
          </w:p>
          <w:p w14:paraId="2266BC2E">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投标人提供的质量保证措施合理便于实施、但完善程度一般不够详尽的得7 分；</w:t>
            </w:r>
          </w:p>
          <w:p w14:paraId="6D4C4671">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投标人提供的质量保证措施合理性一般，不便于实施，完善程度一般不够详尽的得3分。</w:t>
            </w:r>
          </w:p>
          <w:p w14:paraId="47137DB0">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r>
              <w:rPr>
                <w:rFonts w:hint="eastAsia" w:ascii="宋体" w:hAnsi="宋体" w:eastAsia="宋体" w:cs="宋体"/>
                <w:sz w:val="24"/>
                <w:highlight w:val="none"/>
                <w:lang w:eastAsia="zh-CN"/>
              </w:rPr>
              <w:t>。</w:t>
            </w:r>
          </w:p>
        </w:tc>
      </w:tr>
      <w:tr w14:paraId="172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3B16CA2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1E1594D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tc>
        <w:tc>
          <w:tcPr>
            <w:tcW w:w="6239" w:type="dxa"/>
            <w:noWrap w:val="0"/>
            <w:vAlign w:val="center"/>
          </w:tcPr>
          <w:p w14:paraId="5C15580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根据供应商提供的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、供货时间、进度计划等，是否科学、合理、可行。</w:t>
            </w:r>
          </w:p>
          <w:p w14:paraId="3F4E7AB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，方案便于实施、科学、合理、可行；有合理措施保障供货时间及进度计划，完善程度高，得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57F103D7">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lang w:eastAsia="zh-CN"/>
              </w:rPr>
            </w:pPr>
            <w:r>
              <w:rPr>
                <w:rFonts w:hint="eastAsia" w:ascii="宋体" w:hAnsi="宋体" w:eastAsia="宋体" w:cs="宋体"/>
                <w:sz w:val="24"/>
                <w:highlight w:val="none"/>
              </w:rPr>
              <w:t>供应商有针对于本项目提供的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，方案便于实施；有合理措施保障供货时间及进度计划，完善程度不高，得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w:t>
            </w:r>
          </w:p>
          <w:p w14:paraId="5EBC78CA">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供应商提供的</w:t>
            </w:r>
            <w:r>
              <w:rPr>
                <w:rFonts w:hint="eastAsia" w:ascii="宋体" w:hAnsi="宋体" w:eastAsia="宋体" w:cs="宋体"/>
                <w:sz w:val="24"/>
                <w:highlight w:val="none"/>
                <w:lang w:eastAsia="zh-CN"/>
              </w:rPr>
              <w:t>供货安装调试方案</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38605BA3">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rPr>
              <w:t>投标人没有提供上述内容，或提供的不完整有缺项的得0 分</w:t>
            </w:r>
          </w:p>
        </w:tc>
      </w:tr>
      <w:tr w14:paraId="46F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Merge w:val="continue"/>
            <w:noWrap w:val="0"/>
            <w:vAlign w:val="center"/>
          </w:tcPr>
          <w:p w14:paraId="7DC8235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eastAsia="zh-CN"/>
              </w:rPr>
            </w:pPr>
          </w:p>
        </w:tc>
        <w:tc>
          <w:tcPr>
            <w:tcW w:w="1530" w:type="dxa"/>
            <w:noWrap w:val="0"/>
            <w:vAlign w:val="center"/>
          </w:tcPr>
          <w:p w14:paraId="1075A6A5">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val="0"/>
                <w:kern w:val="2"/>
                <w:sz w:val="24"/>
                <w:szCs w:val="24"/>
                <w:highlight w:val="none"/>
                <w:lang w:val="en-US" w:eastAsia="zh-CN"/>
              </w:rPr>
              <w:t>人员及培训方案（10分）</w:t>
            </w:r>
          </w:p>
        </w:tc>
        <w:tc>
          <w:tcPr>
            <w:tcW w:w="6239" w:type="dxa"/>
            <w:noWrap w:val="0"/>
            <w:vAlign w:val="center"/>
          </w:tcPr>
          <w:p w14:paraId="09AD24D5">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依据投标人培训方案中的培训内容详实情况、培训时间长短、培训人员数量多少等对培训方案进行评分。</w:t>
            </w:r>
          </w:p>
          <w:p w14:paraId="2E59326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针对性强、非常完善、完全合理、完全满足招标人需求，得10分。</w:t>
            </w:r>
          </w:p>
          <w:p w14:paraId="2EAECF8E">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针对性较强、比较完善、比较合理、基本满足招标人需求，得7分。</w:t>
            </w:r>
          </w:p>
          <w:p w14:paraId="1DABDDE4">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针对性一般、不够完善、不够合理、不能满足招标人需求，得3分。</w:t>
            </w:r>
          </w:p>
          <w:p w14:paraId="5787411B">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不提供得0分</w:t>
            </w:r>
          </w:p>
        </w:tc>
      </w:tr>
      <w:tr w14:paraId="4C0D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9" w:type="dxa"/>
            <w:vMerge w:val="restart"/>
            <w:noWrap w:val="0"/>
            <w:vAlign w:val="center"/>
          </w:tcPr>
          <w:p w14:paraId="14D740A8">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530" w:type="dxa"/>
            <w:noWrap w:val="0"/>
            <w:vAlign w:val="center"/>
          </w:tcPr>
          <w:p w14:paraId="3315D7BB">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0CF92BB2">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6239" w:type="dxa"/>
            <w:noWrap w:val="0"/>
            <w:vAlign w:val="top"/>
          </w:tcPr>
          <w:p w14:paraId="1F2E218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kern w:val="2"/>
                <w:sz w:val="24"/>
                <w:szCs w:val="24"/>
                <w:highlight w:val="none"/>
                <w:lang w:val="en-US" w:eastAsia="zh-CN"/>
              </w:rPr>
              <w:t>供应商自2022年1月1日以来（以合同签订时间为准）承担过同类或相关项目的，得2分，最多的4分。注：须提供项目合同扫描件并加盖供应商公章。</w:t>
            </w:r>
          </w:p>
        </w:tc>
      </w:tr>
      <w:tr w14:paraId="0BC0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6549834D">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58537864">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snapToGrid w:val="0"/>
                <w:kern w:val="2"/>
                <w:sz w:val="24"/>
                <w:szCs w:val="24"/>
                <w:highlight w:val="none"/>
                <w:lang w:val="en-US" w:eastAsia="zh-CN"/>
              </w:rPr>
            </w:pPr>
            <w:r>
              <w:rPr>
                <w:rFonts w:hint="eastAsia" w:ascii="宋体" w:hAnsi="宋体" w:eastAsia="宋体" w:cs="宋体"/>
                <w:snapToGrid w:val="0"/>
                <w:kern w:val="2"/>
                <w:sz w:val="24"/>
                <w:szCs w:val="24"/>
                <w:highlight w:val="none"/>
                <w:lang w:val="en-US" w:eastAsia="zh-CN"/>
              </w:rPr>
              <w:t>优惠承诺</w:t>
            </w:r>
          </w:p>
          <w:p w14:paraId="5C4F2787">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kern w:val="2"/>
                <w:sz w:val="24"/>
                <w:szCs w:val="24"/>
                <w:highlight w:val="none"/>
                <w:lang w:val="en-US" w:eastAsia="zh-CN"/>
              </w:rPr>
              <w:t>(0-4分)</w:t>
            </w:r>
          </w:p>
        </w:tc>
        <w:tc>
          <w:tcPr>
            <w:tcW w:w="6239" w:type="dxa"/>
            <w:noWrap w:val="0"/>
            <w:vAlign w:val="center"/>
          </w:tcPr>
          <w:p w14:paraId="4645A8EF">
            <w:pPr>
              <w:pageBreakBefore w:val="0"/>
              <w:bidi w:val="0"/>
              <w:adjustRightInd w:val="0"/>
              <w:snapToGrid w:val="0"/>
              <w:spacing w:beforeAutospacing="0" w:afterAutospacing="0" w:line="360" w:lineRule="auto"/>
              <w:ind w:left="0" w:leftChars="0" w:right="0"/>
              <w:jc w:val="left"/>
              <w:rPr>
                <w:rFonts w:hint="eastAsia" w:ascii="宋体" w:hAnsi="宋体" w:eastAsia="宋体" w:cs="宋体"/>
                <w:snapToGrid w:val="0"/>
                <w:kern w:val="2"/>
                <w:sz w:val="24"/>
                <w:szCs w:val="24"/>
                <w:highlight w:val="none"/>
                <w:lang w:val="zh-CN" w:eastAsia="zh-CN"/>
              </w:rPr>
            </w:pPr>
            <w:r>
              <w:rPr>
                <w:rFonts w:hint="eastAsia" w:ascii="宋体" w:hAnsi="宋体" w:eastAsia="宋体" w:cs="宋体"/>
                <w:snapToGrid w:val="0"/>
                <w:kern w:val="2"/>
                <w:sz w:val="24"/>
                <w:szCs w:val="24"/>
                <w:highlight w:val="none"/>
                <w:lang w:val="en-US" w:eastAsia="zh-CN"/>
              </w:rPr>
              <w:t>评标委员会根据</w:t>
            </w:r>
            <w:r>
              <w:rPr>
                <w:rFonts w:hint="eastAsia" w:ascii="宋体" w:hAnsi="宋体" w:eastAsia="宋体" w:cs="宋体"/>
                <w:snapToGrid w:val="0"/>
                <w:kern w:val="2"/>
                <w:sz w:val="24"/>
                <w:szCs w:val="24"/>
                <w:highlight w:val="none"/>
                <w:lang w:val="zh-CN" w:eastAsia="zh-CN"/>
              </w:rPr>
              <w:t>投标人</w:t>
            </w:r>
            <w:r>
              <w:rPr>
                <w:rFonts w:hint="eastAsia" w:ascii="宋体" w:hAnsi="宋体" w:eastAsia="宋体" w:cs="宋体"/>
                <w:snapToGrid w:val="0"/>
                <w:kern w:val="2"/>
                <w:sz w:val="24"/>
                <w:szCs w:val="24"/>
                <w:highlight w:val="none"/>
                <w:lang w:val="en-US" w:eastAsia="zh-CN"/>
              </w:rPr>
              <w:t>提供优惠承诺</w:t>
            </w:r>
            <w:r>
              <w:rPr>
                <w:rFonts w:hint="eastAsia" w:ascii="宋体" w:hAnsi="宋体" w:eastAsia="宋体" w:cs="宋体"/>
                <w:snapToGrid w:val="0"/>
                <w:kern w:val="2"/>
                <w:sz w:val="24"/>
                <w:szCs w:val="24"/>
                <w:highlight w:val="none"/>
                <w:lang w:val="zh-CN" w:eastAsia="zh-CN"/>
              </w:rPr>
              <w:t>内容详实，科学、合理，考虑周全，措施到位，针对性强，完全能够满足项目的需要。（</w:t>
            </w:r>
            <w:r>
              <w:rPr>
                <w:rFonts w:hint="eastAsia" w:ascii="宋体" w:hAnsi="宋体" w:eastAsia="宋体" w:cs="宋体"/>
                <w:snapToGrid w:val="0"/>
                <w:kern w:val="2"/>
                <w:sz w:val="24"/>
                <w:szCs w:val="24"/>
                <w:highlight w:val="none"/>
                <w:lang w:val="en-US" w:eastAsia="zh-CN"/>
              </w:rPr>
              <w:t>0-4分</w:t>
            </w:r>
            <w:r>
              <w:rPr>
                <w:rFonts w:hint="eastAsia" w:ascii="宋体" w:hAnsi="宋体" w:eastAsia="宋体" w:cs="宋体"/>
                <w:snapToGrid w:val="0"/>
                <w:kern w:val="2"/>
                <w:sz w:val="24"/>
                <w:szCs w:val="24"/>
                <w:highlight w:val="none"/>
                <w:lang w:val="zh-CN" w:eastAsia="zh-CN"/>
              </w:rPr>
              <w:t>）</w:t>
            </w:r>
          </w:p>
          <w:p w14:paraId="6F6EE47D">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便于实施、科学、合理、可行</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35BDB75">
            <w:pPr>
              <w:pageBreakBefore w:val="0"/>
              <w:bidi w:val="0"/>
              <w:adjustRightInd w:val="0"/>
              <w:snapToGrid w:val="0"/>
              <w:spacing w:beforeAutospacing="0" w:afterAutospacing="0" w:line="360" w:lineRule="auto"/>
              <w:ind w:left="0" w:leftChars="0" w:right="0"/>
              <w:jc w:val="left"/>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lang w:val="en-US" w:eastAsia="zh-CN"/>
              </w:rPr>
              <w:t>优惠服务承诺</w:t>
            </w:r>
            <w:r>
              <w:rPr>
                <w:rFonts w:hint="eastAsia" w:ascii="宋体" w:hAnsi="宋体" w:eastAsia="宋体" w:cs="宋体"/>
                <w:sz w:val="24"/>
                <w:highlight w:val="none"/>
              </w:rPr>
              <w:t>合理性一般，不便于实施，完善程度一般，不够详尽的，得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7615DC03">
            <w:pPr>
              <w:pStyle w:val="37"/>
              <w:pageBreakBefore w:val="0"/>
              <w:bidi w:val="0"/>
              <w:adjustRightInd w:val="0"/>
              <w:snapToGrid w:val="0"/>
              <w:spacing w:beforeAutospacing="0" w:afterAutospacing="0"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不提供得0分。</w:t>
            </w:r>
          </w:p>
        </w:tc>
      </w:tr>
      <w:tr w14:paraId="3494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69" w:type="dxa"/>
            <w:vMerge w:val="continue"/>
            <w:noWrap w:val="0"/>
            <w:vAlign w:val="center"/>
          </w:tcPr>
          <w:p w14:paraId="163611B3">
            <w:pPr>
              <w:pageBreakBefore w:val="0"/>
              <w:numPr>
                <w:ilvl w:val="0"/>
                <w:numId w:val="0"/>
              </w:numPr>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auto"/>
                <w:sz w:val="24"/>
                <w:szCs w:val="24"/>
                <w:highlight w:val="none"/>
              </w:rPr>
            </w:pPr>
          </w:p>
        </w:tc>
        <w:tc>
          <w:tcPr>
            <w:tcW w:w="1530" w:type="dxa"/>
            <w:noWrap w:val="0"/>
            <w:vAlign w:val="center"/>
          </w:tcPr>
          <w:p w14:paraId="1BA8F51F">
            <w:pPr>
              <w:pageBreakBefore w:val="0"/>
              <w:numPr>
                <w:ilvl w:val="0"/>
                <w:numId w:val="0"/>
              </w:numPr>
              <w:bidi w:val="0"/>
              <w:adjustRightInd w:val="0"/>
              <w:snapToGrid w:val="0"/>
              <w:spacing w:beforeAutospacing="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0-7分</w:t>
            </w:r>
            <w:r>
              <w:rPr>
                <w:rFonts w:hint="eastAsia" w:ascii="宋体" w:hAnsi="宋体" w:eastAsia="宋体" w:cs="宋体"/>
                <w:color w:val="auto"/>
                <w:sz w:val="24"/>
                <w:szCs w:val="24"/>
                <w:highlight w:val="none"/>
                <w:lang w:eastAsia="zh-CN"/>
              </w:rPr>
              <w:t>）</w:t>
            </w:r>
          </w:p>
        </w:tc>
        <w:tc>
          <w:tcPr>
            <w:tcW w:w="6239" w:type="dxa"/>
            <w:noWrap w:val="0"/>
            <w:vAlign w:val="top"/>
          </w:tcPr>
          <w:p w14:paraId="75AAEE74">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 xml:space="preserve">供应商结合采购需求，针对本项目的实际情况， 提供详细的售后服务方案，包括但不限于售后服务内容、售后服务响应、售后服务人员配置及安排、服务 质量保证、定期巡检等。 </w:t>
            </w:r>
            <w:r>
              <w:rPr>
                <w:rFonts w:hint="eastAsia" w:ascii="宋体" w:hAnsi="宋体" w:eastAsia="宋体" w:cs="宋体"/>
                <w:sz w:val="24"/>
                <w:szCs w:val="24"/>
                <w:highlight w:val="none"/>
                <w:lang w:val="en-US" w:eastAsia="zh-CN"/>
              </w:rPr>
              <w:t>评标委员会</w:t>
            </w:r>
            <w:r>
              <w:rPr>
                <w:rFonts w:hint="eastAsia" w:ascii="宋体" w:hAnsi="宋体" w:eastAsia="宋体" w:cs="宋体"/>
                <w:sz w:val="24"/>
                <w:szCs w:val="24"/>
                <w:highlight w:val="none"/>
              </w:rPr>
              <w:t>根据供应商提供的售后服务方案的完整性、可行性等进行综合评价</w:t>
            </w:r>
            <w:r>
              <w:rPr>
                <w:rFonts w:hint="eastAsia" w:ascii="宋体" w:hAnsi="宋体" w:eastAsia="宋体" w:cs="宋体"/>
                <w:color w:val="auto"/>
                <w:sz w:val="24"/>
                <w:szCs w:val="24"/>
                <w:highlight w:val="none"/>
                <w:lang w:val="en-US" w:eastAsia="zh-CN"/>
              </w:rPr>
              <w:t>。</w:t>
            </w:r>
          </w:p>
          <w:p w14:paraId="51BE11A8">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售后服务方案较详细，服务经验较丰富，符合采购人实际情况，有很强针对性和可行性，</w:t>
            </w:r>
            <w:r>
              <w:rPr>
                <w:rFonts w:hint="eastAsia" w:ascii="宋体" w:hAnsi="宋体" w:eastAsia="宋体" w:cs="宋体"/>
                <w:sz w:val="24"/>
                <w:szCs w:val="24"/>
                <w:highlight w:val="none"/>
              </w:rPr>
              <w:t>完全满足或优于项目需求</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EE77B22">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sz w:val="24"/>
                <w:szCs w:val="24"/>
                <w:highlight w:val="none"/>
              </w:rPr>
              <w:t>综合考虑各方面需求</w:t>
            </w:r>
            <w:r>
              <w:rPr>
                <w:rFonts w:hint="eastAsia" w:ascii="宋体" w:hAnsi="宋体" w:eastAsia="宋体" w:cs="宋体"/>
                <w:color w:val="auto"/>
                <w:sz w:val="24"/>
                <w:szCs w:val="24"/>
                <w:highlight w:val="none"/>
                <w:lang w:val="en-US" w:eastAsia="zh-CN"/>
              </w:rPr>
              <w:t>比较完整、合理、可行，描述条理清晰，方案容易执行，</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5B2E273">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售后服务方案比较完整、合理，基本满足招标文件要求，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118272B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售后服务方案简单，基本满足招标文件要求，</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BFA8C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缺项得 0 分。</w:t>
            </w:r>
          </w:p>
        </w:tc>
      </w:tr>
    </w:tbl>
    <w:p w14:paraId="4687D6B9">
      <w:pPr>
        <w:pageBreakBefore w:val="0"/>
        <w:bidi w:val="0"/>
        <w:adjustRightInd w:val="0"/>
        <w:snapToGrid w:val="0"/>
        <w:spacing w:beforeAutospacing="0" w:afterAutospacing="0" w:line="360" w:lineRule="auto"/>
        <w:ind w:left="0" w:leftChars="0" w:right="0" w:firstLine="240" w:firstLineChars="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24"/>
          <w:szCs w:val="24"/>
          <w:highlight w:val="none"/>
        </w:rPr>
        <w:t>以上项目若有缺项的，该项为0分；不缺项的，不低于最低分。</w:t>
      </w:r>
    </w:p>
    <w:p w14:paraId="73FFF5C2">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r>
        <w:rPr>
          <w:rFonts w:hint="eastAsia" w:ascii="宋体" w:hAnsi="宋体" w:eastAsia="宋体" w:cs="宋体"/>
          <w:b w:val="0"/>
          <w:bCs w:val="0"/>
          <w:color w:val="auto"/>
          <w:sz w:val="24"/>
          <w:szCs w:val="24"/>
          <w:highlight w:val="none"/>
        </w:rPr>
        <w:t>注:评标打分部分仍按照100分制原则进行，涉及到资格审查、企业</w:t>
      </w:r>
      <w:r>
        <w:rPr>
          <w:rFonts w:hint="eastAsia" w:ascii="宋体" w:hAnsi="宋体" w:eastAsia="宋体" w:cs="宋体"/>
          <w:b w:val="0"/>
          <w:bCs w:val="0"/>
          <w:color w:val="auto"/>
          <w:sz w:val="24"/>
          <w:szCs w:val="24"/>
          <w:highlight w:val="none"/>
          <w:lang w:eastAsia="zh-CN"/>
        </w:rPr>
        <w:t>实力</w:t>
      </w:r>
      <w:r>
        <w:rPr>
          <w:rFonts w:hint="eastAsia" w:ascii="宋体" w:hAnsi="宋体" w:eastAsia="宋体" w:cs="宋体"/>
          <w:b w:val="0"/>
          <w:bCs w:val="0"/>
          <w:color w:val="auto"/>
          <w:sz w:val="24"/>
          <w:szCs w:val="24"/>
          <w:highlight w:val="none"/>
        </w:rPr>
        <w:t>、企业业绩等计分部分时，以投标单位自行上传到投标文件中的相应内容为准。</w:t>
      </w:r>
    </w:p>
    <w:p w14:paraId="113412F7">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4.计分办法</w:t>
      </w:r>
    </w:p>
    <w:p w14:paraId="68A419E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计分过程中按四舍五入的法则，取至小数点后2位，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的最终得分为所有评标委员会打分的算术平均值，最终结果取至小数点后2位。评标委员会将按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得分由高到低的排序向采购人推荐前三名为中标候选供应商。</w:t>
      </w:r>
    </w:p>
    <w:p w14:paraId="0B8DDFFD">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5.定标</w:t>
      </w:r>
    </w:p>
    <w:p w14:paraId="5C7FA1B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按评委计分结果,评标委员会按照得分由高到低的顺序推荐</w:t>
      </w:r>
      <w:r>
        <w:rPr>
          <w:rFonts w:hint="eastAsia" w:ascii="宋体" w:hAnsi="宋体" w:eastAsia="宋体" w:cs="宋体"/>
          <w:color w:val="auto"/>
          <w:kern w:val="0"/>
          <w:sz w:val="24"/>
          <w:szCs w:val="24"/>
          <w:highlight w:val="none"/>
        </w:rPr>
        <w:t>3名</w:t>
      </w:r>
      <w:r>
        <w:rPr>
          <w:rFonts w:hint="eastAsia" w:ascii="宋体" w:hAnsi="宋体" w:eastAsia="宋体" w:cs="宋体"/>
          <w:color w:val="auto"/>
          <w:sz w:val="24"/>
          <w:szCs w:val="24"/>
          <w:highlight w:val="none"/>
        </w:rPr>
        <w:t>中标候选供应商，并向采购人提供书面评标报告。</w:t>
      </w:r>
    </w:p>
    <w:p w14:paraId="06B224E7">
      <w:pPr>
        <w:pStyle w:val="3"/>
        <w:keepNext w:val="0"/>
        <w:keepLines w:val="0"/>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b w:val="0"/>
          <w:bCs w:val="0"/>
          <w:color w:val="auto"/>
          <w:sz w:val="40"/>
          <w:szCs w:val="40"/>
          <w:highlight w:val="none"/>
        </w:rPr>
      </w:pPr>
      <w:r>
        <w:rPr>
          <w:rFonts w:hint="eastAsia" w:ascii="宋体" w:hAnsi="宋体" w:eastAsia="宋体" w:cs="宋体"/>
          <w:b w:val="0"/>
          <w:bCs w:val="0"/>
          <w:color w:val="auto"/>
          <w:sz w:val="40"/>
          <w:szCs w:val="40"/>
          <w:highlight w:val="none"/>
        </w:rPr>
        <w:br w:type="page"/>
      </w:r>
      <w:bookmarkStart w:id="44" w:name="_Toc10932"/>
      <w:r>
        <w:rPr>
          <w:rFonts w:hint="eastAsia" w:ascii="宋体" w:hAnsi="宋体" w:eastAsia="宋体" w:cs="宋体"/>
          <w:b/>
          <w:bCs/>
          <w:color w:val="auto"/>
          <w:kern w:val="2"/>
          <w:sz w:val="32"/>
          <w:szCs w:val="32"/>
          <w:highlight w:val="none"/>
          <w:lang w:val="en-US" w:eastAsia="zh-CN" w:bidi="ar-SA"/>
        </w:rPr>
        <w:t xml:space="preserve">第五章  </w:t>
      </w:r>
      <w:bookmarkStart w:id="45" w:name="_Toc269828236"/>
      <w:r>
        <w:rPr>
          <w:rFonts w:hint="eastAsia" w:ascii="宋体" w:hAnsi="宋体" w:eastAsia="宋体" w:cs="宋体"/>
          <w:b/>
          <w:bCs/>
          <w:color w:val="auto"/>
          <w:kern w:val="2"/>
          <w:sz w:val="32"/>
          <w:szCs w:val="32"/>
          <w:highlight w:val="none"/>
          <w:lang w:val="en-US" w:eastAsia="zh-CN" w:bidi="ar-SA"/>
        </w:rPr>
        <w:t>合同主要条款</w:t>
      </w:r>
      <w:bookmarkEnd w:id="45"/>
      <w:r>
        <w:rPr>
          <w:rFonts w:hint="eastAsia" w:ascii="宋体" w:hAnsi="宋体" w:eastAsia="宋体" w:cs="宋体"/>
          <w:b/>
          <w:bCs/>
          <w:color w:val="auto"/>
          <w:kern w:val="2"/>
          <w:sz w:val="32"/>
          <w:szCs w:val="32"/>
          <w:highlight w:val="none"/>
          <w:lang w:val="en-US" w:eastAsia="zh-CN" w:bidi="ar-SA"/>
        </w:rPr>
        <w:t>及格式</w:t>
      </w:r>
      <w:bookmarkEnd w:id="44"/>
      <w:r>
        <w:rPr>
          <w:rFonts w:hint="eastAsia" w:ascii="宋体" w:hAnsi="宋体" w:eastAsia="宋体" w:cs="宋体"/>
          <w:b/>
          <w:bCs/>
          <w:color w:val="auto"/>
          <w:kern w:val="2"/>
          <w:sz w:val="32"/>
          <w:szCs w:val="32"/>
          <w:highlight w:val="none"/>
          <w:lang w:val="en-US" w:eastAsia="zh-CN" w:bidi="ar-SA"/>
        </w:rPr>
        <w:t>（仅供参考）</w:t>
      </w:r>
    </w:p>
    <w:p w14:paraId="023A631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合同编号：</w:t>
      </w:r>
    </w:p>
    <w:p w14:paraId="79BB0220">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u w:val="single"/>
          <w:lang w:val="zh-CN"/>
        </w:rPr>
      </w:pPr>
      <w:r>
        <w:rPr>
          <w:rFonts w:hint="eastAsia" w:ascii="宋体" w:hAnsi="宋体" w:eastAsia="宋体" w:cs="宋体"/>
          <w:sz w:val="24"/>
          <w:szCs w:val="24"/>
          <w:lang w:val="zh-CN"/>
        </w:rPr>
        <w:t>供方（中标供应商全称）：</w:t>
      </w:r>
      <w:r>
        <w:rPr>
          <w:rFonts w:hint="eastAsia" w:ascii="宋体" w:hAnsi="宋体" w:eastAsia="宋体" w:cs="宋体"/>
          <w:sz w:val="24"/>
          <w:szCs w:val="24"/>
          <w:u w:val="single"/>
          <w:lang w:val="zh-CN"/>
        </w:rPr>
        <w:t xml:space="preserve">             </w:t>
      </w:r>
    </w:p>
    <w:p w14:paraId="53754B07">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u w:val="single"/>
          <w:lang w:val="zh-CN"/>
        </w:rPr>
      </w:pPr>
      <w:r>
        <w:rPr>
          <w:rFonts w:hint="eastAsia" w:ascii="宋体" w:hAnsi="宋体" w:eastAsia="宋体" w:cs="宋体"/>
          <w:sz w:val="24"/>
          <w:szCs w:val="24"/>
          <w:lang w:val="zh-CN"/>
        </w:rPr>
        <w:t>需方（采购人全称）：</w:t>
      </w:r>
      <w:r>
        <w:rPr>
          <w:rFonts w:hint="eastAsia" w:ascii="宋体" w:hAnsi="宋体" w:eastAsia="宋体" w:cs="宋体"/>
          <w:sz w:val="24"/>
          <w:szCs w:val="24"/>
          <w:u w:val="single"/>
          <w:lang w:val="zh-CN"/>
        </w:rPr>
        <w:t xml:space="preserve">             </w:t>
      </w:r>
    </w:p>
    <w:p w14:paraId="034D1C6E">
      <w:pPr>
        <w:pageBreakBefore w:val="0"/>
        <w:autoSpaceDE w:val="0"/>
        <w:autoSpaceDN w:val="0"/>
        <w:bidi w:val="0"/>
        <w:adjustRightInd w:val="0"/>
        <w:snapToGrid w:val="0"/>
        <w:spacing w:beforeAutospacing="0" w:afterAutospacing="0" w:line="360" w:lineRule="auto"/>
        <w:ind w:left="0" w:leftChars="0" w:right="0" w:firstLine="645"/>
        <w:rPr>
          <w:rFonts w:hint="eastAsia" w:ascii="宋体" w:hAnsi="宋体" w:eastAsia="宋体" w:cs="宋体"/>
          <w:sz w:val="24"/>
          <w:szCs w:val="24"/>
          <w:lang w:val="zh-CN"/>
        </w:rPr>
      </w:pPr>
      <w:r>
        <w:rPr>
          <w:rFonts w:hint="eastAsia" w:ascii="宋体" w:hAnsi="宋体" w:eastAsia="宋体" w:cs="宋体"/>
          <w:sz w:val="24"/>
          <w:szCs w:val="24"/>
          <w:lang w:val="zh-CN"/>
        </w:rPr>
        <w:t>供方持中标/成交通知书，根据招标文件、供方的投标/报价等文件[项目编号：</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]，按照《政府采购法》、《中华人民共和国民法典》等有关法律、法规，供需双方经协商一致，达成以下合同条款：</w:t>
      </w:r>
    </w:p>
    <w:p w14:paraId="1ABA5B40">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一、本合同名称：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187052D">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二、本合同总价为人民币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1E57B3FD">
      <w:pPr>
        <w:pageBreakBefore w:val="0"/>
        <w:autoSpaceDE w:val="0"/>
        <w:autoSpaceDN w:val="0"/>
        <w:bidi w:val="0"/>
        <w:adjustRightInd w:val="0"/>
        <w:snapToGrid w:val="0"/>
        <w:spacing w:beforeAutospacing="0" w:afterAutospacing="0" w:line="360" w:lineRule="auto"/>
        <w:ind w:left="0" w:leftChars="0" w:right="0" w:firstLine="538"/>
        <w:rPr>
          <w:rFonts w:hint="eastAsia" w:ascii="宋体" w:hAnsi="宋体" w:eastAsia="宋体" w:cs="宋体"/>
          <w:sz w:val="24"/>
          <w:szCs w:val="24"/>
          <w:lang w:val="zh-CN"/>
        </w:rPr>
      </w:pPr>
      <w:r>
        <w:rPr>
          <w:rFonts w:hint="eastAsia" w:ascii="宋体" w:hAnsi="宋体" w:eastAsia="宋体" w:cs="宋体"/>
          <w:sz w:val="24"/>
          <w:szCs w:val="24"/>
          <w:lang w:val="zh-CN"/>
        </w:rPr>
        <w:t xml:space="preserve">供货范围、技术规格、及分项价格如下：                           </w:t>
      </w:r>
    </w:p>
    <w:p w14:paraId="4B63B2CC">
      <w:pPr>
        <w:pageBreakBefore w:val="0"/>
        <w:autoSpaceDE w:val="0"/>
        <w:autoSpaceDN w:val="0"/>
        <w:bidi w:val="0"/>
        <w:adjustRightInd w:val="0"/>
        <w:snapToGrid w:val="0"/>
        <w:spacing w:beforeAutospacing="0" w:afterAutospacing="0" w:line="360" w:lineRule="auto"/>
        <w:ind w:left="0" w:leftChars="0" w:right="0" w:firstLine="538"/>
        <w:jc w:val="left"/>
        <w:rPr>
          <w:rFonts w:hint="eastAsia" w:ascii="宋体" w:hAnsi="宋体" w:eastAsia="宋体" w:cs="宋体"/>
          <w:sz w:val="24"/>
          <w:szCs w:val="24"/>
          <w:lang w:val="zh-CN"/>
        </w:rPr>
      </w:pPr>
      <w:r>
        <w:rPr>
          <w:rFonts w:hint="eastAsia" w:ascii="宋体" w:hAnsi="宋体" w:eastAsia="宋体" w:cs="宋体"/>
          <w:sz w:val="24"/>
          <w:szCs w:val="24"/>
          <w:lang w:val="zh-CN"/>
        </w:rPr>
        <w:t>单位：人民币元</w:t>
      </w:r>
    </w:p>
    <w:tbl>
      <w:tblPr>
        <w:tblStyle w:val="21"/>
        <w:tblW w:w="9537" w:type="dxa"/>
        <w:jc w:val="center"/>
        <w:tblLayout w:type="autofit"/>
        <w:tblCellMar>
          <w:top w:w="0" w:type="dxa"/>
          <w:left w:w="10" w:type="dxa"/>
          <w:bottom w:w="0" w:type="dxa"/>
          <w:right w:w="10" w:type="dxa"/>
        </w:tblCellMar>
      </w:tblPr>
      <w:tblGrid>
        <w:gridCol w:w="1089"/>
        <w:gridCol w:w="1275"/>
        <w:gridCol w:w="1274"/>
        <w:gridCol w:w="708"/>
        <w:gridCol w:w="566"/>
        <w:gridCol w:w="708"/>
        <w:gridCol w:w="566"/>
        <w:gridCol w:w="849"/>
        <w:gridCol w:w="1275"/>
        <w:gridCol w:w="1227"/>
      </w:tblGrid>
      <w:tr w14:paraId="66C36E0E">
        <w:tblPrEx>
          <w:tblCellMar>
            <w:top w:w="0" w:type="dxa"/>
            <w:left w:w="10" w:type="dxa"/>
            <w:bottom w:w="0" w:type="dxa"/>
            <w:right w:w="10" w:type="dxa"/>
          </w:tblCellMar>
        </w:tblPrEx>
        <w:trPr>
          <w:trHeight w:val="17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3A06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名称</w:t>
            </w: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0E872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品牌/规格/型号</w:t>
            </w: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4F3B8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技术参数</w:t>
            </w:r>
          </w:p>
          <w:p w14:paraId="1621912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(详细配置)</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CC615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单位</w:t>
            </w: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3C59DB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单价</w:t>
            </w: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6C0FB0">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1DC31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合计</w:t>
            </w:r>
          </w:p>
          <w:p w14:paraId="7E25E2B8">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ECA875">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免费质保期</w:t>
            </w: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4841063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政府采购节能产品认证证书编号</w:t>
            </w: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2EA4ED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环保标专产品认证证书编号</w:t>
            </w:r>
          </w:p>
        </w:tc>
      </w:tr>
      <w:tr w14:paraId="00D84541">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378A36">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F63475">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E9052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1B851B">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78E4DA">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16FF0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393CC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26EB5F9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752F0F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2F38740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373A7895">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592A1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ECA1A9">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074F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7EF75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E194DF">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DC834">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36B4B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B7CFF7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3E06741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71C58E8B">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7F05F111">
        <w:tblPrEx>
          <w:tblCellMar>
            <w:top w:w="0" w:type="dxa"/>
            <w:left w:w="10" w:type="dxa"/>
            <w:bottom w:w="0" w:type="dxa"/>
            <w:right w:w="10" w:type="dxa"/>
          </w:tblCellMar>
        </w:tblPrEx>
        <w:trPr>
          <w:trHeight w:val="448" w:hRule="atLeast"/>
          <w:jc w:val="center"/>
        </w:trPr>
        <w:tc>
          <w:tcPr>
            <w:tcW w:w="10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6D11C8">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742F0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A7999C">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C744E4">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87C2D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EAFA1D">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5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C51D97">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84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1AB156D3">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75"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1B1C853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c>
          <w:tcPr>
            <w:tcW w:w="1227"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4A8BF1BE">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p>
        </w:tc>
      </w:tr>
      <w:tr w14:paraId="0F08AAF0">
        <w:tblPrEx>
          <w:tblCellMar>
            <w:top w:w="0" w:type="dxa"/>
            <w:left w:w="10" w:type="dxa"/>
            <w:bottom w:w="0" w:type="dxa"/>
            <w:right w:w="10" w:type="dxa"/>
          </w:tblCellMar>
        </w:tblPrEx>
        <w:trPr>
          <w:trHeight w:val="448" w:hRule="atLeast"/>
          <w:jc w:val="center"/>
        </w:trPr>
        <w:tc>
          <w:tcPr>
            <w:tcW w:w="10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7060E9">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jc w:val="center"/>
              <w:rPr>
                <w:rFonts w:hint="eastAsia" w:ascii="宋体" w:hAnsi="宋体" w:eastAsia="宋体" w:cs="宋体"/>
                <w:kern w:val="1"/>
                <w:sz w:val="24"/>
                <w:szCs w:val="24"/>
              </w:rPr>
            </w:pPr>
            <w:r>
              <w:rPr>
                <w:rFonts w:hint="eastAsia" w:ascii="宋体" w:hAnsi="宋体" w:eastAsia="宋体" w:cs="宋体"/>
                <w:kern w:val="1"/>
                <w:sz w:val="24"/>
                <w:szCs w:val="24"/>
              </w:rPr>
              <w:t>总价（人民币）</w:t>
            </w:r>
          </w:p>
        </w:tc>
        <w:tc>
          <w:tcPr>
            <w:tcW w:w="8448"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91AEA1">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r>
              <w:rPr>
                <w:rFonts w:hint="eastAsia" w:ascii="宋体" w:hAnsi="宋体" w:eastAsia="宋体" w:cs="宋体"/>
                <w:kern w:val="1"/>
                <w:sz w:val="24"/>
                <w:szCs w:val="24"/>
              </w:rPr>
              <w:t>小写：</w:t>
            </w:r>
          </w:p>
        </w:tc>
      </w:tr>
      <w:tr w14:paraId="25DDC3FB">
        <w:tblPrEx>
          <w:tblCellMar>
            <w:top w:w="0" w:type="dxa"/>
            <w:left w:w="10" w:type="dxa"/>
            <w:bottom w:w="0" w:type="dxa"/>
            <w:right w:w="10" w:type="dxa"/>
          </w:tblCellMar>
        </w:tblPrEx>
        <w:trPr>
          <w:trHeight w:val="462" w:hRule="atLeast"/>
          <w:jc w:val="center"/>
        </w:trPr>
        <w:tc>
          <w:tcPr>
            <w:tcW w:w="10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92DE2A">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p>
        </w:tc>
        <w:tc>
          <w:tcPr>
            <w:tcW w:w="8448"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E159F2">
            <w:pPr>
              <w:pageBreakBefore w:val="0"/>
              <w:pBdr>
                <w:top w:val="none" w:color="000000" w:sz="0" w:space="0"/>
                <w:left w:val="none" w:color="000000" w:sz="0" w:space="0"/>
                <w:bottom w:val="none" w:color="000000" w:sz="0" w:space="0"/>
                <w:right w:val="none" w:color="000000" w:sz="0" w:space="0"/>
                <w:between w:val="none" w:color="000000" w:sz="0" w:space="0"/>
              </w:pBdr>
              <w:bidi w:val="0"/>
              <w:adjustRightInd w:val="0"/>
              <w:snapToGrid w:val="0"/>
              <w:spacing w:beforeAutospacing="0" w:afterAutospacing="0" w:line="360" w:lineRule="auto"/>
              <w:ind w:left="0" w:leftChars="0" w:right="0"/>
              <w:rPr>
                <w:rFonts w:hint="eastAsia" w:ascii="宋体" w:hAnsi="宋体" w:eastAsia="宋体" w:cs="宋体"/>
                <w:kern w:val="1"/>
                <w:sz w:val="24"/>
                <w:szCs w:val="24"/>
              </w:rPr>
            </w:pPr>
            <w:r>
              <w:rPr>
                <w:rFonts w:hint="eastAsia" w:ascii="宋体" w:hAnsi="宋体" w:eastAsia="宋体" w:cs="宋体"/>
                <w:kern w:val="1"/>
                <w:sz w:val="24"/>
                <w:szCs w:val="24"/>
              </w:rPr>
              <w:t>大写： 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万</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仟</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元   角   分</w:t>
            </w:r>
          </w:p>
        </w:tc>
      </w:tr>
    </w:tbl>
    <w:p w14:paraId="08CECA0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p>
    <w:p w14:paraId="3865FCB6">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三、质量要求及供方对质量负责条件和期限：</w:t>
      </w:r>
    </w:p>
    <w:p w14:paraId="2C388866">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rPr>
        <w:t>所供货物必须首先符合有关国家强制性规定、国家（行业）标准或相关法律法规要求</w:t>
      </w:r>
      <w:r>
        <w:rPr>
          <w:rFonts w:hint="eastAsia" w:ascii="宋体" w:hAnsi="宋体" w:eastAsia="宋体" w:cs="宋体"/>
          <w:sz w:val="24"/>
          <w:szCs w:val="24"/>
          <w:lang w:val="zh-CN"/>
        </w:rPr>
        <w:t>，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15日内以书面形式向供方提出，需安装调试成套设备的提出异议的期限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none"/>
          <w:lang w:val="en-US" w:eastAsia="zh-CN"/>
        </w:rPr>
        <w:t xml:space="preserve">      </w:t>
      </w:r>
    </w:p>
    <w:p w14:paraId="325BBECC">
      <w:pPr>
        <w:pageBreakBefore w:val="0"/>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p>
    <w:p w14:paraId="6A6EE179">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四、售后服务承诺：</w:t>
      </w:r>
    </w:p>
    <w:p w14:paraId="3578DF37">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售后服务响应时间：</w:t>
      </w:r>
      <w:r>
        <w:rPr>
          <w:rFonts w:hint="eastAsia" w:ascii="宋体" w:hAnsi="宋体" w:eastAsia="宋体" w:cs="宋体"/>
          <w:sz w:val="24"/>
          <w:szCs w:val="24"/>
          <w:u w:val="single"/>
          <w:lang w:val="zh-CN"/>
        </w:rPr>
        <w:t xml:space="preserve">          </w:t>
      </w:r>
    </w:p>
    <w:p w14:paraId="2B6682F3">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解决问题时间：</w:t>
      </w:r>
      <w:r>
        <w:rPr>
          <w:rFonts w:hint="eastAsia" w:ascii="宋体" w:hAnsi="宋体" w:eastAsia="宋体" w:cs="宋体"/>
          <w:sz w:val="24"/>
          <w:szCs w:val="24"/>
          <w:u w:val="single"/>
          <w:lang w:val="zh-CN"/>
        </w:rPr>
        <w:t xml:space="preserve">                  </w:t>
      </w:r>
    </w:p>
    <w:p w14:paraId="7DBCFCB9">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售后服务机构名称、地址及联系方式：</w:t>
      </w:r>
      <w:r>
        <w:rPr>
          <w:rFonts w:hint="eastAsia" w:ascii="宋体" w:hAnsi="宋体" w:eastAsia="宋体" w:cs="宋体"/>
          <w:sz w:val="24"/>
          <w:szCs w:val="24"/>
          <w:u w:val="single"/>
          <w:lang w:val="zh-CN"/>
        </w:rPr>
        <w:t xml:space="preserve">                </w:t>
      </w:r>
    </w:p>
    <w:p w14:paraId="152D6370">
      <w:pPr>
        <w:pageBreakBefore w:val="0"/>
        <w:numPr>
          <w:ilvl w:val="0"/>
          <w:numId w:val="6"/>
        </w:numPr>
        <w:autoSpaceDE w:val="0"/>
        <w:autoSpaceDN w:val="0"/>
        <w:bidi w:val="0"/>
        <w:adjustRightInd w:val="0"/>
        <w:snapToGrid w:val="0"/>
        <w:spacing w:beforeAutospacing="0" w:afterAutospacing="0" w:line="360" w:lineRule="auto"/>
        <w:ind w:left="0" w:leftChars="0" w:right="0"/>
        <w:rPr>
          <w:rFonts w:hint="eastAsia" w:ascii="宋体" w:hAnsi="宋体" w:eastAsia="宋体" w:cs="宋体"/>
          <w:sz w:val="24"/>
          <w:szCs w:val="24"/>
          <w:lang w:val="zh-CN"/>
        </w:rPr>
      </w:pPr>
      <w:r>
        <w:rPr>
          <w:rFonts w:hint="eastAsia" w:ascii="宋体" w:hAnsi="宋体" w:eastAsia="宋体" w:cs="宋体"/>
          <w:sz w:val="24"/>
          <w:szCs w:val="24"/>
          <w:lang w:val="zh-CN"/>
        </w:rPr>
        <w:t>其他服务承诺：</w:t>
      </w:r>
      <w:r>
        <w:rPr>
          <w:rFonts w:hint="eastAsia" w:ascii="宋体" w:hAnsi="宋体" w:eastAsia="宋体" w:cs="宋体"/>
          <w:sz w:val="24"/>
          <w:szCs w:val="24"/>
          <w:u w:val="single"/>
          <w:lang w:val="zh-CN"/>
        </w:rPr>
        <w:t xml:space="preserve">               </w:t>
      </w:r>
    </w:p>
    <w:p w14:paraId="62617197">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五、合同履行地点及进度：合同生效后，供方应于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日前按需方要求</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需方指定的地点）完成本项目的交货、安装、调试（或施工）。货物运送的费用由供方负责。需方应在货物到达指定地点后，提供符合安装条件的场地、电源、环境等。</w:t>
      </w:r>
    </w:p>
    <w:p w14:paraId="282C7454">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六、供方在交付货物时应向需方提供货物的使用说明、合格证书及其它相关资料，否则按不能交货对待。</w:t>
      </w:r>
    </w:p>
    <w:p w14:paraId="546A556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七、人员培训：供方免费对需方人员进行技术培训，直到需方人员熟练操作或掌握为准。</w:t>
      </w:r>
    </w:p>
    <w:p w14:paraId="08B11D9E">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培训地点：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F9918F3">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培训时间：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76BEC4A">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培训方式：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3CC4A015">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八、验收要求：</w:t>
      </w:r>
    </w:p>
    <w:p w14:paraId="0D70E6C6">
      <w:pPr>
        <w:pageBreakBefore w:val="0"/>
        <w:autoSpaceDE w:val="0"/>
        <w:autoSpaceDN w:val="0"/>
        <w:bidi w:val="0"/>
        <w:adjustRightInd w:val="0"/>
        <w:snapToGrid w:val="0"/>
        <w:spacing w:beforeAutospacing="0" w:afterAutospacing="0" w:line="360" w:lineRule="auto"/>
        <w:ind w:left="0" w:leftChars="0" w:right="0" w:firstLine="560"/>
        <w:rPr>
          <w:rFonts w:hint="eastAsia" w:ascii="宋体" w:hAnsi="宋体" w:eastAsia="宋体" w:cs="宋体"/>
          <w:sz w:val="24"/>
          <w:szCs w:val="24"/>
          <w:lang w:val="zh-CN"/>
        </w:rPr>
      </w:pPr>
      <w:r>
        <w:rPr>
          <w:rFonts w:hint="eastAsia" w:ascii="宋体" w:hAnsi="宋体" w:eastAsia="宋体" w:cs="宋体"/>
          <w:sz w:val="24"/>
          <w:szCs w:val="24"/>
          <w:lang w:val="zh-CN"/>
        </w:rPr>
        <w:t>1、供方履约完毕及时向需方提出验收申请。</w:t>
      </w:r>
    </w:p>
    <w:p w14:paraId="62DAEDF2">
      <w:pPr>
        <w:pageBreakBefore w:val="0"/>
        <w:autoSpaceDE w:val="0"/>
        <w:autoSpaceDN w:val="0"/>
        <w:bidi w:val="0"/>
        <w:adjustRightInd w:val="0"/>
        <w:snapToGrid w:val="0"/>
        <w:spacing w:beforeAutospacing="0" w:afterAutospacing="0" w:line="360" w:lineRule="auto"/>
        <w:ind w:left="0" w:leftChars="0" w:right="0" w:firstLine="560"/>
        <w:rPr>
          <w:rFonts w:hint="eastAsia" w:ascii="宋体" w:hAnsi="宋体" w:eastAsia="宋体" w:cs="宋体"/>
          <w:sz w:val="24"/>
          <w:szCs w:val="24"/>
          <w:lang w:val="zh-CN"/>
        </w:rPr>
      </w:pPr>
      <w:r>
        <w:rPr>
          <w:rFonts w:hint="eastAsia" w:ascii="宋体" w:hAnsi="宋体" w:eastAsia="宋体" w:cs="宋体"/>
          <w:sz w:val="24"/>
          <w:szCs w:val="24"/>
          <w:lang w:val="zh-CN"/>
        </w:rPr>
        <w:t>2、需方在收到供方验收申请后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个工作日内组织验收。需方成立3人以上验收工作组，按照招标文件规定、中标供应商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460C90BC">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九、付款程序、方式及期限：</w:t>
      </w:r>
    </w:p>
    <w:p w14:paraId="2A80F890">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1、供方开具以需方单位名称为抬头的发票。</w:t>
      </w:r>
    </w:p>
    <w:p w14:paraId="4A0C8252">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甲乙双方具体协商                 </w:t>
      </w:r>
    </w:p>
    <w:p w14:paraId="3AC5979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十、违约责任：</w:t>
      </w:r>
    </w:p>
    <w:p w14:paraId="021E4340">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供方所交付的货物品种、型号、规格、质量不符合国家规定标准及合同要求的，或者供方不能交付货物的，供方应向需方支付合同金额总值</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%的违约金，需方有权解除合同，并要求赔偿损失。供方如逾期完成的，每逾期一日供方应向需方支付合同金额的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%违约金。</w:t>
      </w:r>
    </w:p>
    <w:p w14:paraId="601C4D7E">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需方无正当理由拒收货物、拒付货款，需方应向供方偿付拒收拒付部分设备款总额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%的违约金；需方如逾期付款的，每逾期付款一日的需方应向供方偿付所欠合同金额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%的违约金。</w:t>
      </w:r>
    </w:p>
    <w:p w14:paraId="1BF0E04F">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十一、供需双方应严格遵守招标文件要求，如有违反，按招标文件的规定处理。</w:t>
      </w:r>
    </w:p>
    <w:p w14:paraId="2C601B5B">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十二、因货物的质量问题发生争议，由灵宝市法定的质量检测机构进行质量检测或鉴定。</w:t>
      </w:r>
    </w:p>
    <w:p w14:paraId="2C6B3DD7">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十三、项目招标文件及其修改和澄清、及供方投标文件、供方在投标中的有关承诺及声明均为本合同的组成部分。</w:t>
      </w:r>
    </w:p>
    <w:p w14:paraId="6B0ECC5C">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十四、本合同签订和履行适用中华人民共和国法律，因履行合同发生的争议，由供需双方友好协商解决，如协商不成的，任何一方均可向签订合同地人民法院提起诉讼。</w:t>
      </w:r>
    </w:p>
    <w:p w14:paraId="20730041">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十五、本合同未尽事宜，供需双方可签订补充协议，与本合同具有同等法律效力，但不能违反招标文件及供方的投标或报价文件所规定的实质性条款。</w:t>
      </w:r>
    </w:p>
    <w:p w14:paraId="5FB2362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十六、知识产权：</w:t>
      </w:r>
    </w:p>
    <w:p w14:paraId="6BDC4094">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color w:val="000000"/>
          <w:sz w:val="24"/>
          <w:szCs w:val="24"/>
        </w:rPr>
        <w:t>供方须保障需方在使用该项目或其任何一部分时不受到第三方关于侵犯专利权、商标权或工业设计</w:t>
      </w:r>
      <w:r>
        <w:rPr>
          <w:rFonts w:hint="eastAsia" w:ascii="宋体" w:hAnsi="宋体" w:eastAsia="宋体" w:cs="宋体"/>
          <w:sz w:val="24"/>
          <w:szCs w:val="24"/>
          <w:lang w:val="zh-CN"/>
        </w:rPr>
        <w:t>权的指控。如果任何第三方提出侵权指控，供方须与第三方交涉并承担可能发生的一切费用。如需方因此而遭致损失的，供方应赔偿该损失。</w:t>
      </w:r>
    </w:p>
    <w:p w14:paraId="381FF3CD">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十七、合同生效、备案及其它</w:t>
      </w:r>
    </w:p>
    <w:p w14:paraId="5BFF830D">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1、本合同经双方代表签字并加盖公章后生效。</w:t>
      </w:r>
    </w:p>
    <w:p w14:paraId="112EFCF8">
      <w:pPr>
        <w:pageBreakBefore w:val="0"/>
        <w:autoSpaceDE w:val="0"/>
        <w:autoSpaceDN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lang w:val="zh-CN"/>
        </w:rPr>
        <w:t>2、本合同一式六份，供需双方各持三份</w:t>
      </w:r>
      <w:r>
        <w:rPr>
          <w:rFonts w:hint="eastAsia" w:ascii="宋体" w:hAnsi="宋体" w:eastAsia="宋体" w:cs="宋体"/>
          <w:sz w:val="24"/>
          <w:szCs w:val="24"/>
        </w:rPr>
        <w:t>。</w:t>
      </w:r>
    </w:p>
    <w:p w14:paraId="0D7CE2DE">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供方（公章）：                          需方（公章）：</w:t>
      </w:r>
    </w:p>
    <w:p w14:paraId="434C8113">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地址：                                  地址：</w:t>
      </w:r>
    </w:p>
    <w:p w14:paraId="5D626914">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法定代表人或授权委托                  法定代表人或授权委托</w:t>
      </w:r>
    </w:p>
    <w:p w14:paraId="27839D39">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sz w:val="24"/>
          <w:szCs w:val="24"/>
        </w:rPr>
      </w:pPr>
      <w:r>
        <w:rPr>
          <w:rFonts w:hint="eastAsia" w:ascii="宋体" w:hAnsi="宋体" w:eastAsia="宋体" w:cs="宋体"/>
          <w:color w:val="000000"/>
          <w:sz w:val="24"/>
          <w:szCs w:val="24"/>
        </w:rPr>
        <w:t>人（签字）：                        人（签字）：</w:t>
      </w:r>
    </w:p>
    <w:p w14:paraId="1C5DFFEC">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电话：                                  电话：</w:t>
      </w:r>
    </w:p>
    <w:p w14:paraId="38AFF7DF">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开户银行：                              开户银行：</w:t>
      </w:r>
    </w:p>
    <w:p w14:paraId="2B0D1F1D">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账号：                                  账号:</w:t>
      </w:r>
    </w:p>
    <w:p w14:paraId="6E229B12">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sz w:val="24"/>
          <w:szCs w:val="24"/>
        </w:rPr>
        <w:t>签约时间：   年    月     日</w:t>
      </w:r>
    </w:p>
    <w:p w14:paraId="169B0E17">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rPr>
      </w:pPr>
      <w:r>
        <w:rPr>
          <w:rFonts w:hint="eastAsia" w:ascii="宋体" w:hAnsi="宋体" w:eastAsia="宋体" w:cs="宋体"/>
          <w:b/>
          <w:sz w:val="24"/>
          <w:szCs w:val="24"/>
        </w:rPr>
        <w:t>本合同仅供参考，中标后甲乙双方可根据实际情况自行修改。</w:t>
      </w:r>
    </w:p>
    <w:p w14:paraId="0CF33A48">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bookmarkStart w:id="46" w:name="_Toc21772"/>
    </w:p>
    <w:p w14:paraId="1A36C0D2">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w:t>
      </w:r>
      <w:bookmarkEnd w:id="46"/>
    </w:p>
    <w:p w14:paraId="7298B8F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36"/>
          <w:szCs w:val="36"/>
          <w:highlight w:val="none"/>
        </w:rPr>
      </w:pPr>
    </w:p>
    <w:p w14:paraId="333EFA08">
      <w:pPr>
        <w:pStyle w:val="19"/>
        <w:pageBreakBefore w:val="0"/>
        <w:bidi w:val="0"/>
        <w:adjustRightInd w:val="0"/>
        <w:snapToGrid w:val="0"/>
        <w:spacing w:beforeAutospacing="0" w:after="0" w:afterAutospacing="0" w:line="360" w:lineRule="auto"/>
        <w:ind w:left="0" w:leftChars="0" w:right="0" w:firstLine="2240" w:firstLineChars="800"/>
        <w:rPr>
          <w:rFonts w:hint="eastAsia" w:ascii="宋体" w:hAnsi="宋体" w:eastAsia="宋体" w:cs="宋体"/>
          <w:kern w:val="0"/>
          <w:sz w:val="28"/>
          <w:szCs w:val="32"/>
        </w:rPr>
      </w:pPr>
      <w:r>
        <w:rPr>
          <w:rFonts w:hint="eastAsia" w:ascii="宋体" w:hAnsi="宋体" w:eastAsia="宋体" w:cs="宋体"/>
          <w:sz w:val="28"/>
          <w:szCs w:val="32"/>
          <w:u w:val="single"/>
          <w:lang w:val="zh-CN"/>
        </w:rPr>
        <w:t xml:space="preserve">             </w:t>
      </w:r>
      <w:r>
        <w:rPr>
          <w:rFonts w:hint="eastAsia" w:ascii="宋体" w:hAnsi="宋体" w:eastAsia="宋体" w:cs="宋体"/>
          <w:sz w:val="28"/>
          <w:szCs w:val="32"/>
        </w:rPr>
        <w:t>（项目名称）</w:t>
      </w:r>
      <w:r>
        <w:rPr>
          <w:rFonts w:hint="eastAsia" w:ascii="宋体" w:hAnsi="宋体" w:eastAsia="宋体" w:cs="宋体"/>
          <w:sz w:val="28"/>
          <w:szCs w:val="32"/>
          <w:u w:val="single"/>
          <w:lang w:val="zh-CN"/>
        </w:rPr>
        <w:t xml:space="preserve">          </w:t>
      </w:r>
      <w:r>
        <w:rPr>
          <w:rFonts w:hint="eastAsia" w:ascii="宋体" w:hAnsi="宋体" w:eastAsia="宋体" w:cs="宋体"/>
          <w:kern w:val="0"/>
          <w:sz w:val="28"/>
          <w:szCs w:val="32"/>
          <w:u w:val="single"/>
        </w:rPr>
        <w:t xml:space="preserve"> （</w:t>
      </w:r>
      <w:r>
        <w:rPr>
          <w:rFonts w:hint="eastAsia" w:ascii="宋体" w:hAnsi="宋体" w:eastAsia="宋体" w:cs="宋体"/>
          <w:kern w:val="0"/>
          <w:sz w:val="28"/>
          <w:szCs w:val="32"/>
        </w:rPr>
        <w:t>标段）</w:t>
      </w:r>
    </w:p>
    <w:p w14:paraId="7859932A">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kern w:val="0"/>
          <w:szCs w:val="21"/>
        </w:rPr>
      </w:pPr>
    </w:p>
    <w:p w14:paraId="6E47F2E7">
      <w:pPr>
        <w:pageBreakBefore w:val="0"/>
        <w:widowControl/>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投 标 文 件</w:t>
      </w:r>
    </w:p>
    <w:p w14:paraId="7B94C4AA">
      <w:pPr>
        <w:pageBreakBefore w:val="0"/>
        <w:bidi w:val="0"/>
        <w:adjustRightInd w:val="0"/>
        <w:snapToGrid w:val="0"/>
        <w:spacing w:beforeAutospacing="0" w:afterAutospacing="0" w:line="360" w:lineRule="auto"/>
        <w:ind w:left="0" w:leftChars="0" w:right="0"/>
        <w:outlineLvl w:val="0"/>
        <w:rPr>
          <w:rFonts w:hint="eastAsia" w:ascii="宋体" w:hAnsi="宋体" w:eastAsia="宋体" w:cs="宋体"/>
          <w:b/>
          <w:bCs/>
          <w:color w:val="auto"/>
          <w:sz w:val="32"/>
          <w:szCs w:val="32"/>
          <w:highlight w:val="none"/>
        </w:rPr>
      </w:pPr>
    </w:p>
    <w:p w14:paraId="094FD50E">
      <w:pPr>
        <w:pageBreakBefore w:val="0"/>
        <w:bidi w:val="0"/>
        <w:adjustRightInd w:val="0"/>
        <w:snapToGrid w:val="0"/>
        <w:spacing w:beforeAutospacing="0" w:afterAutospacing="0" w:line="360" w:lineRule="auto"/>
        <w:ind w:left="0" w:leftChars="0" w:right="0" w:firstLine="2801" w:firstLineChars="872"/>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lang w:val="en-US" w:eastAsia="zh-CN"/>
        </w:rPr>
        <w:t xml:space="preserve">                     </w:t>
      </w:r>
    </w:p>
    <w:p w14:paraId="1848CE6F">
      <w:pPr>
        <w:pageBreakBefore w:val="0"/>
        <w:bidi w:val="0"/>
        <w:adjustRightInd w:val="0"/>
        <w:snapToGrid w:val="0"/>
        <w:spacing w:beforeAutospacing="0" w:afterAutospacing="0" w:line="360" w:lineRule="auto"/>
        <w:ind w:left="0" w:leftChars="0" w:right="0" w:firstLine="3463" w:firstLineChars="11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0A3F5D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2"/>
          <w:szCs w:val="32"/>
          <w:highlight w:val="none"/>
        </w:rPr>
      </w:pPr>
    </w:p>
    <w:p w14:paraId="1500389B">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0"/>
          <w:szCs w:val="30"/>
          <w:highlight w:val="none"/>
        </w:rPr>
      </w:pPr>
    </w:p>
    <w:p w14:paraId="70206A9C">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6EB7CC8">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8"/>
          <w:szCs w:val="28"/>
          <w:highlight w:val="none"/>
        </w:rPr>
      </w:pPr>
    </w:p>
    <w:p w14:paraId="25D70EF3">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7BDA46D3">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744B9692">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0258CE2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8"/>
          <w:szCs w:val="28"/>
          <w:highlight w:val="none"/>
        </w:rPr>
      </w:pPr>
    </w:p>
    <w:p w14:paraId="36CCC664">
      <w:pPr>
        <w:pStyle w:val="19"/>
        <w:pageBreakBefore w:val="0"/>
        <w:bidi w:val="0"/>
        <w:adjustRightInd w:val="0"/>
        <w:snapToGrid w:val="0"/>
        <w:spacing w:beforeAutospacing="0" w:after="0" w:afterAutospacing="0" w:line="360" w:lineRule="auto"/>
        <w:ind w:left="0" w:leftChars="0" w:right="0" w:firstLine="200"/>
        <w:rPr>
          <w:rFonts w:hint="eastAsia" w:ascii="宋体" w:hAnsi="宋体" w:eastAsia="宋体" w:cs="宋体"/>
          <w:color w:val="auto"/>
          <w:highlight w:val="none"/>
        </w:rPr>
      </w:pPr>
    </w:p>
    <w:p w14:paraId="6F76DFB7">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8"/>
          <w:szCs w:val="28"/>
          <w:highlight w:val="none"/>
        </w:rPr>
      </w:pPr>
    </w:p>
    <w:p w14:paraId="2C7BC78D">
      <w:pPr>
        <w:pageBreakBefore w:val="0"/>
        <w:bidi w:val="0"/>
        <w:adjustRightInd w:val="0"/>
        <w:snapToGrid w:val="0"/>
        <w:spacing w:beforeAutospacing="0" w:afterAutospacing="0" w:line="360" w:lineRule="auto"/>
        <w:ind w:left="0" w:leftChars="0" w:right="0" w:firstLine="1405" w:firstLineChars="500"/>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8"/>
          <w:highlight w:val="none"/>
        </w:rPr>
        <w:t>供</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商</w:t>
      </w:r>
      <w:r>
        <w:rPr>
          <w:rFonts w:hint="eastAsia" w:ascii="宋体" w:hAnsi="宋体" w:eastAsia="宋体" w:cs="宋体"/>
          <w:b/>
          <w:bCs/>
          <w:color w:val="auto"/>
          <w:sz w:val="28"/>
          <w:szCs w:val="20"/>
          <w:highlight w:val="none"/>
        </w:rPr>
        <w:t>：</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（电子签章）</w:t>
      </w:r>
    </w:p>
    <w:p w14:paraId="4B99CA81">
      <w:pPr>
        <w:pageBreakBefore w:val="0"/>
        <w:bidi w:val="0"/>
        <w:adjustRightInd w:val="0"/>
        <w:snapToGrid w:val="0"/>
        <w:spacing w:beforeAutospacing="0" w:afterAutospacing="0" w:line="360" w:lineRule="auto"/>
        <w:ind w:left="0" w:leftChars="0" w:right="0" w:firstLine="1405" w:firstLineChars="500"/>
        <w:jc w:val="left"/>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0"/>
          <w:highlight w:val="none"/>
        </w:rPr>
        <w:t>法定代表人：</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（电子签章）</w:t>
      </w:r>
    </w:p>
    <w:p w14:paraId="105F574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0"/>
          <w:highlight w:val="none"/>
        </w:rPr>
      </w:pP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年</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月</w:t>
      </w:r>
      <w:r>
        <w:rPr>
          <w:rFonts w:hint="eastAsia" w:ascii="宋体" w:hAnsi="宋体" w:eastAsia="宋体" w:cs="宋体"/>
          <w:b/>
          <w:bCs/>
          <w:color w:val="auto"/>
          <w:sz w:val="28"/>
          <w:szCs w:val="20"/>
          <w:highlight w:val="none"/>
          <w:u w:val="single"/>
        </w:rPr>
        <w:t xml:space="preserve">    </w:t>
      </w:r>
      <w:r>
        <w:rPr>
          <w:rFonts w:hint="eastAsia" w:ascii="宋体" w:hAnsi="宋体" w:eastAsia="宋体" w:cs="宋体"/>
          <w:b/>
          <w:bCs/>
          <w:color w:val="auto"/>
          <w:sz w:val="28"/>
          <w:szCs w:val="20"/>
          <w:highlight w:val="none"/>
        </w:rPr>
        <w:t>日</w:t>
      </w:r>
    </w:p>
    <w:p w14:paraId="69AB640E">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0C438CE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录（自拟）</w:t>
      </w:r>
    </w:p>
    <w:p w14:paraId="457F1414">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bookmarkStart w:id="47" w:name="_Toc171073209"/>
      <w:bookmarkEnd w:id="47"/>
      <w:bookmarkStart w:id="48" w:name="_Toc171073044"/>
      <w:bookmarkEnd w:id="48"/>
      <w:bookmarkStart w:id="49" w:name="_Toc169921409"/>
      <w:bookmarkEnd w:id="49"/>
      <w:bookmarkStart w:id="50" w:name="_Toc223432389"/>
      <w:r>
        <w:rPr>
          <w:rFonts w:hint="eastAsia" w:ascii="宋体" w:hAnsi="宋体" w:eastAsia="宋体" w:cs="宋体"/>
          <w:b/>
          <w:bCs/>
          <w:color w:val="auto"/>
          <w:sz w:val="32"/>
          <w:szCs w:val="32"/>
          <w:highlight w:val="none"/>
        </w:rPr>
        <w:br w:type="page"/>
      </w:r>
    </w:p>
    <w:bookmarkEnd w:id="50"/>
    <w:p w14:paraId="5B6FA127">
      <w:pPr>
        <w:pStyle w:val="2"/>
        <w:keepLines w:val="0"/>
        <w:pageBreakBefore w:val="0"/>
        <w:widowControl/>
        <w:bidi w:val="0"/>
        <w:adjustRightInd w:val="0"/>
        <w:snapToGrid w:val="0"/>
        <w:spacing w:before="0" w:beforeAutospacing="0" w:after="0" w:afterAutospacing="0" w:line="360" w:lineRule="auto"/>
        <w:ind w:left="0" w:leftChars="0" w:right="0" w:firstLine="0"/>
        <w:jc w:val="center"/>
        <w:rPr>
          <w:rFonts w:hint="eastAsia" w:ascii="宋体" w:hAnsi="宋体" w:eastAsia="宋体" w:cs="宋体"/>
          <w:b/>
          <w:bCs/>
          <w:color w:val="auto"/>
          <w:sz w:val="24"/>
          <w:szCs w:val="24"/>
          <w:highlight w:val="none"/>
          <w:lang w:eastAsia="zh-CN"/>
        </w:rPr>
      </w:pPr>
      <w:bookmarkStart w:id="51" w:name="_Toc31114"/>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法定代表人身份证明或（和）法定代表人授权委托书</w:t>
      </w:r>
      <w:bookmarkEnd w:id="51"/>
    </w:p>
    <w:p w14:paraId="7BA5D85D">
      <w:pPr>
        <w:pStyle w:val="4"/>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color w:val="auto"/>
          <w:sz w:val="28"/>
          <w:szCs w:val="28"/>
          <w:highlight w:val="none"/>
        </w:rPr>
      </w:pPr>
      <w:bookmarkStart w:id="52" w:name="_Toc5579"/>
      <w:bookmarkStart w:id="53" w:name="_Toc10031"/>
      <w:bookmarkStart w:id="54" w:name="_Toc20568"/>
      <w:bookmarkStart w:id="55" w:name="_Toc15339"/>
      <w:bookmarkStart w:id="56" w:name="_Toc44448184"/>
      <w:r>
        <w:rPr>
          <w:rFonts w:hint="eastAsia" w:ascii="宋体" w:hAnsi="宋体" w:eastAsia="宋体" w:cs="宋体"/>
          <w:color w:val="auto"/>
          <w:sz w:val="28"/>
          <w:szCs w:val="28"/>
          <w:highlight w:val="none"/>
        </w:rPr>
        <w:t>（一）法定代表人身份证明</w:t>
      </w:r>
      <w:bookmarkEnd w:id="52"/>
      <w:bookmarkEnd w:id="53"/>
      <w:bookmarkEnd w:id="54"/>
      <w:bookmarkEnd w:id="55"/>
      <w:bookmarkEnd w:id="56"/>
    </w:p>
    <w:p w14:paraId="28C9EF1C">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5E4D9D80">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单位性质：</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7C9453B2">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地    址：</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475E5076">
      <w:pPr>
        <w:pageBreakBefore w:val="0"/>
        <w:tabs>
          <w:tab w:val="left" w:pos="2460"/>
          <w:tab w:val="left" w:pos="3160"/>
          <w:tab w:val="left" w:pos="420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成立时间：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rPr>
        <w:t xml:space="preserve"> 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日</w:t>
      </w:r>
    </w:p>
    <w:p w14:paraId="406BED79">
      <w:pPr>
        <w:pageBreakBefore w:val="0"/>
        <w:tabs>
          <w:tab w:val="left" w:pos="4785"/>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p>
    <w:p w14:paraId="5557025D">
      <w:pPr>
        <w:pageBreakBefore w:val="0"/>
        <w:tabs>
          <w:tab w:val="left" w:pos="1580"/>
          <w:tab w:val="left" w:pos="3615"/>
          <w:tab w:val="left" w:pos="4840"/>
          <w:tab w:val="left" w:pos="630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姓    名：</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 xml:space="preserve"> 年龄：</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 w:val="24"/>
          <w:szCs w:val="20"/>
          <w:highlight w:val="none"/>
          <w:u w:val="single"/>
        </w:rPr>
        <w:t xml:space="preserve">          </w:t>
      </w:r>
    </w:p>
    <w:p w14:paraId="55A17EE1">
      <w:pPr>
        <w:pageBreakBefore w:val="0"/>
        <w:tabs>
          <w:tab w:val="left" w:pos="4080"/>
        </w:tabs>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rPr>
        <w:tab/>
      </w:r>
      <w:r>
        <w:rPr>
          <w:rFonts w:hint="eastAsia" w:ascii="宋体" w:hAnsi="宋体" w:eastAsia="宋体" w:cs="宋体"/>
          <w:color w:val="auto"/>
          <w:kern w:val="0"/>
          <w:sz w:val="24"/>
          <w:szCs w:val="20"/>
          <w:highlight w:val="none"/>
        </w:rPr>
        <w:t>（投标人名称）的法定代表人。</w:t>
      </w:r>
    </w:p>
    <w:p w14:paraId="522B9206">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6E2F985E">
      <w:pPr>
        <w:pageBreakBefore w:val="0"/>
        <w:bidi w:val="0"/>
        <w:adjustRightInd w:val="0"/>
        <w:snapToGrid w:val="0"/>
        <w:spacing w:beforeAutospacing="0" w:afterAutospacing="0" w:line="360" w:lineRule="auto"/>
        <w:ind w:left="0" w:leftChars="0" w:right="0"/>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41EF2076">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781A58B">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highlight w:val="none"/>
        </w:rPr>
      </w:pPr>
    </w:p>
    <w:tbl>
      <w:tblPr>
        <w:tblStyle w:val="2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6FC1260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noWrap w:val="0"/>
            <w:vAlign w:val="center"/>
          </w:tcPr>
          <w:p w14:paraId="7905448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0"/>
                <w:highlight w:val="none"/>
              </w:rPr>
            </w:pPr>
            <w:r>
              <w:rPr>
                <w:rFonts w:hint="eastAsia" w:ascii="宋体" w:hAnsi="宋体" w:eastAsia="宋体" w:cs="宋体"/>
                <w:color w:val="auto"/>
                <w:spacing w:val="8"/>
                <w:sz w:val="24"/>
                <w:szCs w:val="20"/>
                <w:highlight w:val="none"/>
              </w:rPr>
              <w:t>法定代表人身份证扫描件（正面）</w:t>
            </w:r>
          </w:p>
          <w:p w14:paraId="2822BC7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c>
          <w:tcPr>
            <w:tcW w:w="4961" w:type="dxa"/>
            <w:noWrap w:val="0"/>
            <w:vAlign w:val="center"/>
          </w:tcPr>
          <w:p w14:paraId="7E729A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0"/>
                <w:highlight w:val="none"/>
              </w:rPr>
            </w:pPr>
            <w:r>
              <w:rPr>
                <w:rFonts w:hint="eastAsia" w:ascii="宋体" w:hAnsi="宋体" w:eastAsia="宋体" w:cs="宋体"/>
                <w:color w:val="auto"/>
                <w:spacing w:val="8"/>
                <w:sz w:val="24"/>
                <w:szCs w:val="20"/>
                <w:highlight w:val="none"/>
              </w:rPr>
              <w:t>法定代表人身份证扫描件（反面）</w:t>
            </w:r>
          </w:p>
          <w:p w14:paraId="6D8F4D1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r>
    </w:tbl>
    <w:p w14:paraId="5E576EF8">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30"/>
          <w:szCs w:val="30"/>
          <w:highlight w:val="none"/>
        </w:rPr>
      </w:pPr>
      <w:bookmarkStart w:id="57" w:name="_Toc10052"/>
    </w:p>
    <w:p w14:paraId="1D268AFF">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4"/>
          <w:szCs w:val="24"/>
          <w:highlight w:val="none"/>
        </w:rPr>
      </w:pPr>
    </w:p>
    <w:p w14:paraId="5C029E5E">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F052612">
      <w:pPr>
        <w:pStyle w:val="4"/>
        <w:pageBreakBefore w:val="0"/>
        <w:bidi w:val="0"/>
        <w:adjustRightInd w:val="0"/>
        <w:snapToGrid w:val="0"/>
        <w:spacing w:before="0" w:beforeAutospacing="0" w:after="0" w:afterAutospacing="0" w:line="360" w:lineRule="auto"/>
        <w:ind w:left="0" w:leftChars="0" w:right="0"/>
        <w:jc w:val="center"/>
        <w:rPr>
          <w:rFonts w:hint="eastAsia" w:ascii="宋体" w:hAnsi="宋体" w:eastAsia="宋体" w:cs="宋体"/>
          <w:color w:val="auto"/>
          <w:sz w:val="28"/>
          <w:szCs w:val="28"/>
          <w:highlight w:val="none"/>
        </w:rPr>
      </w:pPr>
      <w:bookmarkStart w:id="58" w:name="_Toc29413"/>
      <w:bookmarkStart w:id="59" w:name="_Toc44448185"/>
      <w:bookmarkStart w:id="60" w:name="_Toc12835"/>
      <w:bookmarkStart w:id="61" w:name="_Toc31698"/>
      <w:bookmarkStart w:id="62" w:name="_Toc26437"/>
      <w:r>
        <w:rPr>
          <w:rFonts w:hint="eastAsia" w:ascii="宋体" w:hAnsi="宋体" w:eastAsia="宋体" w:cs="宋体"/>
          <w:color w:val="auto"/>
          <w:sz w:val="28"/>
          <w:szCs w:val="28"/>
          <w:highlight w:val="none"/>
        </w:rPr>
        <w:t>（二）法定代表人授权委托书</w:t>
      </w:r>
      <w:bookmarkEnd w:id="57"/>
      <w:bookmarkEnd w:id="58"/>
      <w:bookmarkEnd w:id="59"/>
      <w:bookmarkEnd w:id="60"/>
      <w:bookmarkEnd w:id="61"/>
      <w:bookmarkEnd w:id="62"/>
    </w:p>
    <w:p w14:paraId="149B6C6D">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4"/>
          <w:sz w:val="24"/>
          <w:szCs w:val="24"/>
          <w:highlight w:val="none"/>
          <w:u w:val="single"/>
          <w:lang w:val="en-US" w:eastAsia="zh-CN"/>
        </w:rPr>
        <w:t xml:space="preserve">  </w:t>
      </w:r>
      <w:r>
        <w:rPr>
          <w:rFonts w:hint="eastAsia" w:ascii="宋体" w:hAnsi="宋体" w:eastAsia="宋体" w:cs="宋体"/>
          <w:color w:val="auto"/>
          <w:spacing w:val="24"/>
          <w:sz w:val="24"/>
          <w:szCs w:val="24"/>
          <w:highlight w:val="none"/>
          <w:u w:val="none"/>
        </w:rPr>
        <w:t>（采购人）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 </w:t>
      </w:r>
    </w:p>
    <w:p w14:paraId="19D7A165">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本人</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（姓名）系</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名称）的法定代表人，现委托</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（姓名）为我方代理人。代理人根据授权，以我方名义签署、澄清、说明、补正、递交、撤回、 修改</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rPr>
        <w:t>（项目名称）</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（标段）投标文件、签订合同和处理有关事宜，其法律后果由我方承担。</w:t>
      </w:r>
    </w:p>
    <w:p w14:paraId="2B25D96C">
      <w:pPr>
        <w:pageBreakBefore w:val="0"/>
        <w:tabs>
          <w:tab w:val="left" w:pos="2940"/>
        </w:tabs>
        <w:autoSpaceDE w:val="0"/>
        <w:autoSpaceDN w:val="0"/>
        <w:bidi w:val="0"/>
        <w:adjustRightInd w:val="0"/>
        <w:snapToGrid w:val="0"/>
        <w:spacing w:beforeAutospacing="0" w:afterAutospacing="0" w:line="360" w:lineRule="auto"/>
        <w:ind w:left="0" w:leftChars="0" w:right="0" w:firstLine="1"/>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代理人无转委托权。 </w:t>
      </w:r>
    </w:p>
    <w:p w14:paraId="23F7E143">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附：法定代表人及委托代理人有效身份证复印件</w:t>
      </w:r>
    </w:p>
    <w:p w14:paraId="58BFF089">
      <w:pPr>
        <w:pageBreakBefore w:val="0"/>
        <w:tabs>
          <w:tab w:val="left" w:pos="2040"/>
          <w:tab w:val="left" w:pos="4785"/>
          <w:tab w:val="left" w:pos="4815"/>
          <w:tab w:val="left" w:pos="8000"/>
        </w:tabs>
        <w:autoSpaceDE w:val="0"/>
        <w:autoSpaceDN w:val="0"/>
        <w:bidi w:val="0"/>
        <w:adjustRightInd w:val="0"/>
        <w:snapToGrid w:val="0"/>
        <w:spacing w:beforeAutospacing="0" w:afterAutospacing="0" w:line="360" w:lineRule="auto"/>
        <w:ind w:left="0" w:leftChars="0" w:right="0" w:firstLine="420"/>
        <w:rPr>
          <w:rFonts w:hint="eastAsia" w:ascii="宋体" w:hAnsi="宋体" w:eastAsia="宋体" w:cs="宋体"/>
          <w:color w:val="auto"/>
          <w:kern w:val="0"/>
          <w:sz w:val="24"/>
          <w:szCs w:val="20"/>
          <w:highlight w:val="none"/>
        </w:rPr>
      </w:pPr>
    </w:p>
    <w:p w14:paraId="5BAB320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393437E3">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法定代表人：</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12F7EB81">
      <w:pPr>
        <w:pageBreakBefore w:val="0"/>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日期：</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日</w:t>
      </w:r>
    </w:p>
    <w:p w14:paraId="7F4AFD2E">
      <w:pPr>
        <w:pageBreakBefore w:val="0"/>
        <w:autoSpaceDE w:val="0"/>
        <w:autoSpaceDN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kern w:val="0"/>
          <w:sz w:val="24"/>
          <w:szCs w:val="20"/>
          <w:highlight w:val="none"/>
        </w:rPr>
      </w:pPr>
    </w:p>
    <w:tbl>
      <w:tblPr>
        <w:tblStyle w:val="2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619892A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noWrap w:val="0"/>
            <w:vAlign w:val="center"/>
          </w:tcPr>
          <w:p w14:paraId="3BEC11EE">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法定代表人身份证</w:t>
            </w:r>
            <w:r>
              <w:rPr>
                <w:rFonts w:hint="eastAsia" w:ascii="宋体" w:hAnsi="宋体" w:eastAsia="宋体" w:cs="宋体"/>
                <w:color w:val="auto"/>
                <w:spacing w:val="8"/>
                <w:sz w:val="24"/>
                <w:szCs w:val="20"/>
                <w:highlight w:val="none"/>
              </w:rPr>
              <w:t>扫描件（正面）</w:t>
            </w:r>
          </w:p>
          <w:p w14:paraId="1BE58F0A">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0"/>
                <w:highlight w:val="none"/>
              </w:rPr>
            </w:pPr>
          </w:p>
        </w:tc>
        <w:tc>
          <w:tcPr>
            <w:tcW w:w="4796" w:type="dxa"/>
            <w:noWrap w:val="0"/>
            <w:vAlign w:val="center"/>
          </w:tcPr>
          <w:p w14:paraId="02A00ED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法定代表人身份证</w:t>
            </w:r>
            <w:r>
              <w:rPr>
                <w:rFonts w:hint="eastAsia" w:ascii="宋体" w:hAnsi="宋体" w:eastAsia="宋体" w:cs="宋体"/>
                <w:color w:val="auto"/>
                <w:spacing w:val="8"/>
                <w:sz w:val="24"/>
                <w:szCs w:val="20"/>
                <w:highlight w:val="none"/>
              </w:rPr>
              <w:t>扫描件（反面）</w:t>
            </w:r>
          </w:p>
          <w:p w14:paraId="3B841319">
            <w:pPr>
              <w:pageBreakBefore w:val="0"/>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p>
        </w:tc>
      </w:tr>
    </w:tbl>
    <w:p w14:paraId="0BA4EFA7">
      <w:pPr>
        <w:pageBreakBefore w:val="0"/>
        <w:bidi w:val="0"/>
        <w:adjustRightInd w:val="0"/>
        <w:snapToGrid w:val="0"/>
        <w:spacing w:beforeAutospacing="0" w:afterAutospacing="0" w:line="360" w:lineRule="auto"/>
        <w:ind w:left="0" w:leftChars="0" w:right="0"/>
        <w:rPr>
          <w:rFonts w:hint="eastAsia" w:ascii="宋体" w:hAnsi="宋体" w:eastAsia="宋体" w:cs="宋体"/>
          <w:vanish/>
          <w:color w:val="auto"/>
          <w:highlight w:val="none"/>
        </w:rPr>
      </w:pPr>
    </w:p>
    <w:tbl>
      <w:tblPr>
        <w:tblStyle w:val="21"/>
        <w:tblpPr w:leftFromText="180" w:rightFromText="180" w:vertAnchor="text" w:horzAnchor="margin"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060A2AF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noWrap w:val="0"/>
            <w:vAlign w:val="center"/>
          </w:tcPr>
          <w:p w14:paraId="38EB60B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被授权委托人身份证扫描件（正面）</w:t>
            </w:r>
          </w:p>
          <w:p w14:paraId="49FF617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c>
          <w:tcPr>
            <w:tcW w:w="4781" w:type="dxa"/>
            <w:noWrap w:val="0"/>
            <w:vAlign w:val="center"/>
          </w:tcPr>
          <w:p w14:paraId="78914E2B">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被授权委托人身份证扫描件（反面）</w:t>
            </w:r>
          </w:p>
          <w:p w14:paraId="0F46BC3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0"/>
                <w:highlight w:val="none"/>
              </w:rPr>
            </w:pPr>
          </w:p>
        </w:tc>
      </w:tr>
    </w:tbl>
    <w:p w14:paraId="06DEFA86">
      <w:pPr>
        <w:pageBreakBefore w:val="0"/>
        <w:tabs>
          <w:tab w:val="left" w:pos="5835"/>
        </w:tabs>
        <w:autoSpaceDE w:val="0"/>
        <w:autoSpaceDN w:val="0"/>
        <w:bidi w:val="0"/>
        <w:adjustRightInd w:val="0"/>
        <w:snapToGrid w:val="0"/>
        <w:spacing w:beforeAutospacing="0" w:afterAutospacing="0" w:line="360" w:lineRule="auto"/>
        <w:ind w:left="0" w:leftChars="0" w:right="0"/>
        <w:jc w:val="left"/>
        <w:rPr>
          <w:rFonts w:hint="eastAsia" w:ascii="宋体" w:hAnsi="宋体" w:eastAsia="宋体" w:cs="宋体"/>
          <w:color w:val="auto"/>
          <w:kern w:val="0"/>
          <w:sz w:val="24"/>
          <w:szCs w:val="20"/>
          <w:highlight w:val="none"/>
        </w:rPr>
      </w:pPr>
    </w:p>
    <w:p w14:paraId="170FC237">
      <w:pPr>
        <w:pageBreakBefore w:val="0"/>
        <w:bidi w:val="0"/>
        <w:adjustRightInd w:val="0"/>
        <w:snapToGrid w:val="0"/>
        <w:spacing w:beforeAutospacing="0" w:afterAutospacing="0" w:line="360" w:lineRule="auto"/>
        <w:ind w:left="0" w:leftChars="0" w:right="0"/>
        <w:rPr>
          <w:rFonts w:hint="eastAsia" w:ascii="宋体" w:hAnsi="宋体" w:eastAsia="宋体" w:cs="宋体"/>
          <w:b/>
          <w:color w:val="auto"/>
          <w:sz w:val="24"/>
          <w:szCs w:val="24"/>
          <w:highlight w:val="none"/>
        </w:rPr>
        <w:sectPr>
          <w:footerReference r:id="rId7" w:type="first"/>
          <w:footerReference r:id="rId6" w:type="default"/>
          <w:pgSz w:w="11906" w:h="16838"/>
          <w:pgMar w:top="1440" w:right="1417" w:bottom="1440" w:left="1417" w:header="720" w:footer="720" w:gutter="0"/>
          <w:pgNumType w:fmt="decimal"/>
          <w:cols w:space="0" w:num="1"/>
          <w:rtlGutter w:val="0"/>
          <w:docGrid w:type="lines" w:linePitch="312" w:charSpace="0"/>
        </w:sectPr>
      </w:pPr>
    </w:p>
    <w:p w14:paraId="2D0EDB7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bookmarkStart w:id="63" w:name="_Toc6240"/>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投 标 函</w:t>
      </w:r>
      <w:bookmarkEnd w:id="63"/>
    </w:p>
    <w:p w14:paraId="0E1CD482">
      <w:pPr>
        <w:pageBreakBefore w:val="0"/>
        <w:bidi w:val="0"/>
        <w:adjustRightInd w:val="0"/>
        <w:snapToGrid w:val="0"/>
        <w:spacing w:beforeAutospacing="0" w:afterAutospacing="0" w:line="360" w:lineRule="auto"/>
        <w:ind w:left="0" w:leftChars="0" w:right="0"/>
        <w:jc w:val="left"/>
        <w:rPr>
          <w:rFonts w:hint="eastAsia" w:ascii="宋体" w:hAnsi="宋体" w:eastAsia="宋体" w:cs="宋体"/>
          <w:color w:val="auto"/>
          <w:spacing w:val="24"/>
          <w:sz w:val="24"/>
          <w:szCs w:val="24"/>
          <w:highlight w:val="none"/>
        </w:rPr>
      </w:pPr>
      <w:r>
        <w:rPr>
          <w:rFonts w:hint="eastAsia" w:ascii="宋体" w:hAnsi="宋体" w:eastAsia="宋体" w:cs="宋体"/>
          <w:color w:val="auto"/>
          <w:spacing w:val="24"/>
          <w:sz w:val="24"/>
          <w:szCs w:val="24"/>
          <w:highlight w:val="none"/>
        </w:rPr>
        <w:t>致</w:t>
      </w:r>
      <w:r>
        <w:rPr>
          <w:rFonts w:hint="eastAsia" w:ascii="宋体" w:hAnsi="宋体" w:eastAsia="宋体" w:cs="宋体"/>
          <w:color w:val="auto"/>
          <w:spacing w:val="24"/>
          <w:sz w:val="24"/>
          <w:szCs w:val="24"/>
          <w:highlight w:val="none"/>
          <w:u w:val="single"/>
        </w:rPr>
        <w:t xml:space="preserve">          </w:t>
      </w:r>
      <w:r>
        <w:rPr>
          <w:rFonts w:hint="eastAsia" w:ascii="宋体" w:hAnsi="宋体" w:eastAsia="宋体" w:cs="宋体"/>
          <w:color w:val="auto"/>
          <w:spacing w:val="23"/>
          <w:sz w:val="24"/>
          <w:szCs w:val="24"/>
          <w:highlight w:val="none"/>
          <w:u w:val="none"/>
        </w:rPr>
        <w:t>（采购人）</w:t>
      </w:r>
      <w:r>
        <w:rPr>
          <w:rFonts w:hint="eastAsia" w:ascii="宋体" w:hAnsi="宋体" w:eastAsia="宋体" w:cs="宋体"/>
          <w:color w:val="auto"/>
          <w:spacing w:val="24"/>
          <w:sz w:val="24"/>
          <w:szCs w:val="24"/>
          <w:highlight w:val="none"/>
        </w:rPr>
        <w:t>：</w:t>
      </w:r>
    </w:p>
    <w:p w14:paraId="38753DEF">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根据已收到贵方的</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rPr>
        <w:t>（项目名称）</w:t>
      </w:r>
      <w:r>
        <w:rPr>
          <w:rFonts w:hint="eastAsia" w:ascii="宋体" w:hAnsi="宋体" w:eastAsia="宋体" w:cs="宋体"/>
          <w:color w:val="auto"/>
          <w:kern w:val="0"/>
          <w:sz w:val="24"/>
          <w:szCs w:val="20"/>
          <w:highlight w:val="none"/>
          <w:u w:val="single"/>
          <w:lang w:val="zh-CN"/>
        </w:rPr>
        <w:t xml:space="preserve">          </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（标段）</w:t>
      </w:r>
      <w:r>
        <w:rPr>
          <w:rFonts w:hint="eastAsia" w:ascii="宋体" w:hAnsi="宋体" w:eastAsia="宋体" w:cs="宋体"/>
          <w:color w:val="auto"/>
          <w:sz w:val="24"/>
          <w:szCs w:val="24"/>
          <w:highlight w:val="none"/>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元）的投标报价；交货期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,承包上述项目的采购及安装、调试、验收、培训、质保期服务、与货物有关的运输和保险及其他伴随服务</w:t>
      </w:r>
      <w:r>
        <w:rPr>
          <w:rFonts w:hint="eastAsia" w:ascii="宋体" w:hAnsi="宋体" w:eastAsia="宋体" w:cs="宋体"/>
          <w:color w:val="auto"/>
          <w:sz w:val="24"/>
          <w:szCs w:val="24"/>
          <w:highlight w:val="none"/>
          <w:shd w:val="clear" w:color="auto" w:fill="FFFFFF"/>
        </w:rPr>
        <w:t>。</w:t>
      </w:r>
    </w:p>
    <w:p w14:paraId="2CCFEF11">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C2F1591">
      <w:pPr>
        <w:pageBreakBefore w:val="0"/>
        <w:bidi w:val="0"/>
        <w:adjustRightInd w:val="0"/>
        <w:snapToGrid w:val="0"/>
        <w:spacing w:beforeAutospacing="0" w:after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2、我方承认投标函附表是我方投标函的组成部分。</w:t>
      </w:r>
    </w:p>
    <w:p w14:paraId="3A4EAE5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3、如我方中标，我方承诺在收到中标通知书后，在中标通知书规定的期限内，根据招标文件、我方的投标文件及有关澄清承诺书的要求，与采购人订立书面合同，并按照合同约定承担完成合同的责任和义务。</w:t>
      </w:r>
    </w:p>
    <w:p w14:paraId="6A47CC2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我方同意自本项目招</w:t>
      </w:r>
      <w:r>
        <w:rPr>
          <w:rFonts w:hint="eastAsia" w:ascii="宋体" w:hAnsi="宋体" w:eastAsia="宋体" w:cs="宋体"/>
          <w:color w:val="auto"/>
          <w:sz w:val="24"/>
          <w:szCs w:val="24"/>
          <w:highlight w:val="none"/>
        </w:rPr>
        <w:t>标文件中规定的投标有效期内有效，并承诺在投标有效期内不修改、撤销投标文件。</w:t>
      </w:r>
    </w:p>
    <w:p w14:paraId="7B49F9A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5、我方完全理解贵方不一定接受投标报价最低的供应商为中标供应商的行为。</w:t>
      </w:r>
    </w:p>
    <w:p w14:paraId="3314876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6、我方在此声明，所递交的投标文件及有关资料内容完整、真实和准确。</w:t>
      </w:r>
    </w:p>
    <w:p w14:paraId="17591BC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D480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18"/>
          <w:highlight w:val="none"/>
        </w:rPr>
        <w:t>：</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2E11D3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jc w:val="left"/>
        <w:textAlignment w:val="auto"/>
        <w:rPr>
          <w:rFonts w:hint="eastAsia" w:ascii="宋体" w:hAnsi="宋体" w:eastAsia="宋体" w:cs="宋体"/>
          <w:b w:val="0"/>
          <w:bCs w:val="0"/>
          <w:color w:val="auto"/>
          <w:sz w:val="24"/>
          <w:szCs w:val="18"/>
          <w:highlight w:val="none"/>
        </w:rPr>
      </w:pPr>
      <w:r>
        <w:rPr>
          <w:rFonts w:hint="eastAsia" w:ascii="宋体" w:hAnsi="宋体" w:eastAsia="宋体" w:cs="宋体"/>
          <w:b w:val="0"/>
          <w:bCs w:val="0"/>
          <w:color w:val="auto"/>
          <w:sz w:val="24"/>
          <w:szCs w:val="18"/>
          <w:highlight w:val="none"/>
        </w:rPr>
        <w:t>法定代表人：</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rPr>
        <w:t>（电子签章）</w:t>
      </w:r>
    </w:p>
    <w:p w14:paraId="711F4C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地    址：</w:t>
      </w:r>
      <w:r>
        <w:rPr>
          <w:rFonts w:hint="eastAsia" w:ascii="宋体" w:hAnsi="宋体" w:eastAsia="宋体" w:cs="宋体"/>
          <w:color w:val="auto"/>
          <w:sz w:val="24"/>
          <w:szCs w:val="20"/>
          <w:highlight w:val="none"/>
          <w:u w:val="single"/>
        </w:rPr>
        <w:t xml:space="preserve">                                    </w:t>
      </w:r>
    </w:p>
    <w:p w14:paraId="4E24B1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邮    编：</w:t>
      </w:r>
      <w:r>
        <w:rPr>
          <w:rFonts w:hint="eastAsia" w:ascii="宋体" w:hAnsi="宋体" w:eastAsia="宋体" w:cs="宋体"/>
          <w:color w:val="auto"/>
          <w:sz w:val="24"/>
          <w:szCs w:val="20"/>
          <w:highlight w:val="none"/>
          <w:u w:val="single"/>
        </w:rPr>
        <w:t xml:space="preserve">                                    </w:t>
      </w:r>
    </w:p>
    <w:p w14:paraId="79741AD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240" w:firstLineChars="1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    话：</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7945A5C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日</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18E16BCF">
      <w:pPr>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E44AFDF">
      <w:pPr>
        <w:pageBreakBefore w:val="0"/>
        <w:numPr>
          <w:ilvl w:val="0"/>
          <w:numId w:val="7"/>
        </w:numPr>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bookmarkStart w:id="64" w:name="_Toc6595"/>
      <w:r>
        <w:rPr>
          <w:rFonts w:hint="eastAsia" w:ascii="宋体" w:hAnsi="宋体" w:eastAsia="宋体" w:cs="宋体"/>
          <w:b/>
          <w:bCs/>
          <w:color w:val="auto"/>
          <w:sz w:val="32"/>
          <w:szCs w:val="32"/>
          <w:highlight w:val="none"/>
        </w:rPr>
        <w:t>投标函附表</w:t>
      </w:r>
      <w:bookmarkEnd w:id="64"/>
    </w:p>
    <w:p w14:paraId="28EEA066">
      <w:pPr>
        <w:pStyle w:val="37"/>
        <w:pageBreakBefore w:val="0"/>
        <w:numPr>
          <w:ilvl w:val="0"/>
          <w:numId w:val="0"/>
        </w:numPr>
        <w:bidi w:val="0"/>
        <w:adjustRightInd w:val="0"/>
        <w:snapToGrid w:val="0"/>
        <w:spacing w:beforeAutospacing="0" w:afterAutospacing="0" w:line="360" w:lineRule="auto"/>
        <w:ind w:left="0" w:leftChars="0" w:right="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p>
    <w:tbl>
      <w:tblPr>
        <w:tblStyle w:val="21"/>
        <w:tblW w:w="0" w:type="auto"/>
        <w:jc w:val="center"/>
        <w:tblLayout w:type="fixed"/>
        <w:tblCellMar>
          <w:top w:w="0" w:type="dxa"/>
          <w:left w:w="0" w:type="dxa"/>
          <w:bottom w:w="0" w:type="dxa"/>
          <w:right w:w="0" w:type="dxa"/>
        </w:tblCellMar>
      </w:tblPr>
      <w:tblGrid>
        <w:gridCol w:w="2248"/>
        <w:gridCol w:w="2009"/>
        <w:gridCol w:w="2233"/>
        <w:gridCol w:w="2309"/>
      </w:tblGrid>
      <w:tr w14:paraId="24DCCE5B">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1C6ABD13">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项目名称</w:t>
            </w:r>
          </w:p>
        </w:tc>
        <w:tc>
          <w:tcPr>
            <w:tcW w:w="6551" w:type="dxa"/>
            <w:gridSpan w:val="3"/>
            <w:tcBorders>
              <w:top w:val="single" w:color="auto" w:sz="4" w:space="0"/>
              <w:left w:val="nil"/>
              <w:bottom w:val="single" w:color="auto" w:sz="4" w:space="0"/>
              <w:right w:val="single" w:color="auto" w:sz="4" w:space="0"/>
            </w:tcBorders>
            <w:noWrap w:val="0"/>
            <w:vAlign w:val="center"/>
          </w:tcPr>
          <w:p w14:paraId="728FF3C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4AB26513">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630A6896">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标段</w:t>
            </w:r>
          </w:p>
        </w:tc>
        <w:tc>
          <w:tcPr>
            <w:tcW w:w="6551" w:type="dxa"/>
            <w:gridSpan w:val="3"/>
            <w:tcBorders>
              <w:top w:val="single" w:color="auto" w:sz="4" w:space="0"/>
              <w:left w:val="nil"/>
              <w:bottom w:val="single" w:color="auto" w:sz="4" w:space="0"/>
              <w:right w:val="single" w:color="auto" w:sz="4" w:space="0"/>
            </w:tcBorders>
            <w:noWrap w:val="0"/>
            <w:vAlign w:val="center"/>
          </w:tcPr>
          <w:p w14:paraId="6584E44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23603639">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4F9EAB5">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551" w:type="dxa"/>
            <w:gridSpan w:val="3"/>
            <w:tcBorders>
              <w:top w:val="single" w:color="auto" w:sz="4" w:space="0"/>
              <w:left w:val="nil"/>
              <w:bottom w:val="single" w:color="auto" w:sz="4" w:space="0"/>
              <w:right w:val="single" w:color="auto" w:sz="4" w:space="0"/>
            </w:tcBorders>
            <w:noWrap w:val="0"/>
            <w:vAlign w:val="center"/>
          </w:tcPr>
          <w:p w14:paraId="4408CC97">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0AC99CA0">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7FCDA540">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rPr>
              <w:t>项目负责人</w:t>
            </w:r>
          </w:p>
        </w:tc>
        <w:tc>
          <w:tcPr>
            <w:tcW w:w="2009" w:type="dxa"/>
            <w:tcBorders>
              <w:top w:val="single" w:color="auto" w:sz="4" w:space="0"/>
              <w:left w:val="nil"/>
              <w:bottom w:val="single" w:color="auto" w:sz="4" w:space="0"/>
              <w:right w:val="single" w:color="auto" w:sz="4" w:space="0"/>
            </w:tcBorders>
            <w:noWrap w:val="0"/>
            <w:vAlign w:val="center"/>
          </w:tcPr>
          <w:p w14:paraId="1EA1864F">
            <w:pPr>
              <w:pageBreakBefore w:val="0"/>
              <w:autoSpaceDE w:val="0"/>
              <w:autoSpaceDN w:val="0"/>
              <w:bidi w:val="0"/>
              <w:adjustRightInd w:val="0"/>
              <w:snapToGrid w:val="0"/>
              <w:spacing w:beforeAutospacing="0" w:afterAutospacing="0" w:line="360" w:lineRule="auto"/>
              <w:ind w:left="0" w:leftChars="0" w:right="0" w:firstLine="120" w:firstLineChars="50"/>
              <w:jc w:val="center"/>
              <w:rPr>
                <w:rFonts w:hint="eastAsia" w:ascii="宋体" w:hAnsi="宋体" w:eastAsia="宋体" w:cs="宋体"/>
                <w:color w:val="auto"/>
                <w:kern w:val="0"/>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noWrap w:val="0"/>
            <w:vAlign w:val="center"/>
          </w:tcPr>
          <w:p w14:paraId="640F60CD">
            <w:pPr>
              <w:pageBreakBefore w:val="0"/>
              <w:autoSpaceDE w:val="0"/>
              <w:autoSpaceDN w:val="0"/>
              <w:bidi w:val="0"/>
              <w:adjustRightInd w:val="0"/>
              <w:snapToGrid w:val="0"/>
              <w:spacing w:beforeAutospacing="0" w:afterAutospacing="0" w:line="360" w:lineRule="auto"/>
              <w:ind w:left="0" w:leftChars="0" w:right="0" w:firstLine="120" w:firstLineChars="50"/>
              <w:jc w:val="center"/>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rPr>
              <w:t>联系电话</w:t>
            </w:r>
          </w:p>
        </w:tc>
        <w:tc>
          <w:tcPr>
            <w:tcW w:w="2309" w:type="dxa"/>
            <w:tcBorders>
              <w:top w:val="single" w:color="auto" w:sz="4" w:space="0"/>
              <w:left w:val="single" w:color="auto" w:sz="4" w:space="0"/>
              <w:bottom w:val="single" w:color="auto" w:sz="4" w:space="0"/>
              <w:right w:val="single" w:color="auto" w:sz="4" w:space="0"/>
            </w:tcBorders>
            <w:noWrap w:val="0"/>
            <w:vAlign w:val="center"/>
          </w:tcPr>
          <w:p w14:paraId="057F20FB">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rPr>
            </w:pPr>
          </w:p>
        </w:tc>
      </w:tr>
      <w:tr w14:paraId="5024CB41">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05032242">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6551" w:type="dxa"/>
            <w:gridSpan w:val="3"/>
            <w:tcBorders>
              <w:top w:val="single" w:color="auto" w:sz="4" w:space="0"/>
              <w:left w:val="nil"/>
              <w:bottom w:val="single" w:color="auto" w:sz="4" w:space="0"/>
              <w:right w:val="single" w:color="auto" w:sz="4" w:space="0"/>
            </w:tcBorders>
            <w:noWrap w:val="0"/>
            <w:vAlign w:val="center"/>
          </w:tcPr>
          <w:p w14:paraId="653B159C">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（大写）：</w:t>
            </w:r>
          </w:p>
          <w:p w14:paraId="762422BE">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（小写）： </w:t>
            </w:r>
          </w:p>
        </w:tc>
      </w:tr>
      <w:tr w14:paraId="00DB75F8">
        <w:tblPrEx>
          <w:tblCellMar>
            <w:top w:w="0" w:type="dxa"/>
            <w:left w:w="0" w:type="dxa"/>
            <w:bottom w:w="0" w:type="dxa"/>
            <w:right w:w="0" w:type="dxa"/>
          </w:tblCellMar>
        </w:tblPrEx>
        <w:trPr>
          <w:trHeight w:val="1052"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BF57C96">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6551" w:type="dxa"/>
            <w:gridSpan w:val="3"/>
            <w:tcBorders>
              <w:top w:val="single" w:color="auto" w:sz="4" w:space="0"/>
              <w:left w:val="nil"/>
              <w:bottom w:val="single" w:color="auto" w:sz="4" w:space="0"/>
              <w:right w:val="single" w:color="auto" w:sz="4" w:space="0"/>
            </w:tcBorders>
            <w:noWrap w:val="0"/>
            <w:vAlign w:val="center"/>
          </w:tcPr>
          <w:p w14:paraId="5105F32D">
            <w:pPr>
              <w:pageBreakBefore w:val="0"/>
              <w:autoSpaceDE w:val="0"/>
              <w:autoSpaceDN w:val="0"/>
              <w:bidi w:val="0"/>
              <w:adjustRightInd w:val="0"/>
              <w:snapToGrid w:val="0"/>
              <w:spacing w:beforeAutospacing="0" w:afterAutospacing="0" w:line="360" w:lineRule="auto"/>
              <w:ind w:left="0" w:leftChars="0" w:right="0" w:firstLine="120" w:firstLineChars="50"/>
              <w:rPr>
                <w:rFonts w:hint="eastAsia" w:ascii="宋体" w:hAnsi="宋体" w:eastAsia="宋体" w:cs="宋体"/>
                <w:color w:val="auto"/>
                <w:kern w:val="0"/>
                <w:sz w:val="24"/>
                <w:szCs w:val="24"/>
                <w:highlight w:val="none"/>
              </w:rPr>
            </w:pPr>
          </w:p>
        </w:tc>
      </w:tr>
      <w:tr w14:paraId="5BBE4A58">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4B3FBE93">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 货 期</w:t>
            </w:r>
          </w:p>
        </w:tc>
        <w:tc>
          <w:tcPr>
            <w:tcW w:w="6551" w:type="dxa"/>
            <w:gridSpan w:val="3"/>
            <w:tcBorders>
              <w:top w:val="single" w:color="auto" w:sz="4" w:space="0"/>
              <w:left w:val="nil"/>
              <w:bottom w:val="single" w:color="auto" w:sz="4" w:space="0"/>
              <w:right w:val="single" w:color="auto" w:sz="4" w:space="0"/>
            </w:tcBorders>
            <w:noWrap w:val="0"/>
            <w:vAlign w:val="center"/>
          </w:tcPr>
          <w:p w14:paraId="09B3DC1E">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p>
        </w:tc>
      </w:tr>
      <w:tr w14:paraId="7AFE7DC3">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22083D8A">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w:t>
            </w:r>
          </w:p>
        </w:tc>
        <w:tc>
          <w:tcPr>
            <w:tcW w:w="6551" w:type="dxa"/>
            <w:gridSpan w:val="3"/>
            <w:tcBorders>
              <w:top w:val="single" w:color="auto" w:sz="4" w:space="0"/>
              <w:left w:val="nil"/>
              <w:bottom w:val="single" w:color="auto" w:sz="4" w:space="0"/>
              <w:right w:val="single" w:color="auto" w:sz="4" w:space="0"/>
            </w:tcBorders>
            <w:noWrap w:val="0"/>
            <w:vAlign w:val="center"/>
          </w:tcPr>
          <w:p w14:paraId="04DCB60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58E41144">
        <w:tblPrEx>
          <w:tblCellMar>
            <w:top w:w="0" w:type="dxa"/>
            <w:left w:w="0" w:type="dxa"/>
            <w:bottom w:w="0" w:type="dxa"/>
            <w:right w:w="0" w:type="dxa"/>
          </w:tblCellMar>
        </w:tblPrEx>
        <w:trPr>
          <w:trHeight w:val="926"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49993D49">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551" w:type="dxa"/>
            <w:gridSpan w:val="3"/>
            <w:tcBorders>
              <w:top w:val="single" w:color="auto" w:sz="4" w:space="0"/>
              <w:left w:val="nil"/>
              <w:bottom w:val="single" w:color="auto" w:sz="4" w:space="0"/>
              <w:right w:val="single" w:color="auto" w:sz="4" w:space="0"/>
            </w:tcBorders>
            <w:noWrap w:val="0"/>
            <w:vAlign w:val="center"/>
          </w:tcPr>
          <w:p w14:paraId="3678F3D5">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r w14:paraId="2D095D9D">
        <w:tblPrEx>
          <w:tblCellMar>
            <w:top w:w="0" w:type="dxa"/>
            <w:left w:w="0" w:type="dxa"/>
            <w:bottom w:w="0" w:type="dxa"/>
            <w:right w:w="0" w:type="dxa"/>
          </w:tblCellMar>
        </w:tblPrEx>
        <w:trPr>
          <w:trHeight w:val="935" w:hRule="atLeast"/>
          <w:jc w:val="center"/>
        </w:trPr>
        <w:tc>
          <w:tcPr>
            <w:tcW w:w="2248" w:type="dxa"/>
            <w:tcBorders>
              <w:top w:val="single" w:color="auto" w:sz="4" w:space="0"/>
              <w:left w:val="single" w:color="auto" w:sz="4" w:space="0"/>
              <w:bottom w:val="single" w:color="auto" w:sz="4" w:space="0"/>
              <w:right w:val="single" w:color="auto" w:sz="4" w:space="0"/>
            </w:tcBorders>
            <w:noWrap w:val="0"/>
            <w:vAlign w:val="center"/>
          </w:tcPr>
          <w:p w14:paraId="5E0D0460">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  注</w:t>
            </w:r>
          </w:p>
        </w:tc>
        <w:tc>
          <w:tcPr>
            <w:tcW w:w="6551" w:type="dxa"/>
            <w:gridSpan w:val="3"/>
            <w:tcBorders>
              <w:top w:val="single" w:color="auto" w:sz="4" w:space="0"/>
              <w:left w:val="nil"/>
              <w:bottom w:val="single" w:color="auto" w:sz="4" w:space="0"/>
              <w:right w:val="single" w:color="auto" w:sz="4" w:space="0"/>
            </w:tcBorders>
            <w:noWrap w:val="0"/>
            <w:vAlign w:val="center"/>
          </w:tcPr>
          <w:p w14:paraId="4D749E51">
            <w:pPr>
              <w:pageBreakBefore w:val="0"/>
              <w:autoSpaceDE w:val="0"/>
              <w:autoSpaceDN w:val="0"/>
              <w:bidi w:val="0"/>
              <w:adjustRightInd w:val="0"/>
              <w:snapToGrid w:val="0"/>
              <w:spacing w:beforeAutospacing="0" w:afterAutospacing="0" w:line="360" w:lineRule="auto"/>
              <w:ind w:left="0" w:leftChars="0" w:right="0"/>
              <w:jc w:val="center"/>
              <w:rPr>
                <w:rFonts w:hint="eastAsia" w:ascii="宋体" w:hAnsi="宋体" w:eastAsia="宋体" w:cs="宋体"/>
                <w:color w:val="auto"/>
                <w:kern w:val="0"/>
                <w:sz w:val="24"/>
                <w:szCs w:val="24"/>
                <w:highlight w:val="none"/>
              </w:rPr>
            </w:pPr>
          </w:p>
        </w:tc>
      </w:tr>
    </w:tbl>
    <w:p w14:paraId="65F6D20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4"/>
          <w:szCs w:val="24"/>
          <w:highlight w:val="none"/>
        </w:rPr>
      </w:pPr>
    </w:p>
    <w:p w14:paraId="476CA0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0F42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5F51D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40DB0FB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bookmarkStart w:id="65" w:name="_Toc23848"/>
    </w:p>
    <w:p w14:paraId="6004A8B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（二）报价明细表</w:t>
      </w:r>
    </w:p>
    <w:p w14:paraId="0042598D">
      <w:pPr>
        <w:pageBreakBefore w:val="0"/>
        <w:bidi w:val="0"/>
        <w:adjustRightInd w:val="0"/>
        <w:snapToGrid w:val="0"/>
        <w:spacing w:beforeAutospacing="0" w:afterAutospacing="0" w:line="360" w:lineRule="auto"/>
        <w:ind w:left="0" w:leftChars="0" w:right="0"/>
        <w:jc w:val="center"/>
        <w:outlineLvl w:val="0"/>
        <w:rPr>
          <w:rFonts w:hint="eastAsia" w:ascii="宋体" w:hAnsi="宋体" w:eastAsia="宋体" w:cs="宋体"/>
          <w:b/>
          <w:bCs/>
          <w:color w:val="auto"/>
          <w:kern w:val="0"/>
          <w:sz w:val="32"/>
          <w:szCs w:val="32"/>
          <w:highlight w:val="none"/>
        </w:rPr>
      </w:pPr>
    </w:p>
    <w:tbl>
      <w:tblPr>
        <w:tblStyle w:val="21"/>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1575"/>
        <w:gridCol w:w="4280"/>
        <w:gridCol w:w="554"/>
        <w:gridCol w:w="449"/>
        <w:gridCol w:w="743"/>
        <w:gridCol w:w="732"/>
        <w:gridCol w:w="450"/>
      </w:tblGrid>
      <w:tr w14:paraId="11DF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8B3B9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一标段采购清单（货物需在备注里标明产品品牌型号）</w:t>
            </w:r>
          </w:p>
        </w:tc>
      </w:tr>
      <w:tr w14:paraId="59CF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E7A4A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CBFDAA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B009F3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40132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34DF6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36C8608">
            <w:pPr>
              <w:keepNext w:val="0"/>
              <w:keepLines w:val="0"/>
              <w:pageBreakBefore w:val="0"/>
              <w:widowControl/>
              <w:suppressLineNumbers w:val="0"/>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单价（元）</w:t>
            </w: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2C464A8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B03FA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378A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E6E8C5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养老评估实训室</w:t>
            </w:r>
          </w:p>
        </w:tc>
      </w:tr>
      <w:tr w14:paraId="3B05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B8B0C1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74CEE9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健康一体机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DA58B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06FEF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1817A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E94864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02893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8A8B2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DBB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3FBD59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334161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老年功能性体适能测评包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46FB597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3E5DCB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D773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D60DC8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00F321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BCC02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290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7F9A1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BF1E70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疼痛脸谱评分尺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78C0361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83529D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0A5FC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6E38B0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8021A3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549CC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66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85C9F6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BAB73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多功能关节活动测量表</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BA67FCD">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F4D17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C0291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72EE90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D24DA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DF4A4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6D2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29FCB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AB3DBB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角度尺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48E2403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3F3D04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DCC6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EE85C6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15F7B6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7BD49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932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DAC40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4C880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一次性压舌板</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6D4338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2BF45C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5A6F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7803E03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07680A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0135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4F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64ED2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0CF3E0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评估穿衣、取物测评包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173CA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262BA75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A8988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4084B8E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8864E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2D306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20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3F739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53258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辅助测评洗漱包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DB0FD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024C28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A0CA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88517A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6F51E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1886E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0C2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792A48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48C27D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评估沐浴椅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82A889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FEB070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98437E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9D8E08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4949A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ADAA8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96C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68000A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F18C48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辅助测评进食包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269CB7B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10EEF8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C6322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E7D3F3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50328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F5D280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70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FBDE4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3678EB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辅助评估长者认知功能包</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0A00D8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7FA26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8B09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83B18D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293B1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BD03C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F93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5E0B60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4ED29D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步行测量贴纸</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5EECFE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169E06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282B8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7176B3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578382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CFA02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3B6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94ACAD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0BCF07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跨越障碍架</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22B8A42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0985F2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688E7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24B604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858B0B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D2BEF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2AF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CAFDF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AC47A0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心智健康测评系统</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18028E5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FB681A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925AF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83E909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3E42E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64BE5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61B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61656A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BA39F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实训室环境气氛改造</w:t>
            </w:r>
          </w:p>
        </w:tc>
        <w:tc>
          <w:tcPr>
            <w:tcW w:w="2297" w:type="pct"/>
            <w:tcBorders>
              <w:top w:val="single" w:color="000000" w:sz="4" w:space="0"/>
              <w:left w:val="single" w:color="000000" w:sz="4" w:space="0"/>
              <w:bottom w:val="single" w:color="000000" w:sz="4" w:space="0"/>
              <w:right w:val="single" w:color="000000" w:sz="4" w:space="0"/>
            </w:tcBorders>
            <w:noWrap/>
            <w:vAlign w:val="center"/>
          </w:tcPr>
          <w:p w14:paraId="254CDC5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7972F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039ED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2BBFE91">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DD9A2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30CF9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C5B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326D978">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3B6E6E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297" w:type="pct"/>
            <w:tcBorders>
              <w:top w:val="single" w:color="000000" w:sz="4" w:space="0"/>
              <w:left w:val="single" w:color="000000" w:sz="4" w:space="0"/>
              <w:bottom w:val="single" w:color="000000" w:sz="4" w:space="0"/>
              <w:right w:val="single" w:color="000000" w:sz="4" w:space="0"/>
            </w:tcBorders>
            <w:noWrap/>
            <w:vAlign w:val="center"/>
          </w:tcPr>
          <w:p w14:paraId="19158543">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337BE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AE50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CA845CA">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4F152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1B08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98A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D8B7E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养老照护实训室</w:t>
            </w:r>
          </w:p>
        </w:tc>
      </w:tr>
      <w:tr w14:paraId="78FB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182A54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764632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C49946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6BCC1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ADA83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203CE7B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0D0E4A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D297D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2B2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9D9D4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65E81E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智能监测床垫</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E813C1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2BC5159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92DB2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39456D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CE5813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94E4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05B3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EB854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0219DC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34B314B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6B592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E4DBF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16D4A9F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12FE84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F6C38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913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2CA29F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EAB835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6103203F">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E78FF3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1F23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58C3ED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ED01AC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9BB06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C90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40E3EE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CD7D1E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床头设备带</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9D4AF0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173090B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7E15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148ED8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747121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5DF30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58A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33326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80605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全功能护理模拟人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59A96735">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66B565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CB459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2E84E2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153502D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056793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DF3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8CE6E2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66A99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体位转移实操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5291548">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A6651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FB8D3D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9EE9D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7ED19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DE771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4AD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D7E753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96B3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喂食实操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9123A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F0C6C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74E4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2D0F35">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0838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1A0E2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7A3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06C04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6019F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口腔护理实操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D4E1F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452D1D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FF7FB4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2B3454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538A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93EBA0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D9B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3DF80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AEF809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排泄护理实操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2EBB9D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705E2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C53183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21240E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F039A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F8D39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56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0C142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5A361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清洁护理实操</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5D558E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692BE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F5673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272B12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35800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3C3C76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BF9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AB778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AE0B27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医疗照护包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C5159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6F481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48871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C42159">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8D5B15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02BE4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2C6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E2D2D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62A430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智能药盒</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39FB13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98B3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4CCF5F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B19A3B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F2DCA2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DB6F40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B4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58CFF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297D56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智能成人纸尿裤</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055DC26">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0113F9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843AA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6866DB">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719E4F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0B80D7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44D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FAE01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F7F0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智能尿湿报警器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429EEC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23299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7E7588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2D4FA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CA40D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DA619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845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1692DB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90C72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折叠洗澡椅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9BC5364">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B7DCA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DD23B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5BF958C">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39F9B3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12B15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7CC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DC2091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5DED5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适老座便器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88D0C0">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DF213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B496C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7E899D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8F1C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8C0D05B">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2677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C9DFF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9BBA0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落地上翻扶手</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B6C2209">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6DFD35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AAA369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067E9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9D0FF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F0AB01">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3044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4DEC5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38D37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《老年健康照护》课程资源</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A47265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B2556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3FEA9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FA1310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CD683A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CEC7B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368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C17E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226700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297" w:type="pct"/>
            <w:tcBorders>
              <w:top w:val="single" w:color="000000" w:sz="4" w:space="0"/>
              <w:left w:val="single" w:color="000000" w:sz="4" w:space="0"/>
              <w:bottom w:val="single" w:color="000000" w:sz="4" w:space="0"/>
              <w:right w:val="nil"/>
            </w:tcBorders>
            <w:shd w:val="clear" w:color="FFFFFF" w:fill="auto"/>
            <w:noWrap/>
            <w:vAlign w:val="center"/>
          </w:tcPr>
          <w:p w14:paraId="03B9774D">
            <w:pPr>
              <w:pageBreakBefore w:val="0"/>
              <w:bidi w:val="0"/>
              <w:adjustRightInd w:val="0"/>
              <w:snapToGrid w:val="0"/>
              <w:spacing w:beforeAutospacing="0" w:afterAutospacing="0" w:line="360" w:lineRule="auto"/>
              <w:ind w:left="0" w:leftChars="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9A9B46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77A741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A44A5DE">
            <w:pPr>
              <w:pageBreakBefore w:val="0"/>
              <w:bidi w:val="0"/>
              <w:adjustRightInd w:val="0"/>
              <w:snapToGrid w:val="0"/>
              <w:spacing w:beforeAutospacing="0" w:afterAutospacing="0" w:line="360" w:lineRule="auto"/>
              <w:ind w:left="0" w:leftChars="0" w:right="0"/>
              <w:jc w:val="right"/>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E9257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shd w:val="clear" w:color="FFFFFF" w:fill="auto"/>
            <w:noWrap/>
            <w:vAlign w:val="center"/>
          </w:tcPr>
          <w:p w14:paraId="2E3E1D4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60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3D161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养老康复实训室</w:t>
            </w:r>
          </w:p>
        </w:tc>
      </w:tr>
      <w:tr w14:paraId="469C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23852E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58BD6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多功能护理床</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B5534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3EC7ED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B87A27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28259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B420E4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45F4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93F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8BDDC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6DB1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床上用品</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D4356E">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696DDD6">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4BCC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4F74257">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6B6F54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62EE9E4">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476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B0D47E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B8C0CC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床头柜</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6D162FA">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B8917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05E03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393CFF">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F77607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534B275">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03F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57C64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D8896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自助式轮椅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C0118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C056B6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3A3745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4F05928">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3C0F0F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2B2E46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24C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74CEB0D">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DC67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助行器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21E027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EB3641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EBBDEF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79D41D">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29F065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0871A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138C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93B9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3CAFE6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拐杖</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B86593">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4E81630">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EA0A58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117BF3A">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22C42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DFCC9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43E9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7514A6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D6AE1E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马桶</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4BF22FB">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FF0FAE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996CF5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9E0D70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38807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E55C19">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6F32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4609149">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3E2E61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坐便椅</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A3AEF22">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1F1D1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86C0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0E02CC4">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90B78D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00C0D4F">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011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45639B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C07692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上翻扶手</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C7A9D1">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024B3E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508A6BF">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1685D50">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DC463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04131C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C36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6709641">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8D85D0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OT综合训练台</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93BAAAC">
            <w:pPr>
              <w:keepNext w:val="0"/>
              <w:keepLines w:val="0"/>
              <w:pageBreakBefore w:val="0"/>
              <w:widowControl/>
              <w:suppressLineNumbers w:val="0"/>
              <w:bidi w:val="0"/>
              <w:adjustRightInd w:val="0"/>
              <w:snapToGrid w:val="0"/>
              <w:spacing w:beforeAutospacing="0" w:afterAutospacing="0" w:line="360" w:lineRule="auto"/>
              <w:ind w:left="0" w:leftChars="0" w:right="0"/>
              <w:jc w:val="left"/>
              <w:textAlignment w:val="center"/>
              <w:rPr>
                <w:rFonts w:hint="eastAsia" w:ascii="宋体" w:hAnsi="宋体" w:eastAsia="宋体" w:cs="宋体"/>
                <w:i w:val="0"/>
                <w:iCs w:val="0"/>
                <w:color w:val="auto"/>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A6667CB">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2825EA8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66BC63CE">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B2FC4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3C4A7B2">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7418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D3B8F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90A90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认知功能障碍筛查或成套测试量表及用具</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936E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3D5E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D9BF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2B70C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DD6EB5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EF11EB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2D8B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7A7700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D11800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PT床</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8288A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D97982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EB3A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0DEA47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4EFE66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538304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AF5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194FF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BC28F6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PT凳</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9A6F36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CEDD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085A0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BF5B34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C1D99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0D21C0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C69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3092499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48D577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辅助行走机器人</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D49B6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5F613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CB5AA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717EBA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A5C52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75AAE6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D36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EB736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03D5F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小蜜蜂扩音器</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32015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F7A08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120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2B1D1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E558C7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53592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06103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7365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179796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46D6B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手提音箱</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518F2B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A8896A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AA4B9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28718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7EA19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D5D071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27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799DDA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8214AE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拉杆音箱</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1683AC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6CAD84D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 xml:space="preserve">1 </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33AF3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5EA5064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783904B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4EE3D5E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5919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08FA28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845"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5E79A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实训推车车体</w:t>
            </w:r>
          </w:p>
        </w:tc>
        <w:tc>
          <w:tcPr>
            <w:tcW w:w="2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0DC5D5B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97"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289921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0"/>
            <w:vAlign w:val="center"/>
          </w:tcPr>
          <w:p w14:paraId="32CD35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BCB5B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392"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48826E0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c>
          <w:tcPr>
            <w:tcW w:w="241" w:type="pct"/>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1A5DD8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rPr>
            </w:pPr>
          </w:p>
        </w:tc>
      </w:tr>
      <w:tr w14:paraId="0AE7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318794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2AD208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示教互动软件</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7060743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59E9C51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F69C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3DF572D2">
            <w:pPr>
              <w:keepNext w:val="0"/>
              <w:keepLines w:val="0"/>
              <w:pageBreakBefore w:val="0"/>
              <w:widowControl/>
              <w:suppressLineNumbers w:val="0"/>
              <w:bidi w:val="0"/>
              <w:adjustRightInd w:val="0"/>
              <w:snapToGrid w:val="0"/>
              <w:spacing w:beforeAutospacing="0" w:afterAutospacing="0" w:line="360" w:lineRule="auto"/>
              <w:ind w:left="0" w:leftChars="0" w:right="0"/>
              <w:jc w:val="right"/>
              <w:textAlignment w:val="center"/>
              <w:rPr>
                <w:rFonts w:hint="eastAsia" w:ascii="宋体" w:hAnsi="宋体" w:eastAsia="宋体" w:cs="宋体"/>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63F307A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FF469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r w14:paraId="56FA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0508226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D1AFB9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4K高清采集摄像机</w:t>
            </w:r>
          </w:p>
        </w:tc>
        <w:tc>
          <w:tcPr>
            <w:tcW w:w="2297" w:type="pct"/>
            <w:tcBorders>
              <w:top w:val="single" w:color="000000" w:sz="4" w:space="0"/>
              <w:left w:val="single" w:color="000000" w:sz="4" w:space="0"/>
              <w:bottom w:val="single" w:color="000000" w:sz="4" w:space="0"/>
              <w:right w:val="single" w:color="000000" w:sz="4" w:space="0"/>
            </w:tcBorders>
            <w:noWrap w:val="0"/>
            <w:vAlign w:val="center"/>
          </w:tcPr>
          <w:p w14:paraId="0B7B1B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184B382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FB0AA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00644C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3C8DBE5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5CB2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0A7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12AE215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FDFAC2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示教直播系统软件</w:t>
            </w:r>
          </w:p>
        </w:tc>
        <w:tc>
          <w:tcPr>
            <w:tcW w:w="2297" w:type="pct"/>
            <w:tcBorders>
              <w:top w:val="single" w:color="000000" w:sz="4" w:space="0"/>
              <w:left w:val="single" w:color="000000" w:sz="4" w:space="0"/>
              <w:bottom w:val="single" w:color="000000" w:sz="4" w:space="0"/>
              <w:right w:val="single" w:color="000000" w:sz="4" w:space="0"/>
            </w:tcBorders>
            <w:noWrap w:val="0"/>
            <w:vAlign w:val="top"/>
          </w:tcPr>
          <w:p w14:paraId="625433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7ACD51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F56D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6E5CD2A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80A429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B0E6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146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45AC859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276F0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297" w:type="pct"/>
            <w:tcBorders>
              <w:top w:val="single" w:color="000000" w:sz="4" w:space="0"/>
              <w:left w:val="single" w:color="000000" w:sz="4" w:space="0"/>
              <w:bottom w:val="single" w:color="000000" w:sz="4" w:space="0"/>
              <w:right w:val="nil"/>
            </w:tcBorders>
            <w:noWrap/>
            <w:vAlign w:val="center"/>
          </w:tcPr>
          <w:p w14:paraId="29C29A7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14:paraId="3F61E46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0B228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627686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0E6D3E3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241" w:type="pct"/>
            <w:tcBorders>
              <w:top w:val="single" w:color="000000" w:sz="4" w:space="0"/>
              <w:left w:val="nil"/>
              <w:bottom w:val="single" w:color="000000" w:sz="4" w:space="0"/>
              <w:right w:val="single" w:color="000000" w:sz="4" w:space="0"/>
            </w:tcBorders>
            <w:noWrap/>
            <w:vAlign w:val="center"/>
          </w:tcPr>
          <w:p w14:paraId="2A170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E32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66" w:type="pct"/>
            <w:gridSpan w:val="5"/>
            <w:tcBorders>
              <w:top w:val="single" w:color="000000" w:sz="4" w:space="0"/>
              <w:left w:val="single" w:color="000000" w:sz="4" w:space="0"/>
              <w:bottom w:val="single" w:color="000000" w:sz="4" w:space="0"/>
              <w:right w:val="nil"/>
            </w:tcBorders>
            <w:noWrap/>
            <w:vAlign w:val="center"/>
          </w:tcPr>
          <w:p w14:paraId="0FAD7D27">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noWrap/>
            <w:vAlign w:val="center"/>
          </w:tcPr>
          <w:p w14:paraId="53A07ADB">
            <w:pPr>
              <w:pageBreakBefore w:val="0"/>
              <w:bidi w:val="0"/>
              <w:adjustRightInd w:val="0"/>
              <w:snapToGrid w:val="0"/>
              <w:spacing w:beforeAutospacing="0" w:afterAutospacing="0" w:line="360" w:lineRule="auto"/>
              <w:ind w:left="0" w:leftChars="0" w:right="0"/>
              <w:rPr>
                <w:rFonts w:hint="eastAsia" w:ascii="宋体" w:hAnsi="宋体" w:eastAsia="宋体" w:cs="宋体"/>
                <w:b/>
                <w:bCs/>
                <w:i w:val="0"/>
                <w:iCs w:val="0"/>
                <w:color w:val="auto"/>
                <w:sz w:val="21"/>
                <w:szCs w:val="21"/>
                <w:u w:val="none"/>
              </w:rPr>
            </w:pPr>
          </w:p>
        </w:tc>
        <w:tc>
          <w:tcPr>
            <w:tcW w:w="392" w:type="pct"/>
            <w:tcBorders>
              <w:top w:val="single" w:color="000000" w:sz="4" w:space="0"/>
              <w:left w:val="single" w:color="000000" w:sz="4" w:space="0"/>
              <w:bottom w:val="single" w:color="000000" w:sz="4" w:space="0"/>
              <w:right w:val="single" w:color="000000" w:sz="4" w:space="0"/>
            </w:tcBorders>
            <w:noWrap/>
            <w:vAlign w:val="center"/>
          </w:tcPr>
          <w:p w14:paraId="4900DECA">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sz w:val="21"/>
                <w:szCs w:val="21"/>
                <w:u w:val="none"/>
              </w:rPr>
            </w:pPr>
          </w:p>
        </w:tc>
        <w:tc>
          <w:tcPr>
            <w:tcW w:w="241" w:type="pct"/>
            <w:tcBorders>
              <w:top w:val="single" w:color="000000" w:sz="4" w:space="0"/>
              <w:left w:val="nil"/>
              <w:bottom w:val="single" w:color="000000" w:sz="4" w:space="0"/>
              <w:right w:val="single" w:color="000000" w:sz="4" w:space="0"/>
            </w:tcBorders>
            <w:noWrap/>
            <w:vAlign w:val="center"/>
          </w:tcPr>
          <w:p w14:paraId="06883453">
            <w:pPr>
              <w:pageBreakBefore w:val="0"/>
              <w:bidi w:val="0"/>
              <w:adjustRightInd w:val="0"/>
              <w:snapToGrid w:val="0"/>
              <w:spacing w:beforeAutospacing="0" w:afterAutospacing="0" w:line="360" w:lineRule="auto"/>
              <w:ind w:left="0" w:leftChars="0" w:right="0"/>
              <w:jc w:val="center"/>
              <w:rPr>
                <w:rFonts w:hint="eastAsia" w:ascii="宋体" w:hAnsi="宋体" w:eastAsia="宋体" w:cs="宋体"/>
                <w:i w:val="0"/>
                <w:iCs w:val="0"/>
                <w:color w:val="auto"/>
                <w:sz w:val="21"/>
                <w:szCs w:val="21"/>
                <w:u w:val="none"/>
              </w:rPr>
            </w:pPr>
          </w:p>
        </w:tc>
      </w:tr>
    </w:tbl>
    <w:p w14:paraId="2F2B9174">
      <w:pPr>
        <w:pageBreakBefore w:val="0"/>
        <w:bidi w:val="0"/>
        <w:adjustRightInd w:val="0"/>
        <w:snapToGrid w:val="0"/>
        <w:spacing w:beforeAutospacing="0" w:afterAutospacing="0" w:line="360" w:lineRule="auto"/>
        <w:ind w:left="0" w:leftChars="0" w:right="0"/>
        <w:rPr>
          <w:rFonts w:hint="eastAsia" w:ascii="宋体" w:hAnsi="宋体" w:eastAsia="宋体" w:cs="宋体"/>
        </w:rPr>
      </w:pPr>
    </w:p>
    <w:tbl>
      <w:tblPr>
        <w:tblStyle w:val="21"/>
        <w:tblW w:w="9438" w:type="dxa"/>
        <w:tblInd w:w="96" w:type="dxa"/>
        <w:tblLayout w:type="fixed"/>
        <w:tblCellMar>
          <w:top w:w="0" w:type="dxa"/>
          <w:left w:w="108" w:type="dxa"/>
          <w:bottom w:w="0" w:type="dxa"/>
          <w:right w:w="108" w:type="dxa"/>
        </w:tblCellMar>
      </w:tblPr>
      <w:tblGrid>
        <w:gridCol w:w="638"/>
        <w:gridCol w:w="1333"/>
        <w:gridCol w:w="1754"/>
        <w:gridCol w:w="2271"/>
        <w:gridCol w:w="638"/>
        <w:gridCol w:w="638"/>
        <w:gridCol w:w="849"/>
        <w:gridCol w:w="849"/>
        <w:gridCol w:w="468"/>
      </w:tblGrid>
      <w:tr w14:paraId="692C7A70">
        <w:tblPrEx>
          <w:tblCellMar>
            <w:top w:w="0" w:type="dxa"/>
            <w:left w:w="108" w:type="dxa"/>
            <w:bottom w:w="0" w:type="dxa"/>
            <w:right w:w="108" w:type="dxa"/>
          </w:tblCellMar>
        </w:tblPrEx>
        <w:trPr>
          <w:trHeight w:val="23" w:hRule="atLeast"/>
        </w:trPr>
        <w:tc>
          <w:tcPr>
            <w:tcW w:w="8970"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14C9EDE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二标段采购清单</w:t>
            </w:r>
            <w:r>
              <w:rPr>
                <w:rFonts w:hint="eastAsia" w:ascii="宋体" w:hAnsi="宋体" w:eastAsia="宋体" w:cs="宋体"/>
                <w:b/>
                <w:bCs/>
                <w:i w:val="0"/>
                <w:iCs w:val="0"/>
                <w:color w:val="auto"/>
                <w:kern w:val="0"/>
                <w:sz w:val="21"/>
                <w:szCs w:val="21"/>
                <w:u w:val="none"/>
                <w:lang w:val="en-US" w:eastAsia="zh-CN" w:bidi="ar"/>
              </w:rPr>
              <w:t>（货物需在备注里表明产品品牌型号）</w:t>
            </w:r>
          </w:p>
        </w:tc>
        <w:tc>
          <w:tcPr>
            <w:tcW w:w="46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E09542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p>
        </w:tc>
      </w:tr>
      <w:tr w14:paraId="2A6B35D5">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42991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ADB2">
            <w:pPr>
              <w:pageBreakBefore w:val="0"/>
              <w:widowControl/>
              <w:bidi w:val="0"/>
              <w:adjustRightInd w:val="0"/>
              <w:snapToGrid w:val="0"/>
              <w:spacing w:beforeAutospacing="0" w:afterAutospacing="0" w:line="360" w:lineRule="auto"/>
              <w:ind w:left="0" w:leftChars="0" w:right="0"/>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产品名称</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B4A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技术</w:t>
            </w:r>
            <w:r>
              <w:rPr>
                <w:rFonts w:hint="eastAsia" w:ascii="宋体" w:hAnsi="宋体" w:eastAsia="宋体" w:cs="宋体"/>
                <w:b/>
                <w:bCs/>
                <w:color w:val="auto"/>
                <w:kern w:val="0"/>
                <w:sz w:val="21"/>
                <w:szCs w:val="21"/>
                <w:lang w:val="en-US" w:eastAsia="zh-CN" w:bidi="ar"/>
              </w:rPr>
              <w:t>参数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21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84F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1E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单价</w:t>
            </w:r>
          </w:p>
          <w:p w14:paraId="25265BE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78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总价</w:t>
            </w:r>
          </w:p>
          <w:p w14:paraId="479D95C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EA2B">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0177D87B">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247597">
            <w:pPr>
              <w:pageBreakBefore w:val="0"/>
              <w:widowControl/>
              <w:bidi w:val="0"/>
              <w:adjustRightInd w:val="0"/>
              <w:snapToGrid w:val="0"/>
              <w:spacing w:beforeAutospacing="0" w:afterAutospacing="0" w:line="360" w:lineRule="auto"/>
              <w:ind w:left="0" w:leftChars="0" w:right="0"/>
              <w:jc w:val="both"/>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一、大思政教育教学中心软件</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685EAF">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p>
        </w:tc>
      </w:tr>
      <w:tr w14:paraId="3A322AA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B36CE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A9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党建思政资源中心</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DA9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90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669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6A3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39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3E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ABC4B9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144A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A1E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思政课程教学资源（中职）</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23D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BD0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54D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173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A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250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75466EF">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A45B2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C83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WEB端仿真资源（中职）</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4663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5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7B9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B4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84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0A1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82BCCE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E40B9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C2E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全景思政资源</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A33A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CA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E2F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268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2B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1ED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FC2EE9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8087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AE5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党的精神谱系资源</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625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01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45D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72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ED1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2E7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C24846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EF7166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27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09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D7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07F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8E0D8CF">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F74F9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二、vr党建思政培育中心（党建会议室）</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905A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29D52B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B0CC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206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VR一体机</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8878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35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F3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2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C2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E2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E2363DE">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100DF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D0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党建工作站</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FB9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83D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06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C75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171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4C5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65106E2">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CBBA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9F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276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6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9B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9C9CA4B">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2EE24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三、党建思政红色教育基地（大礼堂）</w:t>
            </w:r>
          </w:p>
        </w:tc>
        <w:tc>
          <w:tcPr>
            <w:tcW w:w="46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47F5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01372804">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A792F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0E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场地翻新与红色氛围打造</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F10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DE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529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03B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3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E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22B15AC5">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ECE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294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AR智慧党建沙盘系统</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33CD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0EE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6C5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1A2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100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715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0088BC7">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5A1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D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三门峡本地红色资源不少于5个。</w:t>
            </w:r>
          </w:p>
        </w:tc>
        <w:tc>
          <w:tcPr>
            <w:tcW w:w="4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DAA8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BCD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9B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40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2A9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39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5D7081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718E8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48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3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474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9D3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67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4D7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5D666756">
        <w:tblPrEx>
          <w:tblCellMar>
            <w:top w:w="0" w:type="dxa"/>
            <w:left w:w="108" w:type="dxa"/>
            <w:bottom w:w="0" w:type="dxa"/>
            <w:right w:w="108" w:type="dxa"/>
          </w:tblCellMar>
        </w:tblPrEx>
        <w:trPr>
          <w:trHeight w:val="23" w:hRule="atLeast"/>
        </w:trPr>
        <w:tc>
          <w:tcPr>
            <w:tcW w:w="8970" w:type="dxa"/>
            <w:gridSpan w:val="8"/>
            <w:tcBorders>
              <w:top w:val="single" w:color="000000" w:sz="4" w:space="0"/>
              <w:left w:val="single" w:color="000000" w:sz="8" w:space="0"/>
              <w:bottom w:val="nil"/>
              <w:right w:val="single" w:color="000000" w:sz="4" w:space="0"/>
            </w:tcBorders>
            <w:shd w:val="clear" w:color="auto" w:fill="auto"/>
            <w:noWrap/>
            <w:vAlign w:val="center"/>
          </w:tcPr>
          <w:p w14:paraId="6299E0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四、教学楼红色文化打造</w:t>
            </w:r>
          </w:p>
        </w:tc>
        <w:tc>
          <w:tcPr>
            <w:tcW w:w="468" w:type="dxa"/>
            <w:tcBorders>
              <w:top w:val="single" w:color="000000" w:sz="4" w:space="0"/>
              <w:left w:val="single" w:color="000000" w:sz="8" w:space="0"/>
              <w:bottom w:val="nil"/>
              <w:right w:val="single" w:color="000000" w:sz="4" w:space="0"/>
            </w:tcBorders>
            <w:shd w:val="clear" w:color="auto" w:fill="auto"/>
            <w:noWrap/>
            <w:vAlign w:val="center"/>
          </w:tcPr>
          <w:p w14:paraId="3D999FA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6A15E87">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66322EE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10AD9E4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一二楼走廊</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4A350B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14EAB7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0D971B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0C5DDAD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3D21C52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53BDA36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BA11DA1">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378DB84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4EA3F61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73BC642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思政文化智能宣传栏</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B2C2C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A6B7F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02FE2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8E78EB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BFF62E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3CA5855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042546A">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213112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2E2F961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思政文化智能垃圾箱</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23A297D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37AF19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2B1126C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FD1414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F6901C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20C458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39788DD">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4F8B5DA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62D9A88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思政堂桌</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58654A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C7B0F0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46BDA0D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B6F4F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61AFAA7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5C523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767635AB">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684357A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5F9B331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69AF9E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39C3013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77DC5BE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2F454C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1262CF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4F51CD7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6577FEB6">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0560F33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5B0043C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校门面房思政版面更新</w:t>
            </w: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7F9C248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B84AD88">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627DEAD6">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块</w:t>
            </w: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6EA58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2FBBE5B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1687E92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179E79E7">
        <w:tblPrEx>
          <w:tblCellMar>
            <w:top w:w="0" w:type="dxa"/>
            <w:left w:w="108" w:type="dxa"/>
            <w:bottom w:w="0" w:type="dxa"/>
            <w:right w:w="108" w:type="dxa"/>
          </w:tblCellMar>
        </w:tblPrEx>
        <w:trPr>
          <w:trHeight w:val="710"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D6D895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p w14:paraId="1782C8F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p>
        </w:tc>
        <w:tc>
          <w:tcPr>
            <w:tcW w:w="1333" w:type="dxa"/>
            <w:tcBorders>
              <w:top w:val="single" w:color="000000" w:sz="4" w:space="0"/>
              <w:left w:val="single" w:color="000000" w:sz="4" w:space="0"/>
              <w:bottom w:val="nil"/>
              <w:right w:val="single" w:color="000000" w:sz="4" w:space="0"/>
            </w:tcBorders>
            <w:shd w:val="clear" w:color="auto" w:fill="auto"/>
            <w:noWrap/>
            <w:vAlign w:val="top"/>
          </w:tcPr>
          <w:p w14:paraId="6D2AECB3">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多功能校园垃圾车</w:t>
            </w:r>
          </w:p>
          <w:p w14:paraId="1E84D8B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p>
        </w:tc>
        <w:tc>
          <w:tcPr>
            <w:tcW w:w="4025" w:type="dxa"/>
            <w:gridSpan w:val="2"/>
            <w:tcBorders>
              <w:top w:val="single" w:color="000000" w:sz="4" w:space="0"/>
              <w:left w:val="single" w:color="000000" w:sz="4" w:space="0"/>
              <w:bottom w:val="nil"/>
              <w:right w:val="single" w:color="000000" w:sz="4" w:space="0"/>
            </w:tcBorders>
            <w:shd w:val="clear" w:color="auto" w:fill="auto"/>
            <w:vAlign w:val="top"/>
          </w:tcPr>
          <w:p w14:paraId="2B47A4A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36C594ED">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4AA45D3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0C3B03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11FBEF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51314CB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B61F64C">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top"/>
          </w:tcPr>
          <w:p w14:paraId="7B49567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1333" w:type="dxa"/>
            <w:tcBorders>
              <w:top w:val="single" w:color="000000" w:sz="4" w:space="0"/>
              <w:left w:val="single" w:color="000000" w:sz="4" w:space="0"/>
              <w:bottom w:val="nil"/>
              <w:right w:val="single" w:color="000000" w:sz="4" w:space="0"/>
            </w:tcBorders>
            <w:shd w:val="clear" w:color="auto" w:fill="auto"/>
            <w:noWrap/>
            <w:vAlign w:val="top"/>
          </w:tcPr>
          <w:p w14:paraId="676A0D9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党建资料室 桌、椅、柜</w:t>
            </w:r>
          </w:p>
        </w:tc>
        <w:tc>
          <w:tcPr>
            <w:tcW w:w="4025" w:type="dxa"/>
            <w:gridSpan w:val="2"/>
            <w:tcBorders>
              <w:top w:val="single" w:color="000000" w:sz="4" w:space="0"/>
              <w:left w:val="single" w:color="000000" w:sz="4" w:space="0"/>
              <w:bottom w:val="nil"/>
              <w:right w:val="single" w:color="000000" w:sz="4" w:space="0"/>
            </w:tcBorders>
            <w:shd w:val="clear" w:color="auto" w:fill="auto"/>
            <w:vAlign w:val="top"/>
          </w:tcPr>
          <w:p w14:paraId="1BA27A8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1A68B9FB">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38" w:type="dxa"/>
            <w:tcBorders>
              <w:top w:val="single" w:color="000000" w:sz="4" w:space="0"/>
              <w:left w:val="single" w:color="000000" w:sz="4" w:space="0"/>
              <w:bottom w:val="nil"/>
              <w:right w:val="single" w:color="000000" w:sz="4" w:space="0"/>
            </w:tcBorders>
            <w:shd w:val="clear" w:color="auto" w:fill="auto"/>
            <w:noWrap/>
            <w:vAlign w:val="top"/>
          </w:tcPr>
          <w:p w14:paraId="7A4AD2C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523BCDB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top"/>
          </w:tcPr>
          <w:p w14:paraId="1651C9B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top"/>
          </w:tcPr>
          <w:p w14:paraId="371640DF">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38F06930">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nil"/>
              <w:right w:val="single" w:color="000000" w:sz="4" w:space="0"/>
            </w:tcBorders>
            <w:shd w:val="clear" w:color="auto" w:fill="auto"/>
            <w:noWrap/>
            <w:vAlign w:val="center"/>
          </w:tcPr>
          <w:p w14:paraId="7A46C4C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1333" w:type="dxa"/>
            <w:tcBorders>
              <w:top w:val="single" w:color="000000" w:sz="4" w:space="0"/>
              <w:left w:val="single" w:color="000000" w:sz="4" w:space="0"/>
              <w:bottom w:val="nil"/>
              <w:right w:val="single" w:color="000000" w:sz="4" w:space="0"/>
            </w:tcBorders>
            <w:shd w:val="clear" w:color="auto" w:fill="auto"/>
            <w:noWrap/>
            <w:vAlign w:val="center"/>
          </w:tcPr>
          <w:p w14:paraId="33F18F4E">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025" w:type="dxa"/>
            <w:gridSpan w:val="2"/>
            <w:tcBorders>
              <w:top w:val="single" w:color="000000" w:sz="4" w:space="0"/>
              <w:left w:val="single" w:color="000000" w:sz="4" w:space="0"/>
              <w:bottom w:val="nil"/>
              <w:right w:val="single" w:color="000000" w:sz="4" w:space="0"/>
            </w:tcBorders>
            <w:shd w:val="clear" w:color="auto" w:fill="auto"/>
            <w:vAlign w:val="center"/>
          </w:tcPr>
          <w:p w14:paraId="4B7C8C19">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11698CD0">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FCBCCE2">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0FDB16AA">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nil"/>
              <w:right w:val="single" w:color="000000" w:sz="4" w:space="0"/>
            </w:tcBorders>
            <w:shd w:val="clear" w:color="auto" w:fill="auto"/>
            <w:noWrap/>
            <w:vAlign w:val="center"/>
          </w:tcPr>
          <w:p w14:paraId="53323AF1">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nil"/>
              <w:right w:val="single" w:color="000000" w:sz="4" w:space="0"/>
            </w:tcBorders>
            <w:shd w:val="clear" w:color="auto" w:fill="auto"/>
            <w:noWrap/>
            <w:vAlign w:val="center"/>
          </w:tcPr>
          <w:p w14:paraId="7613D227">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r w14:paraId="476E7203">
        <w:tblPrEx>
          <w:tblCellMar>
            <w:top w:w="0" w:type="dxa"/>
            <w:left w:w="108" w:type="dxa"/>
            <w:bottom w:w="0" w:type="dxa"/>
            <w:right w:w="108" w:type="dxa"/>
          </w:tblCellMar>
        </w:tblPrEx>
        <w:trPr>
          <w:trHeight w:val="23" w:hRule="atLeast"/>
        </w:trPr>
        <w:tc>
          <w:tcPr>
            <w:tcW w:w="63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3B0A7FC">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6634" w:type="dxa"/>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14:paraId="1E65815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84E400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84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F717835">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c>
          <w:tcPr>
            <w:tcW w:w="46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7F618B4">
            <w:pPr>
              <w:pageBreakBefore w:val="0"/>
              <w:bidi w:val="0"/>
              <w:adjustRightInd w:val="0"/>
              <w:snapToGrid w:val="0"/>
              <w:spacing w:beforeAutospacing="0" w:afterAutospacing="0" w:line="360" w:lineRule="auto"/>
              <w:ind w:left="0" w:leftChars="0" w:right="0"/>
              <w:rPr>
                <w:rFonts w:hint="eastAsia" w:ascii="宋体" w:hAnsi="宋体" w:eastAsia="宋体" w:cs="宋体"/>
                <w:sz w:val="21"/>
                <w:szCs w:val="21"/>
                <w:lang w:val="en-US" w:eastAsia="zh-CN"/>
              </w:rPr>
            </w:pPr>
          </w:p>
        </w:tc>
      </w:tr>
    </w:tbl>
    <w:p w14:paraId="3809AE37">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p w14:paraId="7FAD5103">
      <w:pPr>
        <w:pageBreakBefore w:val="0"/>
        <w:bidi w:val="0"/>
        <w:adjustRightInd w:val="0"/>
        <w:snapToGrid w:val="0"/>
        <w:spacing w:beforeAutospacing="0" w:afterAutospacing="0" w:line="360" w:lineRule="auto"/>
        <w:ind w:left="0" w:leftChars="0" w:right="0"/>
        <w:rPr>
          <w:rFonts w:hint="eastAsia" w:ascii="宋体" w:hAnsi="宋体" w:eastAsia="宋体" w:cs="宋体"/>
          <w:lang w:val="en-US" w:eastAsia="zh-CN"/>
        </w:rPr>
      </w:pPr>
    </w:p>
    <w:tbl>
      <w:tblPr>
        <w:tblStyle w:val="21"/>
        <w:tblW w:w="0" w:type="auto"/>
        <w:tblInd w:w="96" w:type="dxa"/>
        <w:tblLayout w:type="autofit"/>
        <w:tblCellMar>
          <w:top w:w="0" w:type="dxa"/>
          <w:left w:w="108" w:type="dxa"/>
          <w:bottom w:w="0" w:type="dxa"/>
          <w:right w:w="108" w:type="dxa"/>
        </w:tblCellMar>
      </w:tblPr>
      <w:tblGrid>
        <w:gridCol w:w="590"/>
        <w:gridCol w:w="1418"/>
        <w:gridCol w:w="3043"/>
        <w:gridCol w:w="613"/>
        <w:gridCol w:w="590"/>
        <w:gridCol w:w="1174"/>
        <w:gridCol w:w="1174"/>
        <w:gridCol w:w="590"/>
      </w:tblGrid>
      <w:tr w14:paraId="6BB73E21">
        <w:tblPrEx>
          <w:tblCellMar>
            <w:top w:w="0" w:type="dxa"/>
            <w:left w:w="108" w:type="dxa"/>
            <w:bottom w:w="0" w:type="dxa"/>
            <w:right w:w="108" w:type="dxa"/>
          </w:tblCellMar>
        </w:tblPrEx>
        <w:trPr>
          <w:trHeight w:val="93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66C6AE">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kern w:val="0"/>
                <w:sz w:val="21"/>
                <w:szCs w:val="21"/>
                <w:lang w:bidi="ar"/>
              </w:rPr>
            </w:pPr>
            <w:r>
              <w:rPr>
                <w:rFonts w:hint="eastAsia" w:ascii="宋体" w:hAnsi="宋体" w:eastAsia="宋体" w:cs="宋体"/>
                <w:b/>
                <w:bCs/>
                <w:sz w:val="21"/>
                <w:szCs w:val="21"/>
                <w:lang w:val="en-US" w:eastAsia="zh-CN"/>
              </w:rPr>
              <w:t>三标段采购清单</w:t>
            </w:r>
            <w:r>
              <w:rPr>
                <w:rFonts w:hint="eastAsia" w:ascii="宋体" w:hAnsi="宋体" w:eastAsia="宋体" w:cs="宋体"/>
                <w:b/>
                <w:bCs/>
                <w:i w:val="0"/>
                <w:iCs w:val="0"/>
                <w:color w:val="auto"/>
                <w:kern w:val="0"/>
                <w:sz w:val="21"/>
                <w:szCs w:val="21"/>
                <w:u w:val="none"/>
                <w:lang w:val="en-US" w:eastAsia="zh-CN" w:bidi="ar"/>
              </w:rPr>
              <w:t>（货物需在备注里表明产品品牌型号）</w:t>
            </w:r>
          </w:p>
        </w:tc>
      </w:tr>
      <w:tr w14:paraId="6A0DC08E">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3A0F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094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产品名称</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81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8815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0"/>
                <w:sz w:val="21"/>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C2B3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58B7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单价</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元</w:t>
            </w:r>
            <w:r>
              <w:rPr>
                <w:rFonts w:hint="eastAsia" w:ascii="宋体" w:hAnsi="宋体" w:eastAsia="宋体" w:cs="宋体"/>
                <w:b/>
                <w:bCs/>
                <w:color w:val="auto"/>
                <w:kern w:val="0"/>
                <w:sz w:val="21"/>
                <w:szCs w:val="21"/>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C50E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2E19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备注</w:t>
            </w:r>
          </w:p>
        </w:tc>
      </w:tr>
      <w:tr w14:paraId="140F1E9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D55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6F7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教学能力大赛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3个作品的参赛资源</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467">
            <w:pPr>
              <w:pageBreakBefore w:val="0"/>
              <w:widowControl/>
              <w:numPr>
                <w:ilvl w:val="0"/>
                <w:numId w:val="0"/>
              </w:numPr>
              <w:bidi w:val="0"/>
              <w:adjustRightInd w:val="0"/>
              <w:snapToGrid w:val="0"/>
              <w:spacing w:beforeAutospacing="0" w:afterAutospacing="0" w:line="360" w:lineRule="auto"/>
              <w:ind w:left="0" w:leftChars="0" w:right="0" w:firstLine="422" w:firstLineChars="200"/>
              <w:jc w:val="left"/>
              <w:textAlignment w:val="center"/>
              <w:rPr>
                <w:rFonts w:hint="eastAsia" w:ascii="宋体" w:hAnsi="宋体" w:eastAsia="宋体" w:cs="宋体"/>
                <w:b/>
                <w:bCs/>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F865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597C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89F2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D728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860C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1B54E570">
        <w:tblPrEx>
          <w:tblCellMar>
            <w:top w:w="0" w:type="dxa"/>
            <w:left w:w="108" w:type="dxa"/>
            <w:bottom w:w="0" w:type="dxa"/>
            <w:right w:w="108" w:type="dxa"/>
          </w:tblCellMar>
        </w:tblPrEx>
        <w:trPr>
          <w:trHeight w:val="1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1F0E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D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班主任能力大赛</w:t>
            </w:r>
            <w:r>
              <w:rPr>
                <w:rFonts w:hint="eastAsia" w:ascii="宋体" w:hAnsi="宋体" w:eastAsia="宋体" w:cs="宋体"/>
                <w:b w:val="0"/>
                <w:bCs w:val="0"/>
                <w:color w:val="auto"/>
                <w:kern w:val="0"/>
                <w:sz w:val="21"/>
                <w:szCs w:val="21"/>
                <w:lang w:eastAsia="zh-CN" w:bidi="ar"/>
              </w:rPr>
              <w:t>每年</w:t>
            </w:r>
            <w:r>
              <w:rPr>
                <w:rFonts w:hint="eastAsia" w:ascii="宋体" w:hAnsi="宋体" w:eastAsia="宋体" w:cs="宋体"/>
                <w:b w:val="0"/>
                <w:bCs w:val="0"/>
                <w:color w:val="auto"/>
                <w:kern w:val="0"/>
                <w:sz w:val="21"/>
                <w:szCs w:val="21"/>
                <w:lang w:bidi="ar"/>
              </w:rPr>
              <w:t>2个参赛作品的参赛资源</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95FF">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C4A1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E904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1466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897F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643A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616CB8B">
        <w:tblPrEx>
          <w:tblCellMar>
            <w:top w:w="0" w:type="dxa"/>
            <w:left w:w="108" w:type="dxa"/>
            <w:bottom w:w="0" w:type="dxa"/>
            <w:right w:w="108" w:type="dxa"/>
          </w:tblCellMar>
        </w:tblPrEx>
        <w:trPr>
          <w:trHeight w:val="1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333F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0B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师生技能竞赛</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9D8">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CD58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071B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59FA8">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4592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9D70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46704ED8">
        <w:tblPrEx>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4D17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9A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“文明风采”竞赛</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3620">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2B441">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AA09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D826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4FEB6">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FACA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6D70760D">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C031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7F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AI教学平台技术服务</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88E2">
            <w:pPr>
              <w:pageBreakBefore w:val="0"/>
              <w:widowControl/>
              <w:numPr>
                <w:ilvl w:val="0"/>
                <w:numId w:val="0"/>
              </w:numPr>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2EFF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8CBD5">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color w:val="auto"/>
                <w:kern w:val="0"/>
                <w:sz w:val="21"/>
                <w:szCs w:val="21"/>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7C68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6719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943B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lang w:val="en-US" w:eastAsia="zh-CN"/>
              </w:rPr>
            </w:pPr>
          </w:p>
        </w:tc>
      </w:tr>
      <w:tr w14:paraId="4FFB381A">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8817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ED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展板</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2AC">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EB0B">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1ADAA">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968B4">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BED6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8CA8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369ACCC7">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2558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0D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桌椅</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978">
            <w:pPr>
              <w:pageBreakBefore w:val="0"/>
              <w:widowControl/>
              <w:bidi w:val="0"/>
              <w:adjustRightInd w:val="0"/>
              <w:snapToGrid w:val="0"/>
              <w:spacing w:beforeAutospacing="0" w:afterAutospacing="0" w:line="360" w:lineRule="auto"/>
              <w:ind w:left="0" w:leftChars="0" w:right="0"/>
              <w:jc w:val="left"/>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25C54">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BE3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F7DC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CB6FE">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4AA5C">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204245D5">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A8DD">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842">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F367">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69247">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49609">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BF528">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F85A3">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EE52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r w14:paraId="48AC8BEF">
        <w:tblPrEx>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DD3AE">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9AC">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A0CF">
            <w:pPr>
              <w:pageBreakBefore w:val="0"/>
              <w:widowControl/>
              <w:bidi w:val="0"/>
              <w:adjustRightInd w:val="0"/>
              <w:snapToGrid w:val="0"/>
              <w:spacing w:beforeAutospacing="0" w:afterAutospacing="0" w:line="360" w:lineRule="auto"/>
              <w:ind w:left="0" w:leftChars="0" w:right="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A0DE3">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B4050">
            <w:pPr>
              <w:pageBreakBefore w:val="0"/>
              <w:widowControl/>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21112">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color w:val="auto"/>
                <w:kern w:val="0"/>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5FC3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DE4A5">
            <w:pPr>
              <w:keepNext w:val="0"/>
              <w:keepLines w:val="0"/>
              <w:pageBreakBefore w:val="0"/>
              <w:widowControl/>
              <w:suppressLineNumbers w:val="0"/>
              <w:bidi w:val="0"/>
              <w:adjustRightInd w:val="0"/>
              <w:snapToGrid w:val="0"/>
              <w:spacing w:beforeAutospacing="0" w:afterAutospacing="0" w:line="360" w:lineRule="auto"/>
              <w:ind w:left="0" w:leftChars="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0F5ABB6B">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386618E">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注:1.如果按单价计算的结果与总价不一致,以单价为准修正总价。 </w:t>
      </w:r>
    </w:p>
    <w:p w14:paraId="603E380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rPr>
        <w:t>2.费用本项目应以人民币报价，供应商应就该项目完整投标报价（包括设备货款、标准附件、备品备件、专用工具、人工费、服务费、包装费、运输费、装卸费、保险费、采购保管、安装调试费、设备维护、检测验收费、税金、培训费、利润、售后服务</w:t>
      </w:r>
      <w:r>
        <w:rPr>
          <w:rFonts w:hint="eastAsia" w:ascii="宋体" w:hAnsi="宋体" w:eastAsia="宋体" w:cs="宋体"/>
          <w:sz w:val="24"/>
          <w:highlight w:val="none"/>
          <w:lang w:val="en-US" w:eastAsia="zh-CN"/>
        </w:rPr>
        <w:t>及质保期相关伴随服务</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资源使用、技术支持</w:t>
      </w:r>
      <w:r>
        <w:rPr>
          <w:rFonts w:hint="eastAsia" w:ascii="宋体" w:hAnsi="宋体" w:eastAsia="宋体" w:cs="宋体"/>
          <w:sz w:val="24"/>
          <w:highlight w:val="none"/>
        </w:rPr>
        <w:t>等各项与此项目有关的一切费用），采购人不另外支付其他任何费用</w:t>
      </w:r>
      <w:r>
        <w:rPr>
          <w:rFonts w:hint="eastAsia" w:ascii="宋体" w:hAnsi="宋体" w:eastAsia="宋体" w:cs="宋体"/>
          <w:sz w:val="24"/>
          <w:highlight w:val="none"/>
          <w:lang w:eastAsia="zh-CN"/>
        </w:rPr>
        <w:t>。</w:t>
      </w:r>
    </w:p>
    <w:p w14:paraId="0CC837B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color w:val="0C0C0C"/>
          <w:kern w:val="0"/>
          <w:sz w:val="24"/>
          <w:szCs w:val="24"/>
          <w:highlight w:val="none"/>
          <w:shd w:val="clear" w:color="auto" w:fill="FFFFFF"/>
          <w:lang w:val="en-US" w:eastAsia="zh-CN"/>
        </w:rPr>
        <w:t>。</w:t>
      </w:r>
    </w:p>
    <w:p w14:paraId="67FC0EC2">
      <w:pPr>
        <w:pageBreakBefore w:val="0"/>
        <w:bidi w:val="0"/>
        <w:adjustRightInd w:val="0"/>
        <w:snapToGrid w:val="0"/>
        <w:spacing w:beforeAutospacing="0" w:afterAutospacing="0" w:line="360" w:lineRule="auto"/>
        <w:ind w:left="0" w:leftChars="0" w:right="0"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35B2324C">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08E71B8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F2B525D">
      <w:pPr>
        <w:pageBreakBefore w:val="0"/>
        <w:bidi w:val="0"/>
        <w:adjustRightInd w:val="0"/>
        <w:snapToGrid w:val="0"/>
        <w:spacing w:beforeAutospacing="0" w:afterAutospacing="0" w:line="36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59F11BA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p>
    <w:p w14:paraId="2D86700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22B33628">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16A550DD">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8911BF9">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4FF0B2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17CFE7D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0E63054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519D1C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6A705F3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32"/>
          <w:szCs w:val="32"/>
          <w:highlight w:val="none"/>
        </w:rPr>
      </w:pPr>
    </w:p>
    <w:p w14:paraId="4D02C81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（三）参数偏离表</w:t>
      </w:r>
    </w:p>
    <w:p w14:paraId="1AC209A9">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8"/>
          <w:szCs w:val="28"/>
          <w:highlight w:val="none"/>
        </w:rPr>
      </w:pPr>
    </w:p>
    <w:tbl>
      <w:tblPr>
        <w:tblStyle w:val="21"/>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18"/>
        <w:gridCol w:w="1415"/>
        <w:gridCol w:w="1428"/>
        <w:gridCol w:w="2532"/>
        <w:gridCol w:w="1039"/>
      </w:tblGrid>
      <w:tr w14:paraId="7EAA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65" w:type="dxa"/>
            <w:tcBorders>
              <w:tl2br w:val="nil"/>
              <w:tr2bl w:val="nil"/>
            </w:tcBorders>
            <w:noWrap w:val="0"/>
            <w:vAlign w:val="center"/>
          </w:tcPr>
          <w:p w14:paraId="3DAB730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418" w:type="dxa"/>
            <w:tcBorders>
              <w:tl2br w:val="nil"/>
              <w:tr2bl w:val="nil"/>
            </w:tcBorders>
            <w:noWrap w:val="0"/>
            <w:vAlign w:val="center"/>
          </w:tcPr>
          <w:p w14:paraId="6B7B00BD">
            <w:pPr>
              <w:pageBreakBefore w:val="0"/>
              <w:bidi w:val="0"/>
              <w:adjustRightInd w:val="0"/>
              <w:snapToGrid w:val="0"/>
              <w:spacing w:beforeAutospacing="0" w:afterAutospacing="0" w:line="360" w:lineRule="auto"/>
              <w:ind w:left="0" w:leftChars="0" w:right="0"/>
              <w:jc w:val="center"/>
              <w:rPr>
                <w:rFonts w:hint="default" w:ascii="宋体" w:hAnsi="宋体" w:eastAsia="宋体" w:cs="宋体"/>
                <w:b/>
                <w:bCs/>
                <w:sz w:val="24"/>
                <w:highlight w:val="none"/>
                <w:lang w:val="en-US" w:eastAsia="zh-CN"/>
              </w:rPr>
            </w:pPr>
            <w:r>
              <w:rPr>
                <w:rFonts w:hint="eastAsia" w:ascii="宋体" w:hAnsi="宋体" w:cs="宋体"/>
                <w:b/>
                <w:bCs/>
                <w:color w:val="auto"/>
                <w:kern w:val="0"/>
                <w:sz w:val="21"/>
                <w:szCs w:val="21"/>
                <w:lang w:val="en-US" w:eastAsia="zh-CN" w:bidi="ar"/>
              </w:rPr>
              <w:t>产品名称</w:t>
            </w:r>
          </w:p>
        </w:tc>
        <w:tc>
          <w:tcPr>
            <w:tcW w:w="1415" w:type="dxa"/>
            <w:tcBorders>
              <w:tl2br w:val="nil"/>
              <w:tr2bl w:val="nil"/>
            </w:tcBorders>
            <w:noWrap w:val="0"/>
            <w:vAlign w:val="center"/>
          </w:tcPr>
          <w:p w14:paraId="7DC4225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lang w:val="en-US"/>
              </w:rPr>
            </w:pPr>
            <w:r>
              <w:rPr>
                <w:rFonts w:hint="eastAsia" w:ascii="宋体" w:hAnsi="宋体" w:eastAsia="宋体" w:cs="宋体"/>
                <w:b/>
                <w:bCs/>
                <w:sz w:val="24"/>
                <w:highlight w:val="none"/>
                <w:lang w:val="en-US" w:eastAsia="zh-CN"/>
              </w:rPr>
              <w:t>招标参数要求</w:t>
            </w:r>
          </w:p>
        </w:tc>
        <w:tc>
          <w:tcPr>
            <w:tcW w:w="1428" w:type="dxa"/>
            <w:tcBorders>
              <w:tl2br w:val="nil"/>
              <w:tr2bl w:val="nil"/>
            </w:tcBorders>
            <w:noWrap w:val="0"/>
            <w:vAlign w:val="center"/>
          </w:tcPr>
          <w:p w14:paraId="368AB1E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w:t>
            </w:r>
            <w:r>
              <w:rPr>
                <w:rFonts w:hint="eastAsia" w:ascii="宋体" w:hAnsi="宋体" w:eastAsia="宋体" w:cs="宋体"/>
                <w:b/>
                <w:bCs/>
                <w:sz w:val="24"/>
                <w:highlight w:val="none"/>
                <w:lang w:val="en-US" w:eastAsia="zh-CN"/>
              </w:rPr>
              <w:t>参数</w:t>
            </w:r>
          </w:p>
        </w:tc>
        <w:tc>
          <w:tcPr>
            <w:tcW w:w="2532" w:type="dxa"/>
            <w:tcBorders>
              <w:tl2br w:val="nil"/>
              <w:tr2bl w:val="nil"/>
            </w:tcBorders>
            <w:noWrap w:val="0"/>
            <w:vAlign w:val="center"/>
          </w:tcPr>
          <w:p w14:paraId="7C80019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w:t>
            </w:r>
          </w:p>
        </w:tc>
        <w:tc>
          <w:tcPr>
            <w:tcW w:w="1039" w:type="dxa"/>
            <w:tcBorders>
              <w:tl2br w:val="nil"/>
              <w:tr2bl w:val="nil"/>
            </w:tcBorders>
            <w:noWrap w:val="0"/>
            <w:vAlign w:val="center"/>
          </w:tcPr>
          <w:p w14:paraId="380F49C7">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说 明</w:t>
            </w:r>
          </w:p>
        </w:tc>
      </w:tr>
      <w:tr w14:paraId="3013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54612D51">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0115732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53BB0E6C">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761EE7B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75DC854A">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4F608DB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46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289F4B1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7920CBD3">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7629F30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48E3FA6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38357FD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44D6B868">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7C16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5" w:type="dxa"/>
            <w:tcBorders>
              <w:tl2br w:val="nil"/>
              <w:tr2bl w:val="nil"/>
            </w:tcBorders>
            <w:noWrap w:val="0"/>
            <w:vAlign w:val="center"/>
          </w:tcPr>
          <w:p w14:paraId="698BD19B">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102EAE1A">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716BC8F9">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22F6D2CF">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7B7965B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15C03DD4">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F90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5" w:type="dxa"/>
            <w:tcBorders>
              <w:tl2br w:val="nil"/>
              <w:tr2bl w:val="nil"/>
            </w:tcBorders>
            <w:noWrap w:val="0"/>
            <w:vAlign w:val="center"/>
          </w:tcPr>
          <w:p w14:paraId="0ED91CA9">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54A4568D">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6AE12485">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60816C5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54B49C16">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3F0F0925">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3BB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5" w:type="dxa"/>
            <w:tcBorders>
              <w:tl2br w:val="nil"/>
              <w:tr2bl w:val="nil"/>
            </w:tcBorders>
            <w:noWrap w:val="0"/>
            <w:vAlign w:val="center"/>
          </w:tcPr>
          <w:p w14:paraId="2C23A7A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1B786E68">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3F36D99E">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5D17D613">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1F705EDC">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2602EB81">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r w14:paraId="64C9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165" w:type="dxa"/>
            <w:tcBorders>
              <w:tl2br w:val="nil"/>
              <w:tr2bl w:val="nil"/>
            </w:tcBorders>
            <w:noWrap w:val="0"/>
            <w:vAlign w:val="center"/>
          </w:tcPr>
          <w:p w14:paraId="6DA6319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8" w:type="dxa"/>
            <w:tcBorders>
              <w:tl2br w:val="nil"/>
              <w:tr2bl w:val="nil"/>
            </w:tcBorders>
            <w:noWrap w:val="0"/>
            <w:vAlign w:val="center"/>
          </w:tcPr>
          <w:p w14:paraId="013E995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15" w:type="dxa"/>
            <w:tcBorders>
              <w:tl2br w:val="nil"/>
              <w:tr2bl w:val="nil"/>
            </w:tcBorders>
            <w:noWrap w:val="0"/>
            <w:vAlign w:val="center"/>
          </w:tcPr>
          <w:p w14:paraId="2B20DC7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428" w:type="dxa"/>
            <w:tcBorders>
              <w:tl2br w:val="nil"/>
              <w:tr2bl w:val="nil"/>
            </w:tcBorders>
            <w:noWrap w:val="0"/>
            <w:vAlign w:val="center"/>
          </w:tcPr>
          <w:p w14:paraId="571EE932">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2532" w:type="dxa"/>
            <w:tcBorders>
              <w:tl2br w:val="nil"/>
              <w:tr2bl w:val="nil"/>
            </w:tcBorders>
            <w:noWrap w:val="0"/>
            <w:vAlign w:val="center"/>
          </w:tcPr>
          <w:p w14:paraId="2BD23567">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c>
          <w:tcPr>
            <w:tcW w:w="1039" w:type="dxa"/>
            <w:tcBorders>
              <w:tl2br w:val="nil"/>
              <w:tr2bl w:val="nil"/>
            </w:tcBorders>
            <w:noWrap w:val="0"/>
            <w:vAlign w:val="center"/>
          </w:tcPr>
          <w:p w14:paraId="594704D0">
            <w:pPr>
              <w:pageBreakBefore w:val="0"/>
              <w:bidi w:val="0"/>
              <w:adjustRightInd w:val="0"/>
              <w:snapToGrid w:val="0"/>
              <w:spacing w:beforeAutospacing="0" w:afterAutospacing="0" w:line="360" w:lineRule="auto"/>
              <w:ind w:left="0" w:leftChars="0" w:right="0" w:firstLine="630"/>
              <w:rPr>
                <w:rFonts w:hint="eastAsia" w:ascii="宋体" w:hAnsi="宋体" w:eastAsia="宋体" w:cs="宋体"/>
                <w:b/>
                <w:bCs/>
                <w:sz w:val="24"/>
                <w:highlight w:val="none"/>
              </w:rPr>
            </w:pPr>
          </w:p>
        </w:tc>
      </w:tr>
    </w:tbl>
    <w:p w14:paraId="28DCDE36">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注：1、该表左列列明了</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文件的要求，供应商须在右列对相应的内容进行填报</w:t>
      </w:r>
      <w:r>
        <w:rPr>
          <w:rFonts w:hint="eastAsia" w:ascii="宋体" w:hAnsi="宋体" w:eastAsia="宋体" w:cs="宋体"/>
          <w:szCs w:val="24"/>
          <w:highlight w:val="none"/>
          <w:lang w:eastAsia="zh-CN"/>
        </w:rPr>
        <w:t>。</w:t>
      </w:r>
    </w:p>
    <w:p w14:paraId="750861E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2、“有无偏离”一栏中供应商应对所投产品的技术指标与</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文件的要求进行对比，如无偏离请填写“符合”的字样，如有偏差请注明“正偏离”或“负偏离”字样</w:t>
      </w:r>
      <w:r>
        <w:rPr>
          <w:rFonts w:hint="eastAsia" w:ascii="宋体" w:hAnsi="宋体" w:eastAsia="宋体" w:cs="宋体"/>
          <w:szCs w:val="24"/>
          <w:highlight w:val="none"/>
          <w:lang w:eastAsia="zh-CN"/>
        </w:rPr>
        <w:t>。</w:t>
      </w:r>
    </w:p>
    <w:p w14:paraId="0BDDF8A9">
      <w:pPr>
        <w:pageBreakBefore w:val="0"/>
        <w:bidi w:val="0"/>
        <w:adjustRightInd w:val="0"/>
        <w:snapToGrid w:val="0"/>
        <w:spacing w:beforeAutospacing="0" w:afterAutospacing="0" w:line="360" w:lineRule="auto"/>
        <w:ind w:left="0" w:leftChars="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本项目所涉及的技术参数，供应商可提供相应的证明文件附后。证明文件可以是产品彩页、网页公告、检测报告或投标产品详细参数说明等资料</w:t>
      </w:r>
      <w:r>
        <w:rPr>
          <w:rFonts w:hint="eastAsia" w:ascii="宋体" w:hAnsi="宋体" w:eastAsia="宋体" w:cs="宋体"/>
          <w:szCs w:val="24"/>
          <w:highlight w:val="none"/>
          <w:lang w:eastAsia="zh-CN"/>
        </w:rPr>
        <w:t>。</w:t>
      </w:r>
    </w:p>
    <w:p w14:paraId="5B7B5B87">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4"/>
          <w:highlight w:val="none"/>
        </w:rPr>
      </w:pPr>
    </w:p>
    <w:p w14:paraId="393E125F">
      <w:pPr>
        <w:pageBreakBefore w:val="0"/>
        <w:bidi w:val="0"/>
        <w:adjustRightInd w:val="0"/>
        <w:snapToGrid w:val="0"/>
        <w:spacing w:beforeAutospacing="0" w:afterAutospacing="0" w:line="360" w:lineRule="auto"/>
        <w:ind w:left="0" w:leftChars="0" w:right="0" w:firstLine="630"/>
        <w:rPr>
          <w:rFonts w:hint="eastAsia" w:ascii="宋体" w:hAnsi="宋体" w:eastAsia="宋体" w:cs="宋体"/>
          <w:sz w:val="24"/>
          <w:highlight w:val="none"/>
        </w:rPr>
      </w:pPr>
    </w:p>
    <w:p w14:paraId="7D4D5430">
      <w:pPr>
        <w:pageBreakBefore w:val="0"/>
        <w:bidi w:val="0"/>
        <w:adjustRightInd w:val="0"/>
        <w:snapToGrid w:val="0"/>
        <w:spacing w:beforeAutospacing="0" w:afterAutospacing="0" w:line="360" w:lineRule="auto"/>
        <w:ind w:left="0" w:leftChars="0" w:right="0"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50ED534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10C178A">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42EE6339">
      <w:pPr>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DEE54F2">
      <w:pPr>
        <w:pageBreakBefore w:val="0"/>
        <w:bidi w:val="0"/>
        <w:adjustRightInd w:val="0"/>
        <w:snapToGrid w:val="0"/>
        <w:spacing w:beforeAutospacing="0" w:afterAutospacing="0" w:line="360" w:lineRule="auto"/>
        <w:ind w:left="0" w:leftChars="0" w:right="0"/>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7D525C3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p>
    <w:p w14:paraId="66391B1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0770A2E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33A4660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1BF4E57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lang w:val="en-US" w:eastAsia="zh-CN"/>
        </w:rPr>
      </w:pPr>
    </w:p>
    <w:p w14:paraId="2E305F2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投标承诺函</w:t>
      </w:r>
      <w:bookmarkEnd w:id="65"/>
    </w:p>
    <w:p w14:paraId="1202B83B">
      <w:pPr>
        <w:pageBreakBefore w:val="0"/>
        <w:bidi w:val="0"/>
        <w:adjustRightInd w:val="0"/>
        <w:snapToGrid w:val="0"/>
        <w:spacing w:beforeAutospacing="0" w:afterAutospacing="0" w:line="360" w:lineRule="auto"/>
        <w:ind w:left="0" w:leftChars="0" w:right="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270B464B">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，根据招标文件要求，现郑重承诺如下：</w:t>
      </w:r>
    </w:p>
    <w:p w14:paraId="408A584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8B0C52C">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参加本次招标采购活动，不存在与单位负责人为同一人或者存在直接控股、管理关系的其他供应商参与同一合同项下的政府采购活动的行为。</w:t>
      </w:r>
    </w:p>
    <w:p w14:paraId="190C2CA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参加本次招标采购活动，不存在和其他供应商在同一合同项下的采购项目中，同时委托同一个自然人、同一家庭的人员、同一单位的人员作为代理人的行为。</w:t>
      </w:r>
    </w:p>
    <w:p w14:paraId="1557F225">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供应商参加本次政府采购活动要求在近三年内供应商和其法定代表人没有行贿犯罪行为。</w:t>
      </w:r>
    </w:p>
    <w:p w14:paraId="2AA7923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参加本项目不接受联合体</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，不允许转包。</w:t>
      </w:r>
    </w:p>
    <w:p w14:paraId="6D388F2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.我方参加政府采购活动无商业贿赂和不正当竞争行为。</w:t>
      </w:r>
    </w:p>
    <w:p w14:paraId="03D3D139">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.存在以下行为之一的愿意接受相关部门的处理：</w:t>
      </w:r>
    </w:p>
    <w:p w14:paraId="42F8268B">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（1）投标有效期内撤回投标文件的；</w:t>
      </w:r>
    </w:p>
    <w:p w14:paraId="1C71422E">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（2）在采购人确定中标供应商以前放弃中标候选资格的；</w:t>
      </w:r>
    </w:p>
    <w:p w14:paraId="0BE679F1">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（3）除不可抗力的因素外，由于中标供应商的原因未能按照招标文件的规定与采购人签订合同；</w:t>
      </w:r>
    </w:p>
    <w:p w14:paraId="74FFB3B8">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（4）在招标文件中提供虚假材料谋取中标；</w:t>
      </w:r>
    </w:p>
    <w:p w14:paraId="66F69716">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（5）与采购人、其他供应商或者采购代理机构恶意串通的；</w:t>
      </w:r>
    </w:p>
    <w:p w14:paraId="3762E0CF">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在政府采购活动中有违法、违规、违纪行为。</w:t>
      </w:r>
    </w:p>
    <w:p w14:paraId="75BFB893">
      <w:pPr>
        <w:pageBreakBefore w:val="0"/>
        <w:bidi w:val="0"/>
        <w:adjustRightInd w:val="0"/>
        <w:snapToGrid w:val="0"/>
        <w:spacing w:beforeAutospacing="0" w:afterAutospacing="0" w:line="360" w:lineRule="auto"/>
        <w:ind w:left="0" w:leftChars="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由此产生的一切法律后果和责任由我公司承担。我公司声明放弃对此提出任何异议和追索的权利。</w:t>
      </w:r>
    </w:p>
    <w:p w14:paraId="4738BC6D">
      <w:pPr>
        <w:pageBreakBefore w:val="0"/>
        <w:bidi w:val="0"/>
        <w:adjustRightInd w:val="0"/>
        <w:snapToGrid w:val="0"/>
        <w:spacing w:beforeAutospacing="0" w:afterAutospacing="0" w:line="360" w:lineRule="auto"/>
        <w:ind w:left="0" w:leftChars="0" w:right="0" w:firstLine="480"/>
        <w:rPr>
          <w:rFonts w:hint="eastAsia" w:ascii="宋体" w:hAnsi="宋体" w:eastAsia="宋体" w:cs="宋体"/>
          <w:b/>
          <w:bCs/>
          <w:color w:val="auto"/>
          <w:kern w:val="0"/>
          <w:sz w:val="30"/>
          <w:highlight w:val="none"/>
          <w:shd w:val="clear" w:color="auto" w:fill="FFFFFF"/>
        </w:rPr>
      </w:pPr>
      <w:r>
        <w:rPr>
          <w:rFonts w:hint="eastAsia" w:ascii="宋体" w:hAnsi="宋体" w:eastAsia="宋体" w:cs="宋体"/>
          <w:color w:val="auto"/>
          <w:sz w:val="24"/>
          <w:szCs w:val="24"/>
          <w:highlight w:val="none"/>
        </w:rPr>
        <w:t>本公司对上述承诺的内容事项真实性负责。如经查实上述承诺的内容事项存在虚假，我公司愿意接受以提供虚假材料谋取中标追究法律责任。</w:t>
      </w:r>
    </w:p>
    <w:p w14:paraId="379A0E3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017571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6381830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5F83FD8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28"/>
          <w:szCs w:val="28"/>
          <w:highlight w:val="none"/>
        </w:rPr>
      </w:pPr>
      <w:bookmarkStart w:id="66" w:name="_Toc5694"/>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供应商资格审查证明文件</w:t>
      </w:r>
      <w:bookmarkEnd w:id="66"/>
    </w:p>
    <w:p w14:paraId="625971B0">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（一）供应商基本情况一览表</w:t>
      </w:r>
    </w:p>
    <w:p w14:paraId="2A50F2D6">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sz w:val="24"/>
          <w:highlight w:val="none"/>
        </w:rPr>
      </w:pPr>
    </w:p>
    <w:tbl>
      <w:tblPr>
        <w:tblStyle w:val="21"/>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34"/>
        <w:gridCol w:w="2485"/>
        <w:gridCol w:w="1243"/>
        <w:gridCol w:w="2488"/>
      </w:tblGrid>
      <w:tr w14:paraId="450F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49" w:type="dxa"/>
            <w:noWrap w:val="0"/>
            <w:vAlign w:val="center"/>
          </w:tcPr>
          <w:p w14:paraId="693DAE6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7250" w:type="dxa"/>
            <w:gridSpan w:val="4"/>
            <w:noWrap w:val="0"/>
            <w:vAlign w:val="center"/>
          </w:tcPr>
          <w:p w14:paraId="039DF7F2">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083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4AA09E3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注册地址</w:t>
            </w:r>
          </w:p>
        </w:tc>
        <w:tc>
          <w:tcPr>
            <w:tcW w:w="3519" w:type="dxa"/>
            <w:gridSpan w:val="2"/>
            <w:noWrap w:val="0"/>
            <w:vAlign w:val="center"/>
          </w:tcPr>
          <w:p w14:paraId="6DD2D40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72A454D1">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邮政编码</w:t>
            </w:r>
          </w:p>
        </w:tc>
        <w:tc>
          <w:tcPr>
            <w:tcW w:w="2488" w:type="dxa"/>
            <w:noWrap w:val="0"/>
            <w:vAlign w:val="center"/>
          </w:tcPr>
          <w:p w14:paraId="1E66C1F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683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36A7DA2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联系方式</w:t>
            </w:r>
          </w:p>
        </w:tc>
        <w:tc>
          <w:tcPr>
            <w:tcW w:w="1034" w:type="dxa"/>
            <w:noWrap w:val="0"/>
            <w:vAlign w:val="center"/>
          </w:tcPr>
          <w:p w14:paraId="47964A3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联系人</w:t>
            </w:r>
          </w:p>
        </w:tc>
        <w:tc>
          <w:tcPr>
            <w:tcW w:w="2485" w:type="dxa"/>
            <w:noWrap w:val="0"/>
            <w:vAlign w:val="center"/>
          </w:tcPr>
          <w:p w14:paraId="1C2040D7">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2311FF8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 话</w:t>
            </w:r>
          </w:p>
        </w:tc>
        <w:tc>
          <w:tcPr>
            <w:tcW w:w="2488" w:type="dxa"/>
            <w:noWrap w:val="0"/>
            <w:vAlign w:val="center"/>
          </w:tcPr>
          <w:p w14:paraId="4F247A2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817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470F8F96">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法定代表人</w:t>
            </w:r>
          </w:p>
        </w:tc>
        <w:tc>
          <w:tcPr>
            <w:tcW w:w="1034" w:type="dxa"/>
            <w:noWrap w:val="0"/>
            <w:vAlign w:val="center"/>
          </w:tcPr>
          <w:p w14:paraId="611389C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p>
        </w:tc>
        <w:tc>
          <w:tcPr>
            <w:tcW w:w="2485" w:type="dxa"/>
            <w:noWrap w:val="0"/>
            <w:vAlign w:val="center"/>
          </w:tcPr>
          <w:p w14:paraId="63688D4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243" w:type="dxa"/>
            <w:noWrap w:val="0"/>
            <w:vAlign w:val="center"/>
          </w:tcPr>
          <w:p w14:paraId="282AEF6A">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电话</w:t>
            </w:r>
          </w:p>
        </w:tc>
        <w:tc>
          <w:tcPr>
            <w:tcW w:w="2488" w:type="dxa"/>
            <w:noWrap w:val="0"/>
            <w:vAlign w:val="center"/>
          </w:tcPr>
          <w:p w14:paraId="3A6236C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4F19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noWrap w:val="0"/>
            <w:vAlign w:val="center"/>
          </w:tcPr>
          <w:p w14:paraId="2B0698B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成立时间</w:t>
            </w:r>
          </w:p>
        </w:tc>
        <w:tc>
          <w:tcPr>
            <w:tcW w:w="7250" w:type="dxa"/>
            <w:gridSpan w:val="4"/>
            <w:noWrap w:val="0"/>
            <w:vAlign w:val="center"/>
          </w:tcPr>
          <w:p w14:paraId="5C7B20E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AD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49" w:type="dxa"/>
            <w:noWrap w:val="0"/>
            <w:vAlign w:val="center"/>
          </w:tcPr>
          <w:p w14:paraId="15DABD2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lang w:val="en-US" w:eastAsia="zh-CN"/>
              </w:rPr>
            </w:pPr>
            <w:r>
              <w:rPr>
                <w:rFonts w:hint="eastAsia" w:ascii="宋体" w:hAnsi="宋体" w:eastAsia="宋体" w:cs="宋体"/>
                <w:kern w:val="0"/>
                <w:szCs w:val="21"/>
                <w:highlight w:val="none"/>
                <w:lang w:val="en-US" w:eastAsia="zh-CN"/>
              </w:rPr>
              <w:t>统一社会信用代码</w:t>
            </w:r>
          </w:p>
        </w:tc>
        <w:tc>
          <w:tcPr>
            <w:tcW w:w="7250" w:type="dxa"/>
            <w:gridSpan w:val="4"/>
            <w:noWrap w:val="0"/>
            <w:vAlign w:val="center"/>
          </w:tcPr>
          <w:p w14:paraId="46DB796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BEB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54BF3EB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注册</w:t>
            </w:r>
            <w:r>
              <w:rPr>
                <w:rFonts w:hint="eastAsia" w:ascii="宋体" w:hAnsi="宋体" w:eastAsia="宋体" w:cs="宋体"/>
                <w:kern w:val="0"/>
                <w:szCs w:val="21"/>
                <w:highlight w:val="none"/>
              </w:rPr>
              <w:t>资金</w:t>
            </w:r>
          </w:p>
        </w:tc>
        <w:tc>
          <w:tcPr>
            <w:tcW w:w="7250" w:type="dxa"/>
            <w:gridSpan w:val="4"/>
            <w:noWrap w:val="0"/>
            <w:vAlign w:val="center"/>
          </w:tcPr>
          <w:p w14:paraId="2758744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5078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449" w:type="dxa"/>
            <w:noWrap w:val="0"/>
            <w:vAlign w:val="center"/>
          </w:tcPr>
          <w:p w14:paraId="7FC1A8A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开户银行</w:t>
            </w:r>
          </w:p>
        </w:tc>
        <w:tc>
          <w:tcPr>
            <w:tcW w:w="7250" w:type="dxa"/>
            <w:gridSpan w:val="4"/>
            <w:noWrap w:val="0"/>
            <w:vAlign w:val="center"/>
          </w:tcPr>
          <w:p w14:paraId="599B6A2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8A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49" w:type="dxa"/>
            <w:noWrap w:val="0"/>
            <w:vAlign w:val="center"/>
          </w:tcPr>
          <w:p w14:paraId="034F0A6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账号</w:t>
            </w:r>
          </w:p>
        </w:tc>
        <w:tc>
          <w:tcPr>
            <w:tcW w:w="7250" w:type="dxa"/>
            <w:gridSpan w:val="4"/>
            <w:noWrap w:val="0"/>
            <w:vAlign w:val="center"/>
          </w:tcPr>
          <w:p w14:paraId="64F84C0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0D7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449" w:type="dxa"/>
            <w:noWrap w:val="0"/>
            <w:vAlign w:val="center"/>
          </w:tcPr>
          <w:p w14:paraId="1AAE7AF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经营</w:t>
            </w:r>
            <w:r>
              <w:rPr>
                <w:rFonts w:hint="eastAsia" w:ascii="宋体" w:hAnsi="宋体" w:eastAsia="宋体" w:cs="宋体"/>
                <w:kern w:val="0"/>
                <w:szCs w:val="21"/>
                <w:highlight w:val="none"/>
              </w:rPr>
              <w:t>范围</w:t>
            </w:r>
          </w:p>
        </w:tc>
        <w:tc>
          <w:tcPr>
            <w:tcW w:w="7250" w:type="dxa"/>
            <w:gridSpan w:val="4"/>
            <w:noWrap w:val="0"/>
            <w:vAlign w:val="center"/>
          </w:tcPr>
          <w:p w14:paraId="74C5409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158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49" w:type="dxa"/>
            <w:noWrap w:val="0"/>
            <w:vAlign w:val="center"/>
          </w:tcPr>
          <w:p w14:paraId="0FBB246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备注</w:t>
            </w:r>
          </w:p>
        </w:tc>
        <w:tc>
          <w:tcPr>
            <w:tcW w:w="7250" w:type="dxa"/>
            <w:gridSpan w:val="4"/>
            <w:noWrap w:val="0"/>
            <w:vAlign w:val="center"/>
          </w:tcPr>
          <w:p w14:paraId="476B0E0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bl>
    <w:p w14:paraId="51B40791">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16C16C59">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7FD92DF8">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423DC455">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220A5AC7">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lang w:eastAsia="zh-CN"/>
        </w:rPr>
      </w:pPr>
    </w:p>
    <w:p w14:paraId="09C0605B">
      <w:pPr>
        <w:pStyle w:val="67"/>
        <w:pageBreakBefore w:val="0"/>
        <w:bidi w:val="0"/>
        <w:adjustRightInd w:val="0"/>
        <w:snapToGrid w:val="0"/>
        <w:spacing w:beforeAutospacing="0" w:after="0" w:afterAutospacing="0" w:line="360" w:lineRule="auto"/>
        <w:ind w:left="0" w:leftChars="0" w:right="0" w:firstLine="240"/>
        <w:rPr>
          <w:rFonts w:hint="eastAsia" w:ascii="宋体" w:hAnsi="宋体" w:eastAsia="宋体" w:cs="宋体"/>
          <w:color w:val="000000"/>
          <w:sz w:val="24"/>
          <w:highlight w:val="none"/>
          <w:u w:val="single"/>
        </w:rPr>
      </w:pPr>
    </w:p>
    <w:p w14:paraId="3B7DA38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（二）供应商资格审查资料</w:t>
      </w:r>
    </w:p>
    <w:p w14:paraId="061A16F3">
      <w:pPr>
        <w:pageBreakBefore w:val="0"/>
        <w:widowControl/>
        <w:shd w:val="clear" w:color="auto" w:fill="FFFFFF"/>
        <w:bidi w:val="0"/>
        <w:adjustRightInd w:val="0"/>
        <w:snapToGrid w:val="0"/>
        <w:spacing w:beforeAutospacing="0" w:afterAutospacing="0" w:line="360" w:lineRule="auto"/>
        <w:ind w:left="0" w:leftChars="0" w:right="0" w:firstLine="640"/>
        <w:jc w:val="left"/>
        <w:rPr>
          <w:rFonts w:hint="eastAsia" w:ascii="宋体" w:hAnsi="宋体" w:eastAsia="宋体" w:cs="宋体"/>
          <w:color w:val="000000"/>
          <w:sz w:val="28"/>
          <w:szCs w:val="28"/>
          <w:highlight w:val="none"/>
        </w:rPr>
      </w:pPr>
      <w:r>
        <w:rPr>
          <w:rFonts w:hint="eastAsia" w:ascii="宋体" w:hAnsi="宋体" w:eastAsia="宋体" w:cs="宋体"/>
          <w:kern w:val="0"/>
          <w:sz w:val="24"/>
          <w:highlight w:val="none"/>
          <w:shd w:val="clear" w:color="auto" w:fill="FFFFFF"/>
        </w:rPr>
        <w:t>供应商资格要求</w:t>
      </w:r>
    </w:p>
    <w:p w14:paraId="01A104ED">
      <w:pPr>
        <w:pStyle w:val="2"/>
        <w:pageBreakBefore w:val="0"/>
        <w:numPr>
          <w:ilvl w:val="1"/>
          <w:numId w:val="0"/>
        </w:numPr>
        <w:bidi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sz w:val="28"/>
          <w:szCs w:val="28"/>
          <w:highlight w:val="none"/>
        </w:rPr>
      </w:pPr>
    </w:p>
    <w:p w14:paraId="2FFF8239">
      <w:pPr>
        <w:pStyle w:val="2"/>
        <w:pageBreakBefore w:val="0"/>
        <w:numPr>
          <w:ilvl w:val="1"/>
          <w:numId w:val="0"/>
        </w:numPr>
        <w:bidi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sz w:val="28"/>
          <w:szCs w:val="28"/>
          <w:highlight w:val="none"/>
        </w:rPr>
      </w:pPr>
    </w:p>
    <w:p w14:paraId="3D5E3ECD">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6847C0E">
      <w:pPr>
        <w:pageBreakBefore w:val="0"/>
        <w:bidi w:val="0"/>
        <w:adjustRightInd w:val="0"/>
        <w:snapToGrid w:val="0"/>
        <w:spacing w:beforeAutospacing="0" w:afterAutospacing="0" w:line="360" w:lineRule="auto"/>
        <w:ind w:left="0" w:leftChars="0" w:right="0"/>
        <w:jc w:val="left"/>
        <w:rPr>
          <w:rFonts w:hint="eastAsia" w:ascii="宋体" w:hAnsi="宋体" w:eastAsia="宋体" w:cs="宋体"/>
          <w:b/>
          <w:bCs/>
          <w:color w:val="auto"/>
          <w:sz w:val="28"/>
          <w:szCs w:val="28"/>
          <w:highlight w:val="none"/>
        </w:rPr>
      </w:pPr>
      <w:bookmarkStart w:id="67" w:name="_Hlk136874878"/>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14:paraId="17DCEAEC">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满足《中华人民共和国政府采购法》第二十二条规定的承诺书</w:t>
      </w:r>
    </w:p>
    <w:p w14:paraId="783EAD5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（采购人名称）</w:t>
      </w:r>
      <w:r>
        <w:rPr>
          <w:rFonts w:hint="eastAsia" w:ascii="宋体" w:hAnsi="宋体" w:eastAsia="宋体" w:cs="宋体"/>
          <w:b/>
          <w:color w:val="auto"/>
          <w:sz w:val="28"/>
          <w:szCs w:val="28"/>
          <w:highlight w:val="none"/>
          <w:u w:val="none"/>
        </w:rPr>
        <w:t xml:space="preserve"> </w:t>
      </w:r>
    </w:p>
    <w:p w14:paraId="46992091">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742852C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一、我单位全称为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法定代表人（主要负责人）为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联系方式为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0E46A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二、我单位具有独立承担民事责任的能力(如分公司参加投标的，其民事责任由总公司承担)。</w:t>
      </w:r>
    </w:p>
    <w:p w14:paraId="2734E02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三、我单位具有良好的商业信誉和健全的财务会计制度。 </w:t>
      </w:r>
    </w:p>
    <w:p w14:paraId="4FF71B1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四、我单位具有履行合同所必需的设备和专业技术能力。 </w:t>
      </w:r>
    </w:p>
    <w:p w14:paraId="42B0B25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五、我单位有依法缴纳税收和社会保障资金的良好记录。</w:t>
      </w:r>
    </w:p>
    <w:p w14:paraId="6525F6F6">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7DCBC7E">
      <w:pPr>
        <w:pageBreakBefore w:val="0"/>
        <w:bidi w:val="0"/>
        <w:adjustRightInd w:val="0"/>
        <w:snapToGrid w:val="0"/>
        <w:spacing w:beforeAutospacing="0" w:afterAutospacing="0" w:line="360" w:lineRule="auto"/>
        <w:ind w:left="0" w:leftChars="0" w:right="0" w:firstLine="480" w:firstLineChars="200"/>
        <w:outlineLvl w:val="1"/>
        <w:rPr>
          <w:rFonts w:hint="eastAsia" w:ascii="宋体" w:hAnsi="宋体" w:eastAsia="宋体" w:cs="宋体"/>
          <w:color w:val="auto"/>
          <w:sz w:val="24"/>
          <w:szCs w:val="24"/>
          <w:highlight w:val="none"/>
        </w:rPr>
      </w:pPr>
      <w:bookmarkStart w:id="68" w:name="_Toc12051"/>
      <w:bookmarkStart w:id="69" w:name="_Toc4968"/>
      <w:bookmarkStart w:id="70" w:name="_Toc7612"/>
      <w:bookmarkStart w:id="71" w:name="_Toc4952"/>
      <w:bookmarkStart w:id="72" w:name="_Toc7848"/>
      <w:bookmarkStart w:id="73" w:name="_Toc27798"/>
      <w:r>
        <w:rPr>
          <w:rFonts w:hint="eastAsia" w:ascii="宋体" w:hAnsi="宋体" w:eastAsia="宋体" w:cs="宋体"/>
          <w:color w:val="auto"/>
          <w:sz w:val="24"/>
          <w:szCs w:val="24"/>
          <w:highlight w:val="none"/>
        </w:rPr>
        <w:t>七、我单位具备法律、行政法规规定的其他条件。</w:t>
      </w:r>
      <w:bookmarkEnd w:id="68"/>
      <w:bookmarkEnd w:id="69"/>
      <w:bookmarkEnd w:id="70"/>
      <w:bookmarkEnd w:id="71"/>
      <w:bookmarkEnd w:id="72"/>
      <w:bookmarkEnd w:id="73"/>
    </w:p>
    <w:p w14:paraId="355B07B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5DF7EA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商：</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144607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（电子签章）</w:t>
      </w:r>
    </w:p>
    <w:p w14:paraId="2EF5DE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3600" w:firstLineChars="15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248E60B0">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注：1.供应商须在投标文件中按此模板提供承诺函，未提供视为未实质性响应招标文件要求，按无效投标处理。</w:t>
      </w:r>
    </w:p>
    <w:p w14:paraId="08C80FF1">
      <w:pPr>
        <w:pageBreakBefore w:val="0"/>
        <w:widowControl/>
        <w:numPr>
          <w:ilvl w:val="0"/>
          <w:numId w:val="2"/>
        </w:numPr>
        <w:shd w:val="clear" w:color="auto" w:fill="FFFFFF"/>
        <w:bidi w:val="0"/>
        <w:adjustRightInd w:val="0"/>
        <w:snapToGrid w:val="0"/>
        <w:spacing w:beforeAutospacing="0" w:afterAutospacing="0" w:line="360" w:lineRule="auto"/>
        <w:ind w:left="0" w:leftChars="0" w:right="0" w:firstLine="0" w:firstLineChars="0"/>
        <w:jc w:val="left"/>
        <w:textAlignment w:val="baseline"/>
        <w:rPr>
          <w:rFonts w:hint="eastAsia" w:ascii="宋体" w:hAnsi="宋体" w:eastAsia="宋体" w:cs="宋体"/>
          <w:color w:val="auto"/>
          <w:sz w:val="24"/>
          <w:szCs w:val="24"/>
          <w:highlight w:val="none"/>
        </w:rPr>
      </w:pPr>
      <w:bookmarkStart w:id="74" w:name="_Toc19559"/>
      <w:r>
        <w:rPr>
          <w:rFonts w:hint="eastAsia" w:ascii="宋体" w:hAnsi="宋体" w:eastAsia="宋体" w:cs="宋体"/>
          <w:color w:val="auto"/>
          <w:sz w:val="24"/>
          <w:szCs w:val="24"/>
          <w:highlight w:val="none"/>
        </w:rPr>
        <w:t>供应商的法定代表人（主要负责人）或者授权代表的签字或盖章应真实、有效。</w:t>
      </w:r>
      <w:bookmarkEnd w:id="67"/>
    </w:p>
    <w:p w14:paraId="44BB3A83">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14392B0B">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p>
    <w:p w14:paraId="5F94C21D">
      <w:pPr>
        <w:pageBreakBefore w:val="0"/>
        <w:widowControl/>
        <w:numPr>
          <w:ilvl w:val="0"/>
          <w:numId w:val="0"/>
        </w:numPr>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0255AC7D">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52EE064C">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zh-CN" w:eastAsia="zh-CN"/>
        </w:rPr>
      </w:pPr>
    </w:p>
    <w:p w14:paraId="051ACBF0">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1316171F">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2FC2C25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35D07A89">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4C916CB4">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6AA0BD13">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686BC6B8">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F73D2FA">
      <w:pPr>
        <w:pStyle w:val="8"/>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237DD227">
      <w:pPr>
        <w:pStyle w:val="2"/>
        <w:pageBreakBefore w:val="0"/>
        <w:bidi w:val="0"/>
        <w:adjustRightInd w:val="0"/>
        <w:snapToGrid w:val="0"/>
        <w:spacing w:before="0" w:beforeAutospacing="0" w:after="0" w:afterAutospacing="0" w:line="360" w:lineRule="auto"/>
        <w:ind w:left="0" w:leftChars="0" w:right="0"/>
        <w:rPr>
          <w:rFonts w:hint="eastAsia" w:ascii="宋体" w:hAnsi="宋体" w:eastAsia="宋体" w:cs="宋体"/>
          <w:highlight w:val="none"/>
        </w:rPr>
      </w:pPr>
    </w:p>
    <w:p w14:paraId="69464ACA">
      <w:pPr>
        <w:pageBreakBefore w:val="0"/>
        <w:widowControl/>
        <w:shd w:val="clear" w:color="auto" w:fill="FFFFFF"/>
        <w:bidi w:val="0"/>
        <w:adjustRightInd w:val="0"/>
        <w:snapToGrid w:val="0"/>
        <w:spacing w:beforeAutospacing="0" w:afterAutospacing="0" w:line="360" w:lineRule="auto"/>
        <w:ind w:left="0" w:leftChars="0" w:right="0" w:rightChars="0"/>
        <w:jc w:val="left"/>
        <w:textAlignment w:val="baseline"/>
        <w:rPr>
          <w:rFonts w:hint="eastAsia" w:ascii="宋体" w:hAnsi="宋体" w:eastAsia="宋体" w:cs="宋体"/>
          <w:b/>
          <w:kern w:val="0"/>
          <w:sz w:val="28"/>
          <w:szCs w:val="28"/>
          <w:highlight w:val="none"/>
        </w:rPr>
      </w:pPr>
      <w:r>
        <w:rPr>
          <w:rFonts w:hint="eastAsia" w:ascii="宋体" w:hAnsi="宋体" w:eastAsia="宋体" w:cs="宋体"/>
          <w:kern w:val="0"/>
          <w:szCs w:val="21"/>
          <w:highlight w:val="none"/>
        </w:rPr>
        <w:br w:type="page"/>
      </w: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 xml:space="preserve">： </w:t>
      </w:r>
    </w:p>
    <w:p w14:paraId="5B8F1628">
      <w:pPr>
        <w:pageBreakBefore w:val="0"/>
        <w:widowControl/>
        <w:shd w:val="clear" w:color="auto" w:fill="FFFFFF"/>
        <w:bidi w:val="0"/>
        <w:adjustRightInd w:val="0"/>
        <w:snapToGrid w:val="0"/>
        <w:spacing w:beforeAutospacing="0" w:afterAutospacing="0" w:line="360" w:lineRule="auto"/>
        <w:ind w:left="0" w:leftChars="0" w:right="0" w:rightChars="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2520459B">
      <w:pPr>
        <w:pageBreakBefore w:val="0"/>
        <w:widowControl/>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p>
    <w:p w14:paraId="1B806CCE">
      <w:pPr>
        <w:pageBreakBefore w:val="0"/>
        <w:widowControl/>
        <w:bidi w:val="0"/>
        <w:adjustRightInd w:val="0"/>
        <w:snapToGrid w:val="0"/>
        <w:spacing w:beforeAutospacing="0" w:afterAutospacing="0" w:line="360" w:lineRule="auto"/>
        <w:ind w:left="0" w:leftChars="0"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113B04EC">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45DFA77C">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2FE7B462">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5F1B6AC3">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2BE1ACC6">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4459D948">
      <w:pPr>
        <w:pageBreakBefore w:val="0"/>
        <w:widowControl/>
        <w:bidi w:val="0"/>
        <w:adjustRightInd w:val="0"/>
        <w:snapToGrid w:val="0"/>
        <w:spacing w:beforeAutospacing="0" w:afterAutospacing="0" w:line="360" w:lineRule="auto"/>
        <w:ind w:left="0" w:leftChars="0" w:right="0" w:rightChars="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85A2679">
      <w:pPr>
        <w:pStyle w:val="19"/>
        <w:pageBreakBefore w:val="0"/>
        <w:bidi w:val="0"/>
        <w:adjustRightInd w:val="0"/>
        <w:snapToGrid w:val="0"/>
        <w:spacing w:beforeAutospacing="0" w:after="0" w:afterAutospacing="0" w:line="360" w:lineRule="auto"/>
        <w:ind w:left="0" w:leftChars="0" w:right="0" w:rightChars="0" w:firstLine="200"/>
        <w:rPr>
          <w:rFonts w:hint="eastAsia" w:ascii="宋体" w:hAnsi="宋体" w:eastAsia="宋体" w:cs="宋体"/>
          <w:highlight w:val="none"/>
        </w:rPr>
      </w:pPr>
    </w:p>
    <w:p w14:paraId="02F7E7EC">
      <w:pPr>
        <w:pageBreakBefore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3B2BD86">
      <w:pPr>
        <w:pageBreakBefore w:val="0"/>
        <w:wordWrap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77D760D">
      <w:pPr>
        <w:pStyle w:val="8"/>
        <w:pageBreakBefore w:val="0"/>
        <w:bidi w:val="0"/>
        <w:adjustRightInd w:val="0"/>
        <w:snapToGrid w:val="0"/>
        <w:spacing w:beforeAutospacing="0" w:afterAutospacing="0" w:line="360" w:lineRule="auto"/>
        <w:ind w:left="0" w:leftChars="0" w:right="0" w:rightChars="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C52C118">
      <w:pPr>
        <w:pageBreakBefore w:val="0"/>
        <w:bidi w:val="0"/>
        <w:adjustRightInd w:val="0"/>
        <w:snapToGrid w:val="0"/>
        <w:spacing w:beforeAutospacing="0" w:afterAutospacing="0" w:line="360" w:lineRule="auto"/>
        <w:ind w:left="0" w:leftChars="0" w:right="0"/>
        <w:jc w:val="both"/>
        <w:rPr>
          <w:rFonts w:hint="eastAsia" w:ascii="宋体" w:hAnsi="宋体" w:eastAsia="宋体" w:cs="宋体"/>
          <w:b/>
          <w:kern w:val="0"/>
          <w:sz w:val="28"/>
          <w:szCs w:val="28"/>
          <w:highlight w:val="none"/>
        </w:rPr>
      </w:pPr>
    </w:p>
    <w:p w14:paraId="497F0E97">
      <w:pPr>
        <w:pStyle w:val="67"/>
        <w:pageBreakBefore w:val="0"/>
        <w:bidi w:val="0"/>
        <w:adjustRightInd w:val="0"/>
        <w:snapToGrid w:val="0"/>
        <w:spacing w:beforeAutospacing="0" w:after="0" w:afterAutospacing="0" w:line="360" w:lineRule="auto"/>
        <w:ind w:left="0" w:leftChars="0" w:right="0" w:firstLine="281"/>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auto"/>
          <w:sz w:val="32"/>
          <w:szCs w:val="32"/>
          <w:highlight w:val="none"/>
        </w:rPr>
        <w:br w:type="page"/>
      </w:r>
      <w:r>
        <w:rPr>
          <w:rFonts w:hint="eastAsia" w:ascii="宋体" w:hAnsi="宋体" w:eastAsia="宋体" w:cs="宋体"/>
          <w:b/>
          <w:color w:val="000000"/>
          <w:kern w:val="0"/>
          <w:sz w:val="28"/>
          <w:szCs w:val="28"/>
          <w:highlight w:val="none"/>
          <w:lang w:val="en-US" w:eastAsia="zh-CN" w:bidi="ar-SA"/>
        </w:rPr>
        <w:t>六、2022年1月1日以来企业已完成的类似项目业绩表</w:t>
      </w:r>
    </w:p>
    <w:p w14:paraId="43B7434A">
      <w:pPr>
        <w:pageBreakBefore w:val="0"/>
        <w:bidi w:val="0"/>
        <w:adjustRightInd w:val="0"/>
        <w:snapToGrid w:val="0"/>
        <w:spacing w:beforeAutospacing="0" w:afterAutospacing="0" w:line="360" w:lineRule="auto"/>
        <w:ind w:left="0" w:leftChars="0" w:right="0"/>
        <w:jc w:val="center"/>
        <w:rPr>
          <w:rFonts w:hint="eastAsia" w:ascii="宋体" w:hAnsi="宋体" w:eastAsia="宋体" w:cs="宋体"/>
          <w:b/>
          <w:bCs/>
          <w:color w:val="000000"/>
          <w:sz w:val="24"/>
          <w:highlight w:val="none"/>
        </w:rPr>
      </w:pPr>
    </w:p>
    <w:tbl>
      <w:tblPr>
        <w:tblStyle w:val="2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545"/>
      </w:tblGrid>
      <w:tr w14:paraId="6863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574" w:type="dxa"/>
            <w:noWrap w:val="0"/>
            <w:vAlign w:val="center"/>
          </w:tcPr>
          <w:p w14:paraId="34FE70B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6545" w:type="dxa"/>
            <w:noWrap w:val="0"/>
            <w:vAlign w:val="top"/>
          </w:tcPr>
          <w:p w14:paraId="09D99885">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D46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74" w:type="dxa"/>
            <w:noWrap w:val="0"/>
            <w:vAlign w:val="center"/>
          </w:tcPr>
          <w:p w14:paraId="759C4E98">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项目所在地</w:t>
            </w:r>
          </w:p>
        </w:tc>
        <w:tc>
          <w:tcPr>
            <w:tcW w:w="6545" w:type="dxa"/>
            <w:noWrap w:val="0"/>
            <w:vAlign w:val="top"/>
          </w:tcPr>
          <w:p w14:paraId="3C82462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1A5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574" w:type="dxa"/>
            <w:noWrap w:val="0"/>
            <w:vAlign w:val="center"/>
          </w:tcPr>
          <w:p w14:paraId="0EACAAD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委托人名称</w:t>
            </w:r>
          </w:p>
        </w:tc>
        <w:tc>
          <w:tcPr>
            <w:tcW w:w="6545" w:type="dxa"/>
            <w:noWrap w:val="0"/>
            <w:vAlign w:val="top"/>
          </w:tcPr>
          <w:p w14:paraId="20C3820A">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2951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74" w:type="dxa"/>
            <w:noWrap w:val="0"/>
            <w:vAlign w:val="center"/>
          </w:tcPr>
          <w:p w14:paraId="2B197DD3">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委托人地址</w:t>
            </w:r>
          </w:p>
        </w:tc>
        <w:tc>
          <w:tcPr>
            <w:tcW w:w="6545" w:type="dxa"/>
            <w:noWrap w:val="0"/>
            <w:vAlign w:val="top"/>
          </w:tcPr>
          <w:p w14:paraId="47261E3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BF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74" w:type="dxa"/>
            <w:noWrap w:val="0"/>
            <w:vAlign w:val="center"/>
          </w:tcPr>
          <w:p w14:paraId="269CDFD1">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委托人电话</w:t>
            </w:r>
          </w:p>
        </w:tc>
        <w:tc>
          <w:tcPr>
            <w:tcW w:w="6545" w:type="dxa"/>
            <w:noWrap w:val="0"/>
            <w:vAlign w:val="top"/>
          </w:tcPr>
          <w:p w14:paraId="3E7939D1">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5472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74" w:type="dxa"/>
            <w:noWrap w:val="0"/>
            <w:vAlign w:val="center"/>
          </w:tcPr>
          <w:p w14:paraId="69A7D9BD">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承担的工作</w:t>
            </w:r>
          </w:p>
        </w:tc>
        <w:tc>
          <w:tcPr>
            <w:tcW w:w="6545" w:type="dxa"/>
            <w:noWrap w:val="0"/>
            <w:vAlign w:val="top"/>
          </w:tcPr>
          <w:p w14:paraId="7B84D6DC">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691E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574" w:type="dxa"/>
            <w:noWrap w:val="0"/>
            <w:vAlign w:val="center"/>
          </w:tcPr>
          <w:p w14:paraId="03CD4AFC">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6545" w:type="dxa"/>
            <w:noWrap w:val="0"/>
            <w:vAlign w:val="top"/>
          </w:tcPr>
          <w:p w14:paraId="3735DC2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069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2574" w:type="dxa"/>
            <w:noWrap w:val="0"/>
            <w:vAlign w:val="center"/>
          </w:tcPr>
          <w:p w14:paraId="4FCE1315">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项目描述</w:t>
            </w:r>
          </w:p>
        </w:tc>
        <w:tc>
          <w:tcPr>
            <w:tcW w:w="6545" w:type="dxa"/>
            <w:noWrap w:val="0"/>
            <w:vAlign w:val="top"/>
          </w:tcPr>
          <w:p w14:paraId="731A2F78">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16440AB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5F50B9A0">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D03F092">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A87A697">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0D34E93D">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701C3CE6">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r w14:paraId="3CDC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574" w:type="dxa"/>
            <w:noWrap w:val="0"/>
            <w:vAlign w:val="center"/>
          </w:tcPr>
          <w:p w14:paraId="28BC9E42">
            <w:pPr>
              <w:pageBreakBefore w:val="0"/>
              <w:topLinePunct/>
              <w:bidi w:val="0"/>
              <w:adjustRightInd w:val="0"/>
              <w:snapToGrid w:val="0"/>
              <w:spacing w:beforeAutospacing="0" w:afterAutospacing="0" w:line="360" w:lineRule="auto"/>
              <w:ind w:left="0" w:leftChars="0" w:right="0"/>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545" w:type="dxa"/>
            <w:noWrap w:val="0"/>
            <w:vAlign w:val="top"/>
          </w:tcPr>
          <w:p w14:paraId="40F33301">
            <w:pPr>
              <w:pageBreakBefore w:val="0"/>
              <w:topLinePunct/>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tc>
      </w:tr>
    </w:tbl>
    <w:p w14:paraId="5CA489D8">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sz w:val="24"/>
          <w:highlight w:val="none"/>
          <w:lang w:val="zh-CN"/>
        </w:rPr>
      </w:pPr>
    </w:p>
    <w:p w14:paraId="033AE52C">
      <w:pPr>
        <w:pageBreakBefore w:val="0"/>
        <w:bidi w:val="0"/>
        <w:adjustRightInd w:val="0"/>
        <w:snapToGrid w:val="0"/>
        <w:spacing w:beforeAutospacing="0" w:afterAutospacing="0" w:line="360" w:lineRule="auto"/>
        <w:ind w:left="480" w:leftChars="0" w:right="0" w:hanging="480" w:hangingChars="200"/>
        <w:rPr>
          <w:rFonts w:hint="eastAsia" w:ascii="宋体" w:hAnsi="宋体" w:eastAsia="宋体" w:cs="宋体"/>
          <w:sz w:val="24"/>
          <w:highlight w:val="none"/>
        </w:rPr>
      </w:pPr>
      <w:r>
        <w:rPr>
          <w:rFonts w:hint="eastAsia" w:ascii="宋体" w:hAnsi="宋体" w:eastAsia="宋体" w:cs="宋体"/>
          <w:color w:val="000000"/>
          <w:sz w:val="24"/>
          <w:highlight w:val="none"/>
        </w:rPr>
        <w:t>注：</w:t>
      </w:r>
      <w:r>
        <w:rPr>
          <w:rFonts w:hint="eastAsia" w:ascii="宋体" w:hAnsi="宋体" w:eastAsia="宋体" w:cs="宋体"/>
          <w:sz w:val="24"/>
          <w:highlight w:val="none"/>
        </w:rPr>
        <w:t>合同</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相关证明材料</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附后</w:t>
      </w:r>
    </w:p>
    <w:p w14:paraId="20C2C1E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9C6961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sz w:val="24"/>
          <w:highlight w:val="none"/>
        </w:rPr>
      </w:pPr>
    </w:p>
    <w:p w14:paraId="6E0B56B0">
      <w:pPr>
        <w:pStyle w:val="37"/>
        <w:pageBreakBefore w:val="0"/>
        <w:bidi w:val="0"/>
        <w:adjustRightInd w:val="0"/>
        <w:snapToGrid w:val="0"/>
        <w:spacing w:beforeAutospacing="0" w:afterAutospacing="0" w:line="360" w:lineRule="auto"/>
        <w:ind w:left="0" w:leftChars="0" w:right="0"/>
        <w:rPr>
          <w:rFonts w:hint="eastAsia" w:ascii="宋体" w:hAnsi="宋体" w:eastAsia="宋体" w:cs="宋体"/>
        </w:rPr>
      </w:pPr>
    </w:p>
    <w:p w14:paraId="554B1577">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七、技术部分</w:t>
      </w:r>
    </w:p>
    <w:p w14:paraId="5BC97468">
      <w:pPr>
        <w:pageBreakBefore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根据招标文件</w:t>
      </w:r>
      <w:r>
        <w:rPr>
          <w:rFonts w:hint="eastAsia" w:ascii="宋体" w:hAnsi="宋体" w:eastAsia="宋体" w:cs="宋体"/>
          <w:b/>
          <w:bCs/>
          <w:color w:val="auto"/>
          <w:sz w:val="24"/>
          <w:highlight w:val="none"/>
        </w:rPr>
        <w:t>评标办法及评分标准</w:t>
      </w:r>
      <w:r>
        <w:rPr>
          <w:rFonts w:hint="eastAsia" w:ascii="宋体" w:hAnsi="宋体" w:eastAsia="宋体" w:cs="宋体"/>
          <w:b/>
          <w:bCs/>
          <w:color w:val="auto"/>
          <w:sz w:val="24"/>
          <w:highlight w:val="none"/>
          <w:lang w:val="en-US" w:eastAsia="zh-CN"/>
        </w:rPr>
        <w:t>自行编制，格式自拟</w:t>
      </w:r>
    </w:p>
    <w:p w14:paraId="4E6513FE">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392377C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44C8D41C">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BCB7C5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579BDDA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77A892FC">
      <w:pPr>
        <w:pStyle w:val="37"/>
        <w:pageBreakBefore w:val="0"/>
        <w:bidi w:val="0"/>
        <w:adjustRightInd w:val="0"/>
        <w:snapToGrid w:val="0"/>
        <w:spacing w:beforeAutospacing="0" w:afterAutospacing="0" w:line="360" w:lineRule="auto"/>
        <w:ind w:left="0" w:leftChars="0" w:right="0" w:firstLine="0"/>
        <w:rPr>
          <w:rFonts w:hint="eastAsia" w:ascii="宋体" w:hAnsi="宋体" w:eastAsia="宋体" w:cs="宋体"/>
          <w:b/>
          <w:bCs/>
          <w:color w:val="auto"/>
          <w:sz w:val="24"/>
          <w:highlight w:val="none"/>
          <w:lang w:val="en-US" w:eastAsia="zh-CN"/>
        </w:rPr>
      </w:pPr>
    </w:p>
    <w:p w14:paraId="708C144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E37C2EA">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D0907EB">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41B3C68">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C094AED">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4E01A652">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DC5A5C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395C337">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744D0E3">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9DF7055">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96CA039">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12FEBE5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3DDA9375">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5CBD0C5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0EF44514">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EF662E1">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7EDBB4BE">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65913806">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auto"/>
          <w:sz w:val="24"/>
          <w:highlight w:val="none"/>
          <w:lang w:val="en-US" w:eastAsia="zh-CN"/>
        </w:rPr>
      </w:pPr>
    </w:p>
    <w:p w14:paraId="21B467B7">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p>
    <w:p w14:paraId="69E68CCA">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八、商务部分</w:t>
      </w:r>
    </w:p>
    <w:p w14:paraId="528A7F8F">
      <w:pPr>
        <w:pStyle w:val="2"/>
        <w:pageBreakBefore w:val="0"/>
        <w:numPr>
          <w:ilvl w:val="0"/>
          <w:numId w:val="0"/>
        </w:numPr>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根据招标文件评标办法及评分标准自行编制，格式自拟</w:t>
      </w:r>
    </w:p>
    <w:p w14:paraId="1207306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59CC4ED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DE826C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1A6F16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66DF48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3E7935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D8EA00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57702E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B72AEA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297A0B8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707A917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01BF25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014929F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E514B0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1000DD64">
      <w:pPr>
        <w:pStyle w:val="2"/>
        <w:rPr>
          <w:rFonts w:hint="eastAsia" w:ascii="宋体" w:hAnsi="宋体" w:eastAsia="宋体" w:cs="宋体"/>
          <w:b/>
          <w:color w:val="auto"/>
          <w:sz w:val="28"/>
          <w:szCs w:val="28"/>
          <w:highlight w:val="none"/>
          <w:lang w:val="en-US" w:eastAsia="zh-CN"/>
        </w:rPr>
      </w:pPr>
    </w:p>
    <w:p w14:paraId="0AEF4E64">
      <w:pPr>
        <w:rPr>
          <w:rFonts w:hint="eastAsia" w:ascii="宋体" w:hAnsi="宋体" w:eastAsia="宋体" w:cs="宋体"/>
          <w:b/>
          <w:color w:val="auto"/>
          <w:sz w:val="28"/>
          <w:szCs w:val="28"/>
          <w:highlight w:val="none"/>
          <w:lang w:val="en-US" w:eastAsia="zh-CN"/>
        </w:rPr>
      </w:pPr>
    </w:p>
    <w:p w14:paraId="60CBCACF">
      <w:pPr>
        <w:pStyle w:val="2"/>
        <w:rPr>
          <w:rFonts w:hint="eastAsia"/>
          <w:lang w:val="en-US" w:eastAsia="zh-CN"/>
        </w:rPr>
      </w:pPr>
    </w:p>
    <w:p w14:paraId="6BBE295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1CB7E5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35C318C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28"/>
          <w:szCs w:val="28"/>
          <w:highlight w:val="none"/>
          <w:lang w:val="en-US" w:eastAsia="zh-CN"/>
        </w:rPr>
      </w:pPr>
    </w:p>
    <w:p w14:paraId="6A289D5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中小企业声明函</w:t>
      </w:r>
      <w:bookmarkEnd w:id="74"/>
    </w:p>
    <w:p w14:paraId="26EF6250">
      <w:pPr>
        <w:pageBreakBefore w:val="0"/>
        <w:bidi w:val="0"/>
        <w:adjustRightInd w:val="0"/>
        <w:snapToGrid w:val="0"/>
        <w:spacing w:beforeAutospacing="0" w:afterAutospacing="0" w:line="360" w:lineRule="auto"/>
        <w:ind w:left="0" w:leftChars="0" w:right="0"/>
        <w:outlineLvl w:val="0"/>
        <w:rPr>
          <w:rFonts w:hint="eastAsia" w:ascii="宋体" w:hAnsi="宋体" w:eastAsia="宋体" w:cs="宋体"/>
          <w:color w:val="auto"/>
          <w:sz w:val="24"/>
          <w:highlight w:val="none"/>
        </w:rPr>
      </w:pPr>
    </w:p>
    <w:p w14:paraId="059B9F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rPr>
      </w:pPr>
      <w:bookmarkStart w:id="75" w:name="_Toc122004269"/>
      <w:bookmarkStart w:id="76" w:name="_Toc141079823"/>
      <w:r>
        <w:rPr>
          <w:rFonts w:hint="eastAsia" w:ascii="宋体" w:hAnsi="宋体" w:eastAsia="宋体" w:cs="宋体"/>
          <w:b/>
          <w:bCs/>
          <w:color w:val="000000"/>
          <w:kern w:val="10"/>
          <w:sz w:val="28"/>
          <w:szCs w:val="28"/>
          <w:highlight w:val="none"/>
        </w:rPr>
        <w:t>（一）中小企业声明函</w:t>
      </w:r>
      <w:bookmarkEnd w:id="75"/>
      <w:bookmarkEnd w:id="76"/>
    </w:p>
    <w:p w14:paraId="01DE1299">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本公司郑重声明，根据《政府采购促进中小企业发展管理办法》（财库﹝2020﹞46 号）的规定，本公司参加（单位名称）的（项目名称）采购活动，提供的货物全部由符合政策要求的中小企业制造。相关企业的具体情况如下：</w:t>
      </w:r>
    </w:p>
    <w:p w14:paraId="4FD981E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 xml:space="preserve">  其他未列明行业 </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 xml:space="preserve">（采购文件中明确的所属行业）       </w:t>
      </w:r>
      <w:r>
        <w:rPr>
          <w:rFonts w:hint="eastAsia" w:ascii="宋体" w:hAnsi="宋体" w:eastAsia="宋体" w:cs="宋体"/>
          <w:spacing w:val="6"/>
          <w:sz w:val="24"/>
          <w:highlight w:val="none"/>
        </w:rPr>
        <w:t xml:space="preserve"> 行业；制造商为</w:t>
      </w:r>
      <w:r>
        <w:rPr>
          <w:rFonts w:hint="eastAsia" w:ascii="宋体" w:hAnsi="宋体" w:eastAsia="宋体" w:cs="宋体"/>
          <w:spacing w:val="6"/>
          <w:sz w:val="24"/>
          <w:highlight w:val="none"/>
          <w:u w:val="single"/>
        </w:rPr>
        <w:t xml:space="preserve"> （企业名称） </w:t>
      </w:r>
      <w:r>
        <w:rPr>
          <w:rFonts w:hint="eastAsia" w:ascii="宋体" w:hAnsi="宋体" w:eastAsia="宋体" w:cs="宋体"/>
          <w:spacing w:val="6"/>
          <w:sz w:val="24"/>
          <w:highlight w:val="none"/>
        </w:rPr>
        <w:t>，从业人员</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人；营业收入为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万元，资产总额为</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 xml:space="preserve"> 万元，属于</w:t>
      </w:r>
      <w:r>
        <w:rPr>
          <w:rFonts w:hint="eastAsia" w:ascii="宋体" w:hAnsi="宋体" w:eastAsia="宋体" w:cs="宋体"/>
          <w:spacing w:val="6"/>
          <w:sz w:val="24"/>
          <w:highlight w:val="none"/>
          <w:u w:val="single"/>
          <w:lang w:val="en-US" w:eastAsia="zh-CN"/>
        </w:rPr>
        <w:t xml:space="preserve">       </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672F123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1ABA8FF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z w:val="24"/>
          <w:highlight w:val="none"/>
        </w:rPr>
      </w:pPr>
      <w:r>
        <w:rPr>
          <w:rFonts w:hint="eastAsia" w:ascii="宋体" w:hAnsi="宋体" w:eastAsia="宋体" w:cs="宋体"/>
          <w:spacing w:val="6"/>
          <w:sz w:val="24"/>
          <w:highlight w:val="none"/>
        </w:rPr>
        <w:t>本公司对上述声明的真实性负责。如有虚假，将承担相应的法律责任。</w:t>
      </w:r>
    </w:p>
    <w:p w14:paraId="434450D0">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注：（属于中小微企业的填写</w:t>
      </w:r>
      <w:r>
        <w:rPr>
          <w:rFonts w:hint="eastAsia" w:ascii="宋体" w:hAnsi="宋体" w:eastAsia="宋体" w:cs="宋体"/>
          <w:b/>
          <w:bCs/>
          <w:szCs w:val="24"/>
          <w:highlight w:val="none"/>
          <w:lang w:val="en-US" w:eastAsia="zh-CN"/>
        </w:rPr>
        <w:t>并提供证明材料</w:t>
      </w:r>
      <w:r>
        <w:rPr>
          <w:rFonts w:hint="eastAsia" w:ascii="宋体" w:hAnsi="宋体" w:eastAsia="宋体" w:cs="宋体"/>
          <w:b/>
          <w:bCs/>
          <w:szCs w:val="24"/>
          <w:highlight w:val="none"/>
        </w:rPr>
        <w:t>，不属于的无需填写此项内容</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不删除本项，标明不属于中小企业</w:t>
      </w:r>
      <w:r>
        <w:rPr>
          <w:rFonts w:hint="eastAsia" w:ascii="宋体" w:hAnsi="宋体" w:eastAsia="宋体" w:cs="宋体"/>
          <w:b/>
          <w:bCs/>
          <w:szCs w:val="24"/>
          <w:highlight w:val="none"/>
        </w:rPr>
        <w:t>）</w:t>
      </w:r>
    </w:p>
    <w:p w14:paraId="2DB806D6">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 w:val="24"/>
          <w:highlight w:val="none"/>
        </w:rPr>
      </w:pPr>
      <w:r>
        <w:rPr>
          <w:rFonts w:hint="eastAsia" w:ascii="宋体" w:hAnsi="宋体" w:eastAsia="宋体" w:cs="宋体"/>
          <w:b/>
          <w:bCs/>
          <w:szCs w:val="24"/>
          <w:highlight w:val="none"/>
        </w:rPr>
        <w:t>从业人员、 营业收入、 资产总额填报上一年度数据， 无上一年度数据的新成立企业可不填报。</w:t>
      </w:r>
    </w:p>
    <w:p w14:paraId="48814BCE">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46593AD6">
      <w:pPr>
        <w:pageBreakBefore w:val="0"/>
        <w:bidi w:val="0"/>
        <w:adjustRightInd w:val="0"/>
        <w:snapToGrid w:val="0"/>
        <w:spacing w:beforeAutospacing="0" w:afterAutospacing="0" w:line="360" w:lineRule="auto"/>
        <w:ind w:left="0" w:leftChars="0" w:right="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4F7831C0">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FAA26C">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2B717ACA">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0D372EA5">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230F7B82">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46B51226">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w:t>
      </w:r>
      <w:r>
        <w:rPr>
          <w:rFonts w:hint="eastAsia" w:ascii="宋体" w:hAnsi="宋体" w:eastAsia="宋体" w:cs="宋体"/>
          <w:color w:val="000000"/>
          <w:kern w:val="10"/>
          <w:sz w:val="22"/>
          <w:szCs w:val="22"/>
          <w:highlight w:val="none"/>
          <w:shd w:val="clear" w:color="auto" w:fill="FFFFFF"/>
          <w:lang w:val="en-US" w:eastAsia="zh-CN"/>
        </w:rPr>
        <w:t>招标</w:t>
      </w:r>
      <w:r>
        <w:rPr>
          <w:rFonts w:hint="eastAsia" w:ascii="宋体" w:hAnsi="宋体" w:eastAsia="宋体" w:cs="宋体"/>
          <w:color w:val="000000"/>
          <w:kern w:val="10"/>
          <w:sz w:val="22"/>
          <w:szCs w:val="22"/>
          <w:highlight w:val="none"/>
          <w:shd w:val="clear" w:color="auto" w:fill="FFFFFF"/>
        </w:rPr>
        <w:t>文件提供的格式填写。非单一产品采购的，设备制造商不止一家时，中小企业声明函中须列出所有的设备及制造商，罗列不全的中小企业声明函不予认可。</w:t>
      </w:r>
    </w:p>
    <w:p w14:paraId="196CBCAB">
      <w:pPr>
        <w:pStyle w:val="7"/>
        <w:pageBreakBefore w:val="0"/>
        <w:tabs>
          <w:tab w:val="left" w:pos="219"/>
        </w:tabs>
        <w:bidi w:val="0"/>
        <w:adjustRightInd w:val="0"/>
        <w:snapToGrid w:val="0"/>
        <w:spacing w:beforeAutospacing="0" w:after="0" w:afterAutospacing="0" w:line="360" w:lineRule="auto"/>
        <w:ind w:left="0" w:leftChars="0" w:right="0" w:rightChars="0"/>
        <w:rPr>
          <w:rFonts w:hint="eastAsia" w:ascii="宋体" w:hAnsi="宋体" w:eastAsia="宋体" w:cs="宋体"/>
          <w:spacing w:val="-14"/>
          <w:sz w:val="31"/>
          <w:szCs w:val="31"/>
          <w:highlight w:val="none"/>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62062B3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77" w:name="_Toc122004270"/>
      <w:bookmarkStart w:id="78" w:name="_Toc141079824"/>
      <w:bookmarkStart w:id="79" w:name="_Toc121749381"/>
      <w:r>
        <w:rPr>
          <w:rFonts w:hint="eastAsia" w:ascii="宋体" w:hAnsi="宋体" w:eastAsia="宋体" w:cs="宋体"/>
          <w:b/>
          <w:bCs/>
          <w:color w:val="000000"/>
          <w:kern w:val="10"/>
          <w:sz w:val="28"/>
          <w:szCs w:val="28"/>
          <w:highlight w:val="none"/>
          <w:shd w:val="clear" w:color="auto" w:fill="FFFFFF"/>
        </w:rPr>
        <w:t>（二）监狱企业证明材料</w:t>
      </w:r>
      <w:bookmarkEnd w:id="77"/>
      <w:bookmarkEnd w:id="78"/>
      <w:bookmarkEnd w:id="79"/>
    </w:p>
    <w:p w14:paraId="16FA4E8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70FBCFB8">
      <w:pPr>
        <w:pageBreakBefore w:val="0"/>
        <w:bidi w:val="0"/>
        <w:adjustRightInd w:val="0"/>
        <w:snapToGrid w:val="0"/>
        <w:spacing w:beforeAutospacing="0" w:afterAutospacing="0" w:line="360" w:lineRule="auto"/>
        <w:ind w:left="0" w:leftChars="0" w:right="0" w:firstLine="504" w:firstLineChars="200"/>
        <w:jc w:val="left"/>
        <w:outlineLvl w:val="1"/>
        <w:rPr>
          <w:rFonts w:hint="eastAsia" w:ascii="宋体" w:hAnsi="宋体" w:eastAsia="宋体" w:cs="宋体"/>
          <w:spacing w:val="6"/>
          <w:sz w:val="24"/>
          <w:highlight w:val="none"/>
          <w:shd w:val="clear" w:color="auto" w:fill="FFFFFF"/>
        </w:rPr>
      </w:pPr>
      <w:bookmarkStart w:id="80" w:name="_Toc121749382"/>
      <w:bookmarkStart w:id="81" w:name="_Toc122004271"/>
      <w:bookmarkStart w:id="82" w:name="_Toc141079825"/>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80"/>
      <w:bookmarkEnd w:id="81"/>
      <w:bookmarkEnd w:id="82"/>
    </w:p>
    <w:p w14:paraId="69FEAA34">
      <w:pPr>
        <w:pageBreakBefore w:val="0"/>
        <w:bidi w:val="0"/>
        <w:adjustRightInd w:val="0"/>
        <w:snapToGrid w:val="0"/>
        <w:spacing w:beforeAutospacing="0" w:afterAutospacing="0" w:line="360" w:lineRule="auto"/>
        <w:ind w:left="0" w:leftChars="0" w:right="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19D2D68E">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eastAsia="宋体" w:cs="宋体"/>
          <w:b/>
          <w:color w:val="000000"/>
          <w:sz w:val="24"/>
          <w:highlight w:val="none"/>
          <w:lang w:val="en-GB" w:eastAsia="zh-CN"/>
        </w:rPr>
        <w:t>，</w:t>
      </w:r>
      <w:r>
        <w:rPr>
          <w:rFonts w:hint="eastAsia" w:ascii="宋体" w:hAnsi="宋体" w:eastAsia="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4C1740B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21FBC5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EF8143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24FF5873">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8AE3CC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286147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0F0F1D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06D048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068D933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83" w:name="_Toc122004272"/>
      <w:bookmarkStart w:id="84" w:name="_Toc121749383"/>
      <w:bookmarkStart w:id="85" w:name="_Toc141079826"/>
    </w:p>
    <w:p w14:paraId="01BDC57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C00C24C">
      <w:pPr>
        <w:pageBreakBefore w:val="0"/>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000000"/>
          <w:kern w:val="10"/>
          <w:sz w:val="28"/>
          <w:szCs w:val="28"/>
          <w:highlight w:val="none"/>
          <w:shd w:val="clear" w:color="auto" w:fill="FFFFFF"/>
        </w:rPr>
      </w:pPr>
    </w:p>
    <w:p w14:paraId="6584533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84284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2B27F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13AB2F7">
      <w:pPr>
        <w:pStyle w:val="2"/>
        <w:rPr>
          <w:rFonts w:hint="eastAsia"/>
        </w:rPr>
      </w:pPr>
    </w:p>
    <w:p w14:paraId="7D80006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000000"/>
          <w:kern w:val="10"/>
          <w:sz w:val="28"/>
          <w:szCs w:val="28"/>
          <w:highlight w:val="none"/>
          <w:shd w:val="clear" w:color="auto" w:fill="FFFFFF"/>
        </w:rPr>
      </w:pPr>
    </w:p>
    <w:p w14:paraId="14E19F0F">
      <w:pPr>
        <w:pStyle w:val="37"/>
        <w:pageBreakBefore w:val="0"/>
        <w:bidi w:val="0"/>
        <w:adjustRightInd w:val="0"/>
        <w:snapToGrid w:val="0"/>
        <w:spacing w:beforeAutospacing="0" w:afterAutospacing="0" w:line="360" w:lineRule="auto"/>
        <w:ind w:left="0" w:leftChars="0" w:right="0"/>
        <w:rPr>
          <w:rFonts w:hint="eastAsia" w:ascii="宋体" w:hAnsi="宋体" w:eastAsia="宋体" w:cs="宋体"/>
          <w:b/>
          <w:bCs/>
          <w:color w:val="000000"/>
          <w:kern w:val="10"/>
          <w:sz w:val="28"/>
          <w:szCs w:val="28"/>
          <w:highlight w:val="none"/>
          <w:shd w:val="clear" w:color="auto" w:fill="FFFFFF"/>
        </w:rPr>
      </w:pPr>
    </w:p>
    <w:p w14:paraId="611236EE">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6555785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F445BF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83"/>
      <w:bookmarkEnd w:id="84"/>
      <w:bookmarkEnd w:id="85"/>
    </w:p>
    <w:p w14:paraId="0E0100EE">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6500012D">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6262D434">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4531D11B">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75C03DA4">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2277D9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eastAsia="宋体" w:cs="宋体"/>
          <w:b/>
          <w:spacing w:val="6"/>
          <w:sz w:val="24"/>
          <w:highlight w:val="none"/>
          <w:shd w:val="clear" w:color="auto" w:fill="FFFFFF"/>
          <w:lang w:val="en-US" w:eastAsia="zh-CN"/>
        </w:rPr>
        <w:t>证明材料，</w:t>
      </w:r>
      <w:r>
        <w:rPr>
          <w:rFonts w:hint="eastAsia" w:ascii="宋体" w:hAnsi="宋体" w:eastAsia="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46D84AC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7DA06D13">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6D97880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4D405E8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0F0EEAE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402D862C">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251B03C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435EEE1B">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highlight w:val="none"/>
          <w:lang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p>
    <w:p w14:paraId="20B741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auto"/>
          <w:sz w:val="28"/>
          <w:szCs w:val="28"/>
          <w:highlight w:val="none"/>
          <w:lang w:val="en-US" w:eastAsia="zh-CN"/>
        </w:rPr>
      </w:pPr>
      <w:bookmarkStart w:id="86" w:name="_Toc26270"/>
      <w:r>
        <w:rPr>
          <w:rFonts w:hint="eastAsia" w:ascii="宋体" w:hAnsi="宋体" w:eastAsia="宋体" w:cs="宋体"/>
          <w:b/>
          <w:bCs/>
          <w:color w:val="auto"/>
          <w:sz w:val="28"/>
          <w:szCs w:val="28"/>
          <w:highlight w:val="none"/>
          <w:lang w:val="en-US" w:eastAsia="zh-CN"/>
        </w:rPr>
        <w:t>十、供应商可提交的其他资料</w:t>
      </w:r>
      <w:bookmarkEnd w:id="86"/>
    </w:p>
    <w:p w14:paraId="6D117659">
      <w:pPr>
        <w:pageBreakBefore w:val="0"/>
        <w:numPr>
          <w:ilvl w:val="0"/>
          <w:numId w:val="0"/>
        </w:numPr>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auto"/>
          <w:sz w:val="28"/>
          <w:szCs w:val="28"/>
          <w:highlight w:val="none"/>
          <w:lang w:val="en-US" w:eastAsia="zh-CN"/>
        </w:rPr>
      </w:pPr>
    </w:p>
    <w:p w14:paraId="54274DF6">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p w14:paraId="24727492">
      <w:pPr>
        <w:pageBreakBefore w:val="0"/>
        <w:bidi w:val="0"/>
        <w:adjustRightInd w:val="0"/>
        <w:snapToGrid w:val="0"/>
        <w:spacing w:beforeAutospacing="0" w:afterAutospacing="0" w:line="360" w:lineRule="auto"/>
        <w:ind w:left="0" w:leftChars="0" w:right="0"/>
        <w:rPr>
          <w:rFonts w:hint="eastAsia" w:ascii="宋体" w:hAnsi="宋体" w:eastAsia="宋体" w:cs="宋体"/>
          <w:color w:val="auto"/>
          <w:highlight w:val="none"/>
        </w:rPr>
      </w:pPr>
    </w:p>
    <w:sectPr>
      <w:footerReference r:id="rId8" w:type="default"/>
      <w:pgSz w:w="11906" w:h="16838"/>
      <w:pgMar w:top="1440" w:right="1417" w:bottom="1440" w:left="1417" w:header="720" w:footer="7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宋体"/>
    <w:panose1 w:val="020B0400000000000000"/>
    <w:charset w:val="86"/>
    <w:family w:val="auto"/>
    <w:pitch w:val="default"/>
    <w:sig w:usb0="00000000" w:usb1="00000000" w:usb2="00000017"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A83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0409">
    <w:pPr>
      <w:pStyle w:val="14"/>
      <w:tabs>
        <w:tab w:val="center" w:pos="4153"/>
        <w:tab w:val="right"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02C4">
    <w:pPr>
      <w:pStyle w:val="14"/>
      <w:tabs>
        <w:tab w:val="center" w:pos="4153"/>
        <w:tab w:val="right" w:pos="8306"/>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0E84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60E84D">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1894">
    <w:pPr>
      <w:pStyle w:val="14"/>
      <w:tabs>
        <w:tab w:val="center" w:pos="4153"/>
        <w:tab w:val="right" w:pos="8306"/>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BF147">
                          <w:pPr>
                            <w:pStyle w:val="1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BBF147">
                    <w:pPr>
                      <w:pStyle w:val="1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F803">
    <w:pPr>
      <w:pStyle w:val="14"/>
      <w:tabs>
        <w:tab w:val="center" w:pos="4153"/>
        <w:tab w:val="right"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A4C3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3A4C3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6D46">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86DD9">
                          <w:pPr>
                            <w:pStyle w:val="1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E86DD9">
                    <w:pPr>
                      <w:pStyle w:val="1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2536"/>
    <w:multiLevelType w:val="singleLevel"/>
    <w:tmpl w:val="84E32536"/>
    <w:lvl w:ilvl="0" w:tentative="0">
      <w:start w:val="1"/>
      <w:numFmt w:val="decimal"/>
      <w:suff w:val="nothing"/>
      <w:lvlText w:val="%1．"/>
      <w:lvlJc w:val="left"/>
    </w:lvl>
  </w:abstractNum>
  <w:abstractNum w:abstractNumId="1">
    <w:nsid w:val="91B3F728"/>
    <w:multiLevelType w:val="singleLevel"/>
    <w:tmpl w:val="91B3F728"/>
    <w:lvl w:ilvl="0" w:tentative="0">
      <w:start w:val="2"/>
      <w:numFmt w:val="decimal"/>
      <w:lvlText w:val="%1."/>
      <w:lvlJc w:val="left"/>
      <w:pPr>
        <w:tabs>
          <w:tab w:val="left" w:pos="312"/>
        </w:tabs>
      </w:pPr>
    </w:lvl>
  </w:abstractNum>
  <w:abstractNum w:abstractNumId="2">
    <w:nsid w:val="BFC3A0B7"/>
    <w:multiLevelType w:val="singleLevel"/>
    <w:tmpl w:val="BFC3A0B7"/>
    <w:lvl w:ilvl="0" w:tentative="0">
      <w:start w:val="3"/>
      <w:numFmt w:val="decimal"/>
      <w:suff w:val="space"/>
      <w:lvlText w:val="%1."/>
      <w:lvlJc w:val="left"/>
    </w:lvl>
  </w:abstractNum>
  <w:abstractNum w:abstractNumId="3">
    <w:nsid w:val="C08E5BD3"/>
    <w:multiLevelType w:val="singleLevel"/>
    <w:tmpl w:val="C08E5BD3"/>
    <w:lvl w:ilvl="0" w:tentative="0">
      <w:start w:val="1"/>
      <w:numFmt w:val="decimal"/>
      <w:lvlText w:val="%1."/>
      <w:lvlJc w:val="left"/>
      <w:pPr>
        <w:ind w:left="425" w:hanging="425"/>
      </w:pPr>
      <w:rPr>
        <w:rFonts w:hint="default"/>
      </w:rPr>
    </w:lvl>
  </w:abstractNum>
  <w:abstractNum w:abstractNumId="4">
    <w:nsid w:val="33D2E624"/>
    <w:multiLevelType w:val="singleLevel"/>
    <w:tmpl w:val="33D2E624"/>
    <w:lvl w:ilvl="0" w:tentative="0">
      <w:start w:val="3"/>
      <w:numFmt w:val="chineseCounting"/>
      <w:suff w:val="nothing"/>
      <w:lvlText w:val="%1、"/>
      <w:lvlJc w:val="left"/>
      <w:rPr>
        <w:rFonts w:hint="eastAsia"/>
      </w:rPr>
    </w:lvl>
  </w:abstractNum>
  <w:abstractNum w:abstractNumId="5">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6">
    <w:nsid w:val="7D94ADFA"/>
    <w:multiLevelType w:val="singleLevel"/>
    <w:tmpl w:val="7D94ADFA"/>
    <w:lvl w:ilvl="0" w:tentative="0">
      <w:start w:val="5"/>
      <w:numFmt w:val="decimal"/>
      <w:lvlText w:val="%1."/>
      <w:lvlJc w:val="left"/>
      <w:pPr>
        <w:tabs>
          <w:tab w:val="left" w:pos="312"/>
        </w:tabs>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yLsIrMfAyGiwGKU7BxrzgaLa68=" w:salt="2Q5LjKwSiyjzQAr/SjcVL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109E7F5D"/>
    <w:rsid w:val="0146392C"/>
    <w:rsid w:val="0167511D"/>
    <w:rsid w:val="016C4331"/>
    <w:rsid w:val="04377A52"/>
    <w:rsid w:val="047C4550"/>
    <w:rsid w:val="04ED0D07"/>
    <w:rsid w:val="05283716"/>
    <w:rsid w:val="0555214E"/>
    <w:rsid w:val="056404A0"/>
    <w:rsid w:val="05AE29B2"/>
    <w:rsid w:val="05BC72AC"/>
    <w:rsid w:val="06604E4C"/>
    <w:rsid w:val="068A01DD"/>
    <w:rsid w:val="07174993"/>
    <w:rsid w:val="08E02CC5"/>
    <w:rsid w:val="08E54C37"/>
    <w:rsid w:val="09C81AEC"/>
    <w:rsid w:val="09FE05C0"/>
    <w:rsid w:val="0BF14EDA"/>
    <w:rsid w:val="0C7A253D"/>
    <w:rsid w:val="0D071FCF"/>
    <w:rsid w:val="0D2C3CDA"/>
    <w:rsid w:val="0D5857EF"/>
    <w:rsid w:val="0D5A6872"/>
    <w:rsid w:val="0D7362A5"/>
    <w:rsid w:val="0D7717A5"/>
    <w:rsid w:val="0D82278A"/>
    <w:rsid w:val="0E645822"/>
    <w:rsid w:val="0E797755"/>
    <w:rsid w:val="0EA3552E"/>
    <w:rsid w:val="0EF44175"/>
    <w:rsid w:val="0F2C1D70"/>
    <w:rsid w:val="0F670FFA"/>
    <w:rsid w:val="0F9E2E3C"/>
    <w:rsid w:val="10526803"/>
    <w:rsid w:val="109E7F5D"/>
    <w:rsid w:val="11FB4122"/>
    <w:rsid w:val="123E24E6"/>
    <w:rsid w:val="1283439D"/>
    <w:rsid w:val="13327380"/>
    <w:rsid w:val="135A2B61"/>
    <w:rsid w:val="136A7C0C"/>
    <w:rsid w:val="1411669F"/>
    <w:rsid w:val="143A26C7"/>
    <w:rsid w:val="14E557B8"/>
    <w:rsid w:val="15424B6D"/>
    <w:rsid w:val="156D4A53"/>
    <w:rsid w:val="15E10FC5"/>
    <w:rsid w:val="161642F0"/>
    <w:rsid w:val="16A11295"/>
    <w:rsid w:val="18211E42"/>
    <w:rsid w:val="18316114"/>
    <w:rsid w:val="187F4775"/>
    <w:rsid w:val="189D2FC8"/>
    <w:rsid w:val="19257F5C"/>
    <w:rsid w:val="1A357C45"/>
    <w:rsid w:val="1A6F2B62"/>
    <w:rsid w:val="1ABA1213"/>
    <w:rsid w:val="1AFB25FD"/>
    <w:rsid w:val="1B3A75C2"/>
    <w:rsid w:val="1BC44D83"/>
    <w:rsid w:val="1C330A15"/>
    <w:rsid w:val="1C33298F"/>
    <w:rsid w:val="1E91399D"/>
    <w:rsid w:val="1F1617FC"/>
    <w:rsid w:val="1FDB0E53"/>
    <w:rsid w:val="210A10A9"/>
    <w:rsid w:val="21402E17"/>
    <w:rsid w:val="217041B3"/>
    <w:rsid w:val="217E2179"/>
    <w:rsid w:val="22941CAE"/>
    <w:rsid w:val="236773C3"/>
    <w:rsid w:val="238B30B1"/>
    <w:rsid w:val="245E2574"/>
    <w:rsid w:val="24867886"/>
    <w:rsid w:val="24C525F3"/>
    <w:rsid w:val="24CB4284"/>
    <w:rsid w:val="25E2005A"/>
    <w:rsid w:val="260C637D"/>
    <w:rsid w:val="260D506B"/>
    <w:rsid w:val="269249E2"/>
    <w:rsid w:val="26940F9E"/>
    <w:rsid w:val="2763525C"/>
    <w:rsid w:val="285869F6"/>
    <w:rsid w:val="28CB1D1E"/>
    <w:rsid w:val="290A4A78"/>
    <w:rsid w:val="29347D47"/>
    <w:rsid w:val="29A0718A"/>
    <w:rsid w:val="2A825F9D"/>
    <w:rsid w:val="2B604598"/>
    <w:rsid w:val="2B9D6077"/>
    <w:rsid w:val="2BDA0AD2"/>
    <w:rsid w:val="2D8B5A6B"/>
    <w:rsid w:val="2D952400"/>
    <w:rsid w:val="2E7E4A50"/>
    <w:rsid w:val="2F0C44D9"/>
    <w:rsid w:val="2F30293F"/>
    <w:rsid w:val="2F6F5785"/>
    <w:rsid w:val="2F794705"/>
    <w:rsid w:val="2F9C21A2"/>
    <w:rsid w:val="2FE12B15"/>
    <w:rsid w:val="301F4194"/>
    <w:rsid w:val="302202B4"/>
    <w:rsid w:val="30586A11"/>
    <w:rsid w:val="306D09F6"/>
    <w:rsid w:val="309A1B0B"/>
    <w:rsid w:val="30FB0FBA"/>
    <w:rsid w:val="30FE7DB5"/>
    <w:rsid w:val="312D1193"/>
    <w:rsid w:val="3281224F"/>
    <w:rsid w:val="332116F0"/>
    <w:rsid w:val="33726B5D"/>
    <w:rsid w:val="344A1390"/>
    <w:rsid w:val="35151DC2"/>
    <w:rsid w:val="358F5BF0"/>
    <w:rsid w:val="36DF7544"/>
    <w:rsid w:val="36FF0EB7"/>
    <w:rsid w:val="37284B97"/>
    <w:rsid w:val="373C3BA7"/>
    <w:rsid w:val="37564D7A"/>
    <w:rsid w:val="3788694D"/>
    <w:rsid w:val="37BD09EA"/>
    <w:rsid w:val="37C32872"/>
    <w:rsid w:val="388678D9"/>
    <w:rsid w:val="38DF5E2F"/>
    <w:rsid w:val="3924419F"/>
    <w:rsid w:val="397C76EC"/>
    <w:rsid w:val="39E03896"/>
    <w:rsid w:val="39E40D3C"/>
    <w:rsid w:val="3A9E7716"/>
    <w:rsid w:val="3AE15B6B"/>
    <w:rsid w:val="3AF55768"/>
    <w:rsid w:val="3B0C28D2"/>
    <w:rsid w:val="3B4674A2"/>
    <w:rsid w:val="3B806A12"/>
    <w:rsid w:val="3B8B032E"/>
    <w:rsid w:val="3C074E47"/>
    <w:rsid w:val="3C265C15"/>
    <w:rsid w:val="3C2B6908"/>
    <w:rsid w:val="3C3C0F95"/>
    <w:rsid w:val="3C7572B9"/>
    <w:rsid w:val="3D3B749E"/>
    <w:rsid w:val="3D9318FB"/>
    <w:rsid w:val="3DD65243"/>
    <w:rsid w:val="3DF53169"/>
    <w:rsid w:val="3F824221"/>
    <w:rsid w:val="40A23390"/>
    <w:rsid w:val="40E13EB9"/>
    <w:rsid w:val="42A02C26"/>
    <w:rsid w:val="42BA0E65"/>
    <w:rsid w:val="42D02437"/>
    <w:rsid w:val="42F63720"/>
    <w:rsid w:val="432F3960"/>
    <w:rsid w:val="43641712"/>
    <w:rsid w:val="44092D88"/>
    <w:rsid w:val="44AD6ED3"/>
    <w:rsid w:val="44C26E74"/>
    <w:rsid w:val="44D07056"/>
    <w:rsid w:val="44F062F7"/>
    <w:rsid w:val="46C454CA"/>
    <w:rsid w:val="47FC0DB5"/>
    <w:rsid w:val="480A5FB4"/>
    <w:rsid w:val="48513CEC"/>
    <w:rsid w:val="48755A36"/>
    <w:rsid w:val="49282FCC"/>
    <w:rsid w:val="49C861A9"/>
    <w:rsid w:val="4A183041"/>
    <w:rsid w:val="4A6A4F1F"/>
    <w:rsid w:val="4AE340A0"/>
    <w:rsid w:val="4AF2548D"/>
    <w:rsid w:val="4B2E23F0"/>
    <w:rsid w:val="4BE015FA"/>
    <w:rsid w:val="4BE96C9A"/>
    <w:rsid w:val="4C0010D8"/>
    <w:rsid w:val="4C3F4E06"/>
    <w:rsid w:val="4C450BC4"/>
    <w:rsid w:val="4C6B32C4"/>
    <w:rsid w:val="4C714E75"/>
    <w:rsid w:val="4CB0462C"/>
    <w:rsid w:val="4E195943"/>
    <w:rsid w:val="4E3F4F66"/>
    <w:rsid w:val="4E7B05CC"/>
    <w:rsid w:val="4EA03209"/>
    <w:rsid w:val="502624B5"/>
    <w:rsid w:val="50900CEC"/>
    <w:rsid w:val="50961CA8"/>
    <w:rsid w:val="50A15412"/>
    <w:rsid w:val="50AE6CE7"/>
    <w:rsid w:val="516201A5"/>
    <w:rsid w:val="52304CA0"/>
    <w:rsid w:val="524D6706"/>
    <w:rsid w:val="529911CF"/>
    <w:rsid w:val="535B4141"/>
    <w:rsid w:val="54047AC0"/>
    <w:rsid w:val="54930741"/>
    <w:rsid w:val="54D53860"/>
    <w:rsid w:val="55C84191"/>
    <w:rsid w:val="55D25CF5"/>
    <w:rsid w:val="55EB09B2"/>
    <w:rsid w:val="56503C3D"/>
    <w:rsid w:val="568C7275"/>
    <w:rsid w:val="570D3802"/>
    <w:rsid w:val="57113981"/>
    <w:rsid w:val="57192232"/>
    <w:rsid w:val="573878F3"/>
    <w:rsid w:val="578C4941"/>
    <w:rsid w:val="582C3FCC"/>
    <w:rsid w:val="58474D51"/>
    <w:rsid w:val="58A52424"/>
    <w:rsid w:val="5932703B"/>
    <w:rsid w:val="59605E6B"/>
    <w:rsid w:val="59A3669B"/>
    <w:rsid w:val="5A203F0F"/>
    <w:rsid w:val="5A753B98"/>
    <w:rsid w:val="5AEC5896"/>
    <w:rsid w:val="5B12588A"/>
    <w:rsid w:val="5B1C4013"/>
    <w:rsid w:val="5B4C0FC2"/>
    <w:rsid w:val="5B706BB5"/>
    <w:rsid w:val="5B8B59C3"/>
    <w:rsid w:val="5B993C33"/>
    <w:rsid w:val="5BA54992"/>
    <w:rsid w:val="5C6428E1"/>
    <w:rsid w:val="5D9872B5"/>
    <w:rsid w:val="5D9F3769"/>
    <w:rsid w:val="5DB449D7"/>
    <w:rsid w:val="5DDD1290"/>
    <w:rsid w:val="5DDE70AE"/>
    <w:rsid w:val="5E215F9B"/>
    <w:rsid w:val="5E817BA2"/>
    <w:rsid w:val="5E9A1E1F"/>
    <w:rsid w:val="5F440FE2"/>
    <w:rsid w:val="5F556B40"/>
    <w:rsid w:val="5F8A1A6C"/>
    <w:rsid w:val="600C6024"/>
    <w:rsid w:val="60C44DAC"/>
    <w:rsid w:val="613D62CD"/>
    <w:rsid w:val="61BF360C"/>
    <w:rsid w:val="62032009"/>
    <w:rsid w:val="6275687F"/>
    <w:rsid w:val="62FF4946"/>
    <w:rsid w:val="63636DBE"/>
    <w:rsid w:val="640815D9"/>
    <w:rsid w:val="646332EF"/>
    <w:rsid w:val="64CB3E9A"/>
    <w:rsid w:val="64DB1D80"/>
    <w:rsid w:val="65053876"/>
    <w:rsid w:val="652245DC"/>
    <w:rsid w:val="65851029"/>
    <w:rsid w:val="65F86668"/>
    <w:rsid w:val="66A4300B"/>
    <w:rsid w:val="66AB0A26"/>
    <w:rsid w:val="66CD035B"/>
    <w:rsid w:val="676D24BC"/>
    <w:rsid w:val="67EA4979"/>
    <w:rsid w:val="68387D64"/>
    <w:rsid w:val="68D20407"/>
    <w:rsid w:val="691C093F"/>
    <w:rsid w:val="696F58A5"/>
    <w:rsid w:val="697274F4"/>
    <w:rsid w:val="697F63FF"/>
    <w:rsid w:val="6994390F"/>
    <w:rsid w:val="69EA2BD4"/>
    <w:rsid w:val="6A6D08D3"/>
    <w:rsid w:val="6BB4664D"/>
    <w:rsid w:val="6C0D0F9F"/>
    <w:rsid w:val="6C6677E4"/>
    <w:rsid w:val="6E1D3ED3"/>
    <w:rsid w:val="6E69536A"/>
    <w:rsid w:val="6FC614C4"/>
    <w:rsid w:val="6FFE5F86"/>
    <w:rsid w:val="700A66D9"/>
    <w:rsid w:val="70223A22"/>
    <w:rsid w:val="70BD653B"/>
    <w:rsid w:val="717E5165"/>
    <w:rsid w:val="71E14BC5"/>
    <w:rsid w:val="72105ED8"/>
    <w:rsid w:val="72697A37"/>
    <w:rsid w:val="72B63B74"/>
    <w:rsid w:val="732E31FC"/>
    <w:rsid w:val="737775A1"/>
    <w:rsid w:val="73972065"/>
    <w:rsid w:val="739F3D64"/>
    <w:rsid w:val="73B01345"/>
    <w:rsid w:val="74464F59"/>
    <w:rsid w:val="74E42AB4"/>
    <w:rsid w:val="76C021E7"/>
    <w:rsid w:val="76CE66B2"/>
    <w:rsid w:val="77D3065E"/>
    <w:rsid w:val="7824321F"/>
    <w:rsid w:val="794D3566"/>
    <w:rsid w:val="79F3650F"/>
    <w:rsid w:val="7A412AB0"/>
    <w:rsid w:val="7A8D1125"/>
    <w:rsid w:val="7A8E7600"/>
    <w:rsid w:val="7AC22BC6"/>
    <w:rsid w:val="7AE75C03"/>
    <w:rsid w:val="7AF644A8"/>
    <w:rsid w:val="7B4C2625"/>
    <w:rsid w:val="7BC12142"/>
    <w:rsid w:val="7C521773"/>
    <w:rsid w:val="7C5D2A17"/>
    <w:rsid w:val="7D5207C0"/>
    <w:rsid w:val="7D983576"/>
    <w:rsid w:val="7DF804B8"/>
    <w:rsid w:val="7E6478FC"/>
    <w:rsid w:val="7F3B3790"/>
    <w:rsid w:val="7F5F40FF"/>
    <w:rsid w:val="7F786826"/>
    <w:rsid w:val="7FA576BD"/>
    <w:rsid w:val="7FB8311B"/>
    <w:rsid w:val="7FC3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autoRedefine/>
    <w:qFormat/>
    <w:uiPriority w:val="99"/>
    <w:pPr>
      <w:keepNext/>
      <w:keepLines/>
      <w:spacing w:before="100" w:beforeAutospacing="1" w:after="100" w:afterAutospacing="1"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unhideWhenUsed/>
    <w:qFormat/>
    <w:uiPriority w:val="99"/>
    <w:pPr>
      <w:ind w:firstLine="420"/>
    </w:pPr>
    <w:rPr>
      <w:sz w:val="28"/>
      <w:szCs w:val="28"/>
    </w:rPr>
  </w:style>
  <w:style w:type="paragraph" w:styleId="6">
    <w:name w:val="Body Text 2"/>
    <w:basedOn w:val="1"/>
    <w:next w:val="7"/>
    <w:autoRedefine/>
    <w:qFormat/>
    <w:uiPriority w:val="99"/>
    <w:pPr>
      <w:spacing w:line="900" w:lineRule="exact"/>
      <w:jc w:val="center"/>
    </w:pPr>
    <w:rPr>
      <w:rFonts w:eastAsia="楷体_GB2312"/>
      <w:b/>
      <w:bCs/>
      <w:sz w:val="36"/>
      <w:szCs w:val="36"/>
    </w:rPr>
  </w:style>
  <w:style w:type="paragraph" w:styleId="7">
    <w:name w:val="Body Text"/>
    <w:basedOn w:val="1"/>
    <w:next w:val="6"/>
    <w:autoRedefine/>
    <w:unhideWhenUsed/>
    <w:qFormat/>
    <w:uiPriority w:val="99"/>
    <w:pPr>
      <w:spacing w:after="120"/>
    </w:pPr>
    <w:rPr>
      <w:kern w:val="0"/>
      <w:sz w:val="20"/>
    </w:rPr>
  </w:style>
  <w:style w:type="paragraph" w:styleId="8">
    <w:name w:val="Body Text 3"/>
    <w:basedOn w:val="1"/>
    <w:qFormat/>
    <w:uiPriority w:val="0"/>
    <w:rPr>
      <w:rFonts w:ascii="宋体"/>
      <w:sz w:val="24"/>
      <w:szCs w:val="20"/>
    </w:rPr>
  </w:style>
  <w:style w:type="paragraph" w:styleId="9">
    <w:name w:val="Body Text Indent"/>
    <w:basedOn w:val="1"/>
    <w:next w:val="10"/>
    <w:autoRedefine/>
    <w:qFormat/>
    <w:uiPriority w:val="0"/>
    <w:pPr>
      <w:adjustRightInd w:val="0"/>
      <w:spacing w:after="120" w:line="360" w:lineRule="atLeast"/>
      <w:ind w:left="420" w:leftChars="200"/>
      <w:jc w:val="left"/>
      <w:textAlignment w:val="baseline"/>
    </w:pPr>
    <w:rPr>
      <w:sz w:val="24"/>
    </w:rPr>
  </w:style>
  <w:style w:type="paragraph" w:styleId="10">
    <w:name w:val="envelope return"/>
    <w:basedOn w:val="1"/>
    <w:autoRedefine/>
    <w:unhideWhenUsed/>
    <w:qFormat/>
    <w:uiPriority w:val="99"/>
    <w:pPr>
      <w:snapToGrid w:val="0"/>
    </w:pPr>
    <w:rPr>
      <w:rFonts w:ascii="等线 Light" w:hAnsi="等线 Light" w:eastAsia="等线 Light" w:cs="Times New Roman"/>
    </w:rPr>
  </w:style>
  <w:style w:type="paragraph" w:styleId="11">
    <w:name w:val="toc 3"/>
    <w:basedOn w:val="1"/>
    <w:next w:val="1"/>
    <w:qFormat/>
    <w:uiPriority w:val="0"/>
    <w:pPr>
      <w:ind w:left="840" w:leftChars="400"/>
    </w:pPr>
  </w:style>
  <w:style w:type="paragraph" w:styleId="12">
    <w:name w:val="Plain Text"/>
    <w:basedOn w:val="1"/>
    <w:autoRedefine/>
    <w:qFormat/>
    <w:uiPriority w:val="99"/>
    <w:pPr>
      <w:adjustRightInd w:val="0"/>
      <w:textAlignment w:val="baseline"/>
    </w:pPr>
    <w:rPr>
      <w:rFonts w:ascii="宋体" w:hAnsi="Courier New"/>
      <w:kern w:val="0"/>
      <w:sz w:val="20"/>
      <w:szCs w:val="20"/>
    </w:rPr>
  </w:style>
  <w:style w:type="paragraph" w:styleId="13">
    <w:name w:val="Date"/>
    <w:basedOn w:val="1"/>
    <w:next w:val="1"/>
    <w:autoRedefine/>
    <w:unhideWhenUsed/>
    <w:qFormat/>
    <w:uiPriority w:val="99"/>
    <w:rPr>
      <w:rFonts w:ascii="宋体" w:hAnsi="宋体"/>
      <w:kern w:val="0"/>
      <w:sz w:val="32"/>
      <w:szCs w:val="32"/>
    </w:rPr>
  </w:style>
  <w:style w:type="paragraph" w:styleId="14">
    <w:name w:val="footer"/>
    <w:basedOn w:val="1"/>
    <w:autoRedefine/>
    <w:unhideWhenUsed/>
    <w:qFormat/>
    <w:uiPriority w:val="0"/>
    <w:pPr>
      <w:snapToGrid w:val="0"/>
      <w:jc w:val="left"/>
    </w:pPr>
    <w:rPr>
      <w:kern w:val="0"/>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w:basedOn w:val="7"/>
    <w:next w:val="20"/>
    <w:autoRedefine/>
    <w:unhideWhenUsed/>
    <w:qFormat/>
    <w:uiPriority w:val="99"/>
    <w:pPr>
      <w:ind w:firstLine="420" w:firstLineChars="100"/>
    </w:pPr>
  </w:style>
  <w:style w:type="paragraph" w:styleId="20">
    <w:name w:val="Body Text First Indent 2"/>
    <w:basedOn w:val="9"/>
    <w:next w:val="1"/>
    <w:autoRedefine/>
    <w:qFormat/>
    <w:uiPriority w:val="0"/>
    <w:pPr>
      <w:ind w:firstLine="420" w:firstLineChars="200"/>
    </w:pPr>
    <w:rPr>
      <w:sz w:val="21"/>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bCs/>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autoRedefine/>
    <w:unhideWhenUsed/>
    <w:qFormat/>
    <w:uiPriority w:val="99"/>
    <w:rPr>
      <w:color w:val="0000FF"/>
      <w:u w:val="singl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semiHidden/>
    <w:unhideWhenUsed/>
    <w:qFormat/>
    <w:uiPriority w:val="99"/>
    <w:rPr>
      <w:sz w:val="21"/>
      <w:szCs w:val="21"/>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Default"/>
    <w:qFormat/>
    <w:uiPriority w:val="0"/>
    <w:pPr>
      <w:widowControl w:val="0"/>
      <w:autoSpaceDE w:val="0"/>
      <w:autoSpaceDN w:val="0"/>
      <w:adjustRightInd w:val="0"/>
      <w:ind w:firstLine="360"/>
    </w:pPr>
    <w:rPr>
      <w:rFonts w:ascii="宋体" w:hAnsi="Times New Roman" w:eastAsia="宋体" w:cs="宋体"/>
      <w:color w:val="000000"/>
      <w:sz w:val="24"/>
      <w:szCs w:val="24"/>
      <w:lang w:val="en-US" w:eastAsia="zh-CN" w:bidi="ar-SA"/>
    </w:rPr>
  </w:style>
  <w:style w:type="paragraph" w:customStyle="1" w:styleId="38">
    <w:name w:val="Blockquote"/>
    <w:basedOn w:val="1"/>
    <w:next w:val="1"/>
    <w:autoRedefine/>
    <w:qFormat/>
    <w:uiPriority w:val="99"/>
    <w:pPr>
      <w:widowControl w:val="0"/>
      <w:autoSpaceDE w:val="0"/>
      <w:autoSpaceDN w:val="0"/>
      <w:adjustRightInd w:val="0"/>
      <w:spacing w:before="100" w:after="100" w:line="240" w:lineRule="auto"/>
      <w:ind w:left="360" w:right="360"/>
    </w:pPr>
    <w:rPr>
      <w:color w:val="auto"/>
      <w:sz w:val="24"/>
    </w:rPr>
  </w:style>
  <w:style w:type="paragraph" w:customStyle="1" w:styleId="39">
    <w:name w:val="_Style 114"/>
    <w:basedOn w:val="7"/>
    <w:next w:val="19"/>
    <w:autoRedefine/>
    <w:unhideWhenUsed/>
    <w:qFormat/>
    <w:uiPriority w:val="99"/>
    <w:pPr>
      <w:ind w:firstLine="420" w:firstLineChars="100"/>
    </w:pPr>
    <w:rPr>
      <w:szCs w:val="20"/>
    </w:rPr>
  </w:style>
  <w:style w:type="paragraph" w:customStyle="1" w:styleId="40">
    <w:name w:val="列出段落1"/>
    <w:basedOn w:val="1"/>
    <w:autoRedefine/>
    <w:qFormat/>
    <w:uiPriority w:val="34"/>
    <w:pPr>
      <w:ind w:firstLine="420" w:firstLineChars="200"/>
    </w:pPr>
    <w:rPr>
      <w:rFonts w:ascii="Calibri" w:hAnsi="Calibri"/>
    </w:rPr>
  </w:style>
  <w:style w:type="paragraph" w:customStyle="1" w:styleId="41">
    <w:name w:val="a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layui-layer-tabnow"/>
    <w:basedOn w:val="23"/>
    <w:autoRedefine/>
    <w:qFormat/>
    <w:uiPriority w:val="0"/>
    <w:rPr>
      <w:bdr w:val="single" w:color="CCCCCC" w:sz="6" w:space="0"/>
      <w:shd w:val="clear" w:fill="FFFFFF"/>
    </w:rPr>
  </w:style>
  <w:style w:type="character" w:customStyle="1" w:styleId="43">
    <w:name w:val="first-child"/>
    <w:basedOn w:val="23"/>
    <w:autoRedefine/>
    <w:qFormat/>
    <w:uiPriority w:val="0"/>
  </w:style>
  <w:style w:type="character" w:customStyle="1" w:styleId="44">
    <w:name w:val="xiadan"/>
    <w:basedOn w:val="23"/>
    <w:autoRedefine/>
    <w:qFormat/>
    <w:uiPriority w:val="0"/>
    <w:rPr>
      <w:shd w:val="clear" w:fill="E4393C"/>
    </w:rPr>
  </w:style>
  <w:style w:type="character" w:customStyle="1" w:styleId="45">
    <w:name w:val="fr"/>
    <w:basedOn w:val="23"/>
    <w:autoRedefine/>
    <w:qFormat/>
    <w:uiPriority w:val="0"/>
  </w:style>
  <w:style w:type="character" w:customStyle="1" w:styleId="46">
    <w:name w:val="first-child1"/>
    <w:basedOn w:val="23"/>
    <w:autoRedefine/>
    <w:qFormat/>
    <w:uiPriority w:val="0"/>
    <w:rPr>
      <w:color w:val="1F3149"/>
      <w:sz w:val="24"/>
      <w:szCs w:val="24"/>
    </w:rPr>
  </w:style>
  <w:style w:type="character" w:customStyle="1" w:styleId="47">
    <w:name w:val="icon_gys"/>
    <w:basedOn w:val="23"/>
    <w:autoRedefine/>
    <w:qFormat/>
    <w:uiPriority w:val="0"/>
    <w:rPr>
      <w:sz w:val="21"/>
      <w:szCs w:val="21"/>
    </w:rPr>
  </w:style>
  <w:style w:type="character" w:customStyle="1" w:styleId="48">
    <w:name w:val="icon_ds"/>
    <w:basedOn w:val="23"/>
    <w:autoRedefine/>
    <w:qFormat/>
    <w:uiPriority w:val="0"/>
  </w:style>
  <w:style w:type="character" w:customStyle="1" w:styleId="49">
    <w:name w:val="icon_ds1"/>
    <w:basedOn w:val="23"/>
    <w:autoRedefine/>
    <w:qFormat/>
    <w:uiPriority w:val="0"/>
    <w:rPr>
      <w:sz w:val="21"/>
      <w:szCs w:val="21"/>
    </w:rPr>
  </w:style>
  <w:style w:type="character" w:customStyle="1" w:styleId="50">
    <w:name w:val="hover1"/>
    <w:basedOn w:val="23"/>
    <w:autoRedefine/>
    <w:qFormat/>
    <w:uiPriority w:val="0"/>
  </w:style>
  <w:style w:type="character" w:customStyle="1" w:styleId="51">
    <w:name w:val="hover2"/>
    <w:basedOn w:val="23"/>
    <w:autoRedefine/>
    <w:qFormat/>
    <w:uiPriority w:val="0"/>
    <w:rPr>
      <w:color w:val="2590EB"/>
    </w:rPr>
  </w:style>
  <w:style w:type="character" w:customStyle="1" w:styleId="52">
    <w:name w:val="hover3"/>
    <w:basedOn w:val="23"/>
    <w:autoRedefine/>
    <w:qFormat/>
    <w:uiPriority w:val="0"/>
    <w:rPr>
      <w:color w:val="2590EB"/>
    </w:rPr>
  </w:style>
  <w:style w:type="character" w:customStyle="1" w:styleId="53">
    <w:name w:val="mini-outputtext1"/>
    <w:basedOn w:val="23"/>
    <w:autoRedefine/>
    <w:qFormat/>
    <w:uiPriority w:val="0"/>
  </w:style>
  <w:style w:type="character" w:customStyle="1" w:styleId="54">
    <w:name w:val="first-child2"/>
    <w:basedOn w:val="23"/>
    <w:autoRedefine/>
    <w:qFormat/>
    <w:uiPriority w:val="0"/>
    <w:rPr>
      <w:color w:val="1F3149"/>
      <w:sz w:val="24"/>
      <w:szCs w:val="24"/>
    </w:rPr>
  </w:style>
  <w:style w:type="paragraph" w:styleId="55">
    <w:name w:val="List Paragraph"/>
    <w:basedOn w:val="1"/>
    <w:autoRedefine/>
    <w:qFormat/>
    <w:uiPriority w:val="34"/>
    <w:pPr>
      <w:ind w:firstLine="420" w:firstLineChars="200"/>
    </w:pPr>
    <w:rPr>
      <w:rFonts w:ascii="Calibri" w:hAnsi="Calibri"/>
      <w:szCs w:val="22"/>
    </w:rPr>
  </w:style>
  <w:style w:type="paragraph" w:customStyle="1" w:styleId="5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57">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58">
    <w:name w:val="List Paragraph_33527ac6-d90d-4dad-b489-6b3388008c3f"/>
    <w:basedOn w:val="1"/>
    <w:autoRedefine/>
    <w:qFormat/>
    <w:uiPriority w:val="0"/>
    <w:pPr>
      <w:ind w:firstLine="420" w:firstLineChars="200"/>
    </w:pPr>
    <w:rPr>
      <w:rFonts w:ascii="Calibri" w:hAnsi="Calibri" w:eastAsia="宋体" w:cs="Times New Roman"/>
    </w:rPr>
  </w:style>
  <w:style w:type="character" w:customStyle="1" w:styleId="59">
    <w:name w:val="font11"/>
    <w:basedOn w:val="23"/>
    <w:autoRedefine/>
    <w:qFormat/>
    <w:uiPriority w:val="0"/>
    <w:rPr>
      <w:rFonts w:hint="eastAsia" w:ascii="宋体" w:hAnsi="宋体" w:eastAsia="宋体" w:cs="宋体"/>
      <w:color w:val="000000"/>
      <w:sz w:val="22"/>
      <w:szCs w:val="22"/>
      <w:u w:val="none"/>
    </w:rPr>
  </w:style>
  <w:style w:type="character" w:customStyle="1" w:styleId="60">
    <w:name w:val="font51"/>
    <w:basedOn w:val="23"/>
    <w:qFormat/>
    <w:uiPriority w:val="0"/>
    <w:rPr>
      <w:rFonts w:hint="eastAsia" w:ascii="宋体" w:hAnsi="宋体" w:eastAsia="宋体" w:cs="宋体"/>
      <w:b/>
      <w:bCs/>
      <w:color w:val="000000"/>
      <w:sz w:val="20"/>
      <w:szCs w:val="20"/>
      <w:u w:val="none"/>
    </w:rPr>
  </w:style>
  <w:style w:type="character" w:customStyle="1" w:styleId="61">
    <w:name w:val="font31"/>
    <w:basedOn w:val="23"/>
    <w:qFormat/>
    <w:uiPriority w:val="0"/>
    <w:rPr>
      <w:rFonts w:hint="eastAsia" w:ascii="宋体" w:hAnsi="宋体" w:eastAsia="宋体" w:cs="宋体"/>
      <w:color w:val="000000"/>
      <w:sz w:val="20"/>
      <w:szCs w:val="20"/>
      <w:u w:val="none"/>
    </w:rPr>
  </w:style>
  <w:style w:type="character" w:customStyle="1" w:styleId="62">
    <w:name w:val="font21"/>
    <w:basedOn w:val="23"/>
    <w:qFormat/>
    <w:uiPriority w:val="0"/>
    <w:rPr>
      <w:rFonts w:hint="eastAsia" w:ascii="宋体" w:hAnsi="宋体" w:eastAsia="宋体" w:cs="宋体"/>
      <w:color w:val="000000"/>
      <w:sz w:val="20"/>
      <w:szCs w:val="20"/>
      <w:u w:val="none"/>
    </w:rPr>
  </w:style>
  <w:style w:type="character" w:customStyle="1" w:styleId="63">
    <w:name w:val="hover"/>
    <w:basedOn w:val="23"/>
    <w:qFormat/>
    <w:uiPriority w:val="0"/>
    <w:rPr>
      <w:color w:val="2590EB"/>
    </w:rPr>
  </w:style>
  <w:style w:type="character" w:customStyle="1" w:styleId="64">
    <w:name w:val="hover18"/>
    <w:basedOn w:val="23"/>
    <w:qFormat/>
    <w:uiPriority w:val="0"/>
  </w:style>
  <w:style w:type="paragraph" w:customStyle="1" w:styleId="65">
    <w:name w:val="Table Text"/>
    <w:basedOn w:val="1"/>
    <w:semiHidden/>
    <w:qFormat/>
    <w:uiPriority w:val="0"/>
    <w:rPr>
      <w:rFonts w:ascii="PingFang SC" w:hAnsi="PingFang SC" w:eastAsia="PingFang SC" w:cs="PingFang SC"/>
      <w:sz w:val="24"/>
      <w:szCs w:val="24"/>
      <w:lang w:val="en-US" w:eastAsia="en-US" w:bidi="ar-SA"/>
    </w:rPr>
  </w:style>
  <w:style w:type="paragraph" w:customStyle="1" w:styleId="66">
    <w:name w:val="DAS正文"/>
    <w:basedOn w:val="1"/>
    <w:qFormat/>
    <w:uiPriority w:val="0"/>
    <w:pPr>
      <w:ind w:right="181" w:firstLine="480" w:firstLineChars="200"/>
    </w:pPr>
    <w:rPr>
      <w:rFonts w:ascii="Verdana" w:hAnsi="Verdana"/>
    </w:rPr>
  </w:style>
  <w:style w:type="paragraph" w:customStyle="1" w:styleId="67">
    <w:name w:val="BodyText1I"/>
    <w:basedOn w:val="68"/>
    <w:qFormat/>
    <w:uiPriority w:val="99"/>
    <w:pPr>
      <w:ind w:firstLine="420" w:firstLineChars="100"/>
    </w:pPr>
  </w:style>
  <w:style w:type="paragraph" w:customStyle="1" w:styleId="68">
    <w:name w:val="BodyText"/>
    <w:basedOn w:val="1"/>
    <w:qFormat/>
    <w:uiPriority w:val="99"/>
    <w:pPr>
      <w:spacing w:after="120"/>
    </w:pPr>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无间隔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24770</Words>
  <Characters>27907</Characters>
  <Lines>0</Lines>
  <Paragraphs>0</Paragraphs>
  <TotalTime>10</TotalTime>
  <ScaleCrop>false</ScaleCrop>
  <LinksUpToDate>false</LinksUpToDate>
  <CharactersWithSpaces>28155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2023-08-30T05:50:00Z</dcterms:created>
  <dc:creator>煜林招标</dc:creator>
  <cp:lastModifiedBy>Administrator</cp:lastModifiedBy>
  <cp:lastPrinted>2024-06-05T21:31:00Z</cp:lastPrinted>
  <dcterms:modified xsi:type="dcterms:W3CDTF">2025-07-01T14:53:36Z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AD75E1E5BE6245CC917028961694DC49_13</vt:lpwstr>
  </property>
  <property fmtid="{D5CDD505-2E9C-101B-9397-08002B2CF9AE}" pid="4" name="KSOTemplateDocerSaveRecord">
    <vt:lpwstr>eyJoZGlkIjoiZWE5M2RjOTdlMzM5NzdmNzhkMzk5ZjQ3NTI0YTM0MTQiLCJ1c2VySWQiOiIzODU3OTk2NjgifQ==</vt:lpwstr>
  </property>
</Properties>
</file>